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hint="eastAsia" w:ascii="微软雅黑" w:hAnsi="微软雅黑" w:eastAsia="微软雅黑" w:cs="微软雅黑"/>
          <w:b w:val="0"/>
          <w:bCs w:val="0"/>
          <w:i w:val="0"/>
          <w:iCs w:val="0"/>
          <w:caps w:val="0"/>
          <w:color w:val="000000"/>
          <w:spacing w:val="0"/>
          <w:sz w:val="24"/>
          <w:szCs w:val="24"/>
        </w:rPr>
      </w:pPr>
      <w:r>
        <w:rPr>
          <w:rFonts w:hint="eastAsia" w:ascii="方正小标宋简体" w:hAnsi="方正小标宋简体" w:eastAsia="方正小标宋简体" w:cs="方正小标宋简体"/>
          <w:b w:val="0"/>
          <w:bCs w:val="0"/>
          <w:i w:val="0"/>
          <w:iCs w:val="0"/>
          <w:caps w:val="0"/>
          <w:color w:val="000000"/>
          <w:spacing w:val="0"/>
          <w:sz w:val="43"/>
          <w:szCs w:val="43"/>
        </w:rPr>
        <w:t>杭锦旗迎接国家卫生县城复审工作目标任务分解表</w:t>
      </w:r>
    </w:p>
    <w:tbl>
      <w:tblPr>
        <w:tblStyle w:val="3"/>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8"/>
        <w:gridCol w:w="7728"/>
        <w:gridCol w:w="1250"/>
        <w:gridCol w:w="1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黑体" w:hAnsi="宋体" w:eastAsia="黑体" w:cs="黑体"/>
                <w:b w:val="0"/>
                <w:bCs w:val="0"/>
                <w:i w:val="0"/>
                <w:iCs w:val="0"/>
                <w:caps w:val="0"/>
                <w:color w:val="000000"/>
                <w:spacing w:val="0"/>
                <w:sz w:val="21"/>
                <w:szCs w:val="21"/>
                <w:vertAlign w:val="baseline"/>
              </w:rPr>
              <w:t>项目</w:t>
            </w:r>
          </w:p>
        </w:tc>
        <w:tc>
          <w:tcPr>
            <w:tcW w:w="9765" w:type="dxa"/>
            <w:tcBorders>
              <w:top w:val="single" w:color="000000" w:sz="6" w:space="0"/>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黑体" w:hAnsi="宋体" w:eastAsia="黑体" w:cs="黑体"/>
                <w:b w:val="0"/>
                <w:bCs w:val="0"/>
                <w:i w:val="0"/>
                <w:iCs w:val="0"/>
                <w:caps w:val="0"/>
                <w:color w:val="000000"/>
                <w:spacing w:val="0"/>
                <w:sz w:val="21"/>
                <w:szCs w:val="21"/>
                <w:vertAlign w:val="baseline"/>
              </w:rPr>
              <w:t>牵头单位</w:t>
            </w:r>
          </w:p>
        </w:tc>
        <w:tc>
          <w:tcPr>
            <w:tcW w:w="1545" w:type="dxa"/>
            <w:tcBorders>
              <w:top w:val="single" w:color="000000" w:sz="6" w:space="0"/>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黑体" w:hAnsi="宋体" w:eastAsia="黑体" w:cs="黑体"/>
                <w:b w:val="0"/>
                <w:bCs w:val="0"/>
                <w:i w:val="0"/>
                <w:iCs w:val="0"/>
                <w:caps w:val="0"/>
                <w:color w:val="000000"/>
                <w:spacing w:val="0"/>
                <w:sz w:val="21"/>
                <w:szCs w:val="21"/>
                <w:vertAlign w:val="baseline"/>
              </w:rPr>
              <w:t>牵头单位</w:t>
            </w:r>
          </w:p>
        </w:tc>
        <w:tc>
          <w:tcPr>
            <w:tcW w:w="2145" w:type="dxa"/>
            <w:tcBorders>
              <w:top w:val="single" w:color="000000" w:sz="6" w:space="0"/>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黑体" w:hAnsi="宋体" w:eastAsia="黑体" w:cs="黑体"/>
                <w:b w:val="0"/>
                <w:bCs w:val="0"/>
                <w:i w:val="0"/>
                <w:iCs w:val="0"/>
                <w:caps w:val="0"/>
                <w:color w:val="000000"/>
                <w:spacing w:val="0"/>
                <w:sz w:val="21"/>
                <w:szCs w:val="21"/>
                <w:vertAlign w:val="baseline"/>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705" w:type="dxa"/>
            <w:vMerge w:val="restart"/>
            <w:tcBorders>
              <w:top w:val="single" w:color="auto" w:sz="6" w:space="0"/>
              <w:left w:val="single" w:color="000000"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爱国卫生组织管理</w:t>
            </w:r>
          </w:p>
        </w:tc>
        <w:tc>
          <w:tcPr>
            <w:tcW w:w="9765" w:type="dxa"/>
            <w:tcBorders>
              <w:top w:val="single" w:color="auto" w:sz="6" w:space="0"/>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1.旗政府认真贯彻《国务院关于加强爱国卫生工作的决定》，把爱国卫生工作纳入政府的议事日程，列入社会经济发展规划，主要领导重视，亲自抓落实，各部门、各单位和广大群众积极参与爱国卫生运动和国家卫生县城复审工作。</w:t>
            </w:r>
          </w:p>
        </w:tc>
        <w:tc>
          <w:tcPr>
            <w:tcW w:w="1545" w:type="dxa"/>
            <w:tcBorders>
              <w:top w:val="single" w:color="auto" w:sz="6" w:space="0"/>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政府办</w:t>
            </w:r>
          </w:p>
        </w:tc>
        <w:tc>
          <w:tcPr>
            <w:tcW w:w="2145" w:type="dxa"/>
            <w:tcBorders>
              <w:top w:val="single" w:color="auto" w:sz="6" w:space="0"/>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各苏木镇（管委会）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旗直各部门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各企事业单位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705" w:type="dxa"/>
            <w:vMerge w:val="continue"/>
            <w:tcBorders>
              <w:top w:val="single" w:color="auto" w:sz="6" w:space="0"/>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976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2.旗爱卫会办事机构具备与所承担的工作任务相适应的机构设置、人员编制、工作经费和办公条件。苏木镇、镇辖村（嘎查）、社区（居委会）等基层单位要有专兼职爱国卫生工作人员。</w:t>
            </w:r>
          </w:p>
        </w:tc>
        <w:tc>
          <w:tcPr>
            <w:tcW w:w="154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卫生健康委员会</w:t>
            </w:r>
          </w:p>
        </w:tc>
        <w:tc>
          <w:tcPr>
            <w:tcW w:w="214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各苏木镇（管委会）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爱国卫生成员单位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705" w:type="dxa"/>
            <w:vMerge w:val="continue"/>
            <w:tcBorders>
              <w:top w:val="single" w:color="auto" w:sz="6" w:space="0"/>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976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3.爱国卫生工作每年有计划、有部署、有总结，并纳入政府目标管理。坚持开展多种形式及内容的爱国卫生活动。</w:t>
            </w:r>
          </w:p>
        </w:tc>
        <w:tc>
          <w:tcPr>
            <w:tcW w:w="154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卫生健康</w:t>
            </w:r>
            <w:bookmarkStart w:id="0" w:name="_GoBack"/>
            <w:bookmarkEnd w:id="0"/>
            <w:r>
              <w:rPr>
                <w:rFonts w:hint="eastAsia" w:ascii="仿宋_GB2312" w:hAnsi="微软雅黑" w:eastAsia="仿宋_GB2312" w:cs="仿宋_GB2312"/>
                <w:b w:val="0"/>
                <w:bCs w:val="0"/>
                <w:i w:val="0"/>
                <w:iCs w:val="0"/>
                <w:caps w:val="0"/>
                <w:color w:val="000000"/>
                <w:spacing w:val="0"/>
                <w:sz w:val="21"/>
                <w:szCs w:val="21"/>
                <w:vertAlign w:val="baseline"/>
              </w:rPr>
              <w:t>委员会</w:t>
            </w:r>
          </w:p>
        </w:tc>
        <w:tc>
          <w:tcPr>
            <w:tcW w:w="214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各苏木镇（管委会）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爱国卫生成员单位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705" w:type="dxa"/>
            <w:vMerge w:val="continue"/>
            <w:tcBorders>
              <w:top w:val="single" w:color="auto" w:sz="6" w:space="0"/>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976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4.建立健康影响评估制度，推动将健康融入所有政策，把全生命周期健康管理理念贯彻城市规划、建设和管理全过程各环节。将应对突发公共卫生事件纳入国土空间规划和城市建设规划，并逐步建设完善相关设施。</w:t>
            </w:r>
          </w:p>
        </w:tc>
        <w:tc>
          <w:tcPr>
            <w:tcW w:w="154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卫生健康委员会</w:t>
            </w:r>
          </w:p>
        </w:tc>
        <w:tc>
          <w:tcPr>
            <w:tcW w:w="214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各苏木镇（管委会）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爱国卫生成员单位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705" w:type="dxa"/>
            <w:vMerge w:val="continue"/>
            <w:tcBorders>
              <w:top w:val="single" w:color="auto" w:sz="6" w:space="0"/>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9765" w:type="dxa"/>
            <w:tcBorders>
              <w:top w:val="nil"/>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5.设立卫生问题建议与投诉平台，健全群众监督机制，对群众反映的问题进行认真核查和整改，群众对全旗卫生状况满意率≥90%。</w:t>
            </w:r>
          </w:p>
        </w:tc>
        <w:tc>
          <w:tcPr>
            <w:tcW w:w="1545" w:type="dxa"/>
            <w:tcBorders>
              <w:top w:val="nil"/>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卫生健康委员会</w:t>
            </w:r>
          </w:p>
        </w:tc>
        <w:tc>
          <w:tcPr>
            <w:tcW w:w="2145" w:type="dxa"/>
            <w:tcBorders>
              <w:top w:val="nil"/>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各苏木镇（管委会）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爱国卫生成员单位</w:t>
            </w:r>
          </w:p>
        </w:tc>
      </w:tr>
    </w:tbl>
    <w:p>
      <w:pPr>
        <w:rPr>
          <w:vanish/>
          <w:sz w:val="24"/>
          <w:szCs w:val="24"/>
        </w:rPr>
      </w:pPr>
    </w:p>
    <w:tbl>
      <w:tblPr>
        <w:tblStyle w:val="3"/>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75"/>
        <w:gridCol w:w="5935"/>
        <w:gridCol w:w="1376"/>
        <w:gridCol w:w="2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6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黑体" w:hAnsi="宋体" w:eastAsia="黑体" w:cs="黑体"/>
                <w:b w:val="0"/>
                <w:bCs w:val="0"/>
                <w:i w:val="0"/>
                <w:iCs w:val="0"/>
                <w:caps w:val="0"/>
                <w:color w:val="000000"/>
                <w:spacing w:val="0"/>
                <w:sz w:val="21"/>
                <w:szCs w:val="21"/>
                <w:vertAlign w:val="baseline"/>
              </w:rPr>
              <w:t>项目</w:t>
            </w:r>
          </w:p>
        </w:tc>
        <w:tc>
          <w:tcPr>
            <w:tcW w:w="975" w:type="dxa"/>
            <w:tcBorders>
              <w:top w:val="single" w:color="000000" w:sz="6" w:space="0"/>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黑体" w:hAnsi="宋体" w:eastAsia="黑体" w:cs="黑体"/>
                <w:b w:val="0"/>
                <w:bCs w:val="0"/>
                <w:i w:val="0"/>
                <w:iCs w:val="0"/>
                <w:caps w:val="0"/>
                <w:color w:val="000000"/>
                <w:spacing w:val="0"/>
                <w:sz w:val="21"/>
                <w:szCs w:val="21"/>
                <w:vertAlign w:val="baseline"/>
              </w:rPr>
              <w:t>标准要求考核项目</w:t>
            </w:r>
          </w:p>
        </w:tc>
        <w:tc>
          <w:tcPr>
            <w:tcW w:w="180" w:type="dxa"/>
            <w:tcBorders>
              <w:top w:val="single" w:color="000000" w:sz="6" w:space="0"/>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黑体" w:hAnsi="宋体" w:eastAsia="黑体" w:cs="黑体"/>
                <w:b w:val="0"/>
                <w:bCs w:val="0"/>
                <w:i w:val="0"/>
                <w:iCs w:val="0"/>
                <w:caps w:val="0"/>
                <w:color w:val="000000"/>
                <w:spacing w:val="0"/>
                <w:sz w:val="21"/>
                <w:szCs w:val="21"/>
                <w:vertAlign w:val="baseline"/>
              </w:rPr>
              <w:t>牵头单位</w:t>
            </w:r>
          </w:p>
        </w:tc>
        <w:tc>
          <w:tcPr>
            <w:tcW w:w="255" w:type="dxa"/>
            <w:tcBorders>
              <w:top w:val="single" w:color="000000" w:sz="6" w:space="0"/>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黑体" w:hAnsi="宋体" w:eastAsia="黑体" w:cs="黑体"/>
                <w:b w:val="0"/>
                <w:bCs w:val="0"/>
                <w:i w:val="0"/>
                <w:iCs w:val="0"/>
                <w:caps w:val="0"/>
                <w:color w:val="000000"/>
                <w:spacing w:val="0"/>
                <w:sz w:val="21"/>
                <w:szCs w:val="21"/>
                <w:vertAlign w:val="baseline"/>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60" w:type="dxa"/>
            <w:vMerge w:val="restart"/>
            <w:tcBorders>
              <w:top w:val="single" w:color="auto" w:sz="6" w:space="0"/>
              <w:left w:val="single" w:color="000000"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健康教育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健康教育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 </w:t>
            </w:r>
          </w:p>
        </w:tc>
        <w:tc>
          <w:tcPr>
            <w:tcW w:w="975" w:type="dxa"/>
            <w:tcBorders>
              <w:top w:val="single" w:color="auto" w:sz="6" w:space="0"/>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1.健康教育机构网络健全，利用资源库和报纸、电视、网络等主要媒体，广泛开展健康教育和健康促进活动，提升居民健康素养水平，倡导文明健康、绿色环保生活方式。</w:t>
            </w:r>
          </w:p>
        </w:tc>
        <w:tc>
          <w:tcPr>
            <w:tcW w:w="180" w:type="dxa"/>
            <w:tcBorders>
              <w:top w:val="single" w:color="auto" w:sz="6" w:space="0"/>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卫生健康委员会</w:t>
            </w:r>
          </w:p>
        </w:tc>
        <w:tc>
          <w:tcPr>
            <w:tcW w:w="255" w:type="dxa"/>
            <w:tcBorders>
              <w:top w:val="single" w:color="auto" w:sz="6" w:space="0"/>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融媒体中心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60" w:type="dxa"/>
            <w:vMerge w:val="continue"/>
            <w:tcBorders>
              <w:top w:val="single" w:color="auto" w:sz="6" w:space="0"/>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97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2.积极开展健康县区、健康乡镇和健康村、健康社区、健康企业、健康机关、健康学校、健康促进医院、健康家庭等健康细胞建设。建设健康步道、健康主题公园等，推广，“三减三健”等慢性病防控措施。</w:t>
            </w:r>
          </w:p>
        </w:tc>
        <w:tc>
          <w:tcPr>
            <w:tcW w:w="180"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卫生健康委员会</w:t>
            </w:r>
          </w:p>
        </w:tc>
        <w:tc>
          <w:tcPr>
            <w:tcW w:w="25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各苏木镇（管委会）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工信和科技局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教育体育局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城市公用事业服务中心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住房和城乡规划建设局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60" w:type="dxa"/>
            <w:vMerge w:val="continue"/>
            <w:tcBorders>
              <w:top w:val="single" w:color="auto" w:sz="6" w:space="0"/>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97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3.统筹建设全民健身场地设施，构建更高水平的全民健身公共服务体系，满足人民群众经常性的体育锻炼需求。机关、企事业单位等工作场所落实工间操制度。</w:t>
            </w:r>
          </w:p>
        </w:tc>
        <w:tc>
          <w:tcPr>
            <w:tcW w:w="180"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教育和体育局</w:t>
            </w:r>
          </w:p>
        </w:tc>
        <w:tc>
          <w:tcPr>
            <w:tcW w:w="25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各苏木镇（管委会）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各机关企事业单位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60" w:type="dxa"/>
            <w:vMerge w:val="continue"/>
            <w:tcBorders>
              <w:top w:val="single" w:color="auto" w:sz="6" w:space="0"/>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97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4.深入开展控烟宣传活动，辖区内禁止在大众传播媒介或者公共场所、公共交通工具、户外发布烟草广告，依法规范烟草促销、赞助等行为。全面推进无烟党政机关、无烟医疗卫生机构、无烟学校、无烟家庭等无烟环境建设并取得显著成效，积极推进控烟立法执法，逐步实现室内公共场所、工作场所和公共交通工具全面禁烟。</w:t>
            </w:r>
          </w:p>
        </w:tc>
        <w:tc>
          <w:tcPr>
            <w:tcW w:w="180"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卫生健康委员会</w:t>
            </w:r>
          </w:p>
        </w:tc>
        <w:tc>
          <w:tcPr>
            <w:tcW w:w="25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各苏木镇（管委会）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融媒体中心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各机关企事业单位</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baseline"/>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21"/>
          <w:szCs w:val="21"/>
          <w:vertAlign w:val="baseline"/>
        </w:rPr>
        <w:t> </w:t>
      </w:r>
    </w:p>
    <w:tbl>
      <w:tblPr>
        <w:tblStyle w:val="3"/>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08"/>
        <w:gridCol w:w="4927"/>
        <w:gridCol w:w="3167"/>
        <w:gridCol w:w="2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6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黑体" w:hAnsi="宋体" w:eastAsia="黑体" w:cs="黑体"/>
                <w:b w:val="0"/>
                <w:bCs w:val="0"/>
                <w:i w:val="0"/>
                <w:iCs w:val="0"/>
                <w:caps w:val="0"/>
                <w:color w:val="000000"/>
                <w:spacing w:val="0"/>
                <w:sz w:val="21"/>
                <w:szCs w:val="21"/>
                <w:vertAlign w:val="baseline"/>
              </w:rPr>
              <w:t>项目</w:t>
            </w:r>
          </w:p>
        </w:tc>
        <w:tc>
          <w:tcPr>
            <w:tcW w:w="1005" w:type="dxa"/>
            <w:tcBorders>
              <w:top w:val="single" w:color="000000" w:sz="6" w:space="0"/>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黑体" w:hAnsi="宋体" w:eastAsia="黑体" w:cs="黑体"/>
                <w:b w:val="0"/>
                <w:bCs w:val="0"/>
                <w:i w:val="0"/>
                <w:iCs w:val="0"/>
                <w:caps w:val="0"/>
                <w:color w:val="000000"/>
                <w:spacing w:val="0"/>
                <w:sz w:val="21"/>
                <w:szCs w:val="21"/>
                <w:vertAlign w:val="baseline"/>
              </w:rPr>
              <w:t>标准要求考核项目</w:t>
            </w:r>
          </w:p>
        </w:tc>
        <w:tc>
          <w:tcPr>
            <w:tcW w:w="105" w:type="dxa"/>
            <w:tcBorders>
              <w:top w:val="single" w:color="000000" w:sz="6" w:space="0"/>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黑体" w:hAnsi="宋体" w:eastAsia="黑体" w:cs="黑体"/>
                <w:b w:val="0"/>
                <w:bCs w:val="0"/>
                <w:i w:val="0"/>
                <w:iCs w:val="0"/>
                <w:caps w:val="0"/>
                <w:color w:val="000000"/>
                <w:spacing w:val="0"/>
                <w:sz w:val="21"/>
                <w:szCs w:val="21"/>
                <w:vertAlign w:val="baseline"/>
              </w:rPr>
              <w:t>牵头单位</w:t>
            </w:r>
          </w:p>
        </w:tc>
        <w:tc>
          <w:tcPr>
            <w:tcW w:w="285" w:type="dxa"/>
            <w:tcBorders>
              <w:top w:val="single" w:color="000000" w:sz="6" w:space="0"/>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黑体" w:hAnsi="宋体" w:eastAsia="黑体" w:cs="黑体"/>
                <w:b w:val="0"/>
                <w:bCs w:val="0"/>
                <w:i w:val="0"/>
                <w:iCs w:val="0"/>
                <w:caps w:val="0"/>
                <w:color w:val="000000"/>
                <w:spacing w:val="0"/>
                <w:sz w:val="21"/>
                <w:szCs w:val="21"/>
                <w:vertAlign w:val="baseline"/>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60" w:type="dxa"/>
            <w:vMerge w:val="restart"/>
            <w:tcBorders>
              <w:top w:val="single" w:color="auto" w:sz="6" w:space="0"/>
              <w:left w:val="single" w:color="000000"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市容环境卫生</w:t>
            </w:r>
          </w:p>
        </w:tc>
        <w:tc>
          <w:tcPr>
            <w:tcW w:w="1005" w:type="dxa"/>
            <w:tcBorders>
              <w:top w:val="single" w:color="auto" w:sz="6" w:space="0"/>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1.主次干道和街巷路面平整，道路照明及景观照明设施整洁、完好，运行正常。垃圾桶（箱）等垃圾分类收集容器配置齐全，分类标志统一规范，满足当地垃圾分类要求。无乱搭乱建、乱堆乱摆、乱停乱放、乱贴乱画、乱扔乱倒等现象，无卫生死角，基本消除易涝积水点。主次干道和街巷路面及时进行保洁，保洁质量符合相关标准要求。河道、湖泊等水面清洁、岸坡整洁，无垃圾杂物。建筑工地（含待建、拆迁、在建等工地）管理到位，卫生整洁，规范围挡，无扬尘、噪声污染，建筑垃圾规范运输处理，无乱倒垃圾和乱搭乱建现象。</w:t>
            </w:r>
          </w:p>
        </w:tc>
        <w:tc>
          <w:tcPr>
            <w:tcW w:w="105" w:type="dxa"/>
            <w:tcBorders>
              <w:top w:val="single" w:color="auto" w:sz="6" w:space="0"/>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住房和城乡规划建设局</w:t>
            </w:r>
          </w:p>
        </w:tc>
        <w:tc>
          <w:tcPr>
            <w:tcW w:w="285" w:type="dxa"/>
            <w:tcBorders>
              <w:top w:val="single" w:color="auto" w:sz="6" w:space="0"/>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各苏木镇（管委会）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城市管理行政执法局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城市公用事业服务中心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水利局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鄂尔多斯市生态环境局杭锦旗分局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60" w:type="dxa"/>
            <w:vMerge w:val="continue"/>
            <w:tcBorders>
              <w:top w:val="single" w:color="auto" w:sz="6" w:space="0"/>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100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2.建筑物外立面上的广告设施和招牌的高度、大小符合规定标准，不遮盖建筑物外观轮廓，不影响建筑物本身和相邻建筑物采光、通风，不造成光污染。建筑玻璃幕墙的可见光反射比及其对周边建筑和交通的影响符合现行国家标准有关规定。</w:t>
            </w:r>
          </w:p>
        </w:tc>
        <w:tc>
          <w:tcPr>
            <w:tcW w:w="10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城市管理行政执法局</w:t>
            </w:r>
          </w:p>
        </w:tc>
        <w:tc>
          <w:tcPr>
            <w:tcW w:w="285" w:type="dxa"/>
            <w:tcBorders>
              <w:top w:val="nil"/>
              <w:left w:val="single" w:color="auto" w:sz="6" w:space="0"/>
              <w:bottom w:val="single" w:color="auto"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60" w:type="dxa"/>
            <w:vMerge w:val="continue"/>
            <w:tcBorders>
              <w:top w:val="single" w:color="auto" w:sz="6" w:space="0"/>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100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3.加强绿化工作，提高建成区绿化覆盖率和公园绿地面积，强化绿地管理。</w:t>
            </w:r>
          </w:p>
        </w:tc>
        <w:tc>
          <w:tcPr>
            <w:tcW w:w="10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城市公用事业服务中心</w:t>
            </w:r>
          </w:p>
        </w:tc>
        <w:tc>
          <w:tcPr>
            <w:tcW w:w="285" w:type="dxa"/>
            <w:tcBorders>
              <w:top w:val="nil"/>
              <w:left w:val="single" w:color="auto" w:sz="6" w:space="0"/>
              <w:bottom w:val="single" w:color="auto"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60" w:type="dxa"/>
            <w:vMerge w:val="continue"/>
            <w:tcBorders>
              <w:top w:val="single" w:color="auto" w:sz="6" w:space="0"/>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100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4.生活垃圾转运站等环卫设施、再生资源回收基础设施符合相关标准要求，数量充足，布局合理，管理规范。生活垃圾分类收集运输体系和废旧物资循环利用体系完善，生活垃圾、粪便分类收集运输容器、车辆等设备设施实现密闭化、规范化，生活垃圾、粪便及时清运。</w:t>
            </w:r>
          </w:p>
        </w:tc>
        <w:tc>
          <w:tcPr>
            <w:tcW w:w="10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城市公用事业服务中心</w:t>
            </w:r>
          </w:p>
        </w:tc>
        <w:tc>
          <w:tcPr>
            <w:tcW w:w="285" w:type="dxa"/>
            <w:tcBorders>
              <w:top w:val="nil"/>
              <w:left w:val="single" w:color="auto" w:sz="6" w:space="0"/>
              <w:bottom w:val="single" w:color="auto"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60" w:type="dxa"/>
            <w:vMerge w:val="restart"/>
            <w:tcBorders>
              <w:top w:val="nil"/>
              <w:left w:val="single" w:color="000000" w:sz="6" w:space="0"/>
              <w:bottom w:val="single" w:color="auto"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iCs w:val="0"/>
                <w:caps w:val="0"/>
                <w:color w:val="000000"/>
                <w:spacing w:val="0"/>
                <w:sz w:val="24"/>
                <w:szCs w:val="24"/>
              </w:rPr>
            </w:pPr>
          </w:p>
        </w:tc>
        <w:tc>
          <w:tcPr>
            <w:tcW w:w="100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5.推行生活垃圾分类和减量化、资源化。因地制宜加快建立生活垃圾分类投放、分类收集、分类运输、分类处理系统，实现生活垃圾分类有效覆盖。加强城市生活垃圾回收利用和无害化处理。建有港口的城市，应建立完善船舶污染物“船-港-城”“收集-接收-转运-处置”衔接和协作制度。</w:t>
            </w:r>
          </w:p>
        </w:tc>
        <w:tc>
          <w:tcPr>
            <w:tcW w:w="10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城市公用事业服务中心</w:t>
            </w:r>
          </w:p>
        </w:tc>
        <w:tc>
          <w:tcPr>
            <w:tcW w:w="28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各苏木镇（管委会）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60" w:type="dxa"/>
            <w:vMerge w:val="continue"/>
            <w:tcBorders>
              <w:top w:val="nil"/>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100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6.积极推进厕所革命，公共厕所设置符合相关标准要求，数量充足，干净整洁，实现卫生厕所全覆盖。主次干道、车站、医疗机构、机场、港口、旅游景点、集贸市场、商场等公共场所的公共设施不低于二类标准。生活污水有效收集处理。</w:t>
            </w:r>
          </w:p>
        </w:tc>
        <w:tc>
          <w:tcPr>
            <w:tcW w:w="10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住房和城乡规划建设局</w:t>
            </w:r>
          </w:p>
        </w:tc>
        <w:tc>
          <w:tcPr>
            <w:tcW w:w="28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各苏木镇（管委会）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各相关部门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0" w:hRule="atLeast"/>
        </w:trPr>
        <w:tc>
          <w:tcPr>
            <w:tcW w:w="60" w:type="dxa"/>
            <w:vMerge w:val="continue"/>
            <w:tcBorders>
              <w:top w:val="nil"/>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1005" w:type="dxa"/>
            <w:tcBorders>
              <w:top w:val="nil"/>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7.建成区和城乡接合部农产品市场布局合理，建设管理符合规范要求，科学设置经营区域，实行生熟分开、干湿分离；兼营零售业务的农产品批发市场，应当做到批发与零售业务分区域或分时段经营。农产品批发市场、零售市场设施设备应符合卫生防疫和食品安全要求，应配备卫生管理和保洁人员，落实定期巡视和清洗消毒制度，环卫设施齐全、干净整洁。市场活禽销售区域应相对独立设置，实行隔离宰杀，对废弃物实施规范处理，逐步实现市场无活禽交易。农产品冷链物流设施要结合实际预留消杀防疫空间。临时便民市场采取有效管理措施，保障周边市容环境卫生、交通秩序和群众正常生活秩序。流动商贩管理规范。无使用厚度小于0.025毫米的超薄塑料购物袋现象。</w:t>
            </w:r>
          </w:p>
        </w:tc>
        <w:tc>
          <w:tcPr>
            <w:tcW w:w="105" w:type="dxa"/>
            <w:tcBorders>
              <w:top w:val="nil"/>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市场监督管理局</w:t>
            </w:r>
          </w:p>
        </w:tc>
        <w:tc>
          <w:tcPr>
            <w:tcW w:w="285" w:type="dxa"/>
            <w:tcBorders>
              <w:top w:val="nil"/>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各苏木镇（管委会）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城市管理行政执法局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农牧业局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鄂尔多斯市生态环境局杭锦旗分局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60" w:type="dxa"/>
            <w:vMerge w:val="continue"/>
            <w:tcBorders>
              <w:top w:val="nil"/>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1005" w:type="dxa"/>
            <w:tcBorders>
              <w:top w:val="nil"/>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8.建成区和城乡接合部饲养畜禽和野生动物需符合法律法规要求，居民文明规范饲养宠物，畜禽粪污得到有效处置，各类集贸市场、花鸟宠物市场及动物交易市场无非法交易和宰杀野生动物现象。</w:t>
            </w:r>
          </w:p>
        </w:tc>
        <w:tc>
          <w:tcPr>
            <w:tcW w:w="105" w:type="dxa"/>
            <w:tcBorders>
              <w:top w:val="nil"/>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城市管理行政执法局</w:t>
            </w:r>
          </w:p>
        </w:tc>
        <w:tc>
          <w:tcPr>
            <w:tcW w:w="285" w:type="dxa"/>
            <w:tcBorders>
              <w:top w:val="nil"/>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各苏木镇（管委会）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35" w:hRule="atLeast"/>
        </w:trPr>
        <w:tc>
          <w:tcPr>
            <w:tcW w:w="60" w:type="dxa"/>
            <w:vMerge w:val="continue"/>
            <w:tcBorders>
              <w:top w:val="nil"/>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1005" w:type="dxa"/>
            <w:tcBorders>
              <w:top w:val="nil"/>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9.社区和单位建有卫生管理组织和相关制度，卫生状况良好，环卫设施完善，推行垃圾分类，垃圾及时清运，公共厕所符合卫生要求；道路平坦，绿化美化，无乱搭乱建、乱堆乱摆、乱停乱放、乱贴乱画、乱扔乱倒现象。</w:t>
            </w:r>
          </w:p>
        </w:tc>
        <w:tc>
          <w:tcPr>
            <w:tcW w:w="105" w:type="dxa"/>
            <w:tcBorders>
              <w:top w:val="nil"/>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各苏木镇（管委会）、城市管理行政执法局</w:t>
            </w:r>
          </w:p>
        </w:tc>
        <w:tc>
          <w:tcPr>
            <w:tcW w:w="285" w:type="dxa"/>
            <w:tcBorders>
              <w:top w:val="nil"/>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城市公用事业服务中心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85" w:hRule="atLeast"/>
        </w:trPr>
        <w:tc>
          <w:tcPr>
            <w:tcW w:w="60" w:type="dxa"/>
            <w:vMerge w:val="continue"/>
            <w:tcBorders>
              <w:top w:val="nil"/>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1005" w:type="dxa"/>
            <w:tcBorders>
              <w:top w:val="nil"/>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10.城乡接合部建有配套生活污水处理、排放设施和充足的垃圾收集站（点）、再生资源回收站（点）、公共厕所等设施；卫生清扫保洁及时，日常管理规范，垃圾及时清运，普及卫生户厕；道路硬化平整，主要道路配备路灯；无乱搭乱建、乱堆乱摆、乱停乱放、乱贴乱画、乱扔乱倒现象。</w:t>
            </w:r>
          </w:p>
        </w:tc>
        <w:tc>
          <w:tcPr>
            <w:tcW w:w="105" w:type="dxa"/>
            <w:tcBorders>
              <w:top w:val="nil"/>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住房和城乡规划建设局</w:t>
            </w:r>
          </w:p>
        </w:tc>
        <w:tc>
          <w:tcPr>
            <w:tcW w:w="285" w:type="dxa"/>
            <w:tcBorders>
              <w:top w:val="nil"/>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城市公用事业服务中心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城市管理行政执法局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10" w:hRule="atLeast"/>
        </w:trPr>
        <w:tc>
          <w:tcPr>
            <w:tcW w:w="60" w:type="dxa"/>
            <w:vMerge w:val="continue"/>
            <w:tcBorders>
              <w:top w:val="nil"/>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1005" w:type="dxa"/>
            <w:tcBorders>
              <w:top w:val="nil"/>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11.加强公路沿线两侧环境卫生整治，公路两侧500米范围内无露天堆放的彩钢瓦、塑料薄膜、防尘网等轻飘物品，公路沿线安全保护区内无倾倒垃圾、排污等现象。</w:t>
            </w:r>
          </w:p>
        </w:tc>
        <w:tc>
          <w:tcPr>
            <w:tcW w:w="105" w:type="dxa"/>
            <w:tcBorders>
              <w:top w:val="nil"/>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各苏木镇（管委会）、交通运输局</w:t>
            </w:r>
          </w:p>
        </w:tc>
        <w:tc>
          <w:tcPr>
            <w:tcW w:w="285" w:type="dxa"/>
            <w:tcBorders>
              <w:top w:val="nil"/>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iCs w:val="0"/>
                <w:caps w:val="0"/>
                <w:color w:val="000000"/>
                <w:spacing w:val="0"/>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1"/>
          <w:szCs w:val="21"/>
        </w:rPr>
        <w:t> </w:t>
      </w:r>
    </w:p>
    <w:tbl>
      <w:tblPr>
        <w:tblStyle w:val="3"/>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75"/>
        <w:gridCol w:w="5935"/>
        <w:gridCol w:w="1376"/>
        <w:gridCol w:w="2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6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黑体" w:hAnsi="宋体" w:eastAsia="黑体" w:cs="黑体"/>
                <w:b w:val="0"/>
                <w:bCs w:val="0"/>
                <w:i w:val="0"/>
                <w:iCs w:val="0"/>
                <w:caps w:val="0"/>
                <w:color w:val="000000"/>
                <w:spacing w:val="0"/>
                <w:sz w:val="21"/>
                <w:szCs w:val="21"/>
                <w:vertAlign w:val="baseline"/>
              </w:rPr>
              <w:t>项目</w:t>
            </w:r>
          </w:p>
        </w:tc>
        <w:tc>
          <w:tcPr>
            <w:tcW w:w="975" w:type="dxa"/>
            <w:tcBorders>
              <w:top w:val="single" w:color="000000" w:sz="6" w:space="0"/>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黑体" w:hAnsi="宋体" w:eastAsia="黑体" w:cs="黑体"/>
                <w:b w:val="0"/>
                <w:bCs w:val="0"/>
                <w:i w:val="0"/>
                <w:iCs w:val="0"/>
                <w:caps w:val="0"/>
                <w:color w:val="000000"/>
                <w:spacing w:val="0"/>
                <w:sz w:val="21"/>
                <w:szCs w:val="21"/>
                <w:vertAlign w:val="baseline"/>
              </w:rPr>
              <w:t>标准要求考核项目</w:t>
            </w:r>
          </w:p>
        </w:tc>
        <w:tc>
          <w:tcPr>
            <w:tcW w:w="210" w:type="dxa"/>
            <w:tcBorders>
              <w:top w:val="single" w:color="000000" w:sz="6" w:space="0"/>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黑体" w:hAnsi="宋体" w:eastAsia="黑体" w:cs="黑体"/>
                <w:b w:val="0"/>
                <w:bCs w:val="0"/>
                <w:i w:val="0"/>
                <w:iCs w:val="0"/>
                <w:caps w:val="0"/>
                <w:color w:val="000000"/>
                <w:spacing w:val="0"/>
                <w:sz w:val="21"/>
                <w:szCs w:val="21"/>
                <w:vertAlign w:val="baseline"/>
              </w:rPr>
              <w:t>牵头单位</w:t>
            </w:r>
          </w:p>
        </w:tc>
        <w:tc>
          <w:tcPr>
            <w:tcW w:w="225" w:type="dxa"/>
            <w:tcBorders>
              <w:top w:val="single" w:color="000000" w:sz="6" w:space="0"/>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黑体" w:hAnsi="宋体" w:eastAsia="黑体" w:cs="黑体"/>
                <w:b w:val="0"/>
                <w:bCs w:val="0"/>
                <w:i w:val="0"/>
                <w:iCs w:val="0"/>
                <w:caps w:val="0"/>
                <w:color w:val="000000"/>
                <w:spacing w:val="0"/>
                <w:sz w:val="21"/>
                <w:szCs w:val="21"/>
                <w:vertAlign w:val="baseline"/>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0" w:hRule="atLeast"/>
        </w:trPr>
        <w:tc>
          <w:tcPr>
            <w:tcW w:w="60" w:type="dxa"/>
            <w:vMerge w:val="restart"/>
            <w:tcBorders>
              <w:top w:val="single" w:color="auto" w:sz="6" w:space="0"/>
              <w:left w:val="single" w:color="000000"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生态环境</w:t>
            </w:r>
          </w:p>
        </w:tc>
        <w:tc>
          <w:tcPr>
            <w:tcW w:w="975" w:type="dxa"/>
            <w:tcBorders>
              <w:top w:val="single" w:color="auto" w:sz="6" w:space="0"/>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1.近3年辖区内未发生重大环境污染和生态破坏事故。</w:t>
            </w:r>
          </w:p>
        </w:tc>
        <w:tc>
          <w:tcPr>
            <w:tcW w:w="210" w:type="dxa"/>
            <w:tcBorders>
              <w:top w:val="single" w:color="auto" w:sz="6" w:space="0"/>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鄂尔多斯市生态环境局杭锦旗分局</w:t>
            </w:r>
          </w:p>
        </w:tc>
        <w:tc>
          <w:tcPr>
            <w:tcW w:w="225" w:type="dxa"/>
            <w:tcBorders>
              <w:top w:val="single" w:color="auto" w:sz="6" w:space="0"/>
              <w:left w:val="single" w:color="auto" w:sz="6" w:space="0"/>
              <w:bottom w:val="single" w:color="auto"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85" w:hRule="atLeast"/>
        </w:trPr>
        <w:tc>
          <w:tcPr>
            <w:tcW w:w="60" w:type="dxa"/>
            <w:vMerge w:val="continue"/>
            <w:tcBorders>
              <w:top w:val="single" w:color="auto" w:sz="6" w:space="0"/>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97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2.加强大气污染治理，环境空气质量良好或持续改善。无烟囱排黑烟现象，无秸秆、垃圾露天焚烧现象。排放油烟的餐饮单位安装油烟净化装置并保持正常使用。</w:t>
            </w:r>
          </w:p>
        </w:tc>
        <w:tc>
          <w:tcPr>
            <w:tcW w:w="210"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鄂尔多斯市生态环境局杭锦旗分局</w:t>
            </w:r>
          </w:p>
        </w:tc>
        <w:tc>
          <w:tcPr>
            <w:tcW w:w="22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城市管理行政执法局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95" w:hRule="atLeast"/>
        </w:trPr>
        <w:tc>
          <w:tcPr>
            <w:tcW w:w="60" w:type="dxa"/>
            <w:vMerge w:val="continue"/>
            <w:tcBorders>
              <w:top w:val="single" w:color="auto" w:sz="6" w:space="0"/>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97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3.区域环境噪声控制良好，声功能区夜间环境质量达标。</w:t>
            </w:r>
          </w:p>
        </w:tc>
        <w:tc>
          <w:tcPr>
            <w:tcW w:w="210"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鄂尔多斯市生态环境局杭锦旗分局</w:t>
            </w:r>
          </w:p>
        </w:tc>
        <w:tc>
          <w:tcPr>
            <w:tcW w:w="22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城市管理行政执法局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90" w:hRule="atLeast"/>
        </w:trPr>
        <w:tc>
          <w:tcPr>
            <w:tcW w:w="60" w:type="dxa"/>
            <w:vMerge w:val="continue"/>
            <w:tcBorders>
              <w:top w:val="single" w:color="auto" w:sz="6" w:space="0"/>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97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4.各级水环境功能区全部达到要求，未划定功能区的水质不低于五类。无乱排污水现象，无黑臭水体。</w:t>
            </w:r>
          </w:p>
        </w:tc>
        <w:tc>
          <w:tcPr>
            <w:tcW w:w="210"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鄂尔多斯市生态环境局杭锦旗分局</w:t>
            </w:r>
          </w:p>
        </w:tc>
        <w:tc>
          <w:tcPr>
            <w:tcW w:w="22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各苏木镇（管委会）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水利局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城市公用事业服务中心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35" w:hRule="atLeast"/>
        </w:trPr>
        <w:tc>
          <w:tcPr>
            <w:tcW w:w="60" w:type="dxa"/>
            <w:vMerge w:val="continue"/>
            <w:tcBorders>
              <w:top w:val="single" w:color="auto" w:sz="6" w:space="0"/>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975" w:type="dxa"/>
            <w:tcBorders>
              <w:top w:val="nil"/>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5.集中式饮用水水源地水质达标。辖区内重点河湖主要控制断面生态流量达标。</w:t>
            </w:r>
          </w:p>
        </w:tc>
        <w:tc>
          <w:tcPr>
            <w:tcW w:w="210" w:type="dxa"/>
            <w:tcBorders>
              <w:top w:val="nil"/>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鄂尔多斯市生态环境局杭锦旗分局</w:t>
            </w:r>
          </w:p>
        </w:tc>
        <w:tc>
          <w:tcPr>
            <w:tcW w:w="225" w:type="dxa"/>
            <w:tcBorders>
              <w:top w:val="nil"/>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水利局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 w:hRule="atLeast"/>
        </w:trPr>
        <w:tc>
          <w:tcPr>
            <w:tcW w:w="60" w:type="dxa"/>
            <w:tcBorders>
              <w:top w:val="nil"/>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iCs w:val="0"/>
                <w:caps w:val="0"/>
                <w:color w:val="000000"/>
                <w:spacing w:val="0"/>
                <w:sz w:val="24"/>
                <w:szCs w:val="24"/>
              </w:rPr>
            </w:pPr>
          </w:p>
        </w:tc>
        <w:tc>
          <w:tcPr>
            <w:tcW w:w="975" w:type="dxa"/>
            <w:tcBorders>
              <w:top w:val="nil"/>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6.辖区内应建有符合条件的医疗废物集中处理设施，各类医疗废物处置能力应满足辖区内医疗卫生机构的处置需求。辖区内医疗卫生机构依法分类收集医疗废物，医疗废物统一由有资质的医疗废物处置单位处置。对确不具备医疗废物集中处置条件的地区，医疗机构应当使用符合条件的设施自行处置。医疗污水收集、处理、消毒和排放符合国家及地方有关要求。</w:t>
            </w:r>
          </w:p>
        </w:tc>
        <w:tc>
          <w:tcPr>
            <w:tcW w:w="210" w:type="dxa"/>
            <w:tcBorders>
              <w:top w:val="nil"/>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鄂尔多斯市生态环境局杭锦旗分局</w:t>
            </w:r>
          </w:p>
        </w:tc>
        <w:tc>
          <w:tcPr>
            <w:tcW w:w="225" w:type="dxa"/>
            <w:tcBorders>
              <w:top w:val="nil"/>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卫生健康委员会</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1"/>
          <w:szCs w:val="21"/>
        </w:rPr>
        <w:t> </w:t>
      </w:r>
    </w:p>
    <w:tbl>
      <w:tblPr>
        <w:tblStyle w:val="3"/>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92"/>
        <w:gridCol w:w="6262"/>
        <w:gridCol w:w="1292"/>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6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黑体" w:hAnsi="宋体" w:eastAsia="黑体" w:cs="黑体"/>
                <w:b w:val="0"/>
                <w:bCs w:val="0"/>
                <w:i w:val="0"/>
                <w:iCs w:val="0"/>
                <w:caps w:val="0"/>
                <w:color w:val="000000"/>
                <w:spacing w:val="0"/>
                <w:sz w:val="21"/>
                <w:szCs w:val="21"/>
                <w:vertAlign w:val="baseline"/>
              </w:rPr>
              <w:t>项目</w:t>
            </w:r>
          </w:p>
        </w:tc>
        <w:tc>
          <w:tcPr>
            <w:tcW w:w="1095" w:type="dxa"/>
            <w:tcBorders>
              <w:top w:val="single" w:color="000000" w:sz="6" w:space="0"/>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黑体" w:hAnsi="宋体" w:eastAsia="黑体" w:cs="黑体"/>
                <w:b w:val="0"/>
                <w:bCs w:val="0"/>
                <w:i w:val="0"/>
                <w:iCs w:val="0"/>
                <w:caps w:val="0"/>
                <w:color w:val="000000"/>
                <w:spacing w:val="0"/>
                <w:sz w:val="21"/>
                <w:szCs w:val="21"/>
                <w:vertAlign w:val="baseline"/>
              </w:rPr>
              <w:t>标准要求考核项目</w:t>
            </w:r>
          </w:p>
        </w:tc>
        <w:tc>
          <w:tcPr>
            <w:tcW w:w="135" w:type="dxa"/>
            <w:tcBorders>
              <w:top w:val="single" w:color="000000" w:sz="6" w:space="0"/>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黑体" w:hAnsi="宋体" w:eastAsia="黑体" w:cs="黑体"/>
                <w:b w:val="0"/>
                <w:bCs w:val="0"/>
                <w:i w:val="0"/>
                <w:iCs w:val="0"/>
                <w:caps w:val="0"/>
                <w:color w:val="000000"/>
                <w:spacing w:val="0"/>
                <w:sz w:val="21"/>
                <w:szCs w:val="21"/>
                <w:vertAlign w:val="baseline"/>
              </w:rPr>
              <w:t>牵头单位</w:t>
            </w:r>
          </w:p>
        </w:tc>
        <w:tc>
          <w:tcPr>
            <w:tcW w:w="165" w:type="dxa"/>
            <w:tcBorders>
              <w:top w:val="single" w:color="000000" w:sz="6" w:space="0"/>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黑体" w:hAnsi="宋体" w:eastAsia="黑体" w:cs="黑体"/>
                <w:b w:val="0"/>
                <w:bCs w:val="0"/>
                <w:i w:val="0"/>
                <w:iCs w:val="0"/>
                <w:caps w:val="0"/>
                <w:color w:val="000000"/>
                <w:spacing w:val="0"/>
                <w:sz w:val="21"/>
                <w:szCs w:val="21"/>
                <w:vertAlign w:val="baseline"/>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60" w:type="dxa"/>
            <w:vMerge w:val="restart"/>
            <w:tcBorders>
              <w:top w:val="single" w:color="auto" w:sz="6" w:space="0"/>
              <w:left w:val="single" w:color="000000"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重点场所卫生</w:t>
            </w:r>
          </w:p>
        </w:tc>
        <w:tc>
          <w:tcPr>
            <w:tcW w:w="1095" w:type="dxa"/>
            <w:tcBorders>
              <w:top w:val="single" w:color="auto" w:sz="6" w:space="0"/>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1.公共场所实行卫生监督量化分级管理，公共场所卫生信誉度等级应向社会公示，并使用统一标识。卫生许可证件齐全有效，卫生管理规范，直接为顾客服务的人员取得有效健康合格证明。</w:t>
            </w:r>
          </w:p>
        </w:tc>
        <w:tc>
          <w:tcPr>
            <w:tcW w:w="135" w:type="dxa"/>
            <w:tcBorders>
              <w:top w:val="single" w:color="auto" w:sz="6" w:space="0"/>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卫生健康委员会</w:t>
            </w:r>
          </w:p>
        </w:tc>
        <w:tc>
          <w:tcPr>
            <w:tcW w:w="165" w:type="dxa"/>
            <w:tcBorders>
              <w:top w:val="single" w:color="auto" w:sz="6" w:space="0"/>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各苏木镇（管委会）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60" w:type="dxa"/>
            <w:vMerge w:val="continue"/>
            <w:tcBorders>
              <w:top w:val="single" w:color="auto" w:sz="6" w:space="0"/>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109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2.小浴室、小美容美发店、小歌舞厅、小旅店等经营资格合法，室内外环境整洁，卫生管理、硬件设施符合相应国家标准要求。</w:t>
            </w:r>
          </w:p>
        </w:tc>
        <w:tc>
          <w:tcPr>
            <w:tcW w:w="13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卫生健康委员会</w:t>
            </w:r>
          </w:p>
        </w:tc>
        <w:tc>
          <w:tcPr>
            <w:tcW w:w="16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60" w:type="dxa"/>
            <w:vMerge w:val="continue"/>
            <w:tcBorders>
              <w:top w:val="single" w:color="auto" w:sz="6" w:space="0"/>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109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3.学校、幼儿园和托育机构的教室、食堂（含饮用水设施）、宿舍、厕所等教学和生活环境符合相关国家卫生标准或规定。学校按照规定设立校医院或卫生室，校医或专（兼）职保健教师配备比率达标，配备专兼职心理健康工作人员。学校传染病防控工作机制健全并严格执行。</w:t>
            </w:r>
          </w:p>
        </w:tc>
        <w:tc>
          <w:tcPr>
            <w:tcW w:w="13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教育和体育局</w:t>
            </w:r>
          </w:p>
        </w:tc>
        <w:tc>
          <w:tcPr>
            <w:tcW w:w="16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60" w:type="dxa"/>
            <w:vMerge w:val="continue"/>
            <w:tcBorders>
              <w:top w:val="single" w:color="auto" w:sz="6" w:space="0"/>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109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4.中小学体育与健康课程开课率达标。中小学生每天校内体育活动时间充足。学校眼保健操普及率达标。中小学生近视率、肥胖率逐年下降。近3年辖区内无重大学校食物中毒事件。</w:t>
            </w:r>
          </w:p>
        </w:tc>
        <w:tc>
          <w:tcPr>
            <w:tcW w:w="13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教育和体育局</w:t>
            </w:r>
          </w:p>
        </w:tc>
        <w:tc>
          <w:tcPr>
            <w:tcW w:w="16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 w:hRule="atLeast"/>
        </w:trPr>
        <w:tc>
          <w:tcPr>
            <w:tcW w:w="60" w:type="dxa"/>
            <w:vMerge w:val="continue"/>
            <w:tcBorders>
              <w:top w:val="single" w:color="auto" w:sz="6" w:space="0"/>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109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5.辖区内存在职业病目录所列职业病危害因素的企业职业病危害项目及时申报。对接触职业病危害的劳动者依法进行职业健康检查。近3年辖区内未发生重大职业病危害事故。</w:t>
            </w:r>
          </w:p>
        </w:tc>
        <w:tc>
          <w:tcPr>
            <w:tcW w:w="13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卫生健康委员会</w:t>
            </w:r>
          </w:p>
        </w:tc>
        <w:tc>
          <w:tcPr>
            <w:tcW w:w="16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工信和科技局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60" w:type="dxa"/>
            <w:vMerge w:val="continue"/>
            <w:tcBorders>
              <w:top w:val="single" w:color="auto" w:sz="6" w:space="0"/>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1095" w:type="dxa"/>
            <w:tcBorders>
              <w:top w:val="nil"/>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6.旅客列车车厢、轮船客舱、飞机客舱和商场、超市等公共场所卫生检测结果符合国家相关标准要求。</w:t>
            </w:r>
          </w:p>
        </w:tc>
        <w:tc>
          <w:tcPr>
            <w:tcW w:w="135" w:type="dxa"/>
            <w:tcBorders>
              <w:top w:val="nil"/>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卫生健康委员会</w:t>
            </w:r>
          </w:p>
        </w:tc>
        <w:tc>
          <w:tcPr>
            <w:tcW w:w="165" w:type="dxa"/>
            <w:tcBorders>
              <w:top w:val="nil"/>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工信和科技局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市场监督管理局</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baseline"/>
        <w:rPr>
          <w:rFonts w:hint="eastAsia" w:ascii="微软雅黑" w:hAnsi="微软雅黑" w:eastAsia="微软雅黑" w:cs="微软雅黑"/>
          <w:b w:val="0"/>
          <w:bCs w:val="0"/>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21"/>
          <w:szCs w:val="21"/>
          <w:vertAlign w:val="baseline"/>
        </w:rPr>
        <w:t> </w:t>
      </w:r>
    </w:p>
    <w:tbl>
      <w:tblPr>
        <w:tblStyle w:val="3"/>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45"/>
        <w:gridCol w:w="7004"/>
        <w:gridCol w:w="1445"/>
        <w:gridCol w:w="1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7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黑体" w:hAnsi="宋体" w:eastAsia="黑体" w:cs="黑体"/>
                <w:b w:val="0"/>
                <w:bCs w:val="0"/>
                <w:i w:val="0"/>
                <w:iCs w:val="0"/>
                <w:caps w:val="0"/>
                <w:color w:val="000000"/>
                <w:spacing w:val="0"/>
                <w:sz w:val="21"/>
                <w:szCs w:val="21"/>
                <w:vertAlign w:val="baseline"/>
              </w:rPr>
              <w:t>项目</w:t>
            </w:r>
          </w:p>
        </w:tc>
        <w:tc>
          <w:tcPr>
            <w:tcW w:w="1095" w:type="dxa"/>
            <w:tcBorders>
              <w:top w:val="single" w:color="000000" w:sz="6" w:space="0"/>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黑体" w:hAnsi="宋体" w:eastAsia="黑体" w:cs="黑体"/>
                <w:b w:val="0"/>
                <w:bCs w:val="0"/>
                <w:i w:val="0"/>
                <w:iCs w:val="0"/>
                <w:caps w:val="0"/>
                <w:color w:val="000000"/>
                <w:spacing w:val="0"/>
                <w:sz w:val="21"/>
                <w:szCs w:val="21"/>
                <w:vertAlign w:val="baseline"/>
              </w:rPr>
              <w:t>标准要求考核项目</w:t>
            </w:r>
          </w:p>
        </w:tc>
        <w:tc>
          <w:tcPr>
            <w:tcW w:w="150" w:type="dxa"/>
            <w:tcBorders>
              <w:top w:val="single" w:color="000000" w:sz="6" w:space="0"/>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黑体" w:hAnsi="宋体" w:eastAsia="黑体" w:cs="黑体"/>
                <w:b w:val="0"/>
                <w:bCs w:val="0"/>
                <w:i w:val="0"/>
                <w:iCs w:val="0"/>
                <w:caps w:val="0"/>
                <w:color w:val="000000"/>
                <w:spacing w:val="0"/>
                <w:sz w:val="21"/>
                <w:szCs w:val="21"/>
                <w:vertAlign w:val="baseline"/>
              </w:rPr>
              <w:t>牵头单位</w:t>
            </w:r>
          </w:p>
        </w:tc>
        <w:tc>
          <w:tcPr>
            <w:tcW w:w="165" w:type="dxa"/>
            <w:tcBorders>
              <w:top w:val="single" w:color="000000" w:sz="6" w:space="0"/>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黑体" w:hAnsi="宋体" w:eastAsia="黑体" w:cs="黑体"/>
                <w:b w:val="0"/>
                <w:bCs w:val="0"/>
                <w:i w:val="0"/>
                <w:iCs w:val="0"/>
                <w:caps w:val="0"/>
                <w:color w:val="000000"/>
                <w:spacing w:val="0"/>
                <w:sz w:val="21"/>
                <w:szCs w:val="21"/>
                <w:vertAlign w:val="baseline"/>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75" w:type="dxa"/>
            <w:vMerge w:val="restart"/>
            <w:tcBorders>
              <w:top w:val="single" w:color="auto" w:sz="6" w:space="0"/>
              <w:left w:val="single" w:color="000000"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食品和生活饮用水安全</w:t>
            </w:r>
          </w:p>
        </w:tc>
        <w:tc>
          <w:tcPr>
            <w:tcW w:w="1095" w:type="dxa"/>
            <w:tcBorders>
              <w:top w:val="single" w:color="auto" w:sz="6" w:space="0"/>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1.近3年辖区内发生重大食品安全和饮用水安全事故，依法报告食品安全和饮用水安全事故信息。</w:t>
            </w:r>
          </w:p>
        </w:tc>
        <w:tc>
          <w:tcPr>
            <w:tcW w:w="150" w:type="dxa"/>
            <w:tcBorders>
              <w:top w:val="single" w:color="auto" w:sz="6" w:space="0"/>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市场监督管理局</w:t>
            </w:r>
          </w:p>
        </w:tc>
        <w:tc>
          <w:tcPr>
            <w:tcW w:w="165" w:type="dxa"/>
            <w:tcBorders>
              <w:top w:val="single" w:color="auto" w:sz="6" w:space="0"/>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75" w:type="dxa"/>
            <w:vMerge w:val="continue"/>
            <w:tcBorders>
              <w:top w:val="single" w:color="auto" w:sz="6" w:space="0"/>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109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2.加强小餐饮店、小食品店、小作坊管理，对无固定经营场所的食品摊贩实行统一管理，规定区域、限定品种经营。无制售“三无”食品、假冒食品、劣质食品、过期食品等现象。</w:t>
            </w:r>
          </w:p>
        </w:tc>
        <w:tc>
          <w:tcPr>
            <w:tcW w:w="150"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市场监督管理局</w:t>
            </w:r>
          </w:p>
        </w:tc>
        <w:tc>
          <w:tcPr>
            <w:tcW w:w="165" w:type="dxa"/>
            <w:tcBorders>
              <w:top w:val="nil"/>
              <w:left w:val="single" w:color="auto" w:sz="6" w:space="0"/>
              <w:bottom w:val="single" w:color="auto"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75" w:type="dxa"/>
            <w:vMerge w:val="continue"/>
            <w:tcBorders>
              <w:top w:val="single" w:color="auto" w:sz="6" w:space="0"/>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109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3.积极推行明厨亮灶和食品生产经营风险分级管理。从事接触直接入口食品工作的食品生产经营人员取得有效的健康合格证明。落实清洗消毒制度，防蝇防鼠等设施健全。食品生产经营单位严格执行国家相关标准。</w:t>
            </w:r>
          </w:p>
        </w:tc>
        <w:tc>
          <w:tcPr>
            <w:tcW w:w="150"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市场监督管理局</w:t>
            </w:r>
          </w:p>
        </w:tc>
        <w:tc>
          <w:tcPr>
            <w:tcW w:w="165" w:type="dxa"/>
            <w:tcBorders>
              <w:top w:val="nil"/>
              <w:left w:val="single" w:color="auto" w:sz="6" w:space="0"/>
              <w:bottom w:val="single" w:color="auto"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75" w:type="dxa"/>
            <w:vMerge w:val="continue"/>
            <w:tcBorders>
              <w:top w:val="single" w:color="auto" w:sz="6" w:space="0"/>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109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4.辖区内积极推广分餐制和公筷制，大力倡导“光盘行动”。辖区内无贩卖、制售、食用野生动物现象。</w:t>
            </w:r>
          </w:p>
        </w:tc>
        <w:tc>
          <w:tcPr>
            <w:tcW w:w="150"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市场监督管理局</w:t>
            </w:r>
          </w:p>
        </w:tc>
        <w:tc>
          <w:tcPr>
            <w:tcW w:w="165" w:type="dxa"/>
            <w:tcBorders>
              <w:top w:val="nil"/>
              <w:left w:val="single" w:color="auto" w:sz="6" w:space="0"/>
              <w:bottom w:val="single" w:color="auto"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75" w:type="dxa"/>
            <w:vMerge w:val="continue"/>
            <w:tcBorders>
              <w:top w:val="single" w:color="auto" w:sz="6" w:space="0"/>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1095" w:type="dxa"/>
            <w:tcBorders>
              <w:top w:val="nil"/>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5.市政供水、自备供水、居民小区供水管理规范，供水单位有卫生许可证。二次供水符合国家相关标准要求。开展水质监测工作，采样点选择、检验项目和频率符合相关要求。</w:t>
            </w:r>
          </w:p>
        </w:tc>
        <w:tc>
          <w:tcPr>
            <w:tcW w:w="150" w:type="dxa"/>
            <w:tcBorders>
              <w:top w:val="nil"/>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卫生健康委员会</w:t>
            </w:r>
          </w:p>
        </w:tc>
        <w:tc>
          <w:tcPr>
            <w:tcW w:w="165" w:type="dxa"/>
            <w:tcBorders>
              <w:top w:val="nil"/>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水利局</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1"/>
          <w:szCs w:val="21"/>
        </w:rPr>
        <w:t> </w:t>
      </w:r>
    </w:p>
    <w:tbl>
      <w:tblPr>
        <w:tblStyle w:val="3"/>
        <w:tblW w:w="11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82"/>
        <w:gridCol w:w="6300"/>
        <w:gridCol w:w="1283"/>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6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黑体" w:hAnsi="宋体" w:eastAsia="黑体" w:cs="黑体"/>
                <w:b w:val="0"/>
                <w:bCs w:val="0"/>
                <w:i w:val="0"/>
                <w:iCs w:val="0"/>
                <w:caps w:val="0"/>
                <w:color w:val="000000"/>
                <w:spacing w:val="0"/>
                <w:sz w:val="21"/>
                <w:szCs w:val="21"/>
                <w:vertAlign w:val="baseline"/>
              </w:rPr>
              <w:t>项目</w:t>
            </w:r>
          </w:p>
        </w:tc>
        <w:tc>
          <w:tcPr>
            <w:tcW w:w="1110" w:type="dxa"/>
            <w:tcBorders>
              <w:top w:val="single" w:color="000000" w:sz="6" w:space="0"/>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黑体" w:hAnsi="宋体" w:eastAsia="黑体" w:cs="黑体"/>
                <w:b w:val="0"/>
                <w:bCs w:val="0"/>
                <w:i w:val="0"/>
                <w:iCs w:val="0"/>
                <w:caps w:val="0"/>
                <w:color w:val="000000"/>
                <w:spacing w:val="0"/>
                <w:sz w:val="21"/>
                <w:szCs w:val="21"/>
                <w:vertAlign w:val="baseline"/>
              </w:rPr>
              <w:t>标准要求考核项目</w:t>
            </w:r>
          </w:p>
        </w:tc>
        <w:tc>
          <w:tcPr>
            <w:tcW w:w="165" w:type="dxa"/>
            <w:tcBorders>
              <w:top w:val="single" w:color="000000" w:sz="6" w:space="0"/>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黑体" w:hAnsi="宋体" w:eastAsia="黑体" w:cs="黑体"/>
                <w:b w:val="0"/>
                <w:bCs w:val="0"/>
                <w:i w:val="0"/>
                <w:iCs w:val="0"/>
                <w:caps w:val="0"/>
                <w:color w:val="000000"/>
                <w:spacing w:val="0"/>
                <w:sz w:val="21"/>
                <w:szCs w:val="21"/>
                <w:vertAlign w:val="baseline"/>
              </w:rPr>
              <w:t>牵头单位</w:t>
            </w:r>
          </w:p>
        </w:tc>
        <w:tc>
          <w:tcPr>
            <w:tcW w:w="135" w:type="dxa"/>
            <w:tcBorders>
              <w:top w:val="single" w:color="000000" w:sz="6" w:space="0"/>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黑体" w:hAnsi="宋体" w:eastAsia="黑体" w:cs="黑体"/>
                <w:b w:val="0"/>
                <w:bCs w:val="0"/>
                <w:i w:val="0"/>
                <w:iCs w:val="0"/>
                <w:caps w:val="0"/>
                <w:color w:val="000000"/>
                <w:spacing w:val="0"/>
                <w:sz w:val="21"/>
                <w:szCs w:val="21"/>
                <w:vertAlign w:val="baseline"/>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60" w:type="dxa"/>
            <w:vMerge w:val="restart"/>
            <w:tcBorders>
              <w:top w:val="single" w:color="auto" w:sz="6" w:space="0"/>
              <w:left w:val="single" w:color="000000"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疾病防控与医疗卫生服务</w:t>
            </w:r>
          </w:p>
        </w:tc>
        <w:tc>
          <w:tcPr>
            <w:tcW w:w="1110" w:type="dxa"/>
            <w:tcBorders>
              <w:top w:val="single" w:color="auto" w:sz="6" w:space="0"/>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1.建立与经济社会发展、财政状况和实现健康目标相适应的卫生健康事业投入机制。个人卫生支出占卫生总费用的比重持续降低。</w:t>
            </w:r>
          </w:p>
        </w:tc>
        <w:tc>
          <w:tcPr>
            <w:tcW w:w="165" w:type="dxa"/>
            <w:tcBorders>
              <w:top w:val="single" w:color="auto" w:sz="6" w:space="0"/>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卫生健康委员会</w:t>
            </w:r>
          </w:p>
        </w:tc>
        <w:tc>
          <w:tcPr>
            <w:tcW w:w="135" w:type="dxa"/>
            <w:tcBorders>
              <w:top w:val="single" w:color="auto" w:sz="6" w:space="0"/>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60" w:type="dxa"/>
            <w:vMerge w:val="continue"/>
            <w:tcBorders>
              <w:top w:val="single" w:color="auto" w:sz="6" w:space="0"/>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1110"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2.强化重大传染病防控措施，建立重大新发突发传染病疫情联防联控机制，按照相关要求制定传染病预防控制预案，落实“四早”要求，压实“四方责任”，甲、乙类法定传染病发病情况稳定。二级以上综合性医院设置公共卫生科和感染性疾病科，发热门诊、肠道门诊、预检分诊符合有关规定。近3年辖区内未发生重大实验室生物安全事故。</w:t>
            </w:r>
          </w:p>
        </w:tc>
        <w:tc>
          <w:tcPr>
            <w:tcW w:w="16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卫生健康委员会</w:t>
            </w:r>
          </w:p>
        </w:tc>
        <w:tc>
          <w:tcPr>
            <w:tcW w:w="13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各相关部门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60" w:type="dxa"/>
            <w:vMerge w:val="continue"/>
            <w:tcBorders>
              <w:top w:val="single" w:color="auto" w:sz="6" w:space="0"/>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1110"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3.多措并举降低孕产妇死亡率、婴儿死亡率和5岁以下儿童死亡率，持续提升人均预期寿命。按照国家免疫规划和当地预防接种工作计划，定期为适龄人群提供预防接种服务。提升妇幼健康服务能力，促进妇女儿童全面健康发展。推进医养结合服务。</w:t>
            </w:r>
          </w:p>
        </w:tc>
        <w:tc>
          <w:tcPr>
            <w:tcW w:w="16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卫生健康委员会</w:t>
            </w:r>
          </w:p>
        </w:tc>
        <w:tc>
          <w:tcPr>
            <w:tcW w:w="13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60" w:type="dxa"/>
            <w:vMerge w:val="continue"/>
            <w:tcBorders>
              <w:top w:val="single" w:color="auto" w:sz="6" w:space="0"/>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1110"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4.重大慢性病过早死亡率呈下降趋势。健全重大事件处置中的社会心理健康监测预警机制，强化心理健康促进和心理疏导、危机干预。严重精神障碍患者管理规范。</w:t>
            </w:r>
          </w:p>
        </w:tc>
        <w:tc>
          <w:tcPr>
            <w:tcW w:w="16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卫生健康委员会</w:t>
            </w:r>
          </w:p>
        </w:tc>
        <w:tc>
          <w:tcPr>
            <w:tcW w:w="13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60" w:type="dxa"/>
            <w:vMerge w:val="continue"/>
            <w:tcBorders>
              <w:top w:val="single" w:color="auto" w:sz="6" w:space="0"/>
              <w:left w:val="single" w:color="000000" w:sz="6" w:space="0"/>
              <w:bottom w:val="single" w:color="auto" w:sz="6" w:space="0"/>
              <w:right w:val="single" w:color="000000" w:sz="6" w:space="0"/>
            </w:tcBorders>
            <w:shd w:val="clear" w:color="auto" w:fill="auto"/>
            <w:vAlign w:val="center"/>
          </w:tcPr>
          <w:p>
            <w:pPr>
              <w:rPr>
                <w:rFonts w:hint="eastAsia" w:ascii="微软雅黑" w:hAnsi="微软雅黑" w:eastAsia="微软雅黑" w:cs="微软雅黑"/>
                <w:b w:val="0"/>
                <w:bCs w:val="0"/>
                <w:i w:val="0"/>
                <w:iCs w:val="0"/>
                <w:caps w:val="0"/>
                <w:color w:val="000000"/>
                <w:spacing w:val="0"/>
                <w:sz w:val="24"/>
                <w:szCs w:val="24"/>
              </w:rPr>
            </w:pPr>
          </w:p>
        </w:tc>
        <w:tc>
          <w:tcPr>
            <w:tcW w:w="1110"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5.医疗卫生服务体系健全，机构建设符合国家标准要求，千人口的床位数、执业（助理）医师数、注册护士数、公共卫生人员数、药师（药士）数和万人口全科医生数等指标符合所在地区域卫生规划要求。</w:t>
            </w:r>
          </w:p>
        </w:tc>
        <w:tc>
          <w:tcPr>
            <w:tcW w:w="16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卫生健康委员会</w:t>
            </w:r>
          </w:p>
        </w:tc>
        <w:tc>
          <w:tcPr>
            <w:tcW w:w="13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发展和改革委员会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60" w:type="dxa"/>
            <w:tcBorders>
              <w:top w:val="nil"/>
              <w:left w:val="single" w:color="000000" w:sz="6" w:space="0"/>
              <w:bottom w:val="single" w:color="auto"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iCs w:val="0"/>
                <w:caps w:val="0"/>
                <w:color w:val="000000"/>
                <w:spacing w:val="0"/>
                <w:sz w:val="24"/>
                <w:szCs w:val="24"/>
              </w:rPr>
            </w:pPr>
          </w:p>
        </w:tc>
        <w:tc>
          <w:tcPr>
            <w:tcW w:w="1110"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6.推动火车站、公路客运站等交通枢纽以及学校、景区、机关单位、商场超市等重点行业、重点场所配置和使用自动体外心脏除颤仪(AED）等医疗急救设备和药品。对公安、消防、安保、交通和教育等重点行业人群开展急救知识与技能培训，引导全社会逐步提高全民急救能力。</w:t>
            </w:r>
          </w:p>
        </w:tc>
        <w:tc>
          <w:tcPr>
            <w:tcW w:w="16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红十字会</w:t>
            </w:r>
          </w:p>
        </w:tc>
        <w:tc>
          <w:tcPr>
            <w:tcW w:w="13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卫生健康委员会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各相关部门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 w:hRule="atLeast"/>
        </w:trPr>
        <w:tc>
          <w:tcPr>
            <w:tcW w:w="60" w:type="dxa"/>
            <w:tcBorders>
              <w:top w:val="nil"/>
              <w:left w:val="single" w:color="000000" w:sz="6" w:space="0"/>
              <w:bottom w:val="single" w:color="auto"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iCs w:val="0"/>
                <w:caps w:val="0"/>
                <w:color w:val="000000"/>
                <w:spacing w:val="0"/>
                <w:sz w:val="24"/>
                <w:szCs w:val="24"/>
              </w:rPr>
            </w:pPr>
          </w:p>
        </w:tc>
        <w:tc>
          <w:tcPr>
            <w:tcW w:w="1110"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7.构建和谐医患关系，医疗卫生人员具备安全的工作条件，执业环境逐步改善。辖区内无重特大刑事伤医案件。临床用血来自自愿无偿献血。无证行医、非法采供血和非法医疗广告。</w:t>
            </w:r>
          </w:p>
        </w:tc>
        <w:tc>
          <w:tcPr>
            <w:tcW w:w="16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卫生健康委员会</w:t>
            </w:r>
          </w:p>
        </w:tc>
        <w:tc>
          <w:tcPr>
            <w:tcW w:w="135" w:type="dxa"/>
            <w:tcBorders>
              <w:top w:val="nil"/>
              <w:left w:val="single" w:color="auto" w:sz="6" w:space="0"/>
              <w:bottom w:val="single" w:color="auto"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红十字会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 w:hRule="atLeast"/>
        </w:trPr>
        <w:tc>
          <w:tcPr>
            <w:tcW w:w="60" w:type="dxa"/>
            <w:tcBorders>
              <w:top w:val="nil"/>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wordWrap w:val="0"/>
              <w:spacing w:before="0" w:beforeAutospacing="0" w:after="0" w:afterAutospacing="0"/>
              <w:ind w:left="0" w:right="0" w:firstLine="0"/>
              <w:jc w:val="left"/>
              <w:rPr>
                <w:rFonts w:hint="eastAsia" w:ascii="微软雅黑" w:hAnsi="微软雅黑" w:eastAsia="微软雅黑" w:cs="微软雅黑"/>
                <w:b w:val="0"/>
                <w:bCs w:val="0"/>
                <w:i w:val="0"/>
                <w:iCs w:val="0"/>
                <w:caps w:val="0"/>
                <w:color w:val="000000"/>
                <w:spacing w:val="0"/>
                <w:sz w:val="24"/>
                <w:szCs w:val="24"/>
              </w:rPr>
            </w:pPr>
          </w:p>
        </w:tc>
        <w:tc>
          <w:tcPr>
            <w:tcW w:w="1110" w:type="dxa"/>
            <w:tcBorders>
              <w:top w:val="nil"/>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8.建立政府组织和全社会参与的病媒生物预防控制机制。掌握辖区病媒生物孳生地情况、密度变化和侵害状况。湖泊、河流、沟渠、景观水体、小型积水、垃圾、厕所等各类孳生环境得到有效治理，鼠、蚊、蝇、蟑螂的密度达标。重点行业和单位防蝇和防鼠设施合格。</w:t>
            </w:r>
          </w:p>
        </w:tc>
        <w:tc>
          <w:tcPr>
            <w:tcW w:w="165" w:type="dxa"/>
            <w:tcBorders>
              <w:top w:val="nil"/>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卫生健康委员会</w:t>
            </w:r>
          </w:p>
        </w:tc>
        <w:tc>
          <w:tcPr>
            <w:tcW w:w="135" w:type="dxa"/>
            <w:tcBorders>
              <w:top w:val="nil"/>
              <w:left w:val="single" w:color="auto"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center"/>
              <w:textAlignment w:val="baseline"/>
            </w:pPr>
            <w:r>
              <w:rPr>
                <w:rFonts w:hint="eastAsia" w:ascii="仿宋_GB2312" w:hAnsi="微软雅黑" w:eastAsia="仿宋_GB2312" w:cs="仿宋_GB2312"/>
                <w:b w:val="0"/>
                <w:bCs w:val="0"/>
                <w:i w:val="0"/>
                <w:iCs w:val="0"/>
                <w:caps w:val="0"/>
                <w:color w:val="000000"/>
                <w:spacing w:val="0"/>
                <w:sz w:val="21"/>
                <w:szCs w:val="21"/>
                <w:vertAlign w:val="baseline"/>
              </w:rPr>
              <w:t>各苏木镇（管委会）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ZGI2M2MwYmU5MjM0YTc2YThmYjhlMTAwMDEwMzgifQ=="/>
  </w:docVars>
  <w:rsids>
    <w:rsidRoot w:val="00000000"/>
    <w:rsid w:val="67902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2022-12-12T02:19:16Z</dcterms:created>
  <dc:creator>Administrator</dc:creator>
  <cp:lastModifiedBy>Administrator</cp:lastModifiedBy>
  <dcterms:modified xsi:type="dcterms:W3CDTF">2022-12-12T02:20:36Z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E19C85EF46D14928A08CC272343947AF</vt:lpwstr>
  </property>
</Properties>
</file>