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8B489E">
      <w:pPr>
        <w:rPr>
          <w:rFonts w:hint="default" w:ascii="Times New Roman" w:hAnsi="Times New Roman" w:eastAsia="宋体" w:cs="Times New Roman"/>
          <w:color w:val="auto"/>
          <w:sz w:val="36"/>
          <w:szCs w:val="36"/>
          <w:highlight w:val="none"/>
          <w:lang w:eastAsia="zh-CN"/>
        </w:rPr>
      </w:pPr>
    </w:p>
    <w:p w14:paraId="73262CB9">
      <w:pPr>
        <w:rPr>
          <w:rFonts w:hint="default" w:ascii="Times New Roman" w:hAnsi="Times New Roman" w:eastAsia="宋体" w:cs="Times New Roman"/>
          <w:color w:val="auto"/>
          <w:sz w:val="36"/>
          <w:szCs w:val="36"/>
          <w:highlight w:val="none"/>
        </w:rPr>
      </w:pPr>
    </w:p>
    <w:p w14:paraId="668DD8E7">
      <w:pPr>
        <w:rPr>
          <w:rFonts w:hint="default" w:ascii="Times New Roman" w:hAnsi="Times New Roman" w:eastAsia="宋体" w:cs="Times New Roman"/>
          <w:color w:val="auto"/>
          <w:sz w:val="36"/>
          <w:szCs w:val="36"/>
          <w:highlight w:val="none"/>
        </w:rPr>
      </w:pPr>
    </w:p>
    <w:p w14:paraId="3842E6E9">
      <w:pPr>
        <w:rPr>
          <w:rFonts w:hint="default" w:ascii="Times New Roman" w:hAnsi="Times New Roman" w:eastAsia="宋体" w:cs="Times New Roman"/>
          <w:color w:val="auto"/>
          <w:sz w:val="36"/>
          <w:szCs w:val="36"/>
          <w:highlight w:val="none"/>
        </w:rPr>
      </w:pPr>
    </w:p>
    <w:p w14:paraId="4E865028">
      <w:pPr>
        <w:rPr>
          <w:rFonts w:hint="default" w:ascii="Times New Roman" w:hAnsi="Times New Roman" w:eastAsia="宋体" w:cs="Times New Roman"/>
          <w:color w:val="auto"/>
          <w:sz w:val="36"/>
          <w:szCs w:val="36"/>
          <w:highlight w:val="none"/>
        </w:rPr>
      </w:pPr>
    </w:p>
    <w:p w14:paraId="46C4C441">
      <w:pPr>
        <w:adjustRightInd w:val="0"/>
        <w:snapToGrid w:val="0"/>
        <w:jc w:val="center"/>
        <w:outlineLvl w:val="0"/>
        <w:rPr>
          <w:rFonts w:hint="default" w:ascii="Times New Roman" w:hAnsi="Times New Roman" w:eastAsia="宋体" w:cs="Times New Roman"/>
          <w:bCs/>
          <w:color w:val="auto"/>
          <w:sz w:val="72"/>
          <w:szCs w:val="72"/>
          <w:highlight w:val="none"/>
        </w:rPr>
      </w:pPr>
      <w:r>
        <w:rPr>
          <w:rFonts w:hint="default" w:ascii="Times New Roman" w:hAnsi="Times New Roman" w:eastAsia="宋体" w:cs="Times New Roman"/>
          <w:bCs/>
          <w:color w:val="auto"/>
          <w:sz w:val="72"/>
          <w:szCs w:val="72"/>
          <w:highlight w:val="none"/>
        </w:rPr>
        <w:t>建设项目环境影响报告表</w:t>
      </w:r>
    </w:p>
    <w:p w14:paraId="10555908">
      <w:pP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14:paraId="34EF601E">
      <w:pPr>
        <w:widowControl w:val="0"/>
        <w:spacing w:after="120"/>
        <w:ind w:left="480" w:leftChars="200" w:firstLine="480" w:firstLineChars="200"/>
        <w:jc w:val="both"/>
        <w:rPr>
          <w:rFonts w:hint="default" w:ascii="Times New Roman" w:hAnsi="Times New Roman" w:eastAsia="宋体" w:cs="Times New Roman"/>
          <w:color w:val="auto"/>
          <w:highlight w:val="none"/>
        </w:rPr>
      </w:pPr>
    </w:p>
    <w:p w14:paraId="7EA41A12">
      <w:pPr>
        <w:widowControl w:val="0"/>
        <w:spacing w:after="120"/>
        <w:ind w:left="480" w:leftChars="200" w:firstLine="480" w:firstLineChars="200"/>
        <w:jc w:val="both"/>
        <w:rPr>
          <w:rFonts w:hint="default" w:ascii="Times New Roman" w:hAnsi="Times New Roman" w:eastAsia="宋体" w:cs="Times New Roman"/>
          <w:color w:val="auto"/>
          <w:highlight w:val="none"/>
        </w:rPr>
      </w:pPr>
    </w:p>
    <w:p w14:paraId="7EF704E4">
      <w:pPr>
        <w:widowControl w:val="0"/>
        <w:spacing w:after="120"/>
        <w:ind w:left="480" w:leftChars="200" w:firstLine="480" w:firstLineChars="200"/>
        <w:jc w:val="both"/>
        <w:rPr>
          <w:rFonts w:hint="default" w:ascii="Times New Roman" w:hAnsi="Times New Roman" w:eastAsia="宋体" w:cs="Times New Roman"/>
          <w:color w:val="auto"/>
          <w:highlight w:val="none"/>
        </w:rPr>
      </w:pPr>
    </w:p>
    <w:p w14:paraId="1DA32C1E">
      <w:pPr>
        <w:widowControl w:val="0"/>
        <w:spacing w:after="120"/>
        <w:ind w:left="480" w:leftChars="200" w:firstLine="480" w:firstLineChars="200"/>
        <w:jc w:val="both"/>
        <w:rPr>
          <w:rFonts w:hint="default" w:ascii="Times New Roman" w:hAnsi="Times New Roman" w:eastAsia="宋体" w:cs="Times New Roman"/>
          <w:color w:val="auto"/>
          <w:highlight w:val="none"/>
        </w:rPr>
      </w:pPr>
    </w:p>
    <w:p w14:paraId="2D733D05">
      <w:pPr>
        <w:widowControl w:val="0"/>
        <w:spacing w:after="120"/>
        <w:ind w:left="480" w:leftChars="200" w:firstLine="480" w:firstLineChars="200"/>
        <w:jc w:val="both"/>
        <w:rPr>
          <w:rFonts w:hint="default" w:ascii="Times New Roman" w:hAnsi="Times New Roman" w:eastAsia="宋体" w:cs="Times New Roman"/>
          <w:color w:val="auto"/>
          <w:highlight w:val="none"/>
        </w:rPr>
      </w:pPr>
    </w:p>
    <w:p w14:paraId="592AB5F6">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7005746B">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7D36CCD0">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1C6AFAC7">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6BDD4C5E">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497B078A">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559373D5">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215F680C">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18F049A1">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4076B999">
      <w:pPr>
        <w:widowControl w:val="0"/>
        <w:spacing w:after="120"/>
        <w:ind w:left="480" w:leftChars="200" w:firstLine="420" w:firstLineChars="200"/>
        <w:jc w:val="both"/>
        <w:rPr>
          <w:rFonts w:hint="default" w:ascii="Times New Roman" w:hAnsi="Times New Roman" w:eastAsia="宋体" w:cs="Times New Roman"/>
          <w:color w:val="auto"/>
          <w:kern w:val="2"/>
          <w:sz w:val="21"/>
          <w:szCs w:val="24"/>
          <w:highlight w:val="none"/>
          <w:lang w:val="en-US" w:eastAsia="zh-CN" w:bidi="ar-SA"/>
        </w:rPr>
      </w:pPr>
    </w:p>
    <w:p w14:paraId="5A1B18C5">
      <w:pPr>
        <w:rPr>
          <w:rFonts w:hint="default" w:ascii="Times New Roman" w:hAnsi="Times New Roman" w:eastAsia="宋体" w:cs="Times New Roman"/>
          <w:color w:val="auto"/>
          <w:highlight w:val="none"/>
        </w:rPr>
      </w:pPr>
    </w:p>
    <w:p w14:paraId="64076870">
      <w:pPr>
        <w:adjustRightInd w:val="0"/>
        <w:snapToGrid w:val="0"/>
        <w:spacing w:line="480" w:lineRule="auto"/>
        <w:ind w:left="1890" w:leftChars="153" w:right="386" w:rightChars="161" w:hanging="1523" w:hangingChars="474"/>
        <w:rPr>
          <w:rFonts w:hint="default" w:ascii="Times New Roman" w:hAnsi="Times New Roman" w:eastAsia="宋体" w:cs="Times New Roman"/>
          <w:b/>
          <w:bCs/>
          <w:iCs/>
          <w:color w:val="auto"/>
          <w:sz w:val="32"/>
          <w:szCs w:val="32"/>
          <w:highlight w:val="none"/>
          <w:u w:val="single"/>
          <w:lang w:val="en-US"/>
        </w:rPr>
      </w:pPr>
      <w:r>
        <w:rPr>
          <w:rFonts w:hint="default" w:ascii="Times New Roman" w:hAnsi="Times New Roman" w:eastAsia="宋体" w:cs="Times New Roman"/>
          <w:b/>
          <w:bCs/>
          <w:color w:val="auto"/>
          <w:sz w:val="32"/>
          <w:szCs w:val="32"/>
          <w:highlight w:val="none"/>
        </w:rPr>
        <w:t>项目名称：</w:t>
      </w:r>
      <w:r>
        <w:rPr>
          <w:rFonts w:hint="default" w:ascii="Times New Roman" w:hAnsi="Times New Roman" w:cs="Times New Roman"/>
          <w:b/>
          <w:bCs/>
          <w:color w:val="auto"/>
          <w:sz w:val="32"/>
          <w:szCs w:val="32"/>
          <w:highlight w:val="none"/>
          <w:u w:val="single"/>
          <w:lang w:eastAsia="zh-CN"/>
        </w:rPr>
        <w:t>杭锦旗污水厂三期建设项目</w:t>
      </w:r>
      <w:r>
        <w:rPr>
          <w:rFonts w:hint="default" w:ascii="Times New Roman" w:hAnsi="Times New Roman" w:eastAsia="宋体" w:cs="Times New Roman"/>
          <w:b/>
          <w:bCs/>
          <w:color w:val="auto"/>
          <w:sz w:val="32"/>
          <w:szCs w:val="32"/>
          <w:highlight w:val="none"/>
          <w:u w:val="single"/>
          <w:lang w:val="en-US" w:eastAsia="zh-CN"/>
        </w:rPr>
        <w:t xml:space="preserve">           </w:t>
      </w:r>
    </w:p>
    <w:p w14:paraId="2A46A3DA">
      <w:pPr>
        <w:adjustRightInd w:val="0"/>
        <w:snapToGrid w:val="0"/>
        <w:spacing w:line="480" w:lineRule="auto"/>
        <w:ind w:firstLine="321" w:firstLineChars="100"/>
        <w:rPr>
          <w:rFonts w:hint="default" w:ascii="Times New Roman" w:hAnsi="Times New Roman" w:eastAsia="宋体" w:cs="Times New Roman"/>
          <w:b/>
          <w:bCs/>
          <w:iCs/>
          <w:color w:val="auto"/>
          <w:sz w:val="32"/>
          <w:szCs w:val="32"/>
          <w:highlight w:val="none"/>
          <w:u w:val="single"/>
          <w:lang w:val="en-US" w:eastAsia="zh-CN"/>
        </w:rPr>
      </w:pPr>
      <w:r>
        <w:rPr>
          <w:rFonts w:hint="default" w:ascii="Times New Roman" w:hAnsi="Times New Roman" w:eastAsia="宋体" w:cs="Times New Roman"/>
          <w:b/>
          <w:bCs/>
          <w:color w:val="auto"/>
          <w:sz w:val="32"/>
          <w:szCs w:val="32"/>
          <w:highlight w:val="none"/>
        </w:rPr>
        <w:t>建设单位：</w:t>
      </w:r>
      <w:r>
        <w:rPr>
          <w:rFonts w:hint="default" w:ascii="Times New Roman" w:hAnsi="Times New Roman" w:eastAsia="宋体" w:cs="Times New Roman"/>
          <w:b/>
          <w:bCs/>
          <w:color w:val="auto"/>
          <w:sz w:val="32"/>
          <w:szCs w:val="32"/>
          <w:highlight w:val="none"/>
          <w:u w:val="single"/>
          <w:lang w:eastAsia="zh-CN"/>
        </w:rPr>
        <w:t>杭锦旗城市公用事业服务中心</w:t>
      </w:r>
      <w:r>
        <w:rPr>
          <w:rFonts w:hint="default" w:ascii="Times New Roman" w:hAnsi="Times New Roman" w:eastAsia="宋体" w:cs="Times New Roman"/>
          <w:b/>
          <w:bCs/>
          <w:color w:val="auto"/>
          <w:sz w:val="32"/>
          <w:szCs w:val="32"/>
          <w:highlight w:val="none"/>
          <w:u w:val="single"/>
        </w:rPr>
        <w:t xml:space="preserve">（盖章）  </w:t>
      </w:r>
      <w:r>
        <w:rPr>
          <w:rFonts w:hint="default" w:ascii="Times New Roman" w:hAnsi="Times New Roman" w:eastAsia="宋体" w:cs="Times New Roman"/>
          <w:b/>
          <w:bCs/>
          <w:color w:val="auto"/>
          <w:sz w:val="32"/>
          <w:szCs w:val="32"/>
          <w:highlight w:val="none"/>
          <w:u w:val="single"/>
          <w:lang w:val="en-US" w:eastAsia="zh-CN"/>
        </w:rPr>
        <w:t xml:space="preserve">   </w:t>
      </w:r>
    </w:p>
    <w:p w14:paraId="78434D55">
      <w:pPr>
        <w:adjustRightInd w:val="0"/>
        <w:snapToGrid w:val="0"/>
        <w:spacing w:line="480" w:lineRule="auto"/>
        <w:ind w:firstLine="321" w:firstLineChars="100"/>
        <w:rPr>
          <w:rFonts w:hint="default" w:ascii="Times New Roman" w:hAnsi="Times New Roman" w:eastAsia="宋体" w:cs="Times New Roman"/>
          <w:b/>
          <w:bCs/>
          <w:color w:val="auto"/>
          <w:sz w:val="32"/>
          <w:szCs w:val="32"/>
          <w:highlight w:val="none"/>
          <w:u w:val="single"/>
        </w:rPr>
      </w:pPr>
      <w:r>
        <w:rPr>
          <w:rFonts w:hint="default" w:ascii="Times New Roman" w:hAnsi="Times New Roman" w:eastAsia="宋体" w:cs="Times New Roman"/>
          <w:b/>
          <w:bCs/>
          <w:color w:val="auto"/>
          <w:sz w:val="32"/>
          <w:szCs w:val="32"/>
          <w:highlight w:val="none"/>
        </w:rPr>
        <w:t xml:space="preserve">编制日期： </w:t>
      </w:r>
      <w:r>
        <w:rPr>
          <w:rFonts w:hint="default" w:ascii="Times New Roman" w:hAnsi="Times New Roman" w:eastAsia="宋体" w:cs="Times New Roman"/>
          <w:b/>
          <w:bCs/>
          <w:color w:val="auto"/>
          <w:sz w:val="32"/>
          <w:szCs w:val="32"/>
          <w:highlight w:val="none"/>
          <w:u w:val="single"/>
        </w:rPr>
        <w:t xml:space="preserve">          202</w:t>
      </w:r>
      <w:r>
        <w:rPr>
          <w:rFonts w:hint="default" w:ascii="Times New Roman" w:hAnsi="Times New Roman" w:cs="Times New Roman"/>
          <w:b/>
          <w:bCs/>
          <w:color w:val="auto"/>
          <w:sz w:val="32"/>
          <w:szCs w:val="32"/>
          <w:highlight w:val="none"/>
          <w:u w:val="single"/>
          <w:lang w:val="en-US" w:eastAsia="zh-CN"/>
        </w:rPr>
        <w:t>6</w:t>
      </w:r>
      <w:r>
        <w:rPr>
          <w:rFonts w:hint="default" w:ascii="Times New Roman" w:hAnsi="Times New Roman" w:eastAsia="宋体" w:cs="Times New Roman"/>
          <w:b/>
          <w:bCs/>
          <w:color w:val="auto"/>
          <w:sz w:val="32"/>
          <w:szCs w:val="32"/>
          <w:highlight w:val="none"/>
          <w:u w:val="single"/>
        </w:rPr>
        <w:t>年</w:t>
      </w:r>
      <w:r>
        <w:rPr>
          <w:rFonts w:hint="default" w:ascii="Times New Roman" w:hAnsi="Times New Roman" w:cs="Times New Roman"/>
          <w:b/>
          <w:bCs/>
          <w:color w:val="auto"/>
          <w:sz w:val="32"/>
          <w:szCs w:val="32"/>
          <w:highlight w:val="none"/>
          <w:u w:val="single"/>
          <w:lang w:val="en-US" w:eastAsia="zh-CN"/>
        </w:rPr>
        <w:t>5</w:t>
      </w:r>
      <w:r>
        <w:rPr>
          <w:rFonts w:hint="default" w:ascii="Times New Roman" w:hAnsi="Times New Roman" w:eastAsia="宋体" w:cs="Times New Roman"/>
          <w:b/>
          <w:bCs/>
          <w:color w:val="auto"/>
          <w:sz w:val="32"/>
          <w:szCs w:val="32"/>
          <w:highlight w:val="none"/>
          <w:u w:val="single"/>
        </w:rPr>
        <w:t>月</w:t>
      </w:r>
      <w:bookmarkStart w:id="0" w:name="_Hlk57884087"/>
      <w:r>
        <w:rPr>
          <w:rFonts w:hint="default" w:ascii="Times New Roman" w:hAnsi="Times New Roman" w:eastAsia="宋体" w:cs="Times New Roman"/>
          <w:b/>
          <w:bCs/>
          <w:color w:val="auto"/>
          <w:sz w:val="32"/>
          <w:szCs w:val="32"/>
          <w:highlight w:val="none"/>
          <w:u w:val="single"/>
        </w:rPr>
        <w:t xml:space="preserve">               </w:t>
      </w:r>
    </w:p>
    <w:bookmarkEnd w:id="0"/>
    <w:p w14:paraId="3120A8C2">
      <w:pPr>
        <w:adjustRightInd w:val="0"/>
        <w:snapToGrid w:val="0"/>
        <w:spacing w:line="288" w:lineRule="auto"/>
        <w:jc w:val="center"/>
        <w:rPr>
          <w:rFonts w:hint="default" w:ascii="Times New Roman" w:hAnsi="Times New Roman" w:eastAsia="宋体" w:cs="Times New Roman"/>
          <w:b/>
          <w:bCs/>
          <w:color w:val="auto"/>
          <w:sz w:val="36"/>
          <w:szCs w:val="36"/>
          <w:highlight w:val="none"/>
        </w:rPr>
      </w:pPr>
    </w:p>
    <w:p w14:paraId="3ADB8C30">
      <w:pPr>
        <w:adjustRightInd w:val="0"/>
        <w:snapToGrid w:val="0"/>
        <w:spacing w:line="288" w:lineRule="auto"/>
        <w:jc w:val="center"/>
        <w:rPr>
          <w:rFonts w:hint="default" w:ascii="Times New Roman" w:hAnsi="Times New Roman" w:eastAsia="宋体" w:cs="Times New Roman"/>
          <w:b/>
          <w:bCs/>
          <w:color w:val="auto"/>
          <w:sz w:val="36"/>
          <w:szCs w:val="36"/>
          <w:highlight w:val="none"/>
        </w:rPr>
      </w:pPr>
      <w:r>
        <w:rPr>
          <w:rFonts w:hint="default" w:ascii="Times New Roman" w:hAnsi="Times New Roman" w:eastAsia="宋体" w:cs="Times New Roman"/>
          <w:b/>
          <w:bCs/>
          <w:color w:val="auto"/>
          <w:sz w:val="36"/>
          <w:szCs w:val="36"/>
          <w:highlight w:val="none"/>
        </w:rPr>
        <w:t>中华人民共和国生态环境部制</w:t>
      </w:r>
    </w:p>
    <w:p w14:paraId="648E7411">
      <w:pPr>
        <w:pStyle w:val="9"/>
        <w:jc w:val="center"/>
        <w:outlineLvl w:val="0"/>
        <w:rPr>
          <w:rFonts w:hint="default" w:ascii="Times New Roman" w:hAnsi="Times New Roman" w:eastAsia="宋体" w:cs="Times New Roman"/>
          <w:b/>
          <w:bCs/>
          <w:snapToGrid w:val="0"/>
          <w:color w:val="auto"/>
          <w:sz w:val="30"/>
          <w:szCs w:val="30"/>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4A05F3F">
      <w:pPr>
        <w:pStyle w:val="9"/>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一、建设项目基本情况</w:t>
      </w:r>
    </w:p>
    <w:tbl>
      <w:tblPr>
        <w:tblStyle w:val="11"/>
        <w:tblW w:w="88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80"/>
        <w:gridCol w:w="1946"/>
        <w:gridCol w:w="2141"/>
        <w:gridCol w:w="3054"/>
      </w:tblGrid>
      <w:tr w14:paraId="733F3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0772C75C">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建设项目名称</w:t>
            </w:r>
          </w:p>
        </w:tc>
        <w:tc>
          <w:tcPr>
            <w:tcW w:w="7141" w:type="dxa"/>
            <w:gridSpan w:val="3"/>
            <w:vAlign w:val="center"/>
          </w:tcPr>
          <w:p w14:paraId="5956D53C">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eastAsia="zh-CN"/>
              </w:rPr>
              <w:t>杭锦旗污水厂三期建设项目</w:t>
            </w:r>
          </w:p>
        </w:tc>
      </w:tr>
      <w:tr w14:paraId="1633A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5C1BEEFF">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项目代码</w:t>
            </w:r>
          </w:p>
        </w:tc>
        <w:tc>
          <w:tcPr>
            <w:tcW w:w="7141" w:type="dxa"/>
            <w:gridSpan w:val="3"/>
            <w:vAlign w:val="center"/>
          </w:tcPr>
          <w:p w14:paraId="36AC9743">
            <w:pPr>
              <w:adjustRightInd w:val="0"/>
              <w:snapToGrid w:val="0"/>
              <w:jc w:val="center"/>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val="en-US" w:eastAsia="zh-CN"/>
              </w:rPr>
              <w:t>2603-150625-04-01-604611</w:t>
            </w:r>
          </w:p>
        </w:tc>
      </w:tr>
      <w:tr w14:paraId="77796C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5734DC2C">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建设单位联系人</w:t>
            </w:r>
          </w:p>
        </w:tc>
        <w:tc>
          <w:tcPr>
            <w:tcW w:w="1946" w:type="dxa"/>
            <w:vAlign w:val="center"/>
          </w:tcPr>
          <w:p w14:paraId="21EF5968">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冯志座</w:t>
            </w:r>
          </w:p>
        </w:tc>
        <w:tc>
          <w:tcPr>
            <w:tcW w:w="2141" w:type="dxa"/>
            <w:vAlign w:val="center"/>
          </w:tcPr>
          <w:p w14:paraId="7645A0F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 w:val="24"/>
                <w:highlight w:val="none"/>
              </w:rPr>
              <w:t>联系方式</w:t>
            </w:r>
          </w:p>
        </w:tc>
        <w:tc>
          <w:tcPr>
            <w:tcW w:w="3054" w:type="dxa"/>
            <w:vAlign w:val="center"/>
          </w:tcPr>
          <w:p w14:paraId="683C96FE">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13214773547</w:t>
            </w:r>
          </w:p>
        </w:tc>
      </w:tr>
      <w:tr w14:paraId="03E3B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0853E9EF">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建设地点</w:t>
            </w:r>
          </w:p>
        </w:tc>
        <w:tc>
          <w:tcPr>
            <w:tcW w:w="7141" w:type="dxa"/>
            <w:gridSpan w:val="3"/>
            <w:vAlign w:val="center"/>
          </w:tcPr>
          <w:p w14:paraId="16422DCC">
            <w:pPr>
              <w:adjustRightInd w:val="0"/>
              <w:snapToGrid w:val="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鄂尔多斯市</w:t>
            </w:r>
            <w:r>
              <w:rPr>
                <w:rFonts w:hint="default" w:ascii="Times New Roman" w:hAnsi="Times New Roman" w:eastAsia="宋体" w:cs="Times New Roman"/>
                <w:color w:val="auto"/>
                <w:sz w:val="24"/>
                <w:highlight w:val="none"/>
                <w:lang w:eastAsia="zh-CN"/>
              </w:rPr>
              <w:t>杭锦旗</w:t>
            </w:r>
            <w:r>
              <w:rPr>
                <w:rFonts w:hint="default" w:ascii="Times New Roman" w:hAnsi="Times New Roman" w:cs="Times New Roman"/>
                <w:color w:val="auto"/>
                <w:sz w:val="24"/>
                <w:highlight w:val="none"/>
                <w:lang w:eastAsia="zh-CN"/>
              </w:rPr>
              <w:t>锡尼镇污水处理厂厂区预留空地内</w:t>
            </w:r>
          </w:p>
        </w:tc>
      </w:tr>
      <w:tr w14:paraId="00C87B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5238A4C5">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地理坐标</w:t>
            </w:r>
          </w:p>
        </w:tc>
        <w:tc>
          <w:tcPr>
            <w:tcW w:w="7141" w:type="dxa"/>
            <w:gridSpan w:val="3"/>
            <w:vAlign w:val="center"/>
          </w:tcPr>
          <w:p w14:paraId="6215FE45">
            <w:pPr>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E</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u w:val="single"/>
              </w:rPr>
              <w:t>108</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lang w:val="en-US" w:eastAsia="zh-CN"/>
              </w:rPr>
              <w:t>43</w:t>
            </w:r>
            <w:r>
              <w:rPr>
                <w:rFonts w:hint="default" w:ascii="Times New Roman" w:hAnsi="Times New Roman" w:eastAsia="宋体" w:cs="Times New Roman"/>
                <w:color w:val="auto"/>
                <w:sz w:val="24"/>
                <w:highlight w:val="none"/>
              </w:rPr>
              <w:t>分</w:t>
            </w:r>
            <w:r>
              <w:rPr>
                <w:rFonts w:hint="default" w:ascii="Times New Roman" w:hAnsi="Times New Roman" w:cs="Times New Roman"/>
                <w:color w:val="auto"/>
                <w:sz w:val="24"/>
                <w:highlight w:val="none"/>
                <w:u w:val="single"/>
                <w:lang w:val="en-US" w:eastAsia="zh-CN"/>
              </w:rPr>
              <w:t>18.919</w:t>
            </w:r>
            <w:r>
              <w:rPr>
                <w:rFonts w:hint="default" w:ascii="Times New Roman" w:hAnsi="Times New Roman" w:eastAsia="宋体" w:cs="Times New Roman"/>
                <w:color w:val="auto"/>
                <w:sz w:val="24"/>
                <w:highlight w:val="none"/>
              </w:rPr>
              <w:t>秒，N</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u w:val="single"/>
              </w:rPr>
              <w:t>39</w:t>
            </w:r>
            <w:r>
              <w:rPr>
                <w:rFonts w:hint="default" w:ascii="Times New Roman" w:hAnsi="Times New Roman" w:eastAsia="宋体" w:cs="Times New Roman"/>
                <w:color w:val="auto"/>
                <w:sz w:val="24"/>
                <w:highlight w:val="none"/>
              </w:rPr>
              <w:t>度</w:t>
            </w:r>
            <w:r>
              <w:rPr>
                <w:rFonts w:hint="default" w:ascii="Times New Roman" w:hAnsi="Times New Roman" w:eastAsia="宋体" w:cs="Times New Roman"/>
                <w:color w:val="auto"/>
                <w:sz w:val="24"/>
                <w:highlight w:val="none"/>
                <w:u w:val="single"/>
              </w:rPr>
              <w:t>5</w:t>
            </w:r>
            <w:r>
              <w:rPr>
                <w:rFonts w:hint="default" w:ascii="Times New Roman" w:hAnsi="Times New Roman" w:eastAsia="宋体" w:cs="Times New Roman"/>
                <w:color w:val="auto"/>
                <w:sz w:val="24"/>
                <w:highlight w:val="none"/>
                <w:u w:val="single"/>
                <w:lang w:val="en-US" w:eastAsia="zh-CN"/>
              </w:rPr>
              <w:t>1</w:t>
            </w:r>
            <w:r>
              <w:rPr>
                <w:rFonts w:hint="default" w:ascii="Times New Roman" w:hAnsi="Times New Roman" w:eastAsia="宋体" w:cs="Times New Roman"/>
                <w:color w:val="auto"/>
                <w:sz w:val="24"/>
                <w:highlight w:val="none"/>
              </w:rPr>
              <w:t>分</w:t>
            </w:r>
            <w:r>
              <w:rPr>
                <w:rFonts w:hint="default" w:ascii="Times New Roman" w:hAnsi="Times New Roman" w:cs="Times New Roman"/>
                <w:color w:val="auto"/>
                <w:sz w:val="24"/>
                <w:highlight w:val="none"/>
                <w:u w:val="single"/>
                <w:lang w:val="en-US" w:eastAsia="zh-CN"/>
              </w:rPr>
              <w:t>24.137</w:t>
            </w:r>
            <w:r>
              <w:rPr>
                <w:rFonts w:hint="default" w:ascii="Times New Roman" w:hAnsi="Times New Roman" w:eastAsia="宋体" w:cs="Times New Roman"/>
                <w:color w:val="auto"/>
                <w:sz w:val="24"/>
                <w:highlight w:val="none"/>
              </w:rPr>
              <w:t>秒</w:t>
            </w:r>
          </w:p>
        </w:tc>
      </w:tr>
      <w:tr w14:paraId="5EC9B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80" w:type="dxa"/>
            <w:tcMar>
              <w:top w:w="16" w:type="dxa"/>
              <w:left w:w="16" w:type="dxa"/>
              <w:right w:w="16" w:type="dxa"/>
            </w:tcMar>
            <w:vAlign w:val="center"/>
          </w:tcPr>
          <w:p w14:paraId="263E6BAE">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国民经济</w:t>
            </w:r>
          </w:p>
          <w:p w14:paraId="43B5AA09">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行业类别</w:t>
            </w:r>
          </w:p>
        </w:tc>
        <w:tc>
          <w:tcPr>
            <w:tcW w:w="1946" w:type="dxa"/>
            <w:vAlign w:val="center"/>
          </w:tcPr>
          <w:p w14:paraId="2B48E69D">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D4620污水处理及其再生利用</w:t>
            </w:r>
          </w:p>
        </w:tc>
        <w:tc>
          <w:tcPr>
            <w:tcW w:w="2141" w:type="dxa"/>
            <w:vAlign w:val="center"/>
          </w:tcPr>
          <w:p w14:paraId="26C3CDD5">
            <w:pPr>
              <w:adjustRightInd w:val="0"/>
              <w:snapToGrid w:val="0"/>
              <w:jc w:val="center"/>
              <w:rPr>
                <w:rFonts w:hint="default" w:ascii="Times New Roman" w:hAnsi="Times New Roman" w:eastAsia="宋体" w:cs="Times New Roman"/>
                <w:b/>
                <w:bCs/>
                <w:color w:val="auto"/>
                <w:sz w:val="24"/>
                <w:highlight w:val="none"/>
              </w:rPr>
            </w:pPr>
            <w:bookmarkStart w:id="1" w:name="_Hlk49843745"/>
            <w:r>
              <w:rPr>
                <w:rFonts w:hint="default" w:ascii="Times New Roman" w:hAnsi="Times New Roman" w:eastAsia="宋体" w:cs="Times New Roman"/>
                <w:b/>
                <w:bCs/>
                <w:color w:val="auto"/>
                <w:sz w:val="24"/>
                <w:highlight w:val="none"/>
              </w:rPr>
              <w:t>建设项目</w:t>
            </w:r>
          </w:p>
          <w:p w14:paraId="40BC3214">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行业类别</w:t>
            </w:r>
            <w:bookmarkEnd w:id="1"/>
          </w:p>
        </w:tc>
        <w:tc>
          <w:tcPr>
            <w:tcW w:w="3054" w:type="dxa"/>
            <w:vAlign w:val="center"/>
          </w:tcPr>
          <w:p w14:paraId="0EDA10F8">
            <w:pPr>
              <w:adjustRightInd w:val="0"/>
              <w:snapToGrid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四十三、水的生产和供应业</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95</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污水处理及其再生利用</w:t>
            </w:r>
            <w:r>
              <w:rPr>
                <w:rFonts w:hint="eastAsia" w:cs="Times New Roman"/>
                <w:color w:val="auto"/>
                <w:sz w:val="24"/>
                <w:highlight w:val="none"/>
                <w:lang w:val="en-US" w:eastAsia="zh-CN"/>
              </w:rPr>
              <w:t>中的“</w:t>
            </w:r>
            <w:r>
              <w:rPr>
                <w:rFonts w:hint="default" w:ascii="Times New Roman" w:hAnsi="Times New Roman" w:eastAsia="宋体" w:cs="Times New Roman"/>
                <w:color w:val="auto"/>
                <w:sz w:val="24"/>
                <w:highlight w:val="none"/>
                <w:lang w:val="en-US" w:eastAsia="zh-CN"/>
              </w:rPr>
              <w:t>新建、扩建日处理10万吨以下500吨及以上城乡污水处理的</w:t>
            </w:r>
            <w:r>
              <w:rPr>
                <w:rFonts w:hint="eastAsia" w:cs="Times New Roman"/>
                <w:color w:val="auto"/>
                <w:sz w:val="24"/>
                <w:highlight w:val="none"/>
                <w:lang w:val="en-US" w:eastAsia="zh-CN"/>
              </w:rPr>
              <w:t>”</w:t>
            </w:r>
          </w:p>
        </w:tc>
      </w:tr>
      <w:tr w14:paraId="52E7E0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80" w:type="dxa"/>
            <w:tcMar>
              <w:top w:w="16" w:type="dxa"/>
              <w:left w:w="16" w:type="dxa"/>
              <w:right w:w="16" w:type="dxa"/>
            </w:tcMar>
            <w:vAlign w:val="center"/>
          </w:tcPr>
          <w:p w14:paraId="7C5371D8">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建设性质</w:t>
            </w:r>
          </w:p>
        </w:tc>
        <w:tc>
          <w:tcPr>
            <w:tcW w:w="1946" w:type="dxa"/>
            <w:vAlign w:val="center"/>
          </w:tcPr>
          <w:p w14:paraId="284358A4">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新建（迁建）</w:t>
            </w:r>
          </w:p>
          <w:p w14:paraId="3AAC5815">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改建</w:t>
            </w:r>
          </w:p>
          <w:p w14:paraId="00BBE291">
            <w:pPr>
              <w:jc w:val="left"/>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扩建</w:t>
            </w:r>
          </w:p>
          <w:p w14:paraId="42EF8C59">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技术改造</w:t>
            </w:r>
          </w:p>
        </w:tc>
        <w:tc>
          <w:tcPr>
            <w:tcW w:w="2141" w:type="dxa"/>
            <w:vAlign w:val="center"/>
          </w:tcPr>
          <w:p w14:paraId="7AE80A98">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建设项目</w:t>
            </w:r>
          </w:p>
          <w:p w14:paraId="32EB73D6">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申报情形</w:t>
            </w:r>
          </w:p>
        </w:tc>
        <w:tc>
          <w:tcPr>
            <w:tcW w:w="3054" w:type="dxa"/>
            <w:vAlign w:val="center"/>
          </w:tcPr>
          <w:p w14:paraId="0DC7B415">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xml:space="preserve">☑首次申报项目             </w:t>
            </w:r>
          </w:p>
          <w:p w14:paraId="41544D37">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不予批准后再次申报项目</w:t>
            </w:r>
          </w:p>
          <w:p w14:paraId="5A230AAD">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 xml:space="preserve">超五年重新审核项目     </w:t>
            </w:r>
          </w:p>
          <w:p w14:paraId="0D5D6492">
            <w:pPr>
              <w:jc w:val="left"/>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重大变动重新报批项目</w:t>
            </w:r>
          </w:p>
        </w:tc>
      </w:tr>
      <w:tr w14:paraId="2D89E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1" w:hRule="atLeast"/>
          <w:jc w:val="center"/>
        </w:trPr>
        <w:tc>
          <w:tcPr>
            <w:tcW w:w="1680" w:type="dxa"/>
            <w:tcMar>
              <w:top w:w="16" w:type="dxa"/>
              <w:left w:w="16" w:type="dxa"/>
              <w:right w:w="16" w:type="dxa"/>
            </w:tcMar>
            <w:vAlign w:val="center"/>
          </w:tcPr>
          <w:p w14:paraId="66748BE2">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项目审批（核准/备案）部门（选填）</w:t>
            </w:r>
          </w:p>
        </w:tc>
        <w:tc>
          <w:tcPr>
            <w:tcW w:w="1946" w:type="dxa"/>
            <w:vAlign w:val="center"/>
          </w:tcPr>
          <w:p w14:paraId="20275118">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杭锦旗发展和改革委员会</w:t>
            </w:r>
          </w:p>
        </w:tc>
        <w:tc>
          <w:tcPr>
            <w:tcW w:w="2141" w:type="dxa"/>
            <w:vAlign w:val="center"/>
          </w:tcPr>
          <w:p w14:paraId="1F5EC017">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项目审批（核准/备案）文号（选填）</w:t>
            </w:r>
          </w:p>
        </w:tc>
        <w:tc>
          <w:tcPr>
            <w:tcW w:w="3054" w:type="dxa"/>
            <w:vAlign w:val="center"/>
          </w:tcPr>
          <w:p w14:paraId="10FBF8F1">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杭发改发〔202</w:t>
            </w:r>
            <w:r>
              <w:rPr>
                <w:rFonts w:hint="default"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31</w:t>
            </w:r>
            <w:r>
              <w:rPr>
                <w:rFonts w:hint="default" w:ascii="Times New Roman" w:hAnsi="Times New Roman" w:eastAsia="宋体" w:cs="Times New Roman"/>
                <w:color w:val="auto"/>
                <w:sz w:val="24"/>
                <w:highlight w:val="none"/>
                <w:lang w:val="en-US" w:eastAsia="zh-CN"/>
              </w:rPr>
              <w:t>号</w:t>
            </w:r>
          </w:p>
        </w:tc>
      </w:tr>
      <w:tr w14:paraId="3C7DF1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1F58BC3C">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总投资（万元）</w:t>
            </w:r>
          </w:p>
        </w:tc>
        <w:tc>
          <w:tcPr>
            <w:tcW w:w="1946" w:type="dxa"/>
            <w:vAlign w:val="center"/>
          </w:tcPr>
          <w:p w14:paraId="2A3A0478">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6076.9</w:t>
            </w:r>
          </w:p>
        </w:tc>
        <w:tc>
          <w:tcPr>
            <w:tcW w:w="2141" w:type="dxa"/>
            <w:tcMar>
              <w:top w:w="16" w:type="dxa"/>
              <w:left w:w="16" w:type="dxa"/>
              <w:right w:w="16" w:type="dxa"/>
            </w:tcMar>
            <w:vAlign w:val="center"/>
          </w:tcPr>
          <w:p w14:paraId="0ECA2BB1">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环保投资（万元）</w:t>
            </w:r>
          </w:p>
        </w:tc>
        <w:tc>
          <w:tcPr>
            <w:tcW w:w="3054" w:type="dxa"/>
            <w:vAlign w:val="center"/>
          </w:tcPr>
          <w:p w14:paraId="7CFACC56">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1526</w:t>
            </w:r>
          </w:p>
        </w:tc>
      </w:tr>
      <w:tr w14:paraId="14624A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80" w:type="dxa"/>
            <w:tcMar>
              <w:top w:w="16" w:type="dxa"/>
              <w:left w:w="16" w:type="dxa"/>
              <w:right w:w="16" w:type="dxa"/>
            </w:tcMar>
            <w:vAlign w:val="center"/>
          </w:tcPr>
          <w:p w14:paraId="46A40245">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环保投资占比（%）</w:t>
            </w:r>
          </w:p>
        </w:tc>
        <w:tc>
          <w:tcPr>
            <w:tcW w:w="1946" w:type="dxa"/>
            <w:vAlign w:val="center"/>
          </w:tcPr>
          <w:p w14:paraId="1CF7EDD5">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25.11</w:t>
            </w:r>
          </w:p>
        </w:tc>
        <w:tc>
          <w:tcPr>
            <w:tcW w:w="2141" w:type="dxa"/>
            <w:tcMar>
              <w:top w:w="16" w:type="dxa"/>
              <w:left w:w="16" w:type="dxa"/>
              <w:right w:w="16" w:type="dxa"/>
            </w:tcMar>
            <w:vAlign w:val="center"/>
          </w:tcPr>
          <w:p w14:paraId="6E6BB2E8">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施工工期</w:t>
            </w:r>
          </w:p>
        </w:tc>
        <w:tc>
          <w:tcPr>
            <w:tcW w:w="3054" w:type="dxa"/>
            <w:vAlign w:val="center"/>
          </w:tcPr>
          <w:p w14:paraId="34BB66C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30</w:t>
            </w:r>
            <w:r>
              <w:rPr>
                <w:rFonts w:hint="default" w:ascii="Times New Roman" w:hAnsi="Times New Roman" w:eastAsia="宋体" w:cs="Times New Roman"/>
                <w:color w:val="auto"/>
                <w:sz w:val="24"/>
                <w:highlight w:val="none"/>
              </w:rPr>
              <w:t>个月</w:t>
            </w:r>
          </w:p>
        </w:tc>
      </w:tr>
      <w:tr w14:paraId="6B19E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1" w:hRule="atLeast"/>
          <w:jc w:val="center"/>
        </w:trPr>
        <w:tc>
          <w:tcPr>
            <w:tcW w:w="1680" w:type="dxa"/>
            <w:tcMar>
              <w:top w:w="16" w:type="dxa"/>
              <w:left w:w="16" w:type="dxa"/>
              <w:right w:w="16" w:type="dxa"/>
            </w:tcMar>
            <w:vAlign w:val="center"/>
          </w:tcPr>
          <w:p w14:paraId="19BF3D7F">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是否开工建设</w:t>
            </w:r>
          </w:p>
        </w:tc>
        <w:tc>
          <w:tcPr>
            <w:tcW w:w="1946" w:type="dxa"/>
            <w:vAlign w:val="center"/>
          </w:tcPr>
          <w:p w14:paraId="73B861CA">
            <w:pPr>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否</w:t>
            </w:r>
          </w:p>
          <w:p w14:paraId="1996BEEE">
            <w:pPr>
              <w:adjustRightInd w:val="0"/>
              <w:snapToGrid w:val="0"/>
              <w:rPr>
                <w:rFonts w:hint="default" w:ascii="Times New Roman" w:hAnsi="Times New Roman" w:eastAsia="宋体" w:cs="Times New Roman"/>
                <w:color w:val="auto"/>
                <w:sz w:val="24"/>
                <w:highlight w:val="none"/>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是</w:t>
            </w:r>
            <w:r>
              <w:rPr>
                <w:rFonts w:hint="default" w:ascii="Times New Roman" w:hAnsi="Times New Roman" w:eastAsia="宋体" w:cs="Times New Roman"/>
                <w:color w:val="auto"/>
                <w:sz w:val="24"/>
                <w:highlight w:val="none"/>
                <w:u w:val="single"/>
                <w:lang w:eastAsia="zh-CN"/>
              </w:rPr>
              <w:t>：</w:t>
            </w:r>
            <w:r>
              <w:rPr>
                <w:rFonts w:hint="default" w:ascii="Times New Roman" w:hAnsi="Times New Roman" w:eastAsia="宋体" w:cs="Times New Roman"/>
                <w:color w:val="auto"/>
                <w:sz w:val="24"/>
                <w:highlight w:val="none"/>
                <w:u w:val="single"/>
              </w:rPr>
              <w:t xml:space="preserve">        </w:t>
            </w:r>
          </w:p>
        </w:tc>
        <w:tc>
          <w:tcPr>
            <w:tcW w:w="2141" w:type="dxa"/>
            <w:tcMar>
              <w:top w:w="16" w:type="dxa"/>
              <w:left w:w="16" w:type="dxa"/>
              <w:right w:w="16" w:type="dxa"/>
            </w:tcMar>
            <w:vAlign w:val="center"/>
          </w:tcPr>
          <w:p w14:paraId="47276270">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pacing w:val="-6"/>
                <w:sz w:val="24"/>
                <w:highlight w:val="none"/>
              </w:rPr>
              <w:t>用地面积（</w:t>
            </w:r>
            <w:r>
              <w:rPr>
                <w:rFonts w:hint="default" w:ascii="Times New Roman" w:hAnsi="Times New Roman" w:cs="Times New Roman"/>
                <w:b/>
                <w:bCs/>
                <w:color w:val="auto"/>
                <w:spacing w:val="-6"/>
                <w:sz w:val="24"/>
                <w:highlight w:val="none"/>
                <w:vertAlign w:val="baseline"/>
                <w:lang w:eastAsia="zh-CN"/>
              </w:rPr>
              <w:t>m</w:t>
            </w:r>
            <w:r>
              <w:rPr>
                <w:rFonts w:hint="default" w:ascii="Times New Roman" w:hAnsi="Times New Roman" w:cs="Times New Roman"/>
                <w:b/>
                <w:bCs/>
                <w:color w:val="auto"/>
                <w:spacing w:val="-6"/>
                <w:sz w:val="24"/>
                <w:highlight w:val="none"/>
                <w:vertAlign w:val="superscript"/>
                <w:lang w:eastAsia="zh-CN"/>
              </w:rPr>
              <w:t>2</w:t>
            </w:r>
            <w:r>
              <w:rPr>
                <w:rFonts w:hint="default" w:ascii="Times New Roman" w:hAnsi="Times New Roman" w:eastAsia="宋体" w:cs="Times New Roman"/>
                <w:b/>
                <w:bCs/>
                <w:color w:val="auto"/>
                <w:spacing w:val="-6"/>
                <w:sz w:val="24"/>
                <w:highlight w:val="none"/>
              </w:rPr>
              <w:t>）</w:t>
            </w:r>
          </w:p>
        </w:tc>
        <w:tc>
          <w:tcPr>
            <w:tcW w:w="3054" w:type="dxa"/>
            <w:vAlign w:val="center"/>
          </w:tcPr>
          <w:p w14:paraId="4CF84272">
            <w:pPr>
              <w:adjustRightInd w:val="0"/>
              <w:snapToGrid w:val="0"/>
              <w:jc w:val="center"/>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19796.5</w:t>
            </w:r>
          </w:p>
        </w:tc>
      </w:tr>
      <w:tr w14:paraId="5F5A80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680" w:type="dxa"/>
            <w:vAlign w:val="center"/>
          </w:tcPr>
          <w:p w14:paraId="5CDF6B3B">
            <w:pPr>
              <w:autoSpaceDE w:val="0"/>
              <w:autoSpaceDN w:val="0"/>
              <w:adjustRightInd w:val="0"/>
              <w:snapToGrid w:val="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专项评价设置情况</w:t>
            </w:r>
          </w:p>
        </w:tc>
        <w:tc>
          <w:tcPr>
            <w:tcW w:w="7141" w:type="dxa"/>
            <w:gridSpan w:val="3"/>
            <w:vAlign w:val="center"/>
          </w:tcPr>
          <w:p w14:paraId="0221A242">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无</w:t>
            </w:r>
          </w:p>
        </w:tc>
      </w:tr>
      <w:tr w14:paraId="54C3A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5" w:hRule="atLeast"/>
          <w:jc w:val="center"/>
        </w:trPr>
        <w:tc>
          <w:tcPr>
            <w:tcW w:w="1680" w:type="dxa"/>
            <w:vAlign w:val="center"/>
          </w:tcPr>
          <w:p w14:paraId="2DEFC799">
            <w:pPr>
              <w:autoSpaceDE w:val="0"/>
              <w:autoSpaceDN w:val="0"/>
              <w:adjustRightInd w:val="0"/>
              <w:snapToGrid w:val="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规划情况</w:t>
            </w:r>
          </w:p>
        </w:tc>
        <w:tc>
          <w:tcPr>
            <w:tcW w:w="7141" w:type="dxa"/>
            <w:gridSpan w:val="3"/>
            <w:vAlign w:val="center"/>
          </w:tcPr>
          <w:p w14:paraId="650A4D47">
            <w:pPr>
              <w:autoSpaceDE w:val="0"/>
              <w:autoSpaceDN w:val="0"/>
              <w:adjustRightInd w:val="0"/>
              <w:snapToGrid w:val="0"/>
              <w:spacing w:line="360" w:lineRule="auto"/>
              <w:ind w:firstLine="480" w:firstLineChars="200"/>
              <w:jc w:val="both"/>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规划</w:t>
            </w:r>
            <w:r>
              <w:rPr>
                <w:rFonts w:hint="default" w:ascii="Times New Roman" w:hAnsi="Times New Roman" w:eastAsia="宋体" w:cs="Times New Roman"/>
                <w:bCs/>
                <w:color w:val="auto"/>
                <w:kern w:val="0"/>
                <w:sz w:val="24"/>
                <w:highlight w:val="none"/>
                <w:lang w:val="en-US" w:eastAsia="zh-CN"/>
              </w:rPr>
              <w:t>名称：《鄂尔多斯市杭锦旗国土空间总体规划（2021</w:t>
            </w:r>
            <w:r>
              <w:rPr>
                <w:rFonts w:hint="default" w:ascii="Times New Roman" w:hAnsi="Times New Roman" w:cs="Times New Roman"/>
                <w:bCs/>
                <w:color w:val="auto"/>
                <w:kern w:val="0"/>
                <w:sz w:val="24"/>
                <w:highlight w:val="none"/>
                <w:lang w:val="en-US" w:eastAsia="zh-CN"/>
              </w:rPr>
              <w:t>—</w:t>
            </w:r>
            <w:r>
              <w:rPr>
                <w:rFonts w:hint="default" w:ascii="Times New Roman" w:hAnsi="Times New Roman" w:eastAsia="宋体" w:cs="Times New Roman"/>
                <w:bCs/>
                <w:color w:val="auto"/>
                <w:kern w:val="0"/>
                <w:sz w:val="24"/>
                <w:highlight w:val="none"/>
                <w:lang w:val="en-US" w:eastAsia="zh-CN"/>
              </w:rPr>
              <w:t>2035年）》；</w:t>
            </w:r>
          </w:p>
          <w:p w14:paraId="359C76D1">
            <w:pPr>
              <w:autoSpaceDE w:val="0"/>
              <w:autoSpaceDN w:val="0"/>
              <w:adjustRightInd w:val="0"/>
              <w:snapToGrid w:val="0"/>
              <w:spacing w:line="360" w:lineRule="auto"/>
              <w:ind w:firstLine="480" w:firstLineChars="200"/>
              <w:jc w:val="both"/>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bCs/>
                <w:color w:val="auto"/>
                <w:kern w:val="0"/>
                <w:sz w:val="24"/>
                <w:highlight w:val="none"/>
                <w:lang w:val="en-US" w:eastAsia="zh-CN"/>
              </w:rPr>
              <w:t>审批机关：内蒙古自治区人民政府；</w:t>
            </w:r>
          </w:p>
          <w:p w14:paraId="62C904A2">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bCs/>
                <w:color w:val="auto"/>
                <w:kern w:val="0"/>
                <w:sz w:val="24"/>
                <w:highlight w:val="none"/>
                <w:lang w:val="en-US" w:eastAsia="zh-CN"/>
              </w:rPr>
              <w:t>审批文件名称及文号：《内蒙古自治区人民政府关于鄂尔多斯市达拉特旗等7个旗国土空间总体规划（2021—2035年）的批复》（内政字〔2024〕86号）。</w:t>
            </w:r>
          </w:p>
        </w:tc>
      </w:tr>
      <w:tr w14:paraId="62F13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680" w:type="dxa"/>
            <w:vAlign w:val="center"/>
          </w:tcPr>
          <w:p w14:paraId="7045A3C9">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规划环境影响</w:t>
            </w:r>
          </w:p>
          <w:p w14:paraId="3AA95267">
            <w:pPr>
              <w:adjustRightInd w:val="0"/>
              <w:snapToGrid w:val="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评价情况</w:t>
            </w:r>
          </w:p>
        </w:tc>
        <w:tc>
          <w:tcPr>
            <w:tcW w:w="7141" w:type="dxa"/>
            <w:gridSpan w:val="3"/>
            <w:vAlign w:val="center"/>
          </w:tcPr>
          <w:p w14:paraId="0CCB00FA">
            <w:pPr>
              <w:autoSpaceDE w:val="0"/>
              <w:autoSpaceDN w:val="0"/>
              <w:adjustRightInd w:val="0"/>
              <w:snapToGrid w:val="0"/>
              <w:spacing w:line="360" w:lineRule="auto"/>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无</w:t>
            </w:r>
          </w:p>
        </w:tc>
      </w:tr>
      <w:tr w14:paraId="2EE57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680" w:type="dxa"/>
            <w:vAlign w:val="center"/>
          </w:tcPr>
          <w:p w14:paraId="0FD9BA6B">
            <w:pPr>
              <w:adjustRightInd w:val="0"/>
              <w:snapToGrid w:val="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sz w:val="24"/>
                <w:highlight w:val="none"/>
              </w:rPr>
              <w:t>规划及规划环境影响评价符合性分析</w:t>
            </w:r>
          </w:p>
        </w:tc>
        <w:tc>
          <w:tcPr>
            <w:tcW w:w="7141" w:type="dxa"/>
            <w:gridSpan w:val="3"/>
            <w:vAlign w:val="center"/>
          </w:tcPr>
          <w:p w14:paraId="238660F0">
            <w:pPr>
              <w:autoSpaceDE w:val="0"/>
              <w:autoSpaceDN w:val="0"/>
              <w:adjustRightInd w:val="0"/>
              <w:snapToGrid w:val="0"/>
              <w:spacing w:line="360" w:lineRule="auto"/>
              <w:ind w:firstLine="480" w:firstLineChars="200"/>
              <w:jc w:val="both"/>
              <w:rPr>
                <w:rFonts w:hint="default" w:ascii="Times New Roman" w:hAnsi="Times New Roman" w:cs="Times New Roman"/>
                <w:bCs/>
                <w:color w:val="auto"/>
                <w:kern w:val="0"/>
                <w:sz w:val="24"/>
                <w:highlight w:val="none"/>
                <w:lang w:val="en-US" w:eastAsia="zh-CN"/>
              </w:rPr>
            </w:pPr>
            <w:r>
              <w:rPr>
                <w:rFonts w:hint="default" w:ascii="Times New Roman" w:hAnsi="Times New Roman" w:cs="Times New Roman"/>
                <w:bCs/>
                <w:color w:val="auto"/>
                <w:kern w:val="0"/>
                <w:sz w:val="24"/>
                <w:highlight w:val="none"/>
                <w:lang w:val="en-US" w:eastAsia="zh-CN"/>
              </w:rPr>
              <w:t>根据《杭锦旗国土空间总体规划（2021—2035年）》中4.3水资源保护与利用提出：完善污水处理设施，完善中水收集设施，完善再生水工程设施。</w:t>
            </w:r>
          </w:p>
          <w:p w14:paraId="2ED14F8C">
            <w:pPr>
              <w:autoSpaceDE w:val="0"/>
              <w:autoSpaceDN w:val="0"/>
              <w:adjustRightInd w:val="0"/>
              <w:snapToGrid w:val="0"/>
              <w:spacing w:line="360" w:lineRule="auto"/>
              <w:ind w:firstLine="480" w:firstLineChars="200"/>
              <w:jc w:val="both"/>
              <w:rPr>
                <w:rFonts w:hint="default" w:ascii="Times New Roman" w:hAnsi="Times New Roman" w:eastAsia="宋体" w:cs="Times New Roman"/>
                <w:bCs/>
                <w:color w:val="auto"/>
                <w:kern w:val="0"/>
                <w:sz w:val="24"/>
                <w:highlight w:val="none"/>
              </w:rPr>
            </w:pPr>
            <w:r>
              <w:rPr>
                <w:rFonts w:hint="default" w:ascii="Times New Roman" w:hAnsi="Times New Roman" w:cs="Times New Roman"/>
                <w:bCs/>
                <w:color w:val="auto"/>
                <w:kern w:val="0"/>
                <w:sz w:val="24"/>
                <w:highlight w:val="none"/>
                <w:lang w:val="en-US" w:eastAsia="zh-CN"/>
              </w:rPr>
              <w:t>本项目为城镇生活污水处理厂三期建设工程，符合《杭锦旗国土空间总体规划（2021—2035年）》的要求。</w:t>
            </w:r>
          </w:p>
        </w:tc>
      </w:tr>
      <w:tr w14:paraId="483A96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80" w:type="dxa"/>
            <w:vAlign w:val="center"/>
          </w:tcPr>
          <w:p w14:paraId="34D06401">
            <w:pPr>
              <w:autoSpaceDE w:val="0"/>
              <w:autoSpaceDN w:val="0"/>
              <w:adjustRightInd w:val="0"/>
              <w:snapToGrid w:val="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其他符合性分析</w:t>
            </w:r>
          </w:p>
        </w:tc>
        <w:tc>
          <w:tcPr>
            <w:tcW w:w="7141" w:type="dxa"/>
            <w:gridSpan w:val="3"/>
            <w:vAlign w:val="center"/>
          </w:tcPr>
          <w:p w14:paraId="39994E95">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eastAsia="zh-CN"/>
              </w:rPr>
              <w:t>项目与鄂尔多斯市</w:t>
            </w:r>
            <w:r>
              <w:rPr>
                <w:rFonts w:hint="default" w:ascii="Times New Roman" w:hAnsi="Times New Roman" w:eastAsia="宋体" w:cs="Times New Roman"/>
                <w:color w:val="auto"/>
                <w:sz w:val="24"/>
                <w:highlight w:val="none"/>
                <w:lang w:val="en-US" w:eastAsia="zh-CN"/>
              </w:rPr>
              <w:t>生态环境分区管控要求</w:t>
            </w:r>
            <w:r>
              <w:rPr>
                <w:rFonts w:hint="default" w:ascii="Times New Roman" w:hAnsi="Times New Roman" w:eastAsia="宋体" w:cs="Times New Roman"/>
                <w:color w:val="auto"/>
                <w:sz w:val="24"/>
                <w:highlight w:val="none"/>
                <w:lang w:eastAsia="zh-CN"/>
              </w:rPr>
              <w:t>符合性分析</w:t>
            </w:r>
          </w:p>
          <w:p w14:paraId="34B7E821">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根据鄂尔多斯市生态环境局于2024年8月6日发布的</w:t>
            </w:r>
            <w:bookmarkStart w:id="2" w:name="OLE_LINK4"/>
            <w:r>
              <w:rPr>
                <w:rFonts w:hint="default" w:ascii="Times New Roman" w:hAnsi="Times New Roman" w:eastAsia="宋体" w:cs="Times New Roman"/>
                <w:color w:val="auto"/>
                <w:sz w:val="24"/>
                <w:highlight w:val="none"/>
              </w:rPr>
              <w:t>《鄂尔多斯市生态环境分区管控动态更新成果（2023年版）》</w:t>
            </w:r>
            <w:bookmarkEnd w:id="2"/>
            <w:r>
              <w:rPr>
                <w:rFonts w:hint="default" w:ascii="Times New Roman" w:hAnsi="Times New Roman" w:eastAsia="宋体" w:cs="Times New Roman"/>
                <w:color w:val="auto"/>
                <w:sz w:val="24"/>
                <w:highlight w:val="none"/>
              </w:rPr>
              <w:t>，依据生态保护红线、环境质量底线、资源利用上线等调整情况，结合全市经济社会发展和生态环境保护实际，调整优先保护、重点管控、一般管控三类环境管控单元，分区分类实施精细化管控。优先保护单元突出系统性保护，保持空间格局基本稳定，部分单元结合生态保护红线予以调整；重点管控单元突出精细化管理，空间格局与环境治理格局相匹配，部分单元根据产业园区、矿区和城镇开发边界进行调整；一般管控单元保持基本稳定，为经济社会发展和生态环境保护预留空间。调整后，全市按优先保护、重点管控、一般管控三大类划分为171个环境管控单元。其中，优先保护单元76个，面积占比64.35%；重点管控单元86个，面积占比28.10%；一般管控单元9个，面积占比7.56%</w:t>
            </w:r>
            <w:r>
              <w:rPr>
                <w:rFonts w:hint="default" w:ascii="Times New Roman" w:hAnsi="Times New Roman" w:cs="Times New Roman"/>
                <w:color w:val="auto"/>
                <w:sz w:val="24"/>
                <w:highlight w:val="none"/>
                <w:lang w:eastAsia="zh-CN"/>
              </w:rPr>
              <w:t>。</w:t>
            </w:r>
          </w:p>
          <w:p w14:paraId="4A179C9F">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生态环境准入清单保持一定的延续性，维持</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市级总体管控要求——单元管控要求</w:t>
            </w:r>
            <w:r>
              <w:rPr>
                <w:rFonts w:hint="eastAsia" w:cs="Times New Roman"/>
                <w:color w:val="auto"/>
                <w:sz w:val="24"/>
                <w:highlight w:val="none"/>
                <w:lang w:eastAsia="zh-CN"/>
              </w:rPr>
              <w:t>”</w:t>
            </w:r>
            <w:r>
              <w:rPr>
                <w:rFonts w:hint="default" w:ascii="Times New Roman" w:hAnsi="Times New Roman" w:cs="Times New Roman"/>
                <w:color w:val="auto"/>
                <w:sz w:val="24"/>
                <w:highlight w:val="none"/>
                <w:lang w:eastAsia="zh-CN"/>
              </w:rPr>
              <w:t>两个</w:t>
            </w:r>
            <w:r>
              <w:rPr>
                <w:rFonts w:hint="default" w:ascii="Times New Roman" w:hAnsi="Times New Roman" w:eastAsia="宋体" w:cs="Times New Roman"/>
                <w:color w:val="auto"/>
                <w:sz w:val="24"/>
                <w:highlight w:val="none"/>
              </w:rPr>
              <w:t>层级框架（即1个鄂尔多斯市总体准入清单、171个环境管控单元准入清单），坚持目标和问题导向，以区域生态环境质量改善目标为核心，实施差异化管理。优先保护单元以生态环境保护优先为原则，依法禁止或限制大规模、高强度的工业开发和城镇建设，确保生态环境功能不降低。重点管控单元应不断提升资源利用效率，有针对性地加强污染物排放控制和环境风险防控，解决生态环境质量不达标、生态环境风险高等问题。一般管控单元主要落实生态环境保护基本要求。</w:t>
            </w:r>
          </w:p>
          <w:p w14:paraId="49688A43">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（1）生态保护红线</w:t>
            </w:r>
          </w:p>
          <w:p w14:paraId="1F750169">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本项目位于</w:t>
            </w:r>
            <w:r>
              <w:rPr>
                <w:rFonts w:hint="default" w:ascii="Times New Roman" w:hAnsi="Times New Roman" w:cs="Times New Roman"/>
                <w:bCs/>
                <w:color w:val="auto"/>
                <w:sz w:val="24"/>
                <w:highlight w:val="none"/>
                <w:lang w:eastAsia="zh-CN"/>
              </w:rPr>
              <w:t>锡尼镇污水处理厂厂区预留空地内</w:t>
            </w:r>
            <w:r>
              <w:rPr>
                <w:rFonts w:hint="default" w:ascii="Times New Roman" w:hAnsi="Times New Roman" w:eastAsia="宋体" w:cs="Times New Roman"/>
                <w:bCs/>
                <w:color w:val="auto"/>
                <w:sz w:val="24"/>
                <w:highlight w:val="none"/>
              </w:rPr>
              <w:t>，对照鄂尔多斯市生态环境管控分区图，本项目压覆了重点管控单元</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环境管控单元名称</w:t>
            </w:r>
            <w:r>
              <w:rPr>
                <w:rFonts w:hint="default" w:ascii="Times New Roman" w:hAnsi="Times New Roman" w:eastAsia="宋体" w:cs="Times New Roman"/>
                <w:bCs/>
                <w:color w:val="auto"/>
                <w:sz w:val="24"/>
                <w:highlight w:val="none"/>
                <w:lang w:val="en-US" w:eastAsia="zh-CN"/>
              </w:rPr>
              <w:t>为</w:t>
            </w:r>
            <w:r>
              <w:rPr>
                <w:rFonts w:hint="default" w:ascii="Times New Roman" w:hAnsi="Times New Roman" w:eastAsia="宋体" w:cs="Times New Roman"/>
                <w:bCs/>
                <w:color w:val="auto"/>
                <w:sz w:val="24"/>
                <w:highlight w:val="none"/>
              </w:rPr>
              <w:t>鄂尔多斯新能源产业示范区</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经调查评价范围内无饮用水水源地、自然保护区、风景名胜区等特殊环境敏感区，不涉及生态环境脆弱区、禁止开发区域以及其他各类保护地，项目的建设符合生态保护红线的要求。</w:t>
            </w:r>
          </w:p>
          <w:p w14:paraId="66C3E079">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综上所述，本项目符合生态保护红线的要求。</w:t>
            </w:r>
          </w:p>
          <w:p w14:paraId="03877F2B">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（2）环境质量底线</w:t>
            </w:r>
          </w:p>
          <w:p w14:paraId="002635BE">
            <w:pPr>
              <w:autoSpaceDE w:val="0"/>
              <w:autoSpaceDN w:val="0"/>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eastAsia="zh-CN"/>
              </w:rPr>
              <w:t>2025年6月</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内蒙古自治区生态环境厅发布</w:t>
            </w:r>
            <w:r>
              <w:rPr>
                <w:rFonts w:hint="default" w:ascii="Times New Roman" w:hAnsi="Times New Roman" w:eastAsia="宋体" w:cs="Times New Roman"/>
                <w:bCs/>
                <w:color w:val="auto"/>
                <w:sz w:val="24"/>
                <w:highlight w:val="none"/>
                <w:lang w:eastAsia="zh-CN"/>
              </w:rPr>
              <w:t>《2024年内蒙古自治区生态环境状况公报</w:t>
            </w:r>
            <w:r>
              <w:rPr>
                <w:rFonts w:hint="default" w:ascii="Times New Roman" w:hAnsi="Times New Roman" w:eastAsia="宋体" w:cs="Times New Roman"/>
                <w:bCs/>
                <w:color w:val="auto"/>
                <w:sz w:val="24"/>
                <w:highlight w:val="none"/>
              </w:rPr>
              <w:t>》，报告指出</w:t>
            </w:r>
            <w:r>
              <w:rPr>
                <w:rFonts w:hint="eastAsia" w:cs="Times New Roman"/>
                <w:bCs/>
                <w:color w:val="auto"/>
                <w:sz w:val="24"/>
                <w:highlight w:val="none"/>
                <w:lang w:eastAsia="zh-CN"/>
              </w:rPr>
              <w:t>“</w:t>
            </w:r>
            <w:r>
              <w:rPr>
                <w:rFonts w:hint="default" w:ascii="Times New Roman" w:hAnsi="Times New Roman" w:eastAsia="宋体" w:cs="Times New Roman"/>
                <w:bCs/>
                <w:color w:val="auto"/>
                <w:sz w:val="24"/>
                <w:highlight w:val="none"/>
                <w:lang w:eastAsia="zh-CN"/>
              </w:rPr>
              <w:t>2024年，全区环境空气六项污染物年均浓度均达标</w:t>
            </w:r>
            <w:r>
              <w:rPr>
                <w:rFonts w:hint="eastAsia" w:cs="Times New Roman"/>
                <w:bCs/>
                <w:color w:val="auto"/>
                <w:sz w:val="24"/>
                <w:highlight w:val="none"/>
                <w:lang w:eastAsia="zh-CN"/>
              </w:rPr>
              <w:t>”</w:t>
            </w:r>
            <w:r>
              <w:rPr>
                <w:rFonts w:hint="default" w:ascii="Times New Roman" w:hAnsi="Times New Roman" w:eastAsia="宋体" w:cs="Times New Roman"/>
                <w:bCs/>
                <w:color w:val="auto"/>
                <w:sz w:val="24"/>
                <w:highlight w:val="none"/>
              </w:rPr>
              <w:t>。故项目所在区域为达标区域。根据</w:t>
            </w:r>
            <w:r>
              <w:rPr>
                <w:rFonts w:hint="default" w:ascii="Times New Roman" w:hAnsi="Times New Roman" w:eastAsia="宋体" w:cs="Times New Roman"/>
                <w:bCs/>
                <w:color w:val="auto"/>
                <w:sz w:val="24"/>
                <w:highlight w:val="none"/>
                <w:lang w:val="en-US" w:eastAsia="zh-CN"/>
              </w:rPr>
              <w:t>引</w:t>
            </w:r>
            <w:r>
              <w:rPr>
                <w:rFonts w:hint="default" w:ascii="Times New Roman" w:hAnsi="Times New Roman" w:eastAsia="宋体" w:cs="Times New Roman"/>
                <w:bCs/>
                <w:color w:val="auto"/>
                <w:sz w:val="24"/>
                <w:highlight w:val="none"/>
              </w:rPr>
              <w:t>用监测报告</w:t>
            </w:r>
            <w:r>
              <w:rPr>
                <w:rFonts w:hint="default" w:ascii="Times New Roman" w:hAnsi="Times New Roman" w:cs="Times New Roman"/>
                <w:bCs/>
                <w:color w:val="auto"/>
                <w:sz w:val="24"/>
                <w:highlight w:val="none"/>
                <w:lang w:eastAsia="zh-CN"/>
              </w:rPr>
              <w:t>的监测</w:t>
            </w:r>
            <w:r>
              <w:rPr>
                <w:rFonts w:hint="default" w:ascii="Times New Roman" w:hAnsi="Times New Roman" w:eastAsia="宋体" w:cs="Times New Roman"/>
                <w:bCs/>
                <w:color w:val="auto"/>
                <w:sz w:val="24"/>
                <w:highlight w:val="none"/>
              </w:rPr>
              <w:t>结果，环境空气中氨、硫化氢的平均值检测结果均可满足《环境影响评价技术导则 大气环境》</w:t>
            </w:r>
            <w:r>
              <w:rPr>
                <w:rFonts w:hint="eastAsia"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HJ 2.2</w:t>
            </w:r>
            <w:r>
              <w:rPr>
                <w:rFonts w:hint="eastAsia" w:cs="Times New Roman"/>
                <w:bCs/>
                <w:color w:val="auto"/>
                <w:sz w:val="24"/>
                <w:highlight w:val="none"/>
                <w:lang w:eastAsia="zh-CN"/>
              </w:rPr>
              <w:t>—2018</w:t>
            </w:r>
            <w:r>
              <w:rPr>
                <w:rFonts w:hint="eastAsia"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附录D中最高允许浓度限值要求</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因此，项目区域生态环境质量较好。</w:t>
            </w:r>
          </w:p>
          <w:p w14:paraId="54E87870">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cs="Times New Roman"/>
                <w:bCs/>
                <w:color w:val="auto"/>
                <w:sz w:val="24"/>
                <w:highlight w:val="none"/>
                <w:lang w:eastAsia="zh-CN"/>
              </w:rPr>
              <w:t>本项目为污水处理厂三期建设工程</w:t>
            </w:r>
            <w:r>
              <w:rPr>
                <w:rFonts w:hint="default" w:ascii="Times New Roman" w:hAnsi="Times New Roman" w:eastAsia="宋体" w:cs="Times New Roman"/>
                <w:bCs/>
                <w:color w:val="auto"/>
                <w:sz w:val="24"/>
                <w:highlight w:val="none"/>
              </w:rPr>
              <w:t>，运营过程中会产生一定量的废气、噪声和固体废物，采取相应措施后均可达标排放，不会明显降低区域环境质量现状，符合环境质量底线要求。</w:t>
            </w:r>
          </w:p>
          <w:p w14:paraId="7561464A">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（3）资源利用上线</w:t>
            </w:r>
          </w:p>
          <w:p w14:paraId="2FD278CC">
            <w:p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本项目不属于高污染、高能耗产业类型，项目资源利用包括电</w:t>
            </w:r>
            <w:r>
              <w:rPr>
                <w:rFonts w:hint="default" w:ascii="Times New Roman" w:hAnsi="Times New Roman" w:eastAsia="宋体" w:cs="Times New Roman"/>
                <w:bCs/>
                <w:color w:val="auto"/>
                <w:sz w:val="24"/>
                <w:highlight w:val="none"/>
                <w:lang w:val="en-US" w:eastAsia="zh-CN"/>
              </w:rPr>
              <w:t>源</w:t>
            </w:r>
            <w:r>
              <w:rPr>
                <w:rFonts w:hint="default" w:ascii="Times New Roman" w:hAnsi="Times New Roman" w:eastAsia="宋体" w:cs="Times New Roman"/>
                <w:bCs/>
                <w:color w:val="auto"/>
                <w:sz w:val="24"/>
                <w:highlight w:val="none"/>
              </w:rPr>
              <w:t>和原料，项目资源消耗量相对较小，不会突破区域的资源利用上线</w:t>
            </w:r>
            <w:r>
              <w:rPr>
                <w:rFonts w:hint="default" w:ascii="Times New Roman" w:hAnsi="Times New Roman" w:eastAsia="宋体" w:cs="Times New Roman"/>
                <w:color w:val="auto"/>
                <w:sz w:val="24"/>
                <w:highlight w:val="none"/>
              </w:rPr>
              <w:t>。</w:t>
            </w:r>
          </w:p>
          <w:p w14:paraId="387103F3">
            <w:pPr>
              <w:autoSpaceDE w:val="0"/>
              <w:autoSpaceDN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（4）生态环境准入清单</w:t>
            </w:r>
          </w:p>
          <w:p w14:paraId="62B152F3">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本项目位于鄂尔多斯市</w:t>
            </w:r>
            <w:r>
              <w:rPr>
                <w:rFonts w:hint="default" w:ascii="Times New Roman" w:hAnsi="Times New Roman" w:eastAsia="宋体" w:cs="Times New Roman"/>
                <w:bCs/>
                <w:color w:val="auto"/>
                <w:sz w:val="24"/>
                <w:highlight w:val="none"/>
                <w:lang w:eastAsia="zh-CN"/>
              </w:rPr>
              <w:t>杭锦旗</w:t>
            </w:r>
            <w:r>
              <w:rPr>
                <w:rFonts w:hint="default" w:ascii="Times New Roman" w:hAnsi="Times New Roman" w:cs="Times New Roman"/>
                <w:bCs/>
                <w:color w:val="auto"/>
                <w:sz w:val="24"/>
                <w:highlight w:val="none"/>
                <w:lang w:eastAsia="zh-CN"/>
              </w:rPr>
              <w:t>锡尼镇污水处理厂厂区预留空地内</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根据</w:t>
            </w:r>
            <w:r>
              <w:rPr>
                <w:rFonts w:hint="default" w:ascii="Times New Roman" w:hAnsi="Times New Roman" w:eastAsia="宋体" w:cs="Times New Roman"/>
                <w:bCs/>
                <w:color w:val="auto"/>
                <w:sz w:val="24"/>
                <w:highlight w:val="none"/>
              </w:rPr>
              <w:t>内蒙古自治区生态环境厅平台</w:t>
            </w:r>
            <w:r>
              <w:rPr>
                <w:rFonts w:hint="default" w:ascii="Times New Roman" w:hAnsi="Times New Roman" w:eastAsia="宋体" w:cs="Times New Roman"/>
                <w:bCs/>
                <w:color w:val="auto"/>
                <w:sz w:val="24"/>
                <w:highlight w:val="none"/>
                <w:lang w:val="en-US" w:eastAsia="zh-CN"/>
              </w:rPr>
              <w:t>查询结果</w:t>
            </w:r>
            <w:r>
              <w:rPr>
                <w:rFonts w:hint="default" w:ascii="Times New Roman" w:hAnsi="Times New Roman" w:eastAsia="宋体" w:cs="Times New Roman"/>
                <w:bCs/>
                <w:color w:val="auto"/>
                <w:sz w:val="24"/>
                <w:highlight w:val="none"/>
              </w:rPr>
              <w:t>，本项目所在区域为重点管控单元，环境管控单元名称</w:t>
            </w:r>
            <w:r>
              <w:rPr>
                <w:rFonts w:hint="default" w:ascii="Times New Roman" w:hAnsi="Times New Roman" w:cs="Times New Roman"/>
                <w:bCs/>
                <w:color w:val="auto"/>
                <w:sz w:val="24"/>
                <w:highlight w:val="none"/>
                <w:lang w:val="en-US" w:eastAsia="zh-CN"/>
              </w:rPr>
              <w:t>为</w:t>
            </w:r>
            <w:r>
              <w:rPr>
                <w:rFonts w:hint="default" w:ascii="Times New Roman" w:hAnsi="Times New Roman" w:eastAsia="宋体" w:cs="Times New Roman"/>
                <w:bCs/>
                <w:color w:val="auto"/>
                <w:sz w:val="24"/>
                <w:highlight w:val="none"/>
              </w:rPr>
              <w:t>鄂尔多斯新能源产业示范区，管控单元编码为Z</w:t>
            </w:r>
            <w:r>
              <w:rPr>
                <w:rFonts w:hint="default" w:ascii="Times New Roman" w:hAnsi="Times New Roman" w:cs="Times New Roman"/>
                <w:bCs/>
                <w:color w:val="auto"/>
                <w:sz w:val="24"/>
                <w:highlight w:val="none"/>
                <w:lang w:eastAsia="zh-CN"/>
              </w:rPr>
              <w:t>H</w:t>
            </w:r>
            <w:r>
              <w:rPr>
                <w:rFonts w:hint="default" w:ascii="Times New Roman" w:hAnsi="Times New Roman" w:eastAsia="宋体" w:cs="Times New Roman"/>
                <w:bCs/>
                <w:color w:val="auto"/>
                <w:sz w:val="24"/>
                <w:highlight w:val="none"/>
              </w:rPr>
              <w:t>15062520002。</w:t>
            </w:r>
          </w:p>
          <w:p w14:paraId="47C80DA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本项目与该单元的管控要求的符合性见下表：</w:t>
            </w:r>
          </w:p>
          <w:p w14:paraId="3429D8E2">
            <w:pPr>
              <w:pStyle w:val="18"/>
              <w:rPr>
                <w:rFonts w:hint="default" w:ascii="Times New Roman" w:hAnsi="Times New Roman" w:eastAsia="宋体" w:cs="Times New Roman"/>
                <w:color w:val="auto"/>
                <w:highlight w:val="none"/>
              </w:rPr>
            </w:pPr>
          </w:p>
          <w:p w14:paraId="32EBEB73">
            <w:pPr>
              <w:pStyle w:val="18"/>
              <w:rPr>
                <w:rFonts w:hint="default" w:ascii="Times New Roman" w:hAnsi="Times New Roman" w:eastAsia="宋体" w:cs="Times New Roman"/>
                <w:color w:val="auto"/>
                <w:highlight w:val="none"/>
              </w:rPr>
            </w:pPr>
          </w:p>
          <w:p w14:paraId="107347AE">
            <w:pPr>
              <w:pStyle w:val="18"/>
              <w:rPr>
                <w:rFonts w:hint="default" w:ascii="Times New Roman" w:hAnsi="Times New Roman" w:eastAsia="宋体" w:cs="Times New Roman"/>
                <w:color w:val="auto"/>
                <w:highlight w:val="none"/>
              </w:rPr>
            </w:pPr>
          </w:p>
          <w:p w14:paraId="60C12758">
            <w:pPr>
              <w:pStyle w:val="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表1-1  项目与《鄂尔多斯市生态环境准入清单》相符性分析</w:t>
            </w:r>
          </w:p>
          <w:tbl>
            <w:tblPr>
              <w:tblStyle w:val="11"/>
              <w:tblW w:w="69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99"/>
              <w:gridCol w:w="814"/>
              <w:gridCol w:w="628"/>
              <w:gridCol w:w="465"/>
              <w:gridCol w:w="1857"/>
              <w:gridCol w:w="1825"/>
              <w:gridCol w:w="437"/>
            </w:tblGrid>
            <w:tr w14:paraId="38499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99" w:type="dxa"/>
                  <w:tcBorders>
                    <w:top w:val="single" w:color="auto" w:sz="4" w:space="0"/>
                    <w:left w:val="single" w:color="auto" w:sz="0" w:space="0"/>
                  </w:tcBorders>
                  <w:noWrap w:val="0"/>
                  <w:vAlign w:val="center"/>
                </w:tcPr>
                <w:p w14:paraId="6B4BCD2A">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环境管控单元编码</w:t>
                  </w:r>
                </w:p>
              </w:tc>
              <w:tc>
                <w:tcPr>
                  <w:tcW w:w="814" w:type="dxa"/>
                  <w:tcBorders>
                    <w:top w:val="single" w:color="auto" w:sz="4" w:space="0"/>
                  </w:tcBorders>
                  <w:noWrap w:val="0"/>
                  <w:vAlign w:val="center"/>
                </w:tcPr>
                <w:p w14:paraId="4EBC5212">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环境管控单元名称</w:t>
                  </w:r>
                </w:p>
              </w:tc>
              <w:tc>
                <w:tcPr>
                  <w:tcW w:w="628" w:type="dxa"/>
                  <w:tcBorders>
                    <w:top w:val="single" w:color="auto" w:sz="4" w:space="0"/>
                  </w:tcBorders>
                  <w:noWrap w:val="0"/>
                  <w:vAlign w:val="center"/>
                </w:tcPr>
                <w:p w14:paraId="5B4F3659">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管控单元类别</w:t>
                  </w:r>
                </w:p>
              </w:tc>
              <w:tc>
                <w:tcPr>
                  <w:tcW w:w="2322" w:type="dxa"/>
                  <w:gridSpan w:val="2"/>
                  <w:tcBorders>
                    <w:top w:val="single" w:color="auto" w:sz="4" w:space="0"/>
                  </w:tcBorders>
                  <w:noWrap w:val="0"/>
                  <w:vAlign w:val="center"/>
                </w:tcPr>
                <w:p w14:paraId="75E27352">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管控要求</w:t>
                  </w:r>
                </w:p>
              </w:tc>
              <w:tc>
                <w:tcPr>
                  <w:tcW w:w="1825" w:type="dxa"/>
                  <w:tcBorders>
                    <w:top w:val="single" w:color="auto" w:sz="4" w:space="0"/>
                  </w:tcBorders>
                  <w:noWrap w:val="0"/>
                  <w:vAlign w:val="center"/>
                </w:tcPr>
                <w:p w14:paraId="2B56CCD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437" w:type="dxa"/>
                  <w:tcBorders>
                    <w:top w:val="single" w:color="auto" w:sz="4" w:space="0"/>
                    <w:right w:val="single" w:color="auto" w:sz="4" w:space="0"/>
                  </w:tcBorders>
                  <w:noWrap w:val="0"/>
                  <w:vAlign w:val="center"/>
                </w:tcPr>
                <w:p w14:paraId="7E44AEE4">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符合性分析</w:t>
                  </w:r>
                </w:p>
              </w:tc>
            </w:tr>
            <w:tr w14:paraId="2616C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99" w:type="dxa"/>
                  <w:vMerge w:val="restart"/>
                  <w:tcBorders>
                    <w:left w:val="single" w:color="auto" w:sz="4" w:space="0"/>
                  </w:tcBorders>
                  <w:noWrap w:val="0"/>
                  <w:vAlign w:val="center"/>
                </w:tcPr>
                <w:p w14:paraId="46EBF5E8">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Z</w:t>
                  </w:r>
                  <w:r>
                    <w:rPr>
                      <w:rFonts w:hint="default" w:ascii="Times New Roman" w:hAnsi="Times New Roman" w:cs="Times New Roman"/>
                      <w:color w:val="auto"/>
                      <w:sz w:val="21"/>
                      <w:szCs w:val="21"/>
                      <w:lang w:eastAsia="zh-CN"/>
                    </w:rPr>
                    <w:t>H</w:t>
                  </w:r>
                  <w:r>
                    <w:rPr>
                      <w:rFonts w:hint="default" w:ascii="Times New Roman" w:hAnsi="Times New Roman" w:eastAsia="宋体" w:cs="Times New Roman"/>
                      <w:color w:val="auto"/>
                      <w:sz w:val="21"/>
                      <w:szCs w:val="21"/>
                    </w:rPr>
                    <w:t>15062520002</w:t>
                  </w:r>
                </w:p>
              </w:tc>
              <w:tc>
                <w:tcPr>
                  <w:tcW w:w="814" w:type="dxa"/>
                  <w:vMerge w:val="restart"/>
                  <w:noWrap w:val="0"/>
                  <w:vAlign w:val="center"/>
                </w:tcPr>
                <w:p w14:paraId="55B0745F">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鄂尔多斯新能源产业示范区</w:t>
                  </w:r>
                </w:p>
              </w:tc>
              <w:tc>
                <w:tcPr>
                  <w:tcW w:w="628" w:type="dxa"/>
                  <w:vMerge w:val="restart"/>
                  <w:noWrap w:val="0"/>
                  <w:vAlign w:val="center"/>
                </w:tcPr>
                <w:p w14:paraId="2ED31D2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重点管控</w:t>
                  </w:r>
                </w:p>
                <w:p w14:paraId="292C82A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单元</w:t>
                  </w:r>
                </w:p>
              </w:tc>
              <w:tc>
                <w:tcPr>
                  <w:tcW w:w="465" w:type="dxa"/>
                  <w:noWrap w:val="0"/>
                  <w:vAlign w:val="center"/>
                </w:tcPr>
                <w:p w14:paraId="3A1E35F6">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1857" w:type="dxa"/>
                  <w:noWrap w:val="0"/>
                  <w:vAlign w:val="center"/>
                </w:tcPr>
                <w:p w14:paraId="3D8DBA10">
                  <w:pPr>
                    <w:widowControl/>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1.禁止不符合园区产业定位及规划环评等要求的项目入园；对于国家明令淘汰的落后产能和不符合国家产业政策的项目，禁止向工业园区转移。</w:t>
                  </w:r>
                </w:p>
                <w:p w14:paraId="1A2207E5">
                  <w:pPr>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2.与滞洪区、自然保护区和居民点等环境敏感区之间设置合理的防护隔离带。</w:t>
                  </w:r>
                </w:p>
              </w:tc>
              <w:tc>
                <w:tcPr>
                  <w:tcW w:w="1825" w:type="dxa"/>
                  <w:noWrap w:val="0"/>
                  <w:vAlign w:val="center"/>
                </w:tcPr>
                <w:p w14:paraId="22E9E680">
                  <w:pPr>
                    <w:snapToGrid w:val="0"/>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w:t>
                  </w:r>
                  <w:r>
                    <w:rPr>
                      <w:rFonts w:hint="default" w:ascii="Times New Roman" w:hAnsi="Times New Roman" w:cs="Times New Roman"/>
                      <w:bCs/>
                      <w:color w:val="auto"/>
                      <w:sz w:val="21"/>
                      <w:szCs w:val="21"/>
                      <w:lang w:eastAsia="zh-CN"/>
                    </w:rPr>
                    <w:t>本项目为污水处理厂三期建设工程</w:t>
                  </w:r>
                  <w:r>
                    <w:rPr>
                      <w:rFonts w:hint="default" w:ascii="Times New Roman" w:hAnsi="Times New Roman" w:eastAsia="宋体" w:cs="Times New Roman"/>
                      <w:bCs/>
                      <w:color w:val="auto"/>
                      <w:sz w:val="21"/>
                      <w:szCs w:val="21"/>
                    </w:rPr>
                    <w:t>，符合国家产业政策。</w:t>
                  </w:r>
                </w:p>
                <w:p w14:paraId="00D0E0B8">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2.项目厂址500</w:t>
                  </w:r>
                  <w:r>
                    <w:rPr>
                      <w:rFonts w:hint="default" w:ascii="Times New Roman" w:hAnsi="Times New Roman" w:cs="Times New Roman"/>
                      <w:bCs/>
                      <w:color w:val="auto"/>
                      <w:sz w:val="21"/>
                      <w:szCs w:val="21"/>
                      <w:lang w:eastAsia="zh-CN"/>
                    </w:rPr>
                    <w:t>m</w:t>
                  </w:r>
                  <w:r>
                    <w:rPr>
                      <w:rFonts w:hint="default" w:ascii="Times New Roman" w:hAnsi="Times New Roman" w:eastAsia="宋体" w:cs="Times New Roman"/>
                      <w:bCs/>
                      <w:color w:val="auto"/>
                      <w:sz w:val="21"/>
                      <w:szCs w:val="21"/>
                    </w:rPr>
                    <w:t>范围内</w:t>
                  </w:r>
                  <w:r>
                    <w:rPr>
                      <w:rFonts w:hint="default" w:ascii="Times New Roman" w:hAnsi="Times New Roman" w:cs="Times New Roman"/>
                      <w:bCs/>
                      <w:color w:val="auto"/>
                      <w:sz w:val="21"/>
                      <w:szCs w:val="21"/>
                      <w:lang w:eastAsia="zh-CN"/>
                    </w:rPr>
                    <w:t>没有</w:t>
                  </w:r>
                  <w:r>
                    <w:rPr>
                      <w:rFonts w:hint="default" w:ascii="Times New Roman" w:hAnsi="Times New Roman" w:eastAsia="宋体" w:cs="Times New Roman"/>
                      <w:bCs/>
                      <w:color w:val="auto"/>
                      <w:sz w:val="21"/>
                      <w:szCs w:val="21"/>
                    </w:rPr>
                    <w:t>居民等敏感目标。</w:t>
                  </w:r>
                </w:p>
              </w:tc>
              <w:tc>
                <w:tcPr>
                  <w:tcW w:w="437" w:type="dxa"/>
                  <w:tcBorders>
                    <w:right w:val="single" w:color="auto" w:sz="4" w:space="0"/>
                  </w:tcBorders>
                  <w:noWrap w:val="0"/>
                  <w:vAlign w:val="center"/>
                </w:tcPr>
                <w:p w14:paraId="2929106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5F15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99" w:type="dxa"/>
                  <w:vMerge w:val="continue"/>
                  <w:tcBorders>
                    <w:left w:val="single" w:color="auto" w:sz="4" w:space="0"/>
                  </w:tcBorders>
                  <w:noWrap w:val="0"/>
                  <w:vAlign w:val="center"/>
                </w:tcPr>
                <w:p w14:paraId="62C79976">
                  <w:pPr>
                    <w:adjustRightInd w:val="0"/>
                    <w:snapToGrid w:val="0"/>
                    <w:jc w:val="center"/>
                    <w:rPr>
                      <w:rFonts w:hint="default" w:ascii="Times New Roman" w:hAnsi="Times New Roman" w:eastAsia="宋体" w:cs="Times New Roman"/>
                      <w:color w:val="auto"/>
                      <w:sz w:val="21"/>
                      <w:szCs w:val="21"/>
                    </w:rPr>
                  </w:pPr>
                </w:p>
              </w:tc>
              <w:tc>
                <w:tcPr>
                  <w:tcW w:w="814" w:type="dxa"/>
                  <w:vMerge w:val="continue"/>
                  <w:noWrap w:val="0"/>
                  <w:vAlign w:val="center"/>
                </w:tcPr>
                <w:p w14:paraId="74CA124A">
                  <w:pPr>
                    <w:adjustRightInd w:val="0"/>
                    <w:snapToGrid w:val="0"/>
                    <w:jc w:val="center"/>
                    <w:rPr>
                      <w:rFonts w:hint="default" w:ascii="Times New Roman" w:hAnsi="Times New Roman" w:eastAsia="宋体" w:cs="Times New Roman"/>
                      <w:color w:val="auto"/>
                      <w:sz w:val="21"/>
                      <w:szCs w:val="21"/>
                    </w:rPr>
                  </w:pPr>
                </w:p>
              </w:tc>
              <w:tc>
                <w:tcPr>
                  <w:tcW w:w="628" w:type="dxa"/>
                  <w:vMerge w:val="continue"/>
                  <w:noWrap w:val="0"/>
                  <w:vAlign w:val="center"/>
                </w:tcPr>
                <w:p w14:paraId="220CF8F4">
                  <w:pPr>
                    <w:adjustRightInd w:val="0"/>
                    <w:snapToGrid w:val="0"/>
                    <w:jc w:val="center"/>
                    <w:rPr>
                      <w:rFonts w:hint="default" w:ascii="Times New Roman" w:hAnsi="Times New Roman" w:eastAsia="宋体" w:cs="Times New Roman"/>
                      <w:color w:val="auto"/>
                      <w:sz w:val="21"/>
                      <w:szCs w:val="21"/>
                    </w:rPr>
                  </w:pPr>
                </w:p>
              </w:tc>
              <w:tc>
                <w:tcPr>
                  <w:tcW w:w="465" w:type="dxa"/>
                  <w:noWrap w:val="0"/>
                  <w:vAlign w:val="center"/>
                </w:tcPr>
                <w:p w14:paraId="2E9C625D">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1857" w:type="dxa"/>
                  <w:noWrap w:val="0"/>
                  <w:vAlign w:val="center"/>
                </w:tcPr>
                <w:p w14:paraId="26AF92B8">
                  <w:pPr>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1.按</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清污分流</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雨污分流</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污污分流</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原则，污水应收尽收，全部回用或作为景观用水不外排。</w:t>
                  </w:r>
                </w:p>
                <w:p w14:paraId="36433601">
                  <w:pPr>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2.加强对废气特别是有毒及恶臭气体的收集和处置，严格控制挥发性有机物（VOCs）排放。</w:t>
                  </w:r>
                </w:p>
                <w:p w14:paraId="3379286B">
                  <w:pPr>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3.固体废物产生量大的化工园区应配套建设固体废物处置设施。</w:t>
                  </w:r>
                </w:p>
                <w:p w14:paraId="480372CD">
                  <w:pPr>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4.重点行业粉状物料堆场实现全封闭，块状物料</w:t>
                  </w:r>
                  <w:r>
                    <w:rPr>
                      <w:rFonts w:hint="default" w:ascii="Times New Roman" w:hAnsi="Times New Roman" w:cs="Times New Roman"/>
                      <w:color w:val="auto"/>
                      <w:sz w:val="21"/>
                      <w:szCs w:val="21"/>
                      <w:lang w:eastAsia="zh-CN"/>
                    </w:rPr>
                    <w:t>堆场</w:t>
                  </w:r>
                  <w:r>
                    <w:rPr>
                      <w:rFonts w:hint="default" w:ascii="Times New Roman" w:hAnsi="Times New Roman" w:eastAsia="宋体" w:cs="Times New Roman"/>
                      <w:color w:val="auto"/>
                      <w:sz w:val="21"/>
                      <w:szCs w:val="21"/>
                    </w:rPr>
                    <w:t>安装抑尘设施。</w:t>
                  </w:r>
                </w:p>
                <w:p w14:paraId="5EB2681E">
                  <w:pPr>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5.燃煤发电机组执行大气污染物超低排放限值。</w:t>
                  </w:r>
                </w:p>
              </w:tc>
              <w:tc>
                <w:tcPr>
                  <w:tcW w:w="1825" w:type="dxa"/>
                  <w:noWrap w:val="0"/>
                  <w:vAlign w:val="center"/>
                </w:tcPr>
                <w:p w14:paraId="7BC29CC2">
                  <w:pPr>
                    <w:snapToGrid w:val="0"/>
                    <w:jc w:val="both"/>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1.</w:t>
                  </w:r>
                  <w:r>
                    <w:rPr>
                      <w:rFonts w:hint="default" w:ascii="Times New Roman" w:hAnsi="Times New Roman" w:cs="Times New Roman"/>
                      <w:color w:val="auto"/>
                      <w:sz w:val="21"/>
                      <w:szCs w:val="21"/>
                      <w:lang w:eastAsia="zh-CN"/>
                    </w:rPr>
                    <w:t>本项目</w:t>
                  </w:r>
                  <w:r>
                    <w:rPr>
                      <w:rFonts w:hint="default" w:ascii="Times New Roman" w:hAnsi="Times New Roman" w:cs="Times New Roman"/>
                      <w:color w:val="auto"/>
                      <w:sz w:val="21"/>
                      <w:szCs w:val="21"/>
                      <w:lang w:val="en-US" w:eastAsia="zh-CN"/>
                    </w:rPr>
                    <w:t>一二期现状处理能力为8500t/d，其中3000t/a送往处于试运行阶段的杭锦旗锡尼镇污水处理厂尾水水质净化工程，其余5500t统筹用于园林绿化、鄂尔多斯市新能源产业示范区企业及内蒙古能源发电杭锦发电有限公司工业用水，不外排。</w:t>
                  </w:r>
                </w:p>
                <w:p w14:paraId="2FB1B932">
                  <w:pPr>
                    <w:snapToGrid w:val="0"/>
                    <w:jc w:val="both"/>
                    <w:rPr>
                      <w:rFonts w:hint="default" w:ascii="Times New Roman" w:hAnsi="Times New Roman" w:eastAsia="宋体" w:cs="Times New Roman"/>
                      <w:color w:val="auto"/>
                      <w:sz w:val="21"/>
                      <w:szCs w:val="21"/>
                      <w:lang w:val="en-US"/>
                    </w:rPr>
                  </w:pPr>
                  <w:r>
                    <w:rPr>
                      <w:rFonts w:hint="default" w:ascii="Times New Roman" w:hAnsi="Times New Roman" w:cs="Times New Roman"/>
                      <w:color w:val="auto"/>
                      <w:sz w:val="21"/>
                      <w:szCs w:val="21"/>
                      <w:lang w:val="en-US" w:eastAsia="zh-CN"/>
                    </w:rPr>
                    <w:t>本次</w:t>
                  </w:r>
                  <w:r>
                    <w:rPr>
                      <w:rFonts w:hint="default" w:ascii="Times New Roman" w:hAnsi="Times New Roman" w:cs="Times New Roman"/>
                      <w:color w:val="auto"/>
                      <w:sz w:val="21"/>
                      <w:szCs w:val="21"/>
                      <w:lang w:eastAsia="zh-CN"/>
                    </w:rPr>
                    <w:t>三期建设工程</w:t>
                  </w:r>
                  <w:r>
                    <w:rPr>
                      <w:rFonts w:hint="default" w:ascii="Times New Roman" w:hAnsi="Times New Roman" w:cs="Times New Roman"/>
                      <w:color w:val="auto"/>
                      <w:sz w:val="21"/>
                      <w:szCs w:val="21"/>
                      <w:lang w:val="en-US" w:eastAsia="zh-CN"/>
                    </w:rPr>
                    <w:t>建成后全厂处理</w:t>
                  </w:r>
                  <w:r>
                    <w:rPr>
                      <w:rFonts w:hint="default" w:ascii="Times New Roman" w:hAnsi="Times New Roman" w:eastAsia="宋体" w:cs="Times New Roman"/>
                      <w:color w:val="auto"/>
                      <w:sz w:val="21"/>
                      <w:szCs w:val="21"/>
                      <w:lang w:val="en-US" w:eastAsia="zh-CN"/>
                    </w:rPr>
                    <w:t>中水能力为</w:t>
                  </w:r>
                  <w:r>
                    <w:rPr>
                      <w:rFonts w:hint="default" w:ascii="Times New Roman" w:hAnsi="Times New Roman" w:cs="Times New Roman"/>
                      <w:color w:val="auto"/>
                      <w:sz w:val="21"/>
                      <w:szCs w:val="21"/>
                      <w:lang w:val="en-US" w:eastAsia="zh-CN"/>
                    </w:rPr>
                    <w:t>14000</w:t>
                  </w:r>
                  <w:r>
                    <w:rPr>
                      <w:rFonts w:hint="default" w:ascii="Times New Roman" w:hAnsi="Times New Roman" w:eastAsia="宋体" w:cs="Times New Roman"/>
                      <w:color w:val="auto"/>
                      <w:sz w:val="21"/>
                      <w:szCs w:val="21"/>
                      <w:lang w:val="en-US" w:eastAsia="zh-CN"/>
                    </w:rPr>
                    <w:t>t/d，</w:t>
                  </w:r>
                  <w:r>
                    <w:rPr>
                      <w:rFonts w:hint="default" w:ascii="Times New Roman" w:hAnsi="Times New Roman" w:cs="Times New Roman"/>
                      <w:color w:val="auto"/>
                      <w:sz w:val="21"/>
                      <w:szCs w:val="21"/>
                      <w:lang w:val="en-US" w:eastAsia="zh-CN"/>
                    </w:rPr>
                    <w:t>届时，尾水水质净化工程已完成验收正式运行，</w:t>
                  </w:r>
                  <w:r>
                    <w:rPr>
                      <w:rFonts w:hint="default" w:ascii="Times New Roman" w:hAnsi="Times New Roman" w:eastAsia="宋体" w:cs="Times New Roman"/>
                      <w:color w:val="auto"/>
                      <w:sz w:val="21"/>
                      <w:szCs w:val="21"/>
                      <w:lang w:val="en-US" w:eastAsia="zh-CN"/>
                    </w:rPr>
                    <w:t>其中</w:t>
                  </w:r>
                  <w:r>
                    <w:rPr>
                      <w:rFonts w:hint="default" w:ascii="Times New Roman" w:hAnsi="Times New Roman" w:cs="Times New Roman"/>
                      <w:color w:val="auto"/>
                      <w:sz w:val="21"/>
                      <w:szCs w:val="21"/>
                      <w:lang w:val="en-US" w:eastAsia="zh-CN"/>
                    </w:rPr>
                    <w:t>原一二期的3000</w:t>
                  </w:r>
                  <w:r>
                    <w:rPr>
                      <w:rFonts w:hint="eastAsia" w:cs="Times New Roman"/>
                      <w:color w:val="auto"/>
                      <w:sz w:val="21"/>
                      <w:szCs w:val="21"/>
                      <w:lang w:val="en-US" w:eastAsia="zh-CN"/>
                    </w:rPr>
                    <w:t>吨</w:t>
                  </w:r>
                  <w:r>
                    <w:rPr>
                      <w:rFonts w:hint="default" w:ascii="Times New Roman" w:hAnsi="Times New Roman" w:cs="Times New Roman"/>
                      <w:color w:val="auto"/>
                      <w:sz w:val="21"/>
                      <w:szCs w:val="21"/>
                      <w:lang w:val="en-US" w:eastAsia="zh-CN"/>
                    </w:rPr>
                    <w:t>及本次新增的5500</w:t>
                  </w:r>
                  <w:r>
                    <w:rPr>
                      <w:rFonts w:hint="eastAsia" w:cs="Times New Roman"/>
                      <w:color w:val="auto"/>
                      <w:sz w:val="21"/>
                      <w:szCs w:val="21"/>
                      <w:lang w:val="en-US" w:eastAsia="zh-CN"/>
                    </w:rPr>
                    <w:t>吨</w:t>
                  </w:r>
                  <w:r>
                    <w:rPr>
                      <w:rFonts w:hint="default" w:ascii="Times New Roman" w:hAnsi="Times New Roman" w:eastAsia="宋体" w:cs="Times New Roman"/>
                      <w:color w:val="auto"/>
                      <w:sz w:val="21"/>
                      <w:szCs w:val="21"/>
                      <w:lang w:val="en-US" w:eastAsia="zh-CN"/>
                    </w:rPr>
                    <w:t>排入杭锦旗锡尼镇污水处理厂尾水水质净化工程进行深度处理，处理达标后用于周边企业回用及陶赖沟生态补水。其余</w:t>
                  </w:r>
                  <w:r>
                    <w:rPr>
                      <w:rFonts w:hint="default" w:ascii="Times New Roman" w:hAnsi="Times New Roman" w:cs="Times New Roman"/>
                      <w:color w:val="auto"/>
                      <w:sz w:val="21"/>
                      <w:szCs w:val="21"/>
                      <w:lang w:val="en-US" w:eastAsia="zh-CN"/>
                    </w:rPr>
                    <w:t>5500</w:t>
                  </w:r>
                  <w:r>
                    <w:rPr>
                      <w:rFonts w:hint="eastAsia" w:cs="Times New Roman"/>
                      <w:color w:val="auto"/>
                      <w:sz w:val="21"/>
                      <w:szCs w:val="21"/>
                      <w:lang w:val="en-US" w:eastAsia="zh-CN"/>
                    </w:rPr>
                    <w:t>吨</w:t>
                  </w:r>
                  <w:r>
                    <w:rPr>
                      <w:rFonts w:hint="default" w:ascii="Times New Roman" w:hAnsi="Times New Roman" w:eastAsia="宋体" w:cs="Times New Roman"/>
                      <w:color w:val="auto"/>
                      <w:sz w:val="21"/>
                      <w:szCs w:val="21"/>
                      <w:lang w:val="en-US" w:eastAsia="zh-CN"/>
                    </w:rPr>
                    <w:t>统筹用于园林绿化、鄂尔多斯市新能源产业示范区企业及内蒙古能源发电杭锦发电有限公司工业用水</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不外排</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出水标准执行</w:t>
                  </w:r>
                  <w:r>
                    <w:rPr>
                      <w:rFonts w:hint="default" w:ascii="Times New Roman" w:hAnsi="Times New Roman" w:eastAsia="宋体" w:cs="Times New Roman"/>
                      <w:color w:val="auto"/>
                      <w:sz w:val="21"/>
                      <w:szCs w:val="21"/>
                      <w:lang w:val="en-US" w:eastAsia="zh-CN"/>
                    </w:rPr>
                    <w:t xml:space="preserve">《城镇污水处理厂污染物排放标准》（GB </w:t>
                  </w:r>
                  <w:r>
                    <w:rPr>
                      <w:rFonts w:hint="eastAsia" w:ascii="Times New Roman" w:hAnsi="Times New Roman" w:cs="Times New Roman"/>
                      <w:color w:val="auto"/>
                      <w:sz w:val="21"/>
                      <w:szCs w:val="21"/>
                      <w:lang w:val="en-US" w:eastAsia="zh-CN"/>
                    </w:rPr>
                    <w:t>18918—</w:t>
                  </w:r>
                  <w:r>
                    <w:rPr>
                      <w:rFonts w:hint="default" w:ascii="Times New Roman" w:hAnsi="Times New Roman" w:eastAsia="宋体" w:cs="Times New Roman"/>
                      <w:color w:val="auto"/>
                      <w:sz w:val="21"/>
                      <w:szCs w:val="21"/>
                      <w:lang w:val="en-US" w:eastAsia="zh-CN"/>
                    </w:rPr>
                    <w:t xml:space="preserve">2002）及其修改单中一级A标准、《城市污水再生利用工业用水水质》（GB/T </w:t>
                  </w:r>
                  <w:r>
                    <w:rPr>
                      <w:rFonts w:hint="eastAsia" w:ascii="Times New Roman" w:hAnsi="Times New Roman" w:cs="Times New Roman"/>
                      <w:color w:val="auto"/>
                      <w:sz w:val="21"/>
                      <w:szCs w:val="21"/>
                      <w:lang w:val="en-US" w:eastAsia="zh-CN"/>
                    </w:rPr>
                    <w:t>19923—</w:t>
                  </w:r>
                  <w:r>
                    <w:rPr>
                      <w:rFonts w:hint="default" w:ascii="Times New Roman" w:hAnsi="Times New Roman" w:eastAsia="宋体" w:cs="Times New Roman"/>
                      <w:color w:val="auto"/>
                      <w:sz w:val="21"/>
                      <w:szCs w:val="21"/>
                      <w:lang w:val="en-US" w:eastAsia="zh-CN"/>
                    </w:rPr>
                    <w:t>2024）</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《城市污水再生利用城市杂用水水质》（GB/T 18920</w:t>
                  </w:r>
                  <w:r>
                    <w:rPr>
                      <w:rFonts w:hint="eastAsia" w:ascii="Times New Roman" w:hAnsi="Times New Roman" w:cs="Times New Roman"/>
                      <w:color w:val="auto"/>
                      <w:sz w:val="21"/>
                      <w:szCs w:val="21"/>
                      <w:lang w:val="en-US" w:eastAsia="zh-CN"/>
                    </w:rPr>
                    <w:t>—2020</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w:t>
                  </w:r>
                </w:p>
                <w:p w14:paraId="57D5131B">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2.本项目恶臭气体经</w:t>
                  </w:r>
                  <w:r>
                    <w:rPr>
                      <w:rFonts w:hint="default" w:ascii="Times New Roman" w:hAnsi="Times New Roman" w:eastAsia="宋体" w:cs="Times New Roman"/>
                      <w:color w:val="auto"/>
                      <w:sz w:val="21"/>
                      <w:szCs w:val="21"/>
                      <w:lang w:val="en-US" w:eastAsia="zh-CN"/>
                    </w:rPr>
                    <w:t>除臭后</w:t>
                  </w:r>
                  <w:r>
                    <w:rPr>
                      <w:rFonts w:hint="default" w:ascii="Times New Roman" w:hAnsi="Times New Roman" w:eastAsia="宋体" w:cs="Times New Roman"/>
                      <w:color w:val="auto"/>
                      <w:sz w:val="21"/>
                      <w:szCs w:val="21"/>
                    </w:rPr>
                    <w:t>达标排放。</w:t>
                  </w:r>
                </w:p>
                <w:p w14:paraId="78409177">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3.本项目固体废物均得到合理处置。</w:t>
                  </w:r>
                </w:p>
                <w:p w14:paraId="294ABE0B">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4.本项目无粉状物料堆场。</w:t>
                  </w:r>
                </w:p>
                <w:p w14:paraId="6B18AEC3">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5.本项目不涉及燃煤。</w:t>
                  </w:r>
                </w:p>
              </w:tc>
              <w:tc>
                <w:tcPr>
                  <w:tcW w:w="437" w:type="dxa"/>
                  <w:tcBorders>
                    <w:right w:val="single" w:color="auto" w:sz="4" w:space="0"/>
                  </w:tcBorders>
                  <w:noWrap w:val="0"/>
                  <w:vAlign w:val="center"/>
                </w:tcPr>
                <w:p w14:paraId="6AAF937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F72C6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99" w:type="dxa"/>
                  <w:vMerge w:val="continue"/>
                  <w:tcBorders>
                    <w:left w:val="single" w:color="auto" w:sz="4" w:space="0"/>
                    <w:bottom w:val="single" w:color="auto" w:sz="4" w:space="0"/>
                  </w:tcBorders>
                  <w:noWrap w:val="0"/>
                  <w:vAlign w:val="center"/>
                </w:tcPr>
                <w:p w14:paraId="1347EC49">
                  <w:pPr>
                    <w:adjustRightInd w:val="0"/>
                    <w:snapToGrid w:val="0"/>
                    <w:jc w:val="center"/>
                    <w:rPr>
                      <w:rFonts w:hint="default" w:ascii="Times New Roman" w:hAnsi="Times New Roman" w:eastAsia="宋体" w:cs="Times New Roman"/>
                      <w:color w:val="auto"/>
                      <w:sz w:val="21"/>
                      <w:szCs w:val="21"/>
                    </w:rPr>
                  </w:pPr>
                </w:p>
              </w:tc>
              <w:tc>
                <w:tcPr>
                  <w:tcW w:w="814" w:type="dxa"/>
                  <w:vMerge w:val="continue"/>
                  <w:tcBorders>
                    <w:bottom w:val="single" w:color="auto" w:sz="4" w:space="0"/>
                  </w:tcBorders>
                  <w:noWrap w:val="0"/>
                  <w:vAlign w:val="center"/>
                </w:tcPr>
                <w:p w14:paraId="672BF451">
                  <w:pPr>
                    <w:adjustRightInd w:val="0"/>
                    <w:snapToGrid w:val="0"/>
                    <w:jc w:val="center"/>
                    <w:rPr>
                      <w:rFonts w:hint="default" w:ascii="Times New Roman" w:hAnsi="Times New Roman" w:eastAsia="宋体" w:cs="Times New Roman"/>
                      <w:color w:val="auto"/>
                      <w:sz w:val="21"/>
                      <w:szCs w:val="21"/>
                    </w:rPr>
                  </w:pPr>
                </w:p>
              </w:tc>
              <w:tc>
                <w:tcPr>
                  <w:tcW w:w="628" w:type="dxa"/>
                  <w:vMerge w:val="continue"/>
                  <w:tcBorders>
                    <w:bottom w:val="single" w:color="auto" w:sz="4" w:space="0"/>
                  </w:tcBorders>
                  <w:noWrap w:val="0"/>
                  <w:vAlign w:val="center"/>
                </w:tcPr>
                <w:p w14:paraId="53B6EAED">
                  <w:pPr>
                    <w:adjustRightInd w:val="0"/>
                    <w:snapToGrid w:val="0"/>
                    <w:jc w:val="center"/>
                    <w:rPr>
                      <w:rFonts w:hint="default" w:ascii="Times New Roman" w:hAnsi="Times New Roman" w:eastAsia="宋体" w:cs="Times New Roman"/>
                      <w:color w:val="auto"/>
                      <w:sz w:val="21"/>
                      <w:szCs w:val="21"/>
                    </w:rPr>
                  </w:pPr>
                </w:p>
              </w:tc>
              <w:tc>
                <w:tcPr>
                  <w:tcW w:w="465" w:type="dxa"/>
                  <w:tcBorders>
                    <w:bottom w:val="single" w:color="auto" w:sz="4" w:space="0"/>
                  </w:tcBorders>
                  <w:noWrap w:val="0"/>
                  <w:vAlign w:val="center"/>
                </w:tcPr>
                <w:p w14:paraId="5ED9A33B">
                  <w:pPr>
                    <w:snapToGrid w:val="0"/>
                    <w:spacing w:line="192"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资源利用效率要求</w:t>
                  </w:r>
                </w:p>
              </w:tc>
              <w:tc>
                <w:tcPr>
                  <w:tcW w:w="1857" w:type="dxa"/>
                  <w:tcBorders>
                    <w:bottom w:val="single" w:color="auto" w:sz="4" w:space="0"/>
                  </w:tcBorders>
                  <w:noWrap w:val="0"/>
                  <w:vAlign w:val="center"/>
                </w:tcPr>
                <w:p w14:paraId="75CBFE3C">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严控地下水超采。新建、改建、扩建的高耗水工业项目，禁止擅自使用地下水。食品、制药等项目取用地下水，须经有管理权限的水行政主管部门批准。</w:t>
                  </w:r>
                </w:p>
              </w:tc>
              <w:tc>
                <w:tcPr>
                  <w:tcW w:w="1825" w:type="dxa"/>
                  <w:tcBorders>
                    <w:bottom w:val="single" w:color="auto" w:sz="4" w:space="0"/>
                  </w:tcBorders>
                  <w:noWrap w:val="0"/>
                  <w:vAlign w:val="center"/>
                </w:tcPr>
                <w:p w14:paraId="16290145">
                  <w:pPr>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本项目不涉及地下水开采。本项目不属于高耗水项目。</w:t>
                  </w:r>
                </w:p>
              </w:tc>
              <w:tc>
                <w:tcPr>
                  <w:tcW w:w="437" w:type="dxa"/>
                  <w:tcBorders>
                    <w:bottom w:val="single" w:color="auto" w:sz="4" w:space="0"/>
                    <w:right w:val="single" w:color="auto" w:sz="4" w:space="0"/>
                  </w:tcBorders>
                  <w:noWrap w:val="0"/>
                  <w:vAlign w:val="center"/>
                </w:tcPr>
                <w:p w14:paraId="03AFD0C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66B5E15B">
            <w:pPr>
              <w:autoSpaceDE w:val="0"/>
              <w:autoSpaceDN w:val="0"/>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综上所述，项目的建设符合</w:t>
            </w:r>
            <w:r>
              <w:rPr>
                <w:rFonts w:hint="default" w:ascii="Times New Roman" w:hAnsi="Times New Roman" w:eastAsia="宋体" w:cs="Times New Roman"/>
                <w:color w:val="auto"/>
                <w:sz w:val="24"/>
                <w:highlight w:val="none"/>
                <w:lang w:val="en-US" w:eastAsia="zh-CN"/>
              </w:rPr>
              <w:t>鄂尔多斯市生态环境分区管控</w:t>
            </w:r>
            <w:r>
              <w:rPr>
                <w:rFonts w:hint="default" w:ascii="Times New Roman" w:hAnsi="Times New Roman" w:eastAsia="宋体" w:cs="Times New Roman"/>
                <w:color w:val="auto"/>
                <w:sz w:val="24"/>
                <w:highlight w:val="none"/>
              </w:rPr>
              <w:t>的相关要求</w:t>
            </w:r>
            <w:r>
              <w:rPr>
                <w:rFonts w:hint="default" w:ascii="Times New Roman" w:hAnsi="Times New Roman" w:cs="Times New Roman"/>
                <w:color w:val="auto"/>
                <w:sz w:val="24"/>
                <w:highlight w:val="none"/>
                <w:lang w:eastAsia="zh-CN"/>
              </w:rPr>
              <w:t>。</w:t>
            </w:r>
          </w:p>
          <w:p w14:paraId="766D997D">
            <w:pPr>
              <w:autoSpaceDE w:val="0"/>
              <w:autoSpaceDN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2.选址合理性分析</w:t>
            </w:r>
          </w:p>
          <w:p w14:paraId="65A6564E">
            <w:pPr>
              <w:autoSpaceDE w:val="0"/>
              <w:autoSpaceDN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本项目为污水处理厂三期建设工程（</w:t>
            </w:r>
            <w:r>
              <w:rPr>
                <w:rFonts w:hint="default" w:ascii="Times New Roman" w:hAnsi="Times New Roman" w:cs="Times New Roman"/>
                <w:color w:val="auto"/>
                <w:sz w:val="24"/>
                <w:highlight w:val="none"/>
                <w:lang w:val="en-US" w:eastAsia="zh-CN"/>
              </w:rPr>
              <w:t>不包含中水外输管线</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，位于鄂尔多斯市</w:t>
            </w:r>
            <w:r>
              <w:rPr>
                <w:rFonts w:hint="default" w:ascii="Times New Roman" w:hAnsi="Times New Roman" w:eastAsia="宋体" w:cs="Times New Roman"/>
                <w:color w:val="auto"/>
                <w:sz w:val="24"/>
                <w:highlight w:val="none"/>
                <w:lang w:eastAsia="zh-CN"/>
              </w:rPr>
              <w:t>杭锦旗</w:t>
            </w:r>
            <w:r>
              <w:rPr>
                <w:rFonts w:hint="default" w:ascii="Times New Roman" w:hAnsi="Times New Roman" w:cs="Times New Roman"/>
                <w:color w:val="auto"/>
                <w:sz w:val="24"/>
                <w:highlight w:val="none"/>
                <w:lang w:eastAsia="zh-CN"/>
              </w:rPr>
              <w:t>锡尼镇污水处理厂厂区预留空地内</w:t>
            </w:r>
            <w:r>
              <w:rPr>
                <w:rFonts w:hint="default" w:ascii="Times New Roman" w:hAnsi="Times New Roman" w:eastAsia="宋体" w:cs="Times New Roman"/>
                <w:color w:val="auto"/>
                <w:sz w:val="24"/>
                <w:highlight w:val="none"/>
              </w:rPr>
              <w:t>，所在区域未占用农田、林地、自然保护区、风景名胜区等</w:t>
            </w:r>
            <w:r>
              <w:rPr>
                <w:rFonts w:hint="default" w:ascii="Times New Roman" w:hAnsi="Times New Roman" w:eastAsia="宋体" w:cs="Times New Roman"/>
                <w:color w:val="auto"/>
                <w:sz w:val="24"/>
                <w:highlight w:val="none"/>
                <w:lang w:eastAsia="zh-CN"/>
              </w:rPr>
              <w:t>。</w:t>
            </w:r>
          </w:p>
          <w:p w14:paraId="3949DEF4">
            <w:pPr>
              <w:autoSpaceDE w:val="0"/>
              <w:autoSpaceDN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rPr>
              <w:t>本项目厂址500</w:t>
            </w:r>
            <w:r>
              <w:rPr>
                <w:rFonts w:hint="default" w:ascii="Times New Roman" w:hAnsi="Times New Roman" w:cs="Times New Roman"/>
                <w:bCs/>
                <w:color w:val="auto"/>
                <w:sz w:val="24"/>
                <w:highlight w:val="none"/>
                <w:lang w:eastAsia="zh-CN"/>
              </w:rPr>
              <w:t>m</w:t>
            </w:r>
            <w:r>
              <w:rPr>
                <w:rFonts w:hint="default" w:ascii="Times New Roman" w:hAnsi="Times New Roman" w:eastAsia="宋体" w:cs="Times New Roman"/>
                <w:bCs/>
                <w:color w:val="auto"/>
                <w:sz w:val="24"/>
                <w:highlight w:val="none"/>
              </w:rPr>
              <w:t>范围内无居民等敏感目标，且采取报告表中提出的各项环保措施后，本项目的建设对环境影响较小</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因此，本项目选址合理</w:t>
            </w:r>
            <w:r>
              <w:rPr>
                <w:rFonts w:hint="default" w:ascii="Times New Roman" w:hAnsi="Times New Roman" w:eastAsia="宋体" w:cs="Times New Roman"/>
                <w:color w:val="auto"/>
                <w:sz w:val="24"/>
                <w:highlight w:val="none"/>
              </w:rPr>
              <w:t>。</w:t>
            </w:r>
          </w:p>
          <w:p w14:paraId="61FB10B4">
            <w:pPr>
              <w:autoSpaceDE w:val="0"/>
              <w:autoSpaceDN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3.产业政策符合性分析</w:t>
            </w:r>
          </w:p>
          <w:p w14:paraId="46D3F73E">
            <w:pPr>
              <w:autoSpaceDE w:val="0"/>
              <w:autoSpaceDN w:val="0"/>
              <w:spacing w:line="360" w:lineRule="auto"/>
              <w:ind w:firstLine="480" w:firstLineChars="20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本项目为污水处理厂三期建设工程</w:t>
            </w:r>
            <w:r>
              <w:rPr>
                <w:rFonts w:hint="default" w:ascii="Times New Roman" w:hAnsi="Times New Roman" w:eastAsia="宋体" w:cs="Times New Roman"/>
                <w:color w:val="auto"/>
                <w:sz w:val="24"/>
                <w:highlight w:val="none"/>
              </w:rPr>
              <w:t>，项目属于</w:t>
            </w:r>
            <w:r>
              <w:rPr>
                <w:rFonts w:hint="default" w:ascii="Times New Roman" w:hAnsi="Times New Roman" w:eastAsia="宋体" w:cs="Times New Roman"/>
                <w:bCs/>
                <w:color w:val="auto"/>
                <w:sz w:val="24"/>
                <w:highlight w:val="none"/>
              </w:rPr>
              <w:t>《产业结构调整指导目录（2024年本）》（中华人民共和国国家发展和改革委员会令第7号，自2024年2月1日起施行）</w:t>
            </w:r>
            <w:r>
              <w:rPr>
                <w:rFonts w:hint="default" w:ascii="Times New Roman" w:hAnsi="Times New Roman" w:eastAsia="宋体" w:cs="Times New Roman"/>
                <w:color w:val="auto"/>
                <w:sz w:val="24"/>
                <w:highlight w:val="none"/>
              </w:rPr>
              <w:t>中</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鼓励类</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四十二、环境保护与资源节约综合利用，3．城镇污水垃圾处理：城镇生活污水处理</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lang w:eastAsia="zh-CN"/>
              </w:rPr>
              <w:t>。</w:t>
            </w:r>
          </w:p>
          <w:p w14:paraId="2356227D">
            <w:pPr>
              <w:autoSpaceDE w:val="0"/>
              <w:autoSpaceDN w:val="0"/>
              <w:spacing w:line="360" w:lineRule="auto"/>
              <w:ind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2026年3月25日，项目取得《杭锦旗发展和改革委员会关于杭锦旗污水厂三期建设项目可行性研究报告批复的通知》（杭发改发〔2026〕31号）。</w:t>
            </w:r>
          </w:p>
          <w:p w14:paraId="1CB78A1F">
            <w:pPr>
              <w:autoSpaceDE w:val="0"/>
              <w:autoSpaceDN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综上，</w:t>
            </w:r>
            <w:r>
              <w:rPr>
                <w:rFonts w:hint="default" w:ascii="Times New Roman" w:hAnsi="Times New Roman" w:eastAsia="宋体" w:cs="Times New Roman"/>
                <w:color w:val="auto"/>
                <w:sz w:val="24"/>
                <w:highlight w:val="none"/>
              </w:rPr>
              <w:t>项目的建设符合国家产业政策。</w:t>
            </w:r>
          </w:p>
        </w:tc>
      </w:tr>
    </w:tbl>
    <w:p w14:paraId="478076B7">
      <w:pPr>
        <w:spacing w:line="360" w:lineRule="auto"/>
        <w:outlineLvl w:val="0"/>
        <w:rPr>
          <w:rFonts w:hint="default" w:ascii="Times New Roman" w:hAnsi="Times New Roman" w:eastAsia="宋体" w:cs="Times New Roman"/>
          <w:color w:val="auto"/>
          <w:sz w:val="30"/>
          <w:highlight w:val="none"/>
        </w:rPr>
        <w:sectPr>
          <w:footerReference r:id="rId3" w:type="default"/>
          <w:pgSz w:w="11906" w:h="16838"/>
          <w:pgMar w:top="1417" w:right="1531" w:bottom="1417"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356A75E5">
      <w:pPr>
        <w:pStyle w:val="9"/>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二、建设项目工程分析</w:t>
      </w:r>
    </w:p>
    <w:tbl>
      <w:tblPr>
        <w:tblStyle w:val="11"/>
        <w:tblW w:w="490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6"/>
        <w:gridCol w:w="8355"/>
      </w:tblGrid>
      <w:tr w14:paraId="1F2600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44" w:hRule="atLeast"/>
          <w:jc w:val="center"/>
        </w:trPr>
        <w:tc>
          <w:tcPr>
            <w:tcW w:w="296" w:type="pct"/>
            <w:vAlign w:val="center"/>
          </w:tcPr>
          <w:p w14:paraId="786901F3">
            <w:pPr>
              <w:pStyle w:val="9"/>
              <w:adjustRightInd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w:t>
            </w:r>
          </w:p>
        </w:tc>
        <w:tc>
          <w:tcPr>
            <w:tcW w:w="4703" w:type="pct"/>
          </w:tcPr>
          <w:p w14:paraId="2CCCE9EE">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left"/>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1.项目由来</w:t>
            </w:r>
          </w:p>
          <w:p w14:paraId="402821F9">
            <w:pPr>
              <w:spacing w:line="360" w:lineRule="auto"/>
              <w:ind w:firstLine="480" w:firstLineChars="200"/>
              <w:jc w:val="left"/>
              <w:rPr>
                <w:rFonts w:hint="default" w:ascii="Times New Roman" w:hAnsi="Times New Roman" w:eastAsia="宋体" w:cs="Times New Roman"/>
                <w:bCs/>
                <w:color w:val="auto"/>
                <w:sz w:val="24"/>
                <w:highlight w:val="none"/>
                <w:lang w:val="en-US" w:eastAsia="zh-CN" w:bidi="zh-TW"/>
              </w:rPr>
            </w:pPr>
            <w:r>
              <w:rPr>
                <w:rFonts w:hint="default" w:ascii="Times New Roman" w:hAnsi="Times New Roman" w:eastAsia="宋体" w:cs="Times New Roman"/>
                <w:bCs/>
                <w:color w:val="auto"/>
                <w:sz w:val="24"/>
                <w:highlight w:val="none"/>
                <w:lang w:val="en-US" w:eastAsia="zh-CN"/>
              </w:rPr>
              <w:t>杭锦旗锡尼镇是全旗政治、经济、文化与居住中心，近年来随着城市更新行动、镇区扩容提质、人口与产业集聚</w:t>
            </w:r>
            <w:r>
              <w:rPr>
                <w:rFonts w:hint="default" w:ascii="Times New Roman" w:hAnsi="Times New Roman" w:cs="Times New Roman"/>
                <w:bCs/>
                <w:color w:val="auto"/>
                <w:sz w:val="24"/>
                <w:highlight w:val="none"/>
                <w:lang w:val="en-US" w:eastAsia="zh-CN"/>
              </w:rPr>
              <w:t>等进程</w:t>
            </w:r>
            <w:r>
              <w:rPr>
                <w:rFonts w:hint="default" w:ascii="Times New Roman" w:hAnsi="Times New Roman" w:eastAsia="宋体" w:cs="Times New Roman"/>
                <w:bCs/>
                <w:color w:val="auto"/>
                <w:sz w:val="24"/>
                <w:highlight w:val="none"/>
                <w:lang w:val="en-US" w:eastAsia="zh-CN"/>
              </w:rPr>
              <w:t>加快，城镇污水产生量持续快速增长。杭锦旗锡尼镇污水处理厂承担着锡尼镇及周边部分区域的污水处理任务。锡尼镇污水处理厂</w:t>
            </w:r>
            <w:r>
              <w:rPr>
                <w:rFonts w:hint="default" w:ascii="Times New Roman" w:hAnsi="Times New Roman" w:cs="Times New Roman"/>
                <w:bCs/>
                <w:color w:val="auto"/>
                <w:sz w:val="24"/>
                <w:highlight w:val="none"/>
                <w:lang w:val="en-US" w:eastAsia="zh-CN"/>
              </w:rPr>
              <w:t>总体</w:t>
            </w:r>
            <w:r>
              <w:rPr>
                <w:rFonts w:hint="default" w:ascii="Times New Roman" w:hAnsi="Times New Roman" w:eastAsia="宋体" w:cs="Times New Roman"/>
                <w:bCs/>
                <w:color w:val="auto"/>
                <w:sz w:val="24"/>
                <w:highlight w:val="none"/>
                <w:lang w:val="en-US" w:eastAsia="zh-CN"/>
              </w:rPr>
              <w:t>设计处理能力为25000</w:t>
            </w:r>
            <w:r>
              <w:rPr>
                <w:rFonts w:hint="default" w:ascii="Times New Roman" w:hAnsi="Times New Roman" w:cs="Times New Roman"/>
                <w:bCs/>
                <w:color w:val="auto"/>
                <w:sz w:val="24"/>
                <w:highlight w:val="none"/>
                <w:vertAlign w:val="baseline"/>
                <w:lang w:val="en-US" w:eastAsia="zh-CN"/>
              </w:rPr>
              <w:t>m</w:t>
            </w:r>
            <w:r>
              <w:rPr>
                <w:rFonts w:hint="default" w:ascii="Times New Roman" w:hAnsi="Times New Roman"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lang w:val="en-US" w:eastAsia="zh-CN"/>
              </w:rPr>
              <w:t>/d，</w:t>
            </w:r>
            <w:r>
              <w:rPr>
                <w:rFonts w:hint="default" w:ascii="Times New Roman" w:hAnsi="Times New Roman" w:cs="Times New Roman"/>
                <w:bCs/>
                <w:color w:val="auto"/>
                <w:sz w:val="24"/>
                <w:highlight w:val="none"/>
                <w:lang w:val="en-US" w:eastAsia="zh-CN"/>
              </w:rPr>
              <w:t>其中</w:t>
            </w:r>
            <w:r>
              <w:rPr>
                <w:rFonts w:hint="default" w:ascii="Times New Roman" w:hAnsi="Times New Roman" w:eastAsia="宋体" w:cs="Times New Roman"/>
                <w:bCs/>
                <w:color w:val="auto"/>
                <w:sz w:val="24"/>
                <w:highlight w:val="none"/>
                <w:lang w:val="en-US" w:eastAsia="zh-CN"/>
              </w:rPr>
              <w:t>一期工程初始设计处理能力为5000t/d，</w:t>
            </w:r>
            <w:r>
              <w:rPr>
                <w:rFonts w:hint="default" w:ascii="Times New Roman" w:hAnsi="Times New Roman" w:cs="Times New Roman"/>
                <w:bCs/>
                <w:color w:val="auto"/>
                <w:sz w:val="24"/>
                <w:highlight w:val="none"/>
                <w:lang w:val="en-US" w:eastAsia="zh-CN"/>
              </w:rPr>
              <w:t>一期工程于2010年9月验收后投入运营。</w:t>
            </w:r>
            <w:r>
              <w:rPr>
                <w:rFonts w:hint="default" w:ascii="Times New Roman" w:hAnsi="Times New Roman" w:eastAsia="宋体" w:cs="Times New Roman"/>
                <w:bCs/>
                <w:color w:val="auto"/>
                <w:sz w:val="24"/>
                <w:highlight w:val="none"/>
                <w:lang w:val="en-US" w:eastAsia="zh-CN"/>
              </w:rPr>
              <w:t>2019年二期工程扩建后分担一期污水处理负荷，使一期污水厂处理能力减为原设计规模的40%，即2000t/d，</w:t>
            </w:r>
            <w:r>
              <w:rPr>
                <w:rFonts w:hint="default" w:ascii="Times New Roman" w:hAnsi="Times New Roman" w:cs="Times New Roman"/>
                <w:bCs/>
                <w:color w:val="auto"/>
                <w:sz w:val="24"/>
                <w:highlight w:val="none"/>
                <w:lang w:val="en-US" w:eastAsia="zh-CN"/>
              </w:rPr>
              <w:t>提高</w:t>
            </w:r>
            <w:r>
              <w:rPr>
                <w:rFonts w:hint="default" w:ascii="Times New Roman" w:hAnsi="Times New Roman" w:eastAsia="宋体" w:cs="Times New Roman"/>
                <w:bCs/>
                <w:color w:val="auto"/>
                <w:sz w:val="24"/>
                <w:highlight w:val="none"/>
                <w:lang w:val="en-US" w:eastAsia="zh-CN"/>
              </w:rPr>
              <w:t>水</w:t>
            </w:r>
            <w:r>
              <w:rPr>
                <w:rFonts w:hint="default" w:ascii="Times New Roman" w:hAnsi="Times New Roman" w:cs="Times New Roman"/>
                <w:bCs/>
                <w:color w:val="auto"/>
                <w:sz w:val="24"/>
                <w:highlight w:val="none"/>
                <w:lang w:val="en-US" w:eastAsia="zh-CN"/>
              </w:rPr>
              <w:t>力停</w:t>
            </w:r>
            <w:r>
              <w:rPr>
                <w:rFonts w:hint="default" w:ascii="Times New Roman" w:hAnsi="Times New Roman" w:eastAsia="宋体" w:cs="Times New Roman"/>
                <w:bCs/>
                <w:color w:val="auto"/>
                <w:sz w:val="24"/>
                <w:highlight w:val="none"/>
                <w:lang w:val="en-US" w:eastAsia="zh-CN"/>
              </w:rPr>
              <w:t>留时间，从而保证污水可以稳定达标。</w:t>
            </w:r>
            <w:r>
              <w:rPr>
                <w:rFonts w:hint="default" w:ascii="Times New Roman" w:hAnsi="Times New Roman" w:eastAsia="宋体" w:cs="Times New Roman"/>
                <w:bCs/>
                <w:color w:val="auto"/>
                <w:sz w:val="24"/>
                <w:highlight w:val="none"/>
                <w:lang w:val="en-US" w:eastAsia="zh-CN" w:bidi="zh-TW"/>
              </w:rPr>
              <w:t>杭锦旗锡尼镇污水处理厂一期工程现有处理能力为2000t/d，处理工艺采用</w:t>
            </w:r>
            <w:r>
              <w:rPr>
                <w:rFonts w:hint="eastAsia" w:cs="Times New Roman"/>
                <w:bCs/>
                <w:color w:val="auto"/>
                <w:sz w:val="24"/>
                <w:highlight w:val="none"/>
                <w:lang w:val="en-US" w:eastAsia="zh-CN" w:bidi="zh-TW"/>
              </w:rPr>
              <w:t>“</w:t>
            </w:r>
            <w:r>
              <w:rPr>
                <w:rFonts w:hint="default" w:ascii="Times New Roman" w:hAnsi="Times New Roman" w:eastAsia="宋体" w:cs="Times New Roman"/>
                <w:bCs/>
                <w:color w:val="auto"/>
                <w:sz w:val="24"/>
                <w:highlight w:val="none"/>
                <w:lang w:val="en-US" w:eastAsia="zh-CN" w:bidi="zh-TW"/>
              </w:rPr>
              <w:t>AAO法+磁混凝澄清池</w:t>
            </w:r>
            <w:r>
              <w:rPr>
                <w:rFonts w:hint="eastAsia" w:cs="Times New Roman"/>
                <w:bCs/>
                <w:color w:val="auto"/>
                <w:sz w:val="24"/>
                <w:highlight w:val="none"/>
                <w:lang w:val="en-US" w:eastAsia="zh-CN" w:bidi="zh-TW"/>
              </w:rPr>
              <w:t>”</w:t>
            </w:r>
            <w:r>
              <w:rPr>
                <w:rFonts w:hint="default" w:ascii="Times New Roman" w:hAnsi="Times New Roman" w:eastAsia="宋体" w:cs="Times New Roman"/>
                <w:bCs/>
                <w:color w:val="auto"/>
                <w:sz w:val="24"/>
                <w:highlight w:val="none"/>
                <w:lang w:val="en-US" w:eastAsia="zh-CN" w:bidi="zh-TW"/>
              </w:rPr>
              <w:t>工艺</w:t>
            </w:r>
            <w:r>
              <w:rPr>
                <w:rFonts w:hint="default" w:ascii="Times New Roman" w:hAnsi="Times New Roman" w:cs="Times New Roman"/>
                <w:bCs/>
                <w:color w:val="auto"/>
                <w:sz w:val="24"/>
                <w:highlight w:val="none"/>
                <w:lang w:val="en-US" w:eastAsia="zh-CN" w:bidi="zh-TW"/>
              </w:rPr>
              <w:t>；</w:t>
            </w:r>
            <w:r>
              <w:rPr>
                <w:rFonts w:hint="default" w:ascii="Times New Roman" w:hAnsi="Times New Roman" w:eastAsia="宋体" w:cs="Times New Roman"/>
                <w:bCs/>
                <w:color w:val="auto"/>
                <w:sz w:val="24"/>
                <w:highlight w:val="none"/>
                <w:lang w:val="en-US" w:eastAsia="zh-CN" w:bidi="zh-TW"/>
              </w:rPr>
              <w:t>二期工程现有处理能力为6500t/d，处理工艺采用</w:t>
            </w:r>
            <w:r>
              <w:rPr>
                <w:rFonts w:hint="eastAsia" w:cs="Times New Roman"/>
                <w:bCs/>
                <w:color w:val="auto"/>
                <w:sz w:val="24"/>
                <w:highlight w:val="none"/>
                <w:lang w:val="en-US" w:eastAsia="zh-CN" w:bidi="zh-TW"/>
              </w:rPr>
              <w:t>“</w:t>
            </w:r>
            <w:r>
              <w:rPr>
                <w:rFonts w:hint="default" w:ascii="Times New Roman" w:hAnsi="Times New Roman" w:eastAsia="宋体" w:cs="Times New Roman"/>
                <w:bCs/>
                <w:color w:val="auto"/>
                <w:sz w:val="24"/>
                <w:highlight w:val="none"/>
                <w:lang w:val="en-US" w:eastAsia="zh-CN" w:bidi="zh-TW"/>
              </w:rPr>
              <w:t>五段Bardenpho+磁混凝澄清池</w:t>
            </w:r>
            <w:r>
              <w:rPr>
                <w:rFonts w:hint="eastAsia" w:cs="Times New Roman"/>
                <w:bCs/>
                <w:color w:val="auto"/>
                <w:sz w:val="24"/>
                <w:highlight w:val="none"/>
                <w:lang w:val="en-US" w:eastAsia="zh-CN" w:bidi="zh-TW"/>
              </w:rPr>
              <w:t>”</w:t>
            </w:r>
            <w:r>
              <w:rPr>
                <w:rFonts w:hint="default" w:ascii="Times New Roman" w:hAnsi="Times New Roman" w:cs="Times New Roman"/>
                <w:bCs/>
                <w:color w:val="auto"/>
                <w:sz w:val="24"/>
                <w:highlight w:val="none"/>
                <w:lang w:val="en-US" w:eastAsia="zh-CN" w:bidi="zh-TW"/>
              </w:rPr>
              <w:t>工艺</w:t>
            </w:r>
            <w:r>
              <w:rPr>
                <w:rFonts w:hint="default" w:ascii="Times New Roman" w:hAnsi="Times New Roman" w:eastAsia="宋体" w:cs="Times New Roman"/>
                <w:bCs/>
                <w:color w:val="auto"/>
                <w:sz w:val="24"/>
                <w:highlight w:val="none"/>
                <w:lang w:val="en-US" w:eastAsia="zh-CN" w:bidi="zh-TW"/>
              </w:rPr>
              <w:t>。</w:t>
            </w:r>
          </w:p>
          <w:p w14:paraId="3BB78010">
            <w:pPr>
              <w:spacing w:line="360" w:lineRule="auto"/>
              <w:ind w:firstLine="480" w:firstLineChars="200"/>
              <w:jc w:val="left"/>
              <w:rPr>
                <w:rFonts w:hint="default" w:ascii="Times New Roman" w:hAnsi="Times New Roman" w:eastAsia="宋体" w:cs="Times New Roman"/>
                <w:bCs/>
                <w:color w:val="auto"/>
                <w:sz w:val="24"/>
                <w:highlight w:val="none"/>
                <w:lang w:val="en-US" w:eastAsia="zh-CN" w:bidi="zh-TW"/>
              </w:rPr>
            </w:pPr>
            <w:r>
              <w:rPr>
                <w:rFonts w:hint="default" w:ascii="Times New Roman" w:hAnsi="Times New Roman" w:eastAsia="宋体" w:cs="Times New Roman"/>
                <w:bCs/>
                <w:color w:val="auto"/>
                <w:sz w:val="24"/>
                <w:highlight w:val="none"/>
                <w:lang w:val="en-US" w:eastAsia="zh-CN" w:bidi="zh-TW"/>
              </w:rPr>
              <w:t>随着城区排水规模持续增加，现运行的二期污水处理厂处于高负荷运行状态。</w:t>
            </w:r>
            <w:r>
              <w:rPr>
                <w:rFonts w:hint="default" w:ascii="Times New Roman" w:hAnsi="Times New Roman" w:cs="Times New Roman"/>
                <w:bCs/>
                <w:color w:val="auto"/>
                <w:sz w:val="24"/>
                <w:highlight w:val="none"/>
                <w:lang w:val="en-US" w:eastAsia="zh-CN" w:bidi="zh-TW"/>
              </w:rPr>
              <w:t>故于2025年提出改造一期工程，并于</w:t>
            </w:r>
            <w:r>
              <w:rPr>
                <w:rFonts w:hint="default" w:ascii="Times New Roman" w:hAnsi="Times New Roman" w:eastAsia="宋体" w:cs="Times New Roman"/>
                <w:bCs/>
                <w:color w:val="auto"/>
                <w:sz w:val="24"/>
                <w:highlight w:val="none"/>
                <w:lang w:val="en-US" w:eastAsia="zh-CN" w:bidi="zh-TW"/>
              </w:rPr>
              <w:t>2025年9月26日取得《鄂尔多斯市生态环境局杭锦旗分局关于杭锦旗污水厂更新改造建设项目环境影响报告表的批复》（鄂杭环审字〔2025〕17号），计划将一期工程污水处理规模更新改造</w:t>
            </w:r>
            <w:r>
              <w:rPr>
                <w:rFonts w:hint="default" w:ascii="Times New Roman" w:hAnsi="Times New Roman" w:cs="Times New Roman"/>
                <w:bCs/>
                <w:color w:val="auto"/>
                <w:sz w:val="24"/>
                <w:highlight w:val="none"/>
                <w:lang w:val="en-US" w:eastAsia="zh-CN" w:bidi="zh-TW"/>
              </w:rPr>
              <w:t>为</w:t>
            </w:r>
            <w:r>
              <w:rPr>
                <w:rFonts w:hint="default" w:ascii="Times New Roman" w:hAnsi="Times New Roman" w:eastAsia="宋体" w:cs="Times New Roman"/>
                <w:bCs/>
                <w:color w:val="auto"/>
                <w:sz w:val="24"/>
                <w:highlight w:val="none"/>
                <w:lang w:val="en-US" w:eastAsia="zh-CN" w:bidi="zh-TW"/>
              </w:rPr>
              <w:t>5000t/d，二期工程</w:t>
            </w:r>
            <w:r>
              <w:rPr>
                <w:rFonts w:hint="default" w:ascii="Times New Roman" w:hAnsi="Times New Roman" w:cs="Times New Roman"/>
                <w:bCs/>
                <w:color w:val="auto"/>
                <w:sz w:val="24"/>
                <w:highlight w:val="none"/>
                <w:lang w:val="en-US" w:eastAsia="zh-CN" w:bidi="zh-TW"/>
              </w:rPr>
              <w:t>污水</w:t>
            </w:r>
            <w:r>
              <w:rPr>
                <w:rFonts w:hint="default" w:ascii="Times New Roman" w:hAnsi="Times New Roman" w:eastAsia="宋体" w:cs="Times New Roman"/>
                <w:bCs/>
                <w:color w:val="auto"/>
                <w:sz w:val="24"/>
                <w:highlight w:val="none"/>
                <w:lang w:val="en-US" w:eastAsia="zh-CN" w:bidi="zh-TW"/>
              </w:rPr>
              <w:t>处理规模不变，污水厂总体处理能力为11500t/d。</w:t>
            </w:r>
          </w:p>
          <w:p w14:paraId="264A5627">
            <w:pPr>
              <w:spacing w:line="360" w:lineRule="auto"/>
              <w:ind w:firstLine="480" w:firstLineChars="200"/>
              <w:jc w:val="left"/>
              <w:rPr>
                <w:rFonts w:hint="default" w:ascii="Times New Roman" w:hAnsi="Times New Roman" w:eastAsia="宋体" w:cs="Times New Roman"/>
                <w:bCs/>
                <w:color w:val="auto"/>
                <w:sz w:val="24"/>
                <w:highlight w:val="none"/>
                <w:lang w:val="en-US" w:eastAsia="zh-CN" w:bidi="zh-TW"/>
              </w:rPr>
            </w:pPr>
            <w:r>
              <w:rPr>
                <w:rFonts w:hint="default" w:ascii="Times New Roman" w:hAnsi="Times New Roman" w:eastAsia="宋体" w:cs="Times New Roman"/>
                <w:bCs/>
                <w:color w:val="auto"/>
                <w:sz w:val="24"/>
                <w:highlight w:val="none"/>
                <w:lang w:val="en-US" w:eastAsia="zh-CN" w:bidi="zh-TW"/>
              </w:rPr>
              <w:t>但随着锡尼镇平房区改造推进、新建小区陆续投用、污水收集管网持续完善以及常住人口不断增加，现有污水处理设施已接近满负荷运行，雨季及高峰时段存在超负荷运行和溢流风险。随着镇区开发力度加大、污水收集范围进一步扩大，污水产生量将</w:t>
            </w:r>
            <w:r>
              <w:rPr>
                <w:rFonts w:hint="eastAsia" w:cs="Times New Roman"/>
                <w:bCs/>
                <w:color w:val="auto"/>
                <w:sz w:val="24"/>
                <w:highlight w:val="none"/>
                <w:lang w:val="en-US" w:eastAsia="zh-CN" w:bidi="zh-TW"/>
              </w:rPr>
              <w:t>会</w:t>
            </w:r>
            <w:r>
              <w:rPr>
                <w:rFonts w:hint="default" w:ascii="Times New Roman" w:hAnsi="Times New Roman" w:eastAsia="宋体" w:cs="Times New Roman"/>
                <w:bCs/>
                <w:color w:val="auto"/>
                <w:sz w:val="24"/>
                <w:highlight w:val="none"/>
                <w:lang w:val="en-US" w:eastAsia="zh-CN" w:bidi="zh-TW"/>
              </w:rPr>
              <w:t>持续增长，现有处理设施规模已完全无法适配近远期发展需求。若不及时推进三期扩建工程，未来必将出现处理能力不足、污水无法全量处置、雨季溢流风险加剧等问题，既会束缚城镇发展空间，也会引发水体污染、生态破坏等突出环境安全隐患。</w:t>
            </w:r>
          </w:p>
          <w:p w14:paraId="11667418">
            <w:pPr>
              <w:spacing w:line="360" w:lineRule="auto"/>
              <w:ind w:firstLine="480" w:firstLineChars="200"/>
              <w:jc w:val="left"/>
              <w:rPr>
                <w:rFonts w:hint="default" w:ascii="Times New Roman" w:hAnsi="Times New Roman" w:cs="Times New Roman"/>
                <w:bCs/>
                <w:color w:val="auto"/>
                <w:sz w:val="24"/>
                <w:highlight w:val="none"/>
                <w:lang w:val="en-US" w:eastAsia="zh-CN" w:bidi="zh-TW"/>
              </w:rPr>
            </w:pPr>
            <w:r>
              <w:rPr>
                <w:rFonts w:hint="default" w:ascii="Times New Roman" w:hAnsi="Times New Roman" w:eastAsia="宋体" w:cs="Times New Roman"/>
                <w:bCs/>
                <w:color w:val="auto"/>
                <w:sz w:val="24"/>
                <w:highlight w:val="none"/>
                <w:lang w:val="en-US" w:eastAsia="zh-CN" w:bidi="zh-TW"/>
              </w:rPr>
              <w:t>为保障杭锦旗锡尼镇高质量发展的环保需求，需尽快扩建污水厂，进一步提升处理能力、优化工艺并增强系统韧性。</w:t>
            </w:r>
            <w:r>
              <w:rPr>
                <w:rFonts w:hint="default" w:ascii="Times New Roman" w:hAnsi="Times New Roman" w:cs="Times New Roman"/>
                <w:bCs/>
                <w:color w:val="auto"/>
                <w:sz w:val="24"/>
                <w:highlight w:val="none"/>
                <w:lang w:val="en-US" w:eastAsia="zh-CN" w:bidi="zh-TW"/>
              </w:rPr>
              <w:t>同时，三期工程建成后可适当减轻现有一期工程的运行压力。因此，决定暂缓实施一期更新改造工程，改为全力推进三期扩建工程，以最大程度缓解污水厂的处理压力。</w:t>
            </w:r>
          </w:p>
          <w:p w14:paraId="49D89BC1">
            <w:pPr>
              <w:spacing w:line="360" w:lineRule="auto"/>
              <w:ind w:firstLine="480" w:firstLineChars="200"/>
              <w:jc w:val="left"/>
              <w:rPr>
                <w:rFonts w:hint="default" w:ascii="Times New Roman" w:hAnsi="Times New Roman" w:eastAsia="宋体" w:cs="Times New Roman"/>
                <w:bCs/>
                <w:color w:val="auto"/>
                <w:sz w:val="24"/>
                <w:highlight w:val="none"/>
                <w:lang w:bidi="zh-TW"/>
              </w:rPr>
            </w:pPr>
            <w:r>
              <w:rPr>
                <w:rFonts w:hint="default" w:ascii="Times New Roman" w:hAnsi="Times New Roman" w:cs="Times New Roman"/>
                <w:bCs/>
                <w:color w:val="auto"/>
                <w:sz w:val="24"/>
                <w:highlight w:val="none"/>
                <w:lang w:val="en-US" w:eastAsia="zh-CN" w:bidi="zh-TW"/>
              </w:rPr>
              <w:t>本次三期新增处理规模为5500</w:t>
            </w:r>
            <w:r>
              <w:rPr>
                <w:rFonts w:hint="default" w:ascii="Times New Roman" w:hAnsi="Times New Roman" w:eastAsia="宋体" w:cs="Times New Roman"/>
                <w:bCs/>
                <w:color w:val="auto"/>
                <w:sz w:val="24"/>
                <w:highlight w:val="none"/>
                <w:lang w:val="en-US" w:eastAsia="zh-CN" w:bidi="zh-TW"/>
              </w:rPr>
              <w:t>t/d</w:t>
            </w:r>
            <w:r>
              <w:rPr>
                <w:rFonts w:hint="default" w:ascii="Times New Roman" w:hAnsi="Times New Roman" w:cs="Times New Roman"/>
                <w:bCs/>
                <w:color w:val="auto"/>
                <w:sz w:val="24"/>
                <w:highlight w:val="none"/>
                <w:lang w:val="en-US" w:eastAsia="zh-CN" w:bidi="zh-TW"/>
              </w:rPr>
              <w:t>，</w:t>
            </w:r>
            <w:r>
              <w:rPr>
                <w:rFonts w:hint="default" w:ascii="Times New Roman" w:hAnsi="Times New Roman" w:eastAsia="宋体" w:cs="Times New Roman"/>
                <w:bCs/>
                <w:color w:val="auto"/>
                <w:sz w:val="24"/>
                <w:highlight w:val="none"/>
                <w:lang w:val="en-US" w:eastAsia="zh-CN" w:bidi="zh-TW"/>
              </w:rPr>
              <w:t>处理工艺采用</w:t>
            </w:r>
            <w:r>
              <w:rPr>
                <w:rFonts w:hint="eastAsia" w:cs="Times New Roman"/>
                <w:bCs/>
                <w:color w:val="auto"/>
                <w:sz w:val="24"/>
                <w:highlight w:val="none"/>
                <w:lang w:val="en-US" w:eastAsia="zh-CN" w:bidi="zh-TW"/>
              </w:rPr>
              <w:t>“</w:t>
            </w:r>
            <w:r>
              <w:rPr>
                <w:rFonts w:hint="default" w:ascii="Times New Roman" w:hAnsi="Times New Roman" w:eastAsia="宋体" w:cs="Times New Roman"/>
                <w:bCs/>
                <w:color w:val="auto"/>
                <w:sz w:val="24"/>
                <w:highlight w:val="none"/>
                <w:lang w:val="en-US" w:eastAsia="zh-CN" w:bidi="zh-TW"/>
              </w:rPr>
              <w:t>粗格栅+细格栅+曝气沉砂池+改良Bardenpho+二沉池+磁混凝沉淀池+V型滤池+消毒</w:t>
            </w:r>
            <w:r>
              <w:rPr>
                <w:rFonts w:hint="eastAsia" w:cs="Times New Roman"/>
                <w:bCs/>
                <w:color w:val="auto"/>
                <w:sz w:val="24"/>
                <w:highlight w:val="none"/>
                <w:lang w:val="en-US" w:eastAsia="zh-CN" w:bidi="zh-TW"/>
              </w:rPr>
              <w:t>”</w:t>
            </w:r>
            <w:r>
              <w:rPr>
                <w:rFonts w:hint="default" w:ascii="Times New Roman" w:hAnsi="Times New Roman" w:eastAsia="宋体" w:cs="Times New Roman"/>
                <w:bCs/>
                <w:color w:val="auto"/>
                <w:sz w:val="24"/>
                <w:highlight w:val="none"/>
                <w:lang w:val="en-US" w:eastAsia="zh-CN" w:bidi="zh-TW"/>
              </w:rPr>
              <w:t>工艺；污泥处理方案采用</w:t>
            </w:r>
            <w:r>
              <w:rPr>
                <w:rFonts w:hint="eastAsia" w:cs="Times New Roman"/>
                <w:bCs/>
                <w:color w:val="auto"/>
                <w:sz w:val="24"/>
                <w:highlight w:val="none"/>
                <w:lang w:val="en-US" w:eastAsia="zh-CN" w:bidi="zh-TW"/>
              </w:rPr>
              <w:t>“</w:t>
            </w:r>
            <w:r>
              <w:rPr>
                <w:rFonts w:hint="default" w:ascii="Times New Roman" w:hAnsi="Times New Roman" w:eastAsia="宋体" w:cs="Times New Roman"/>
                <w:bCs/>
                <w:color w:val="auto"/>
                <w:sz w:val="24"/>
                <w:highlight w:val="none"/>
                <w:lang w:val="en-US" w:eastAsia="zh-CN" w:bidi="zh-TW"/>
              </w:rPr>
              <w:t>机械浓缩+高压板框压滤脱水</w:t>
            </w:r>
            <w:r>
              <w:rPr>
                <w:rFonts w:hint="eastAsia" w:cs="Times New Roman"/>
                <w:bCs/>
                <w:color w:val="auto"/>
                <w:sz w:val="24"/>
                <w:highlight w:val="none"/>
                <w:lang w:val="en-US" w:eastAsia="zh-CN" w:bidi="zh-TW"/>
              </w:rPr>
              <w:t>”</w:t>
            </w:r>
            <w:r>
              <w:rPr>
                <w:rFonts w:hint="default" w:ascii="Times New Roman" w:hAnsi="Times New Roman" w:eastAsia="宋体" w:cs="Times New Roman"/>
                <w:bCs/>
                <w:color w:val="auto"/>
                <w:sz w:val="24"/>
                <w:highlight w:val="none"/>
                <w:lang w:val="en-US" w:eastAsia="zh-CN" w:bidi="zh-TW"/>
              </w:rPr>
              <w:t>工艺</w:t>
            </w:r>
            <w:r>
              <w:rPr>
                <w:rFonts w:hint="default" w:ascii="Times New Roman" w:hAnsi="Times New Roman" w:cs="Times New Roman"/>
                <w:bCs/>
                <w:color w:val="auto"/>
                <w:sz w:val="24"/>
                <w:highlight w:val="none"/>
                <w:lang w:val="en-US" w:eastAsia="zh-CN" w:bidi="zh-TW"/>
              </w:rPr>
              <w:t>。</w:t>
            </w:r>
            <w:r>
              <w:rPr>
                <w:rFonts w:hint="default" w:ascii="Times New Roman" w:hAnsi="Times New Roman" w:eastAsia="宋体" w:cs="Times New Roman"/>
                <w:bCs/>
                <w:color w:val="auto"/>
                <w:sz w:val="24"/>
                <w:highlight w:val="none"/>
                <w:lang w:val="en-US" w:eastAsia="zh-CN" w:bidi="zh-TW"/>
              </w:rPr>
              <w:t>本项目建成后污水厂总规模达到1.4万</w:t>
            </w:r>
            <w:r>
              <w:rPr>
                <w:rFonts w:hint="default" w:ascii="Times New Roman" w:hAnsi="Times New Roman" w:cs="Times New Roman"/>
                <w:bCs/>
                <w:color w:val="auto"/>
                <w:sz w:val="24"/>
                <w:highlight w:val="none"/>
                <w:lang w:val="en-US" w:eastAsia="zh-CN" w:bidi="zh-TW"/>
              </w:rPr>
              <w:t>t</w:t>
            </w:r>
            <w:r>
              <w:rPr>
                <w:rFonts w:hint="default" w:ascii="Times New Roman" w:hAnsi="Times New Roman" w:eastAsia="宋体" w:cs="Times New Roman"/>
                <w:bCs/>
                <w:color w:val="auto"/>
                <w:sz w:val="24"/>
                <w:highlight w:val="none"/>
                <w:lang w:val="en-US" w:eastAsia="zh-CN" w:bidi="zh-TW"/>
              </w:rPr>
              <w:t>/d。本项目由杭锦旗城市公用事业服务中心负责建设，后期由内蒙古德源水务有限公司负责运营。</w:t>
            </w:r>
          </w:p>
          <w:p w14:paraId="5C6B3DD4">
            <w:pPr>
              <w:spacing w:line="360" w:lineRule="auto"/>
              <w:ind w:firstLine="480" w:firstLineChars="200"/>
              <w:jc w:val="left"/>
              <w:rPr>
                <w:rFonts w:hint="default" w:ascii="Times New Roman" w:hAnsi="Times New Roman" w:eastAsia="宋体" w:cs="Times New Roman"/>
                <w:bCs/>
                <w:color w:val="auto"/>
                <w:sz w:val="24"/>
                <w:highlight w:val="none"/>
                <w:lang w:bidi="zh-TW"/>
              </w:rPr>
            </w:pPr>
            <w:r>
              <w:rPr>
                <w:rFonts w:hint="default" w:ascii="Times New Roman" w:hAnsi="Times New Roman" w:eastAsia="宋体" w:cs="Times New Roman"/>
                <w:bCs/>
                <w:color w:val="auto"/>
                <w:sz w:val="24"/>
                <w:highlight w:val="none"/>
                <w:lang w:bidi="zh-TW"/>
              </w:rPr>
              <w:t>根据《建设项目环境影响评价分类管理名录（2021版）》，本项目属于</w:t>
            </w:r>
            <w:r>
              <w:rPr>
                <w:rFonts w:hint="eastAsia" w:cs="Times New Roman"/>
                <w:bCs/>
                <w:color w:val="auto"/>
                <w:sz w:val="24"/>
                <w:highlight w:val="none"/>
                <w:lang w:eastAsia="zh-CN" w:bidi="zh-TW"/>
              </w:rPr>
              <w:t>“</w:t>
            </w:r>
            <w:r>
              <w:rPr>
                <w:rFonts w:hint="default" w:ascii="Times New Roman" w:hAnsi="Times New Roman" w:eastAsia="宋体" w:cs="Times New Roman"/>
                <w:bCs/>
                <w:color w:val="auto"/>
                <w:sz w:val="24"/>
                <w:highlight w:val="none"/>
                <w:lang w:val="en-US" w:eastAsia="zh-CN" w:bidi="zh-TW"/>
              </w:rPr>
              <w:t>四十三、水的生产和供应业</w:t>
            </w:r>
            <w:r>
              <w:rPr>
                <w:rFonts w:hint="eastAsia" w:cs="Times New Roman"/>
                <w:bCs/>
                <w:color w:val="auto"/>
                <w:sz w:val="24"/>
                <w:highlight w:val="none"/>
                <w:lang w:eastAsia="zh-CN" w:bidi="zh-TW"/>
              </w:rPr>
              <w:t>”</w:t>
            </w:r>
            <w:r>
              <w:rPr>
                <w:rFonts w:hint="default" w:ascii="Times New Roman" w:hAnsi="Times New Roman" w:eastAsia="宋体" w:cs="Times New Roman"/>
                <w:bCs/>
                <w:color w:val="auto"/>
                <w:sz w:val="24"/>
                <w:highlight w:val="none"/>
                <w:lang w:bidi="zh-TW"/>
              </w:rPr>
              <w:t>中</w:t>
            </w:r>
            <w:r>
              <w:rPr>
                <w:rFonts w:hint="eastAsia" w:cs="Times New Roman"/>
                <w:bCs/>
                <w:color w:val="auto"/>
                <w:sz w:val="24"/>
                <w:highlight w:val="none"/>
                <w:lang w:eastAsia="zh-CN" w:bidi="zh-TW"/>
              </w:rPr>
              <w:t>“</w:t>
            </w:r>
            <w:r>
              <w:rPr>
                <w:rFonts w:hint="default" w:ascii="Times New Roman" w:hAnsi="Times New Roman" w:eastAsia="宋体" w:cs="Times New Roman"/>
                <w:bCs/>
                <w:color w:val="auto"/>
                <w:sz w:val="24"/>
                <w:highlight w:val="none"/>
                <w:lang w:val="en-US" w:eastAsia="zh-CN"/>
              </w:rPr>
              <w:t>95</w:t>
            </w:r>
            <w:r>
              <w:rPr>
                <w:rFonts w:hint="default" w:ascii="Times New Roman" w:hAnsi="Times New Roman"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污水处理及其再生利用</w:t>
            </w:r>
            <w:r>
              <w:rPr>
                <w:rFonts w:hint="eastAsia" w:cs="Times New Roman"/>
                <w:bCs/>
                <w:color w:val="auto"/>
                <w:sz w:val="24"/>
                <w:highlight w:val="none"/>
                <w:lang w:eastAsia="zh-CN" w:bidi="zh-TW"/>
              </w:rPr>
              <w:t>”</w:t>
            </w:r>
            <w:r>
              <w:rPr>
                <w:rFonts w:hint="default" w:ascii="Times New Roman" w:hAnsi="Times New Roman" w:eastAsia="宋体" w:cs="Times New Roman"/>
                <w:bCs/>
                <w:color w:val="auto"/>
                <w:sz w:val="24"/>
                <w:highlight w:val="none"/>
                <w:lang w:bidi="zh-TW"/>
              </w:rPr>
              <w:t>中的</w:t>
            </w:r>
            <w:r>
              <w:rPr>
                <w:rFonts w:hint="eastAsia" w:cs="Times New Roman"/>
                <w:bCs/>
                <w:color w:val="auto"/>
                <w:sz w:val="24"/>
                <w:highlight w:val="none"/>
                <w:lang w:eastAsia="zh-CN" w:bidi="zh-TW"/>
              </w:rPr>
              <w:t>“</w:t>
            </w:r>
            <w:r>
              <w:rPr>
                <w:rFonts w:hint="default" w:ascii="Times New Roman" w:hAnsi="Times New Roman" w:eastAsia="宋体" w:cs="Times New Roman"/>
                <w:bCs/>
                <w:color w:val="auto"/>
                <w:sz w:val="24"/>
                <w:highlight w:val="none"/>
                <w:lang w:val="en-US" w:eastAsia="zh-CN" w:bidi="zh-TW"/>
              </w:rPr>
              <w:t>新建、扩建日处理10万吨以下500吨及以上城乡污水处理的</w:t>
            </w:r>
            <w:r>
              <w:rPr>
                <w:rFonts w:hint="eastAsia" w:cs="Times New Roman"/>
                <w:bCs/>
                <w:color w:val="auto"/>
                <w:sz w:val="24"/>
                <w:highlight w:val="none"/>
                <w:lang w:eastAsia="zh-CN" w:bidi="zh-TW"/>
              </w:rPr>
              <w:t>”</w:t>
            </w:r>
            <w:r>
              <w:rPr>
                <w:rFonts w:hint="default" w:ascii="Times New Roman" w:hAnsi="Times New Roman" w:eastAsia="宋体" w:cs="Times New Roman"/>
                <w:bCs/>
                <w:color w:val="auto"/>
                <w:sz w:val="24"/>
                <w:highlight w:val="none"/>
                <w:lang w:bidi="zh-TW"/>
              </w:rPr>
              <w:t>，需编制环境影响报告表。因此，</w:t>
            </w:r>
            <w:r>
              <w:rPr>
                <w:rFonts w:hint="default" w:ascii="Times New Roman" w:hAnsi="Times New Roman" w:eastAsia="宋体" w:cs="Times New Roman"/>
                <w:bCs/>
                <w:color w:val="auto"/>
                <w:sz w:val="24"/>
                <w:highlight w:val="none"/>
                <w:lang w:eastAsia="zh-CN"/>
              </w:rPr>
              <w:t>杭锦旗城市公用事业服务中心</w:t>
            </w:r>
            <w:r>
              <w:rPr>
                <w:rFonts w:hint="default" w:ascii="Times New Roman" w:hAnsi="Times New Roman" w:eastAsia="宋体" w:cs="Times New Roman"/>
                <w:bCs/>
                <w:color w:val="auto"/>
                <w:sz w:val="24"/>
                <w:highlight w:val="none"/>
                <w:lang w:bidi="zh-TW"/>
              </w:rPr>
              <w:t>委托我公司承担了本项目的环境影响评价工作。接到委托后，我公司第一时间进行现场踏勘、必要的工程分析，依据《建设项目环境影响报告表编制技术指南（污染影响类）（试行）》的要求编制完成了本项目的环境影响评价报告表。</w:t>
            </w:r>
          </w:p>
          <w:p w14:paraId="0AC3F47C">
            <w:pPr>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2.</w:t>
            </w:r>
            <w:r>
              <w:rPr>
                <w:rFonts w:hint="default" w:ascii="Times New Roman" w:hAnsi="Times New Roman" w:eastAsia="宋体" w:cs="Times New Roman"/>
                <w:b/>
                <w:bCs/>
                <w:color w:val="auto"/>
                <w:sz w:val="24"/>
                <w:highlight w:val="none"/>
                <w:lang w:val="en-US" w:eastAsia="zh-CN"/>
              </w:rPr>
              <w:t>现有工程概况</w:t>
            </w:r>
          </w:p>
          <w:p w14:paraId="648AAFBB">
            <w:pPr>
              <w:spacing w:line="360" w:lineRule="auto"/>
              <w:ind w:firstLine="482" w:firstLineChars="200"/>
              <w:jc w:val="left"/>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2.1现有项目环保手续履行情况</w:t>
            </w:r>
          </w:p>
          <w:p w14:paraId="024EE822">
            <w:pPr>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杭锦旗锡尼镇污水处理厂最初于2006年4月24日取得《鄂尔多斯市环境保护局关于鄂尔多斯市杭锦旗锡尼镇排水工程项目环境影响报告表的批复》（鄂环监发〔2006〕55号），并于2010年9月15日取得《鄂尔多斯市环境保护局关于鄂尔多斯市杭锦旗锡尼镇排水工程竣工环境保护验收意见的批复》（鄂环察验〔2010〕27号）完成验收工作，设计处理能力为5000t/d。该污水厂于2015年6月23日取得《鄂尔多斯市环境保护局关于鄂尔多斯市杭锦旗污水处理厂提标改造工程环境影响报告表的批复》（鄂环评字〔2015〕227号），对</w:t>
            </w:r>
            <w:r>
              <w:rPr>
                <w:rFonts w:hint="default" w:ascii="Times New Roman" w:hAnsi="Times New Roman" w:cs="Times New Roman"/>
                <w:bCs/>
                <w:color w:val="auto"/>
                <w:sz w:val="24"/>
                <w:highlight w:val="none"/>
                <w:lang w:val="en-US" w:eastAsia="zh-CN"/>
              </w:rPr>
              <w:t>该</w:t>
            </w:r>
            <w:r>
              <w:rPr>
                <w:rFonts w:hint="default" w:ascii="Times New Roman" w:hAnsi="Times New Roman" w:eastAsia="宋体" w:cs="Times New Roman"/>
                <w:bCs/>
                <w:color w:val="auto"/>
                <w:sz w:val="24"/>
                <w:highlight w:val="none"/>
                <w:lang w:val="en-US" w:eastAsia="zh-CN"/>
              </w:rPr>
              <w:t>污水厂进行了提标改造</w:t>
            </w:r>
            <w:r>
              <w:rPr>
                <w:rFonts w:hint="default" w:ascii="Times New Roman" w:hAnsi="Times New Roman" w:cs="Times New Roman"/>
                <w:bCs/>
                <w:color w:val="auto"/>
                <w:sz w:val="24"/>
                <w:highlight w:val="none"/>
                <w:lang w:val="en-US" w:eastAsia="zh-CN"/>
              </w:rPr>
              <w:t>。2015年一期项目</w:t>
            </w:r>
            <w:r>
              <w:rPr>
                <w:rFonts w:hint="default" w:ascii="Times New Roman" w:hAnsi="Times New Roman" w:eastAsia="宋体" w:cs="Times New Roman"/>
                <w:bCs/>
                <w:color w:val="auto"/>
                <w:sz w:val="24"/>
                <w:highlight w:val="none"/>
                <w:lang w:val="en-US" w:eastAsia="zh-CN"/>
              </w:rPr>
              <w:t>改造不扩大处理能力，对处理工艺进行改造</w:t>
            </w:r>
            <w:r>
              <w:rPr>
                <w:rFonts w:hint="default" w:ascii="Times New Roman" w:hAnsi="Times New Roman" w:cs="Times New Roman"/>
                <w:color w:val="auto"/>
                <w:lang w:eastAsia="zh-CN"/>
              </w:rPr>
              <w:t>，</w:t>
            </w:r>
            <w:r>
              <w:rPr>
                <w:rFonts w:hint="default" w:ascii="Times New Roman" w:hAnsi="Times New Roman" w:cs="Times New Roman"/>
                <w:color w:val="auto"/>
              </w:rPr>
              <w:t>同时更换老旧设备，升级中控系统</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 xml:space="preserve">改造完成后，出水水质达到《城镇污水处理厂污染物排放标准》（GB </w:t>
            </w:r>
            <w:r>
              <w:rPr>
                <w:rFonts w:hint="eastAsia" w:ascii="Times New Roman" w:hAnsi="Times New Roman" w:cs="Times New Roman"/>
                <w:color w:val="auto"/>
                <w:lang w:val="en-US" w:eastAsia="zh-CN"/>
              </w:rPr>
              <w:t>18918—</w:t>
            </w:r>
            <w:r>
              <w:rPr>
                <w:rFonts w:hint="default" w:ascii="Times New Roman" w:hAnsi="Times New Roman" w:cs="Times New Roman"/>
                <w:color w:val="auto"/>
                <w:lang w:val="en-US" w:eastAsia="zh-CN"/>
              </w:rPr>
              <w:t>2002）及其修改单中一级A标准</w:t>
            </w:r>
            <w:r>
              <w:rPr>
                <w:rFonts w:hint="default" w:ascii="Times New Roman" w:hAnsi="Times New Roman" w:eastAsia="宋体" w:cs="Times New Roman"/>
                <w:bCs/>
                <w:color w:val="auto"/>
                <w:sz w:val="24"/>
                <w:highlight w:val="none"/>
                <w:lang w:val="en-US" w:eastAsia="zh-CN"/>
              </w:rPr>
              <w:t>。2018年对新增污水厂进行扩建，于2018年4月23日取得《杭锦旗环境保护局关于杭锦旗锡尼镇污水处理厂扩建工程环境影响报告表的批复》（杭环评字〔2018〕9号），并于2019年8月14日完成自主验收工作。该扩建工程完成后处理能力为6500t/d（二期），原有污水厂处理能力减为原设计规模（5000t/d，一期）的40%，即2000t/d，</w:t>
            </w:r>
            <w:r>
              <w:rPr>
                <w:rFonts w:hint="default" w:ascii="Times New Roman" w:hAnsi="Times New Roman" w:cs="Times New Roman"/>
                <w:bCs/>
                <w:color w:val="auto"/>
                <w:sz w:val="24"/>
                <w:highlight w:val="none"/>
                <w:lang w:val="en-US" w:eastAsia="zh-CN"/>
              </w:rPr>
              <w:t>提高</w:t>
            </w:r>
            <w:r>
              <w:rPr>
                <w:rFonts w:hint="default" w:ascii="Times New Roman" w:hAnsi="Times New Roman" w:eastAsia="宋体" w:cs="Times New Roman"/>
                <w:bCs/>
                <w:color w:val="auto"/>
                <w:sz w:val="24"/>
                <w:highlight w:val="none"/>
                <w:lang w:val="en-US" w:eastAsia="zh-CN"/>
              </w:rPr>
              <w:t>水</w:t>
            </w:r>
            <w:r>
              <w:rPr>
                <w:rFonts w:hint="default" w:ascii="Times New Roman" w:hAnsi="Times New Roman" w:cs="Times New Roman"/>
                <w:bCs/>
                <w:color w:val="auto"/>
                <w:sz w:val="24"/>
                <w:highlight w:val="none"/>
                <w:lang w:val="en-US" w:eastAsia="zh-CN"/>
              </w:rPr>
              <w:t>力停</w:t>
            </w:r>
            <w:r>
              <w:rPr>
                <w:rFonts w:hint="default" w:ascii="Times New Roman" w:hAnsi="Times New Roman" w:eastAsia="宋体" w:cs="Times New Roman"/>
                <w:bCs/>
                <w:color w:val="auto"/>
                <w:sz w:val="24"/>
                <w:highlight w:val="none"/>
                <w:lang w:val="en-US" w:eastAsia="zh-CN"/>
              </w:rPr>
              <w:t>留时间，从而保证污水可以稳定达标，最终全厂</w:t>
            </w:r>
            <w:r>
              <w:rPr>
                <w:rFonts w:hint="default" w:ascii="Times New Roman" w:hAnsi="Times New Roman" w:cs="Times New Roman"/>
                <w:bCs/>
                <w:color w:val="auto"/>
                <w:sz w:val="24"/>
                <w:highlight w:val="none"/>
                <w:lang w:val="en-US" w:eastAsia="zh-CN"/>
              </w:rPr>
              <w:t>现状</w:t>
            </w:r>
            <w:r>
              <w:rPr>
                <w:rFonts w:hint="default" w:ascii="Times New Roman" w:hAnsi="Times New Roman" w:eastAsia="宋体" w:cs="Times New Roman"/>
                <w:bCs/>
                <w:color w:val="auto"/>
                <w:sz w:val="24"/>
                <w:highlight w:val="none"/>
                <w:lang w:val="en-US" w:eastAsia="zh-CN"/>
              </w:rPr>
              <w:t>处理能力为8500t/d。</w:t>
            </w:r>
          </w:p>
          <w:p w14:paraId="5CC2BB0F">
            <w:pPr>
              <w:spacing w:line="360" w:lineRule="auto"/>
              <w:ind w:firstLine="482" w:firstLineChars="200"/>
              <w:jc w:val="left"/>
              <w:rPr>
                <w:rFonts w:hint="default" w:ascii="Times New Roman" w:hAnsi="Times New Roman" w:eastAsia="宋体" w:cs="Times New Roman"/>
                <w:b/>
                <w:bCs w:val="0"/>
                <w:color w:val="auto"/>
                <w:sz w:val="24"/>
                <w:highlight w:val="none"/>
                <w:lang w:val="en-US" w:eastAsia="zh-CN" w:bidi="zh-TW"/>
              </w:rPr>
            </w:pPr>
            <w:r>
              <w:rPr>
                <w:rFonts w:hint="default" w:ascii="Times New Roman" w:hAnsi="Times New Roman" w:eastAsia="宋体" w:cs="Times New Roman"/>
                <w:b/>
                <w:bCs w:val="0"/>
                <w:color w:val="auto"/>
                <w:sz w:val="24"/>
                <w:highlight w:val="none"/>
                <w:lang w:val="en-US" w:eastAsia="zh-CN" w:bidi="zh-TW"/>
              </w:rPr>
              <w:t>2.2现有项目建设情况</w:t>
            </w:r>
          </w:p>
          <w:p w14:paraId="5BCF70BC">
            <w:pPr>
              <w:spacing w:line="360" w:lineRule="auto"/>
              <w:ind w:firstLine="480" w:firstLineChars="200"/>
              <w:jc w:val="left"/>
              <w:rPr>
                <w:rFonts w:hint="default" w:ascii="Times New Roman" w:hAnsi="Times New Roman" w:eastAsia="宋体" w:cs="Times New Roman"/>
                <w:bCs/>
                <w:color w:val="auto"/>
                <w:sz w:val="24"/>
                <w:highlight w:val="none"/>
                <w:lang w:val="en-US" w:eastAsia="zh-CN" w:bidi="zh-TW"/>
              </w:rPr>
            </w:pPr>
            <w:r>
              <w:rPr>
                <w:rFonts w:hint="default" w:ascii="Times New Roman" w:hAnsi="Times New Roman" w:eastAsia="宋体" w:cs="Times New Roman"/>
                <w:bCs/>
                <w:color w:val="auto"/>
                <w:sz w:val="24"/>
                <w:highlight w:val="none"/>
                <w:lang w:val="en-US" w:eastAsia="zh-CN" w:bidi="zh-TW"/>
              </w:rPr>
              <w:t>杭锦旗锡尼镇污水处理厂一期工程设计处理能力为5000</w:t>
            </w:r>
            <w:r>
              <w:rPr>
                <w:rFonts w:hint="default" w:ascii="Times New Roman" w:hAnsi="Times New Roman" w:cs="Times New Roman"/>
                <w:bCs/>
                <w:color w:val="auto"/>
                <w:sz w:val="24"/>
                <w:highlight w:val="none"/>
                <w:vertAlign w:val="baseline"/>
                <w:lang w:val="en-US" w:eastAsia="zh-CN" w:bidi="zh-TW"/>
              </w:rPr>
              <w:t>t/d</w:t>
            </w:r>
            <w:r>
              <w:rPr>
                <w:rFonts w:hint="default" w:ascii="Times New Roman" w:hAnsi="Times New Roman" w:eastAsia="宋体" w:cs="Times New Roman"/>
                <w:bCs/>
                <w:color w:val="auto"/>
                <w:sz w:val="24"/>
                <w:highlight w:val="none"/>
                <w:lang w:val="en-US" w:eastAsia="zh-CN" w:bidi="zh-TW"/>
              </w:rPr>
              <w:t>，处理工艺采用A2/O</w:t>
            </w:r>
            <w:r>
              <w:rPr>
                <w:rFonts w:hint="default" w:ascii="Times New Roman" w:hAnsi="Times New Roman" w:cs="Times New Roman"/>
                <w:bCs/>
                <w:color w:val="auto"/>
                <w:sz w:val="24"/>
                <w:highlight w:val="none"/>
                <w:lang w:val="en-US" w:eastAsia="zh-CN" w:bidi="zh-TW"/>
              </w:rPr>
              <w:t>法</w:t>
            </w:r>
            <w:r>
              <w:rPr>
                <w:rFonts w:hint="default" w:ascii="Times New Roman" w:hAnsi="Times New Roman" w:eastAsia="宋体" w:cs="Times New Roman"/>
                <w:bCs/>
                <w:color w:val="auto"/>
                <w:sz w:val="24"/>
                <w:highlight w:val="none"/>
                <w:lang w:val="en-US" w:eastAsia="zh-CN" w:bidi="zh-TW"/>
              </w:rPr>
              <w:t>，主要由预处理、A2/O池、二沉池、过滤、消毒池和污泥处理等几部分组成。于2009年8月建设运行。2015年进行了提标改造工程，增加了细格栅及曝气沉砂池、氧化池、厌氧池等，2017年新增了磁混凝澄清池。现阶段，污水厂一期工程因设备老旧等原因处理能力减为2000t/d。出厂水质</w:t>
            </w:r>
            <w:r>
              <w:rPr>
                <w:rFonts w:hint="default" w:ascii="Times New Roman" w:hAnsi="Times New Roman" w:cs="Times New Roman"/>
                <w:bCs/>
                <w:color w:val="auto"/>
                <w:sz w:val="24"/>
                <w:highlight w:val="none"/>
                <w:lang w:val="en-US" w:eastAsia="zh-CN" w:bidi="zh-TW"/>
              </w:rPr>
              <w:t>执行</w:t>
            </w:r>
            <w:r>
              <w:rPr>
                <w:rFonts w:hint="default" w:ascii="Times New Roman" w:hAnsi="Times New Roman" w:eastAsia="宋体" w:cs="Times New Roman"/>
                <w:bCs/>
                <w:color w:val="auto"/>
                <w:sz w:val="24"/>
                <w:highlight w:val="none"/>
                <w:lang w:val="en-US" w:eastAsia="zh-CN" w:bidi="zh-TW"/>
              </w:rPr>
              <w:t>《城镇污水处理厂污染物排放标准》（GB</w:t>
            </w:r>
            <w:r>
              <w:rPr>
                <w:rFonts w:hint="default" w:ascii="Times New Roman" w:hAnsi="Times New Roman" w:cs="Times New Roman"/>
                <w:bCs/>
                <w:color w:val="auto"/>
                <w:sz w:val="24"/>
                <w:highlight w:val="none"/>
                <w:lang w:val="en-US" w:eastAsia="zh-CN" w:bidi="zh-TW"/>
              </w:rPr>
              <w:t xml:space="preserve"> </w:t>
            </w:r>
            <w:r>
              <w:rPr>
                <w:rFonts w:hint="eastAsia" w:ascii="Times New Roman" w:hAnsi="Times New Roman" w:cs="Times New Roman"/>
                <w:bCs/>
                <w:color w:val="auto"/>
                <w:sz w:val="24"/>
                <w:highlight w:val="none"/>
                <w:lang w:val="en-US" w:eastAsia="zh-CN" w:bidi="zh-TW"/>
              </w:rPr>
              <w:t>18918—</w:t>
            </w:r>
            <w:r>
              <w:rPr>
                <w:rFonts w:hint="default" w:ascii="Times New Roman" w:hAnsi="Times New Roman" w:eastAsia="宋体" w:cs="Times New Roman"/>
                <w:bCs/>
                <w:color w:val="auto"/>
                <w:sz w:val="24"/>
                <w:highlight w:val="none"/>
                <w:lang w:val="en-US" w:eastAsia="zh-CN" w:bidi="zh-TW"/>
              </w:rPr>
              <w:t>2002）及其修改单中一级A标准</w:t>
            </w:r>
            <w:r>
              <w:rPr>
                <w:rFonts w:hint="default" w:ascii="Times New Roman" w:hAnsi="Times New Roman" w:cs="Times New Roman"/>
                <w:bCs/>
                <w:color w:val="auto"/>
                <w:sz w:val="24"/>
                <w:highlight w:val="none"/>
                <w:lang w:val="en-US" w:eastAsia="zh-CN" w:bidi="zh-TW"/>
              </w:rPr>
              <w:t>。</w:t>
            </w:r>
          </w:p>
          <w:p w14:paraId="19ACBF44">
            <w:pPr>
              <w:spacing w:line="360" w:lineRule="auto"/>
              <w:ind w:firstLine="480" w:firstLineChars="200"/>
              <w:jc w:val="both"/>
              <w:rPr>
                <w:rFonts w:hint="default" w:ascii="Times New Roman" w:hAnsi="Times New Roman" w:eastAsia="宋体" w:cs="Times New Roman"/>
                <w:bCs/>
                <w:color w:val="auto"/>
                <w:sz w:val="24"/>
                <w:highlight w:val="none"/>
                <w:lang w:val="en-US" w:eastAsia="zh-CN" w:bidi="zh-TW"/>
              </w:rPr>
            </w:pPr>
            <w:r>
              <w:rPr>
                <w:rFonts w:hint="default" w:ascii="Times New Roman" w:hAnsi="Times New Roman" w:eastAsia="宋体" w:cs="Times New Roman"/>
                <w:bCs/>
                <w:color w:val="auto"/>
                <w:sz w:val="24"/>
                <w:highlight w:val="none"/>
                <w:lang w:val="en-US" w:eastAsia="zh-CN" w:bidi="zh-TW"/>
              </w:rPr>
              <w:t>污水厂二期工程处理能力为6500</w:t>
            </w:r>
            <w:r>
              <w:rPr>
                <w:rFonts w:hint="default" w:ascii="Times New Roman" w:hAnsi="Times New Roman" w:cs="Times New Roman"/>
                <w:bCs/>
                <w:color w:val="auto"/>
                <w:sz w:val="24"/>
                <w:highlight w:val="none"/>
                <w:vertAlign w:val="baseline"/>
                <w:lang w:val="en-US" w:eastAsia="zh-CN" w:bidi="zh-TW"/>
              </w:rPr>
              <w:t>t/d</w:t>
            </w:r>
            <w:r>
              <w:rPr>
                <w:rFonts w:hint="default" w:ascii="Times New Roman" w:hAnsi="Times New Roman" w:eastAsia="宋体" w:cs="Times New Roman"/>
                <w:bCs/>
                <w:color w:val="auto"/>
                <w:sz w:val="24"/>
                <w:highlight w:val="none"/>
                <w:lang w:val="en-US" w:eastAsia="zh-CN" w:bidi="zh-TW"/>
              </w:rPr>
              <w:t>，选择</w:t>
            </w:r>
            <w:r>
              <w:rPr>
                <w:rFonts w:hint="eastAsia" w:cs="Times New Roman"/>
                <w:bCs/>
                <w:color w:val="auto"/>
                <w:sz w:val="24"/>
                <w:highlight w:val="none"/>
                <w:lang w:val="en-US" w:eastAsia="zh-CN" w:bidi="zh-TW"/>
              </w:rPr>
              <w:t>“</w:t>
            </w:r>
            <w:r>
              <w:rPr>
                <w:rFonts w:hint="default" w:ascii="Times New Roman" w:hAnsi="Times New Roman" w:eastAsia="宋体" w:cs="Times New Roman"/>
                <w:bCs/>
                <w:color w:val="auto"/>
                <w:sz w:val="24"/>
                <w:highlight w:val="none"/>
                <w:lang w:val="en-US" w:eastAsia="zh-CN" w:bidi="zh-TW"/>
              </w:rPr>
              <w:t>五段</w:t>
            </w:r>
            <w:r>
              <w:rPr>
                <w:rFonts w:hint="eastAsia" w:cs="Times New Roman"/>
                <w:bCs/>
                <w:color w:val="auto"/>
                <w:sz w:val="24"/>
                <w:highlight w:val="none"/>
                <w:lang w:val="en-US" w:eastAsia="zh-CN" w:bidi="zh-TW"/>
              </w:rPr>
              <w:t>式生物池（</w:t>
            </w:r>
            <w:r>
              <w:rPr>
                <w:rFonts w:hint="default" w:ascii="Times New Roman" w:hAnsi="Times New Roman" w:eastAsia="宋体" w:cs="Times New Roman"/>
                <w:bCs/>
                <w:color w:val="auto"/>
                <w:sz w:val="24"/>
                <w:highlight w:val="none"/>
                <w:lang w:val="en-US" w:eastAsia="zh-CN" w:bidi="zh-TW"/>
              </w:rPr>
              <w:t>Bardenpho</w:t>
            </w:r>
            <w:r>
              <w:rPr>
                <w:rFonts w:hint="eastAsia" w:cs="Times New Roman"/>
                <w:bCs/>
                <w:color w:val="auto"/>
                <w:sz w:val="24"/>
                <w:highlight w:val="none"/>
                <w:lang w:val="en-US" w:eastAsia="zh-CN" w:bidi="zh-TW"/>
              </w:rPr>
              <w:t>）</w:t>
            </w:r>
            <w:r>
              <w:rPr>
                <w:rFonts w:hint="default" w:ascii="Times New Roman" w:hAnsi="Times New Roman" w:eastAsia="宋体" w:cs="Times New Roman"/>
                <w:bCs/>
                <w:color w:val="auto"/>
                <w:sz w:val="24"/>
                <w:highlight w:val="none"/>
                <w:lang w:val="en-US" w:eastAsia="zh-CN" w:bidi="zh-TW"/>
              </w:rPr>
              <w:t>+磁混凝澄清池</w:t>
            </w:r>
            <w:r>
              <w:rPr>
                <w:rFonts w:hint="eastAsia" w:cs="Times New Roman"/>
                <w:bCs/>
                <w:color w:val="auto"/>
                <w:sz w:val="24"/>
                <w:highlight w:val="none"/>
                <w:lang w:val="en-US" w:eastAsia="zh-CN" w:bidi="zh-TW"/>
              </w:rPr>
              <w:t>”</w:t>
            </w:r>
            <w:r>
              <w:rPr>
                <w:rFonts w:hint="default" w:ascii="Times New Roman" w:hAnsi="Times New Roman" w:eastAsia="宋体" w:cs="Times New Roman"/>
                <w:bCs/>
                <w:color w:val="auto"/>
                <w:sz w:val="24"/>
                <w:highlight w:val="none"/>
                <w:lang w:val="en-US" w:eastAsia="zh-CN" w:bidi="zh-TW"/>
              </w:rPr>
              <w:t>作为本工程的污水处理工艺，即生物处理段采用五段Bardenpho工艺（A/A/O/A/O五段工艺，采用能独立分别控制厌氧、第一缺氧、第一好氧、第二缺氧、第二好氧区域组成的生物除磷脱氮反应池），后续深度处理采用磁混凝澄清池，最后再用O</w:t>
            </w:r>
            <w:r>
              <w:rPr>
                <w:rFonts w:hint="default" w:ascii="Times New Roman" w:hAnsi="Times New Roman" w:eastAsia="宋体" w:cs="Times New Roman"/>
                <w:bCs/>
                <w:color w:val="auto"/>
                <w:sz w:val="24"/>
                <w:highlight w:val="none"/>
                <w:vertAlign w:val="subscript"/>
                <w:lang w:val="en-US" w:eastAsia="zh-CN" w:bidi="zh-TW"/>
              </w:rPr>
              <w:t>3</w:t>
            </w:r>
            <w:r>
              <w:rPr>
                <w:rFonts w:hint="default" w:ascii="Times New Roman" w:hAnsi="Times New Roman" w:eastAsia="宋体" w:cs="Times New Roman"/>
                <w:bCs/>
                <w:color w:val="auto"/>
                <w:sz w:val="24"/>
                <w:highlight w:val="none"/>
                <w:lang w:val="en-US" w:eastAsia="zh-CN" w:bidi="zh-TW"/>
              </w:rPr>
              <w:t>进行去除色度，二氧化氯消毒的方案。出厂水质达到</w:t>
            </w:r>
            <w:r>
              <w:rPr>
                <w:rFonts w:hint="default" w:ascii="Times New Roman" w:hAnsi="Times New Roman" w:cs="Times New Roman"/>
                <w:bCs/>
                <w:color w:val="auto"/>
                <w:sz w:val="24"/>
                <w:highlight w:val="none"/>
                <w:lang w:val="en-US" w:eastAsia="zh-CN" w:bidi="zh-TW"/>
              </w:rPr>
              <w:t>《城镇</w:t>
            </w:r>
            <w:r>
              <w:rPr>
                <w:rFonts w:hint="default" w:ascii="Times New Roman" w:hAnsi="Times New Roman" w:eastAsia="宋体" w:cs="Times New Roman"/>
                <w:bCs/>
                <w:color w:val="auto"/>
                <w:sz w:val="24"/>
                <w:highlight w:val="none"/>
                <w:lang w:val="en-US" w:eastAsia="zh-CN" w:bidi="zh-TW"/>
              </w:rPr>
              <w:t>污水处理厂污染物排放标准》（GB</w:t>
            </w:r>
            <w:r>
              <w:rPr>
                <w:rFonts w:hint="default" w:ascii="Times New Roman" w:hAnsi="Times New Roman" w:cs="Times New Roman"/>
                <w:bCs/>
                <w:color w:val="auto"/>
                <w:sz w:val="24"/>
                <w:highlight w:val="none"/>
                <w:lang w:val="en-US" w:eastAsia="zh-CN" w:bidi="zh-TW"/>
              </w:rPr>
              <w:t xml:space="preserve"> </w:t>
            </w:r>
            <w:r>
              <w:rPr>
                <w:rFonts w:hint="eastAsia" w:ascii="Times New Roman" w:hAnsi="Times New Roman" w:cs="Times New Roman"/>
                <w:bCs/>
                <w:color w:val="auto"/>
                <w:sz w:val="24"/>
                <w:highlight w:val="none"/>
                <w:lang w:val="en-US" w:eastAsia="zh-CN" w:bidi="zh-TW"/>
              </w:rPr>
              <w:t>18918—</w:t>
            </w:r>
            <w:r>
              <w:rPr>
                <w:rFonts w:hint="default" w:ascii="Times New Roman" w:hAnsi="Times New Roman" w:eastAsia="宋体" w:cs="Times New Roman"/>
                <w:bCs/>
                <w:color w:val="auto"/>
                <w:sz w:val="24"/>
                <w:highlight w:val="none"/>
                <w:lang w:val="en-US" w:eastAsia="zh-CN" w:bidi="zh-TW"/>
              </w:rPr>
              <w:t>2002）及其修改单中一级A标准、《城市污水再生利用 工业用水水质》（GB/T</w:t>
            </w:r>
            <w:r>
              <w:rPr>
                <w:rFonts w:hint="default" w:ascii="Times New Roman" w:hAnsi="Times New Roman" w:cs="Times New Roman"/>
                <w:bCs/>
                <w:color w:val="auto"/>
                <w:sz w:val="24"/>
                <w:highlight w:val="none"/>
                <w:lang w:val="en-US" w:eastAsia="zh-CN" w:bidi="zh-TW"/>
              </w:rPr>
              <w:t xml:space="preserve"> </w:t>
            </w:r>
            <w:r>
              <w:rPr>
                <w:rFonts w:hint="eastAsia" w:ascii="Times New Roman" w:hAnsi="Times New Roman" w:cs="Times New Roman"/>
                <w:bCs/>
                <w:color w:val="auto"/>
                <w:sz w:val="24"/>
                <w:highlight w:val="none"/>
                <w:lang w:val="en-US" w:eastAsia="zh-CN" w:bidi="zh-TW"/>
              </w:rPr>
              <w:t>19923—</w:t>
            </w:r>
            <w:r>
              <w:rPr>
                <w:rFonts w:hint="default" w:ascii="Times New Roman" w:hAnsi="Times New Roman" w:eastAsia="宋体" w:cs="Times New Roman"/>
                <w:bCs/>
                <w:color w:val="auto"/>
                <w:sz w:val="24"/>
                <w:highlight w:val="none"/>
                <w:lang w:val="en-US" w:eastAsia="zh-CN" w:bidi="zh-TW"/>
              </w:rPr>
              <w:t>2024）、《城市污水再生利用 城市杂用水水质》（GB/T</w:t>
            </w:r>
            <w:r>
              <w:rPr>
                <w:rFonts w:hint="default" w:ascii="Times New Roman" w:hAnsi="Times New Roman" w:cs="Times New Roman"/>
                <w:bCs/>
                <w:color w:val="auto"/>
                <w:sz w:val="24"/>
                <w:highlight w:val="none"/>
                <w:lang w:val="en-US" w:eastAsia="zh-CN" w:bidi="zh-TW"/>
              </w:rPr>
              <w:t xml:space="preserve"> </w:t>
            </w:r>
            <w:r>
              <w:rPr>
                <w:rFonts w:hint="default" w:ascii="Times New Roman" w:hAnsi="Times New Roman" w:eastAsia="宋体" w:cs="Times New Roman"/>
                <w:bCs/>
                <w:color w:val="auto"/>
                <w:sz w:val="24"/>
                <w:highlight w:val="none"/>
                <w:lang w:val="en-US" w:eastAsia="zh-CN" w:bidi="zh-TW"/>
              </w:rPr>
              <w:t>18920</w:t>
            </w:r>
            <w:r>
              <w:rPr>
                <w:rFonts w:hint="eastAsia" w:ascii="Times New Roman" w:hAnsi="Times New Roman" w:cs="Times New Roman"/>
                <w:bCs/>
                <w:color w:val="auto"/>
                <w:sz w:val="24"/>
                <w:highlight w:val="none"/>
                <w:lang w:val="en-US" w:eastAsia="zh-CN" w:bidi="zh-TW"/>
              </w:rPr>
              <w:t>—2020</w:t>
            </w:r>
            <w:r>
              <w:rPr>
                <w:rFonts w:hint="default" w:ascii="Times New Roman" w:hAnsi="Times New Roman" w:eastAsia="宋体" w:cs="Times New Roman"/>
                <w:bCs/>
                <w:color w:val="auto"/>
                <w:sz w:val="24"/>
                <w:highlight w:val="none"/>
                <w:lang w:val="en-US" w:eastAsia="zh-CN" w:bidi="zh-TW"/>
              </w:rPr>
              <w:t>）</w:t>
            </w:r>
            <w:r>
              <w:rPr>
                <w:rFonts w:hint="default" w:ascii="Times New Roman" w:hAnsi="Times New Roman" w:cs="Times New Roman"/>
                <w:color w:val="auto"/>
                <w:lang w:val="en-US" w:eastAsia="zh-CN"/>
              </w:rPr>
              <w:t>，</w:t>
            </w:r>
            <w:r>
              <w:rPr>
                <w:rFonts w:hint="default" w:ascii="Times New Roman" w:hAnsi="Times New Roman" w:eastAsia="宋体" w:cs="Times New Roman"/>
                <w:bCs/>
                <w:color w:val="auto"/>
                <w:sz w:val="24"/>
                <w:highlight w:val="none"/>
                <w:lang w:val="en-US" w:eastAsia="zh-CN" w:bidi="zh-TW"/>
              </w:rPr>
              <w:t>统筹用于园林绿化、鄂尔多斯市新能源产业示范区企业及内蒙古能源发电杭锦发电有限公司工业用水，不外排</w:t>
            </w:r>
            <w:r>
              <w:rPr>
                <w:rFonts w:hint="default" w:ascii="Times New Roman" w:hAnsi="Times New Roman" w:cs="Times New Roman"/>
                <w:bCs/>
                <w:color w:val="auto"/>
                <w:sz w:val="24"/>
                <w:highlight w:val="none"/>
                <w:lang w:val="en-US" w:eastAsia="zh-CN" w:bidi="zh-TW"/>
              </w:rPr>
              <w:t>。</w:t>
            </w:r>
          </w:p>
          <w:p w14:paraId="0721EC98">
            <w:pPr>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.建设内容</w:t>
            </w:r>
          </w:p>
          <w:p w14:paraId="06160080">
            <w:pPr>
              <w:spacing w:line="360" w:lineRule="auto"/>
              <w:ind w:firstLine="482"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bCs/>
                <w:color w:val="auto"/>
                <w:sz w:val="24"/>
                <w:highlight w:val="none"/>
              </w:rPr>
              <w:t>项目名称：</w:t>
            </w:r>
            <w:r>
              <w:rPr>
                <w:rFonts w:hint="default" w:ascii="Times New Roman" w:hAnsi="Times New Roman" w:cs="Times New Roman"/>
                <w:bCs/>
                <w:color w:val="auto"/>
                <w:sz w:val="24"/>
                <w:highlight w:val="none"/>
                <w:lang w:eastAsia="zh-CN"/>
              </w:rPr>
              <w:t>杭锦旗污水厂三期建设项目</w:t>
            </w:r>
          </w:p>
          <w:p w14:paraId="0453E053">
            <w:pPr>
              <w:spacing w:line="360" w:lineRule="auto"/>
              <w:ind w:firstLine="482"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
                <w:bCs/>
                <w:color w:val="auto"/>
                <w:sz w:val="24"/>
                <w:highlight w:val="none"/>
              </w:rPr>
              <w:t>建设单位：</w:t>
            </w:r>
            <w:r>
              <w:rPr>
                <w:rFonts w:hint="default" w:ascii="Times New Roman" w:hAnsi="Times New Roman" w:eastAsia="宋体" w:cs="Times New Roman"/>
                <w:bCs/>
                <w:color w:val="auto"/>
                <w:sz w:val="24"/>
                <w:highlight w:val="none"/>
                <w:lang w:eastAsia="zh-CN"/>
              </w:rPr>
              <w:t>杭锦旗城市公用事业服务中心</w:t>
            </w:r>
          </w:p>
          <w:p w14:paraId="500A1AFB">
            <w:pPr>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建设性质：</w:t>
            </w:r>
            <w:r>
              <w:rPr>
                <w:rFonts w:hint="default" w:ascii="Times New Roman" w:hAnsi="Times New Roman" w:cs="Times New Roman"/>
                <w:b w:val="0"/>
                <w:bCs w:val="0"/>
                <w:color w:val="auto"/>
                <w:sz w:val="24"/>
                <w:highlight w:val="none"/>
                <w:lang w:val="en-US" w:eastAsia="zh-CN"/>
              </w:rPr>
              <w:t>扩建</w:t>
            </w:r>
          </w:p>
          <w:p w14:paraId="7B25A454">
            <w:pPr>
              <w:spacing w:line="360" w:lineRule="auto"/>
              <w:ind w:firstLine="482"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bCs/>
                <w:color w:val="auto"/>
                <w:sz w:val="24"/>
                <w:highlight w:val="none"/>
              </w:rPr>
              <w:t>建设地点：</w:t>
            </w:r>
            <w:bookmarkStart w:id="3" w:name="_Hlk172558676"/>
            <w:r>
              <w:rPr>
                <w:rFonts w:hint="default" w:ascii="Times New Roman" w:hAnsi="Times New Roman" w:eastAsia="宋体" w:cs="Times New Roman"/>
                <w:bCs/>
                <w:color w:val="auto"/>
                <w:sz w:val="24"/>
                <w:highlight w:val="none"/>
              </w:rPr>
              <w:t>项目位于内蒙古自治区鄂尔多斯市</w:t>
            </w:r>
            <w:bookmarkEnd w:id="3"/>
            <w:r>
              <w:rPr>
                <w:rFonts w:hint="default" w:ascii="Times New Roman" w:hAnsi="Times New Roman" w:eastAsia="宋体" w:cs="Times New Roman"/>
                <w:bCs/>
                <w:color w:val="auto"/>
                <w:sz w:val="24"/>
                <w:highlight w:val="none"/>
                <w:lang w:eastAsia="zh-CN"/>
              </w:rPr>
              <w:t>杭锦旗</w:t>
            </w:r>
            <w:r>
              <w:rPr>
                <w:rFonts w:hint="default" w:ascii="Times New Roman" w:hAnsi="Times New Roman" w:cs="Times New Roman"/>
                <w:bCs/>
                <w:color w:val="auto"/>
                <w:sz w:val="24"/>
                <w:highlight w:val="none"/>
                <w:lang w:eastAsia="zh-CN"/>
              </w:rPr>
              <w:t>锡尼镇污水处理厂厂区预留空地内</w:t>
            </w:r>
            <w:r>
              <w:rPr>
                <w:rFonts w:hint="default" w:ascii="Times New Roman" w:hAnsi="Times New Roman" w:eastAsia="宋体" w:cs="Times New Roman"/>
                <w:bCs/>
                <w:color w:val="auto"/>
                <w:sz w:val="24"/>
                <w:highlight w:val="none"/>
              </w:rPr>
              <w:t>，厂址中心地理坐标为：E10</w:t>
            </w:r>
            <w:r>
              <w:rPr>
                <w:rFonts w:hint="default" w:ascii="Times New Roman" w:hAnsi="Times New Roman" w:eastAsia="宋体" w:cs="Times New Roman"/>
                <w:bCs/>
                <w:color w:val="auto"/>
                <w:sz w:val="24"/>
                <w:highlight w:val="none"/>
                <w:lang w:val="en-US" w:eastAsia="zh-CN"/>
              </w:rPr>
              <w:t>8</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43</w:t>
            </w:r>
            <w:r>
              <w:rPr>
                <w:rFonts w:hint="default" w:ascii="Times New Roman" w:hAnsi="Times New Roman" w:eastAsia="宋体" w:cs="Times New Roman"/>
                <w:bCs/>
                <w:color w:val="auto"/>
                <w:sz w:val="24"/>
                <w:highlight w:val="none"/>
              </w:rPr>
              <w:t>'</w:t>
            </w:r>
            <w:r>
              <w:rPr>
                <w:rFonts w:hint="default" w:ascii="Times New Roman" w:hAnsi="Times New Roman" w:cs="Times New Roman"/>
                <w:bCs/>
                <w:color w:val="auto"/>
                <w:sz w:val="24"/>
                <w:highlight w:val="none"/>
                <w:lang w:val="en-US" w:eastAsia="zh-CN"/>
              </w:rPr>
              <w:t>18.919</w:t>
            </w:r>
            <w:r>
              <w:rPr>
                <w:rFonts w:hint="default" w:ascii="Times New Roman" w:hAnsi="Times New Roman" w:eastAsia="宋体" w:cs="Times New Roman"/>
                <w:bCs/>
                <w:color w:val="auto"/>
                <w:sz w:val="24"/>
                <w:highlight w:val="none"/>
              </w:rPr>
              <w:t>"，N</w:t>
            </w:r>
            <w:r>
              <w:rPr>
                <w:rFonts w:hint="default" w:ascii="Times New Roman" w:hAnsi="Times New Roman" w:eastAsia="宋体" w:cs="Times New Roman"/>
                <w:bCs/>
                <w:color w:val="auto"/>
                <w:sz w:val="24"/>
                <w:highlight w:val="none"/>
                <w:lang w:val="en-US" w:eastAsia="zh-CN"/>
              </w:rPr>
              <w:t>39</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51</w:t>
            </w:r>
            <w:r>
              <w:rPr>
                <w:rFonts w:hint="default" w:ascii="Times New Roman" w:hAnsi="Times New Roman" w:eastAsia="宋体" w:cs="Times New Roman"/>
                <w:bCs/>
                <w:color w:val="auto"/>
                <w:sz w:val="24"/>
                <w:highlight w:val="none"/>
              </w:rPr>
              <w:t>'</w:t>
            </w:r>
            <w:r>
              <w:rPr>
                <w:rFonts w:hint="default" w:ascii="Times New Roman" w:hAnsi="Times New Roman" w:cs="Times New Roman"/>
                <w:bCs/>
                <w:color w:val="auto"/>
                <w:sz w:val="24"/>
                <w:highlight w:val="none"/>
                <w:lang w:val="en-US" w:eastAsia="zh-CN"/>
              </w:rPr>
              <w:t>24.137</w:t>
            </w:r>
            <w:r>
              <w:rPr>
                <w:rFonts w:hint="default" w:ascii="Times New Roman" w:hAnsi="Times New Roman" w:eastAsia="宋体" w:cs="Times New Roman"/>
                <w:bCs/>
                <w:color w:val="auto"/>
                <w:sz w:val="24"/>
                <w:highlight w:val="none"/>
              </w:rPr>
              <w:t>"。项目地理位置图见附图2。</w:t>
            </w:r>
          </w:p>
          <w:p w14:paraId="01301898">
            <w:pPr>
              <w:spacing w:line="360" w:lineRule="auto"/>
              <w:ind w:firstLine="482"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
                <w:bCs/>
                <w:color w:val="auto"/>
                <w:sz w:val="24"/>
                <w:highlight w:val="none"/>
              </w:rPr>
              <w:t>建设内容及规模：</w:t>
            </w:r>
            <w:r>
              <w:rPr>
                <w:rFonts w:hint="default" w:ascii="Times New Roman" w:hAnsi="Times New Roman" w:eastAsia="宋体" w:cs="Times New Roman"/>
                <w:b w:val="0"/>
                <w:bCs w:val="0"/>
                <w:color w:val="auto"/>
                <w:sz w:val="24"/>
                <w:highlight w:val="none"/>
                <w:lang w:val="en-US" w:eastAsia="zh-CN"/>
              </w:rPr>
              <w:t>现状杭锦旗污水厂一期、二期总处理规模8500</w:t>
            </w:r>
            <w:r>
              <w:rPr>
                <w:rFonts w:hint="default" w:ascii="Times New Roman" w:hAnsi="Times New Roman" w:cs="Times New Roman"/>
                <w:b w:val="0"/>
                <w:bCs w:val="0"/>
                <w:color w:val="auto"/>
                <w:sz w:val="24"/>
                <w:highlight w:val="none"/>
                <w:lang w:val="en-US" w:eastAsia="zh-CN"/>
              </w:rPr>
              <w:t>t</w:t>
            </w:r>
            <w:r>
              <w:rPr>
                <w:rFonts w:hint="default" w:ascii="Times New Roman" w:hAnsi="Times New Roman" w:eastAsia="宋体" w:cs="Times New Roman"/>
                <w:b w:val="0"/>
                <w:bCs w:val="0"/>
                <w:color w:val="auto"/>
                <w:sz w:val="24"/>
                <w:highlight w:val="none"/>
                <w:lang w:val="en-US" w:eastAsia="zh-CN"/>
              </w:rPr>
              <w:t>/d，本次三期新增处理规模5500</w:t>
            </w:r>
            <w:r>
              <w:rPr>
                <w:rFonts w:hint="default" w:ascii="Times New Roman" w:hAnsi="Times New Roman" w:cs="Times New Roman"/>
                <w:b w:val="0"/>
                <w:bCs w:val="0"/>
                <w:color w:val="auto"/>
                <w:sz w:val="24"/>
                <w:highlight w:val="none"/>
                <w:lang w:val="en-US" w:eastAsia="zh-CN"/>
              </w:rPr>
              <w:t>t</w:t>
            </w:r>
            <w:r>
              <w:rPr>
                <w:rFonts w:hint="default" w:ascii="Times New Roman" w:hAnsi="Times New Roman" w:eastAsia="宋体" w:cs="Times New Roman"/>
                <w:b w:val="0"/>
                <w:bCs w:val="0"/>
                <w:color w:val="auto"/>
                <w:sz w:val="24"/>
                <w:highlight w:val="none"/>
                <w:lang w:val="en-US" w:eastAsia="zh-CN"/>
              </w:rPr>
              <w:t>/d，本项目建成后污水厂总</w:t>
            </w:r>
            <w:r>
              <w:rPr>
                <w:rFonts w:hint="default" w:ascii="Times New Roman" w:hAnsi="Times New Roman" w:cs="Times New Roman"/>
                <w:b w:val="0"/>
                <w:bCs w:val="0"/>
                <w:color w:val="auto"/>
                <w:sz w:val="24"/>
                <w:highlight w:val="none"/>
                <w:lang w:val="en-US" w:eastAsia="zh-CN"/>
              </w:rPr>
              <w:t>处理</w:t>
            </w:r>
            <w:r>
              <w:rPr>
                <w:rFonts w:hint="default" w:ascii="Times New Roman" w:hAnsi="Times New Roman" w:eastAsia="宋体" w:cs="Times New Roman"/>
                <w:b w:val="0"/>
                <w:bCs w:val="0"/>
                <w:color w:val="auto"/>
                <w:sz w:val="24"/>
                <w:highlight w:val="none"/>
                <w:lang w:val="en-US" w:eastAsia="zh-CN"/>
              </w:rPr>
              <w:t>规模达到1.4万</w:t>
            </w:r>
            <w:r>
              <w:rPr>
                <w:rFonts w:hint="default" w:ascii="Times New Roman" w:hAnsi="Times New Roman" w:cs="Times New Roman"/>
                <w:b w:val="0"/>
                <w:bCs w:val="0"/>
                <w:color w:val="auto"/>
                <w:sz w:val="24"/>
                <w:highlight w:val="none"/>
                <w:lang w:val="en-US" w:eastAsia="zh-CN"/>
              </w:rPr>
              <w:t>t</w:t>
            </w:r>
            <w:r>
              <w:rPr>
                <w:rFonts w:hint="default" w:ascii="Times New Roman" w:hAnsi="Times New Roman" w:eastAsia="宋体" w:cs="Times New Roman"/>
                <w:b w:val="0"/>
                <w:bCs w:val="0"/>
                <w:color w:val="auto"/>
                <w:sz w:val="24"/>
                <w:highlight w:val="none"/>
                <w:lang w:val="en-US" w:eastAsia="zh-CN"/>
              </w:rPr>
              <w:t>/d。三期处理工艺采用</w:t>
            </w:r>
            <w:r>
              <w:rPr>
                <w:rFonts w:hint="eastAsia"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粗格栅+细格栅+曝气沉砂池+改良Bardenpho+二沉池+磁混凝沉淀池+V型滤池</w:t>
            </w:r>
            <w:r>
              <w:rPr>
                <w:rFonts w:hint="default" w:ascii="Times New Roman" w:hAnsi="Times New Roman" w:cs="Times New Roman"/>
                <w:b w:val="0"/>
                <w:bCs w:val="0"/>
                <w:color w:val="auto"/>
                <w:sz w:val="24"/>
                <w:highlight w:val="none"/>
                <w:lang w:val="en-US" w:eastAsia="zh-CN"/>
              </w:rPr>
              <w:t>（按现状工程与本次规模合计1.4万t/d设计）</w:t>
            </w:r>
            <w:r>
              <w:rPr>
                <w:rFonts w:hint="default" w:ascii="Times New Roman" w:hAnsi="Times New Roman" w:eastAsia="宋体" w:cs="Times New Roman"/>
                <w:b w:val="0"/>
                <w:bCs w:val="0"/>
                <w:color w:val="auto"/>
                <w:sz w:val="24"/>
                <w:highlight w:val="none"/>
                <w:lang w:val="en-US" w:eastAsia="zh-CN"/>
              </w:rPr>
              <w:t>+消毒</w:t>
            </w:r>
            <w:r>
              <w:rPr>
                <w:rFonts w:hint="eastAsia"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工艺；污泥处理方案采用</w:t>
            </w:r>
            <w:r>
              <w:rPr>
                <w:rFonts w:hint="eastAsia"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机械浓缩+高压板框压滤脱水</w:t>
            </w:r>
            <w:r>
              <w:rPr>
                <w:rFonts w:hint="eastAsia"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lang w:val="en-US" w:eastAsia="zh-CN"/>
              </w:rPr>
              <w:t>工艺</w:t>
            </w:r>
            <w:r>
              <w:rPr>
                <w:rFonts w:hint="default" w:ascii="Times New Roman" w:hAnsi="Times New Roman" w:eastAsia="宋体" w:cs="Times New Roman"/>
                <w:bCs/>
                <w:color w:val="auto"/>
                <w:sz w:val="24"/>
                <w:highlight w:val="none"/>
                <w:lang w:val="en-US" w:eastAsia="zh-CN"/>
              </w:rPr>
              <w:t>，设计出水水质</w:t>
            </w:r>
            <w:r>
              <w:rPr>
                <w:rFonts w:hint="default" w:ascii="Times New Roman" w:hAnsi="Times New Roman" w:cs="Times New Roman"/>
                <w:bCs/>
                <w:color w:val="auto"/>
                <w:sz w:val="24"/>
                <w:highlight w:val="none"/>
                <w:lang w:val="en-US" w:eastAsia="zh-CN"/>
              </w:rPr>
              <w:t>执行</w:t>
            </w:r>
            <w:r>
              <w:rPr>
                <w:rFonts w:hint="default" w:ascii="Times New Roman" w:hAnsi="Times New Roman" w:eastAsia="宋体" w:cs="Times New Roman"/>
                <w:bCs/>
                <w:color w:val="auto"/>
                <w:sz w:val="24"/>
                <w:highlight w:val="none"/>
                <w:lang w:val="en-US" w:eastAsia="zh-CN"/>
              </w:rPr>
              <w:t>《城镇污水处理厂污染物排放标准》（GB</w:t>
            </w:r>
            <w:r>
              <w:rPr>
                <w:rFonts w:hint="default" w:ascii="Times New Roman" w:hAnsi="Times New Roman" w:cs="Times New Roman"/>
                <w:bCs/>
                <w:color w:val="auto"/>
                <w:sz w:val="24"/>
                <w:highlight w:val="none"/>
                <w:lang w:val="en-US" w:eastAsia="zh-CN"/>
              </w:rPr>
              <w:t xml:space="preserve"> </w:t>
            </w:r>
            <w:r>
              <w:rPr>
                <w:rFonts w:hint="eastAsia" w:ascii="Times New Roman" w:hAnsi="Times New Roman" w:cs="Times New Roman"/>
                <w:bCs/>
                <w:color w:val="auto"/>
                <w:sz w:val="24"/>
                <w:highlight w:val="none"/>
                <w:lang w:val="en-US" w:eastAsia="zh-CN"/>
              </w:rPr>
              <w:t>18918—</w:t>
            </w:r>
            <w:r>
              <w:rPr>
                <w:rFonts w:hint="default" w:ascii="Times New Roman" w:hAnsi="Times New Roman" w:eastAsia="宋体" w:cs="Times New Roman"/>
                <w:bCs/>
                <w:color w:val="auto"/>
                <w:sz w:val="24"/>
                <w:highlight w:val="none"/>
                <w:lang w:val="en-US" w:eastAsia="zh-CN"/>
              </w:rPr>
              <w:t>2002）及其修改单中一级A标准</w:t>
            </w:r>
            <w:r>
              <w:rPr>
                <w:rFonts w:hint="default" w:ascii="Times New Roman" w:hAnsi="Times New Roman" w:cs="Times New Roman"/>
                <w:color w:val="auto"/>
                <w:lang w:eastAsia="zh-CN"/>
              </w:rPr>
              <w:t>、《城市污水再生利用</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工业用水水质》（GB/T</w:t>
            </w:r>
            <w:r>
              <w:rPr>
                <w:rFonts w:hint="default" w:ascii="Times New Roman" w:hAnsi="Times New Roman" w:cs="Times New Roman"/>
                <w:color w:val="auto"/>
                <w:lang w:val="en-US" w:eastAsia="zh-CN"/>
              </w:rPr>
              <w:t xml:space="preserve"> </w:t>
            </w:r>
            <w:r>
              <w:rPr>
                <w:rFonts w:hint="eastAsia" w:ascii="Times New Roman" w:hAnsi="Times New Roman" w:cs="Times New Roman"/>
                <w:color w:val="auto"/>
                <w:lang w:eastAsia="zh-CN"/>
              </w:rPr>
              <w:t>19923—</w:t>
            </w:r>
            <w:r>
              <w:rPr>
                <w:rFonts w:hint="default" w:ascii="Times New Roman" w:hAnsi="Times New Roman" w:cs="Times New Roman"/>
                <w:color w:val="auto"/>
                <w:lang w:eastAsia="zh-CN"/>
              </w:rPr>
              <w:t>2024）、《城市污水再生利用</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城市杂用水水质》（GB/T</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lang w:eastAsia="zh-CN"/>
              </w:rPr>
              <w:t>18920</w:t>
            </w:r>
            <w:r>
              <w:rPr>
                <w:rFonts w:hint="eastAsia" w:ascii="Times New Roman" w:hAnsi="Times New Roman" w:cs="Times New Roman"/>
                <w:color w:val="auto"/>
                <w:lang w:eastAsia="zh-CN"/>
              </w:rPr>
              <w:t>—2020</w:t>
            </w:r>
            <w:r>
              <w:rPr>
                <w:rFonts w:hint="default" w:ascii="Times New Roman" w:hAnsi="Times New Roman" w:cs="Times New Roman"/>
                <w:color w:val="auto"/>
                <w:lang w:eastAsia="zh-CN"/>
              </w:rPr>
              <w:t>）</w:t>
            </w:r>
            <w:r>
              <w:rPr>
                <w:rFonts w:hint="default" w:ascii="Times New Roman" w:hAnsi="Times New Roman" w:eastAsia="宋体"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本次三期工程新增的5500t/d处理出水，将全部进入杭锦旗锡尼镇污水处理厂尾水水质净化工程进行后续处置与利用。</w:t>
            </w:r>
          </w:p>
          <w:p w14:paraId="7E1F8A6B">
            <w:pPr>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主要建设内容为：预处理间、生物池、配水集泥井、二沉池及提升泵池、磁混凝沉淀间、清水池、送水泵房、加氯加药间、鼓风机房、贮泥池、污泥脱水机房</w:t>
            </w:r>
            <w:r>
              <w:rPr>
                <w:rFonts w:hint="default" w:ascii="Times New Roman" w:hAnsi="Times New Roman"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V型滤池间及附属配套设施</w:t>
            </w:r>
            <w:r>
              <w:rPr>
                <w:rFonts w:hint="default" w:ascii="Times New Roman" w:hAnsi="Times New Roman" w:cs="Times New Roman"/>
                <w:bCs/>
                <w:color w:val="auto"/>
                <w:sz w:val="24"/>
                <w:highlight w:val="none"/>
                <w:lang w:val="en-US" w:eastAsia="zh-CN"/>
              </w:rPr>
              <w:t>等</w:t>
            </w:r>
            <w:r>
              <w:rPr>
                <w:rFonts w:hint="default" w:ascii="Times New Roman" w:hAnsi="Times New Roman" w:eastAsia="宋体" w:cs="Times New Roman"/>
                <w:bCs/>
                <w:color w:val="auto"/>
                <w:sz w:val="24"/>
                <w:highlight w:val="none"/>
                <w:lang w:val="en-US" w:eastAsia="zh-CN"/>
              </w:rPr>
              <w:t>。</w:t>
            </w:r>
          </w:p>
          <w:p w14:paraId="7D2054D0">
            <w:pPr>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占地面积：</w:t>
            </w:r>
            <w:r>
              <w:rPr>
                <w:rFonts w:hint="default" w:ascii="Times New Roman" w:hAnsi="Times New Roman" w:cs="Times New Roman"/>
                <w:color w:val="auto"/>
                <w:sz w:val="24"/>
                <w:highlight w:val="none"/>
                <w:lang w:val="en-US" w:eastAsia="zh-CN"/>
              </w:rPr>
              <w:t>本项目位于</w:t>
            </w:r>
            <w:r>
              <w:rPr>
                <w:rFonts w:hint="default" w:ascii="Times New Roman" w:hAnsi="Times New Roman" w:eastAsia="宋体" w:cs="Times New Roman"/>
                <w:color w:val="auto"/>
                <w:sz w:val="24"/>
                <w:highlight w:val="none"/>
                <w:lang w:eastAsia="zh-CN"/>
              </w:rPr>
              <w:t>锡尼镇污水处理厂厂区预留空地内</w:t>
            </w:r>
            <w:r>
              <w:rPr>
                <w:rFonts w:hint="default" w:ascii="Times New Roman" w:hAnsi="Times New Roman" w:eastAsia="宋体" w:cs="Times New Roman"/>
                <w:color w:val="auto"/>
                <w:sz w:val="24"/>
                <w:highlight w:val="none"/>
              </w:rPr>
              <w:t>，占地</w:t>
            </w:r>
            <w:r>
              <w:rPr>
                <w:rFonts w:hint="default" w:ascii="Times New Roman" w:hAnsi="Times New Roman" w:cs="Times New Roman"/>
                <w:color w:val="auto"/>
                <w:sz w:val="24"/>
                <w:highlight w:val="none"/>
                <w:lang w:val="en-US" w:eastAsia="zh-CN"/>
              </w:rPr>
              <w:t>面积</w:t>
            </w:r>
            <w:r>
              <w:rPr>
                <w:rFonts w:hint="default" w:ascii="Times New Roman" w:hAnsi="Times New Roman" w:cs="Times New Roman"/>
                <w:color w:val="auto"/>
                <w:sz w:val="24"/>
                <w:highlight w:val="none"/>
                <w:lang w:eastAsia="zh-CN"/>
              </w:rPr>
              <w:t>19796.5</w:t>
            </w:r>
            <w:r>
              <w:rPr>
                <w:rFonts w:hint="default" w:ascii="Times New Roman" w:hAnsi="Times New Roman" w:cs="Times New Roman"/>
                <w:color w:val="auto"/>
                <w:sz w:val="24"/>
                <w:highlight w:val="none"/>
                <w:vertAlign w:val="baseline"/>
                <w:lang w:eastAsia="zh-CN"/>
              </w:rPr>
              <w:t>m</w:t>
            </w:r>
            <w:r>
              <w:rPr>
                <w:rFonts w:hint="default" w:ascii="Times New Roman" w:hAnsi="Times New Roman" w:cs="Times New Roman"/>
                <w:color w:val="auto"/>
                <w:sz w:val="24"/>
                <w:highlight w:val="none"/>
                <w:vertAlign w:val="superscript"/>
                <w:lang w:eastAsia="zh-CN"/>
              </w:rPr>
              <w:t>2</w:t>
            </w:r>
            <w:r>
              <w:rPr>
                <w:rFonts w:hint="default" w:ascii="Times New Roman" w:hAnsi="Times New Roman" w:eastAsia="宋体" w:cs="Times New Roman"/>
                <w:color w:val="auto"/>
                <w:sz w:val="24"/>
                <w:highlight w:val="none"/>
              </w:rPr>
              <w:t>。</w:t>
            </w:r>
          </w:p>
          <w:p w14:paraId="441F741A">
            <w:pPr>
              <w:spacing w:line="360" w:lineRule="auto"/>
              <w:ind w:firstLine="482" w:firstLineChars="200"/>
              <w:jc w:val="left"/>
              <w:rPr>
                <w:rFonts w:hint="default" w:ascii="Times New Roman" w:hAnsi="Times New Roman" w:eastAsia="宋体" w:cs="Times New Roman"/>
                <w:b/>
                <w:bCs/>
                <w:iCs/>
                <w:color w:val="auto"/>
                <w:sz w:val="24"/>
                <w:highlight w:val="none"/>
              </w:rPr>
            </w:pPr>
            <w:r>
              <w:rPr>
                <w:rFonts w:hint="default" w:ascii="Times New Roman" w:hAnsi="Times New Roman" w:eastAsia="宋体" w:cs="Times New Roman"/>
                <w:b/>
                <w:bCs/>
                <w:color w:val="auto"/>
                <w:sz w:val="24"/>
                <w:highlight w:val="none"/>
              </w:rPr>
              <w:t>项目投资：</w:t>
            </w:r>
            <w:r>
              <w:rPr>
                <w:rFonts w:hint="default" w:ascii="Times New Roman" w:hAnsi="Times New Roman" w:eastAsia="宋体" w:cs="Times New Roman"/>
                <w:bCs/>
                <w:color w:val="auto"/>
                <w:sz w:val="24"/>
                <w:highlight w:val="none"/>
              </w:rPr>
              <w:t>本项目总投资为</w:t>
            </w:r>
            <w:r>
              <w:rPr>
                <w:rFonts w:hint="default" w:ascii="Times New Roman" w:hAnsi="Times New Roman" w:cs="Times New Roman"/>
                <w:bCs/>
                <w:color w:val="auto"/>
                <w:sz w:val="24"/>
                <w:highlight w:val="none"/>
                <w:lang w:val="en-US" w:eastAsia="zh-CN"/>
              </w:rPr>
              <w:t>6076.9</w:t>
            </w:r>
            <w:r>
              <w:rPr>
                <w:rFonts w:hint="default" w:ascii="Times New Roman" w:hAnsi="Times New Roman" w:eastAsia="宋体" w:cs="Times New Roman"/>
                <w:bCs/>
                <w:color w:val="auto"/>
                <w:sz w:val="24"/>
                <w:highlight w:val="none"/>
              </w:rPr>
              <w:t>万元，</w:t>
            </w:r>
            <w:r>
              <w:rPr>
                <w:rFonts w:hint="default" w:ascii="Times New Roman" w:hAnsi="Times New Roman" w:eastAsia="宋体" w:cs="Times New Roman"/>
                <w:bCs/>
                <w:color w:val="auto"/>
                <w:sz w:val="24"/>
                <w:highlight w:val="none"/>
                <w:lang w:val="en-US" w:eastAsia="zh-CN"/>
              </w:rPr>
              <w:t>其中</w:t>
            </w:r>
            <w:r>
              <w:rPr>
                <w:rFonts w:hint="default" w:ascii="Times New Roman" w:hAnsi="Times New Roman" w:eastAsia="宋体" w:cs="Times New Roman"/>
                <w:bCs/>
                <w:color w:val="auto"/>
                <w:sz w:val="24"/>
                <w:highlight w:val="none"/>
              </w:rPr>
              <w:t>环保投资</w:t>
            </w:r>
            <w:r>
              <w:rPr>
                <w:rFonts w:hint="default" w:ascii="Times New Roman" w:hAnsi="Times New Roman" w:eastAsia="宋体" w:cs="Times New Roman"/>
                <w:bCs/>
                <w:color w:val="auto"/>
                <w:sz w:val="24"/>
                <w:highlight w:val="none"/>
                <w:lang w:val="en-US" w:eastAsia="zh-CN"/>
              </w:rPr>
              <w:t>为1526万元，占总投资的25.11%</w:t>
            </w:r>
            <w:r>
              <w:rPr>
                <w:rFonts w:hint="default" w:ascii="Times New Roman" w:hAnsi="Times New Roman" w:eastAsia="宋体" w:cs="Times New Roman"/>
                <w:bCs/>
                <w:color w:val="auto"/>
                <w:sz w:val="24"/>
                <w:highlight w:val="none"/>
              </w:rPr>
              <w:t>。</w:t>
            </w:r>
          </w:p>
          <w:p w14:paraId="39AD4C86">
            <w:pPr>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cs="Times New Roman"/>
                <w:bCs/>
                <w:color w:val="auto"/>
                <w:sz w:val="24"/>
                <w:highlight w:val="none"/>
                <w:lang w:val="en-US" w:eastAsia="zh-CN"/>
              </w:rPr>
              <w:t>项目</w:t>
            </w:r>
            <w:r>
              <w:rPr>
                <w:rFonts w:hint="default" w:ascii="Times New Roman" w:hAnsi="Times New Roman" w:eastAsia="宋体" w:cs="Times New Roman"/>
                <w:bCs/>
                <w:color w:val="auto"/>
                <w:sz w:val="24"/>
                <w:highlight w:val="none"/>
              </w:rPr>
              <w:t>组成见表2-1。</w:t>
            </w:r>
          </w:p>
          <w:p w14:paraId="71384F3A">
            <w:pPr>
              <w:pStyle w:val="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表2-1 </w:t>
            </w:r>
            <w:r>
              <w:rPr>
                <w:rFonts w:hint="default" w:ascii="Times New Roman" w:hAnsi="Times New Roman" w:cs="Times New Roman"/>
                <w:color w:val="auto"/>
                <w:highlight w:val="none"/>
                <w:lang w:val="en-US" w:eastAsia="zh-CN"/>
              </w:rPr>
              <w:t>三期</w:t>
            </w:r>
            <w:r>
              <w:rPr>
                <w:rFonts w:hint="default" w:ascii="Times New Roman" w:hAnsi="Times New Roman" w:eastAsia="宋体" w:cs="Times New Roman"/>
                <w:color w:val="auto"/>
                <w:highlight w:val="none"/>
              </w:rPr>
              <w:t>项目组成一览表</w:t>
            </w:r>
          </w:p>
          <w:tbl>
            <w:tblPr>
              <w:tblStyle w:val="11"/>
              <w:tblW w:w="8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544"/>
              <w:gridCol w:w="953"/>
              <w:gridCol w:w="4935"/>
              <w:gridCol w:w="1053"/>
            </w:tblGrid>
            <w:tr w14:paraId="308D7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tcMar>
                    <w:left w:w="28" w:type="dxa"/>
                    <w:right w:w="28" w:type="dxa"/>
                  </w:tcMar>
                  <w:vAlign w:val="center"/>
                </w:tcPr>
                <w:p w14:paraId="1D1CE7E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497" w:type="dxa"/>
                  <w:gridSpan w:val="2"/>
                  <w:tcMar>
                    <w:left w:w="28" w:type="dxa"/>
                    <w:right w:w="28" w:type="dxa"/>
                  </w:tcMar>
                  <w:vAlign w:val="center"/>
                </w:tcPr>
                <w:p w14:paraId="327030A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工程名称</w:t>
                  </w:r>
                </w:p>
              </w:tc>
              <w:tc>
                <w:tcPr>
                  <w:tcW w:w="4935" w:type="dxa"/>
                  <w:tcMar>
                    <w:left w:w="28" w:type="dxa"/>
                    <w:right w:w="28" w:type="dxa"/>
                  </w:tcMar>
                  <w:vAlign w:val="center"/>
                </w:tcPr>
                <w:p w14:paraId="1A69511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建设内容及规模</w:t>
                  </w:r>
                </w:p>
              </w:tc>
              <w:tc>
                <w:tcPr>
                  <w:tcW w:w="1053" w:type="dxa"/>
                  <w:vAlign w:val="center"/>
                </w:tcPr>
                <w:p w14:paraId="620F09D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r>
            <w:tr w14:paraId="4DC87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restart"/>
                  <w:tcMar>
                    <w:left w:w="28" w:type="dxa"/>
                    <w:right w:w="28" w:type="dxa"/>
                  </w:tcMar>
                  <w:vAlign w:val="center"/>
                </w:tcPr>
                <w:p w14:paraId="12EB2AD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主体工程</w:t>
                  </w:r>
                </w:p>
              </w:tc>
              <w:tc>
                <w:tcPr>
                  <w:tcW w:w="544" w:type="dxa"/>
                  <w:vMerge w:val="restart"/>
                  <w:tcMar>
                    <w:left w:w="28" w:type="dxa"/>
                    <w:right w:w="28" w:type="dxa"/>
                  </w:tcMar>
                  <w:vAlign w:val="center"/>
                </w:tcPr>
                <w:p w14:paraId="6FF45E4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预处理间</w:t>
                  </w:r>
                </w:p>
              </w:tc>
              <w:tc>
                <w:tcPr>
                  <w:tcW w:w="953" w:type="dxa"/>
                  <w:tcMar>
                    <w:left w:w="28" w:type="dxa"/>
                    <w:right w:w="28" w:type="dxa"/>
                  </w:tcMar>
                  <w:vAlign w:val="center"/>
                </w:tcPr>
                <w:p w14:paraId="25415AD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粗格栅</w:t>
                  </w:r>
                </w:p>
              </w:tc>
              <w:tc>
                <w:tcPr>
                  <w:tcW w:w="4935" w:type="dxa"/>
                  <w:tcMar>
                    <w:left w:w="28" w:type="dxa"/>
                    <w:right w:w="28" w:type="dxa"/>
                  </w:tcMar>
                  <w:vAlign w:val="center"/>
                </w:tcPr>
                <w:p w14:paraId="5411D116">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平均流量：Q均＝5500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³/d</w:t>
                  </w:r>
                </w:p>
                <w:p w14:paraId="557C82CB">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w:t>
                  </w:r>
                  <w:r>
                    <w:rPr>
                      <w:rFonts w:hint="default" w:ascii="Times New Roman" w:hAnsi="Times New Roman" w:cs="Times New Roman"/>
                      <w:color w:val="auto"/>
                      <w:sz w:val="21"/>
                      <w:szCs w:val="21"/>
                      <w:highlight w:val="none"/>
                      <w:lang w:eastAsia="zh-CN"/>
                    </w:rPr>
                    <w:t>钢筋混凝土</w:t>
                  </w:r>
                  <w:r>
                    <w:rPr>
                      <w:rFonts w:hint="default" w:ascii="Times New Roman" w:hAnsi="Times New Roman" w:eastAsia="宋体" w:cs="Times New Roman"/>
                      <w:color w:val="auto"/>
                      <w:sz w:val="21"/>
                      <w:szCs w:val="21"/>
                      <w:highlight w:val="none"/>
                    </w:rPr>
                    <w:t>平行渠道</w:t>
                  </w:r>
                </w:p>
                <w:p w14:paraId="6520C73B">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数量：1座，格栅渠道数2条</w:t>
                  </w:r>
                </w:p>
                <w:p w14:paraId="7205AFC5">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单格尺寸：L×B×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=5.8×0.8×0.7</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tc>
              <w:tc>
                <w:tcPr>
                  <w:tcW w:w="1053" w:type="dxa"/>
                  <w:vAlign w:val="center"/>
                </w:tcPr>
                <w:p w14:paraId="377CB6A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5A65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528D2D3B">
                  <w:pPr>
                    <w:adjustRightInd w:val="0"/>
                    <w:snapToGrid w:val="0"/>
                    <w:jc w:val="center"/>
                    <w:rPr>
                      <w:rFonts w:hint="default" w:ascii="Times New Roman" w:hAnsi="Times New Roman" w:eastAsia="宋体" w:cs="Times New Roman"/>
                      <w:color w:val="auto"/>
                      <w:sz w:val="21"/>
                      <w:szCs w:val="21"/>
                      <w:highlight w:val="none"/>
                    </w:rPr>
                  </w:pPr>
                </w:p>
              </w:tc>
              <w:tc>
                <w:tcPr>
                  <w:tcW w:w="544" w:type="dxa"/>
                  <w:vMerge w:val="continue"/>
                  <w:tcMar>
                    <w:left w:w="28" w:type="dxa"/>
                    <w:right w:w="28" w:type="dxa"/>
                  </w:tcMar>
                  <w:vAlign w:val="center"/>
                </w:tcPr>
                <w:p w14:paraId="053B7697">
                  <w:pPr>
                    <w:adjustRightInd w:val="0"/>
                    <w:snapToGrid w:val="0"/>
                    <w:jc w:val="center"/>
                    <w:rPr>
                      <w:rFonts w:hint="default" w:ascii="Times New Roman" w:hAnsi="Times New Roman" w:eastAsia="宋体" w:cs="Times New Roman"/>
                      <w:color w:val="auto"/>
                      <w:sz w:val="21"/>
                      <w:szCs w:val="21"/>
                      <w:highlight w:val="none"/>
                    </w:rPr>
                  </w:pPr>
                </w:p>
              </w:tc>
              <w:tc>
                <w:tcPr>
                  <w:tcW w:w="953" w:type="dxa"/>
                  <w:tcMar>
                    <w:left w:w="28" w:type="dxa"/>
                    <w:right w:w="28" w:type="dxa"/>
                  </w:tcMar>
                  <w:vAlign w:val="center"/>
                </w:tcPr>
                <w:p w14:paraId="1901A49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进水泵房</w:t>
                  </w:r>
                </w:p>
              </w:tc>
              <w:tc>
                <w:tcPr>
                  <w:tcW w:w="4935" w:type="dxa"/>
                  <w:tcMar>
                    <w:left w:w="28" w:type="dxa"/>
                    <w:right w:w="28" w:type="dxa"/>
                  </w:tcMar>
                  <w:vAlign w:val="center"/>
                </w:tcPr>
                <w:p w14:paraId="25761D9E">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类型：半地下式</w:t>
                  </w:r>
                  <w:r>
                    <w:rPr>
                      <w:rFonts w:hint="default" w:ascii="Times New Roman" w:hAnsi="Times New Roman" w:cs="Times New Roman"/>
                      <w:color w:val="auto"/>
                      <w:sz w:val="21"/>
                      <w:szCs w:val="21"/>
                      <w:highlight w:val="none"/>
                      <w:lang w:eastAsia="zh-CN"/>
                    </w:rPr>
                    <w:t>钢筋混凝土</w:t>
                  </w:r>
                  <w:r>
                    <w:rPr>
                      <w:rFonts w:hint="default" w:ascii="Times New Roman" w:hAnsi="Times New Roman" w:eastAsia="宋体" w:cs="Times New Roman"/>
                      <w:color w:val="auto"/>
                      <w:sz w:val="21"/>
                      <w:szCs w:val="21"/>
                      <w:highlight w:val="none"/>
                    </w:rPr>
                    <w:t>构筑物，与粗格栅渠合建</w:t>
                  </w:r>
                </w:p>
                <w:p w14:paraId="611F8F10">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p w14:paraId="0BDD33F4">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=4.6×7.1×2.75</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tc>
              <w:tc>
                <w:tcPr>
                  <w:tcW w:w="1053" w:type="dxa"/>
                  <w:vAlign w:val="center"/>
                </w:tcPr>
                <w:p w14:paraId="756846A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5CE8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3D44F782">
                  <w:pPr>
                    <w:adjustRightInd w:val="0"/>
                    <w:snapToGrid w:val="0"/>
                    <w:jc w:val="center"/>
                    <w:rPr>
                      <w:rFonts w:hint="default" w:ascii="Times New Roman" w:hAnsi="Times New Roman" w:eastAsia="宋体" w:cs="Times New Roman"/>
                      <w:color w:val="auto"/>
                      <w:sz w:val="21"/>
                      <w:szCs w:val="21"/>
                      <w:highlight w:val="none"/>
                    </w:rPr>
                  </w:pPr>
                </w:p>
              </w:tc>
              <w:tc>
                <w:tcPr>
                  <w:tcW w:w="544" w:type="dxa"/>
                  <w:vMerge w:val="continue"/>
                  <w:tcMar>
                    <w:left w:w="28" w:type="dxa"/>
                    <w:right w:w="28" w:type="dxa"/>
                  </w:tcMar>
                  <w:vAlign w:val="center"/>
                </w:tcPr>
                <w:p w14:paraId="2071580B">
                  <w:pPr>
                    <w:adjustRightInd w:val="0"/>
                    <w:snapToGrid w:val="0"/>
                    <w:jc w:val="center"/>
                    <w:rPr>
                      <w:rFonts w:hint="default" w:ascii="Times New Roman" w:hAnsi="Times New Roman" w:eastAsia="宋体" w:cs="Times New Roman"/>
                      <w:color w:val="auto"/>
                      <w:sz w:val="21"/>
                      <w:szCs w:val="21"/>
                      <w:highlight w:val="none"/>
                    </w:rPr>
                  </w:pPr>
                </w:p>
              </w:tc>
              <w:tc>
                <w:tcPr>
                  <w:tcW w:w="953" w:type="dxa"/>
                  <w:tcMar>
                    <w:left w:w="28" w:type="dxa"/>
                    <w:right w:w="28" w:type="dxa"/>
                  </w:tcMar>
                  <w:vAlign w:val="center"/>
                </w:tcPr>
                <w:p w14:paraId="465FC2F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细格栅</w:t>
                  </w:r>
                </w:p>
              </w:tc>
              <w:tc>
                <w:tcPr>
                  <w:tcW w:w="4935" w:type="dxa"/>
                  <w:tcMar>
                    <w:left w:w="28" w:type="dxa"/>
                    <w:right w:w="28" w:type="dxa"/>
                  </w:tcMar>
                  <w:vAlign w:val="center"/>
                </w:tcPr>
                <w:p w14:paraId="4CD5CBCB">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w:t>
                  </w:r>
                  <w:r>
                    <w:rPr>
                      <w:rFonts w:hint="default" w:ascii="Times New Roman" w:hAnsi="Times New Roman" w:cs="Times New Roman"/>
                      <w:color w:val="auto"/>
                      <w:sz w:val="21"/>
                      <w:szCs w:val="21"/>
                      <w:highlight w:val="none"/>
                      <w:lang w:eastAsia="zh-CN"/>
                    </w:rPr>
                    <w:t>钢筋混凝土</w:t>
                  </w:r>
                  <w:r>
                    <w:rPr>
                      <w:rFonts w:hint="default" w:ascii="Times New Roman" w:hAnsi="Times New Roman" w:eastAsia="宋体" w:cs="Times New Roman"/>
                      <w:color w:val="auto"/>
                      <w:sz w:val="21"/>
                      <w:szCs w:val="21"/>
                      <w:highlight w:val="none"/>
                    </w:rPr>
                    <w:t>平行渠道，与曝气沉砂池合建</w:t>
                  </w:r>
                </w:p>
                <w:p w14:paraId="37A6FF79">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数量：1座，渠道数2条</w:t>
                  </w:r>
                </w:p>
                <w:p w14:paraId="18B12C73">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单格尺寸：L×B×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=6.47×1.06×1.05</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tc>
              <w:tc>
                <w:tcPr>
                  <w:tcW w:w="1053" w:type="dxa"/>
                  <w:vAlign w:val="center"/>
                </w:tcPr>
                <w:p w14:paraId="48552D7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676F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0C85E83F">
                  <w:pPr>
                    <w:adjustRightInd w:val="0"/>
                    <w:snapToGrid w:val="0"/>
                    <w:jc w:val="center"/>
                    <w:rPr>
                      <w:rFonts w:hint="default" w:ascii="Times New Roman" w:hAnsi="Times New Roman" w:eastAsia="宋体" w:cs="Times New Roman"/>
                      <w:color w:val="auto"/>
                      <w:sz w:val="21"/>
                      <w:szCs w:val="21"/>
                      <w:highlight w:val="none"/>
                    </w:rPr>
                  </w:pPr>
                </w:p>
              </w:tc>
              <w:tc>
                <w:tcPr>
                  <w:tcW w:w="544" w:type="dxa"/>
                  <w:vMerge w:val="continue"/>
                  <w:tcMar>
                    <w:left w:w="28" w:type="dxa"/>
                    <w:right w:w="28" w:type="dxa"/>
                  </w:tcMar>
                  <w:vAlign w:val="center"/>
                </w:tcPr>
                <w:p w14:paraId="4034006E">
                  <w:pPr>
                    <w:adjustRightInd w:val="0"/>
                    <w:snapToGrid w:val="0"/>
                    <w:jc w:val="center"/>
                    <w:rPr>
                      <w:rFonts w:hint="default" w:ascii="Times New Roman" w:hAnsi="Times New Roman" w:eastAsia="宋体" w:cs="Times New Roman"/>
                      <w:color w:val="auto"/>
                      <w:sz w:val="21"/>
                      <w:szCs w:val="21"/>
                      <w:highlight w:val="none"/>
                    </w:rPr>
                  </w:pPr>
                </w:p>
              </w:tc>
              <w:tc>
                <w:tcPr>
                  <w:tcW w:w="953" w:type="dxa"/>
                  <w:tcMar>
                    <w:left w:w="28" w:type="dxa"/>
                    <w:right w:w="28" w:type="dxa"/>
                  </w:tcMar>
                  <w:vAlign w:val="center"/>
                </w:tcPr>
                <w:p w14:paraId="3B1BDF3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曝气沉砂池</w:t>
                  </w:r>
                </w:p>
              </w:tc>
              <w:tc>
                <w:tcPr>
                  <w:tcW w:w="4935" w:type="dxa"/>
                  <w:tcMar>
                    <w:left w:w="28" w:type="dxa"/>
                    <w:right w:w="28" w:type="dxa"/>
                  </w:tcMar>
                  <w:vAlign w:val="center"/>
                </w:tcPr>
                <w:p w14:paraId="00AA04EC">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类型：钢筋混凝土池，与细格栅渠合建</w:t>
                  </w:r>
                </w:p>
                <w:p w14:paraId="6736B0FC">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数量：1座，2组</w:t>
                  </w:r>
                </w:p>
                <w:p w14:paraId="4FCA7754">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单组尺寸：L×B×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=9.0×0.95×2.85</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tc>
              <w:tc>
                <w:tcPr>
                  <w:tcW w:w="1053" w:type="dxa"/>
                  <w:vAlign w:val="center"/>
                </w:tcPr>
                <w:p w14:paraId="432C085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06B1E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5309A044">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5A54E646">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生物池</w:t>
                  </w:r>
                </w:p>
              </w:tc>
              <w:tc>
                <w:tcPr>
                  <w:tcW w:w="4935" w:type="dxa"/>
                  <w:tcMar>
                    <w:left w:w="28" w:type="dxa"/>
                    <w:right w:w="28" w:type="dxa"/>
                  </w:tcMar>
                  <w:vAlign w:val="center"/>
                </w:tcPr>
                <w:p w14:paraId="6C990AD9">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类型：矩形钢筋混凝土池</w:t>
                  </w:r>
                </w:p>
                <w:p w14:paraId="19DA87BA">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数量</w:t>
                  </w:r>
                  <w:r>
                    <w:rPr>
                      <w:rFonts w:hint="default" w:ascii="Times New Roman" w:hAnsi="Times New Roman" w:eastAsia="宋体" w:cs="Times New Roman"/>
                      <w:color w:val="auto"/>
                      <w:sz w:val="21"/>
                      <w:szCs w:val="21"/>
                      <w:highlight w:val="none"/>
                    </w:rPr>
                    <w:t>：2座</w:t>
                  </w:r>
                </w:p>
                <w:p w14:paraId="27D98FD2">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单座尺寸：L</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=35.5</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23.9</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7.0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（其中有效水深</w:t>
                  </w:r>
                  <w:r>
                    <w:rPr>
                      <w:rFonts w:hint="default" w:ascii="Times New Roman" w:hAnsi="Times New Roman" w:cs="Times New Roman"/>
                      <w:color w:val="auto"/>
                      <w:sz w:val="21"/>
                      <w:szCs w:val="21"/>
                      <w:highlight w:val="none"/>
                      <w:lang w:eastAsia="zh-CN"/>
                    </w:rPr>
                    <w:t>为</w:t>
                  </w:r>
                  <w:r>
                    <w:rPr>
                      <w:rFonts w:hint="default" w:ascii="Times New Roman" w:hAnsi="Times New Roman" w:eastAsia="宋体" w:cs="Times New Roman"/>
                      <w:color w:val="auto"/>
                      <w:sz w:val="21"/>
                      <w:szCs w:val="21"/>
                      <w:highlight w:val="none"/>
                    </w:rPr>
                    <w:t>6.0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w:t>
                  </w:r>
                </w:p>
                <w:p w14:paraId="0852EFA1">
                  <w:pPr>
                    <w:adjustRightInd w:val="0"/>
                    <w:snapToGrid w:val="0"/>
                    <w:jc w:val="left"/>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设计参数：有效池容：V总=15295</w:t>
                  </w:r>
                  <w:r>
                    <w:rPr>
                      <w:rFonts w:hint="default" w:ascii="Times New Roman" w:hAnsi="Times New Roman" w:cs="Times New Roman"/>
                      <w:color w:val="auto"/>
                      <w:sz w:val="21"/>
                      <w:szCs w:val="21"/>
                      <w:highlight w:val="none"/>
                      <w:vertAlign w:val="baseline"/>
                      <w:lang w:eastAsia="zh-CN"/>
                    </w:rPr>
                    <w:t>m</w:t>
                  </w:r>
                  <w:r>
                    <w:rPr>
                      <w:rFonts w:hint="default" w:ascii="Times New Roman" w:hAnsi="Times New Roman" w:cs="Times New Roman"/>
                      <w:color w:val="auto"/>
                      <w:sz w:val="21"/>
                      <w:szCs w:val="21"/>
                      <w:highlight w:val="none"/>
                      <w:vertAlign w:val="superscript"/>
                      <w:lang w:eastAsia="zh-CN"/>
                    </w:rPr>
                    <w:t>3</w:t>
                  </w:r>
                  <w:r>
                    <w:rPr>
                      <w:rFonts w:hint="default" w:ascii="Times New Roman" w:hAnsi="Times New Roman" w:cs="Times New Roman"/>
                      <w:color w:val="auto"/>
                      <w:sz w:val="21"/>
                      <w:szCs w:val="21"/>
                      <w:highlight w:val="none"/>
                      <w:lang w:eastAsia="zh-CN"/>
                    </w:rPr>
                    <w:t>；</w:t>
                  </w:r>
                </w:p>
                <w:p w14:paraId="764C76AC">
                  <w:pPr>
                    <w:adjustRightInd w:val="0"/>
                    <w:snapToGrid w:val="0"/>
                    <w:ind w:firstLine="1050" w:firstLineChars="5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总停留时间：T=27.6h，其中</w:t>
                  </w:r>
                </w:p>
                <w:p w14:paraId="523C07CE">
                  <w:pPr>
                    <w:adjustRightInd w:val="0"/>
                    <w:snapToGrid w:val="0"/>
                    <w:ind w:firstLine="1050" w:firstLineChars="50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厌氧段：1.0h</w:t>
                  </w:r>
                </w:p>
                <w:p w14:paraId="7A5FC0EF">
                  <w:pPr>
                    <w:keepNext w:val="0"/>
                    <w:keepLines w:val="0"/>
                    <w:pageBreakBefore w:val="0"/>
                    <w:widowControl w:val="0"/>
                    <w:kinsoku/>
                    <w:wordWrap/>
                    <w:overflowPunct/>
                    <w:topLinePunct w:val="0"/>
                    <w:autoSpaceDE/>
                    <w:autoSpaceDN/>
                    <w:bidi w:val="0"/>
                    <w:adjustRightInd w:val="0"/>
                    <w:snapToGrid w:val="0"/>
                    <w:ind w:left="0" w:leftChars="0"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前缺氧段：10.2h</w:t>
                  </w:r>
                </w:p>
                <w:p w14:paraId="489F7BE9">
                  <w:pPr>
                    <w:keepNext w:val="0"/>
                    <w:keepLines w:val="0"/>
                    <w:pageBreakBefore w:val="0"/>
                    <w:widowControl w:val="0"/>
                    <w:kinsoku/>
                    <w:wordWrap/>
                    <w:overflowPunct/>
                    <w:topLinePunct w:val="0"/>
                    <w:autoSpaceDE/>
                    <w:autoSpaceDN/>
                    <w:bidi w:val="0"/>
                    <w:adjustRightInd w:val="0"/>
                    <w:snapToGrid w:val="0"/>
                    <w:ind w:left="0" w:leftChars="0"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前好氧段：13.9h</w:t>
                  </w:r>
                </w:p>
                <w:p w14:paraId="58943E5F">
                  <w:pPr>
                    <w:keepNext w:val="0"/>
                    <w:keepLines w:val="0"/>
                    <w:pageBreakBefore w:val="0"/>
                    <w:widowControl w:val="0"/>
                    <w:kinsoku/>
                    <w:wordWrap/>
                    <w:overflowPunct/>
                    <w:topLinePunct w:val="0"/>
                    <w:autoSpaceDE/>
                    <w:autoSpaceDN/>
                    <w:bidi w:val="0"/>
                    <w:adjustRightInd w:val="0"/>
                    <w:snapToGrid w:val="0"/>
                    <w:ind w:left="0" w:leftChars="0"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后缺氧段：1.5h</w:t>
                  </w:r>
                </w:p>
                <w:p w14:paraId="2AB71C84">
                  <w:pPr>
                    <w:keepNext w:val="0"/>
                    <w:keepLines w:val="0"/>
                    <w:pageBreakBefore w:val="0"/>
                    <w:widowControl w:val="0"/>
                    <w:kinsoku/>
                    <w:wordWrap/>
                    <w:overflowPunct/>
                    <w:topLinePunct w:val="0"/>
                    <w:autoSpaceDE/>
                    <w:autoSpaceDN/>
                    <w:bidi w:val="0"/>
                    <w:adjustRightInd w:val="0"/>
                    <w:snapToGrid w:val="0"/>
                    <w:ind w:left="0" w:leftChars="0"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后好氧段：1.0h</w:t>
                  </w:r>
                </w:p>
                <w:p w14:paraId="75A8EE01">
                  <w:pPr>
                    <w:keepNext w:val="0"/>
                    <w:keepLines w:val="0"/>
                    <w:pageBreakBefore w:val="0"/>
                    <w:widowControl w:val="0"/>
                    <w:kinsoku/>
                    <w:wordWrap/>
                    <w:overflowPunct/>
                    <w:topLinePunct w:val="0"/>
                    <w:autoSpaceDE/>
                    <w:autoSpaceDN/>
                    <w:bidi w:val="0"/>
                    <w:adjustRightInd w:val="0"/>
                    <w:snapToGrid w:val="0"/>
                    <w:ind w:left="0" w:leftChars="0"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混合液回流比：400%</w:t>
                  </w:r>
                </w:p>
                <w:p w14:paraId="3DB44B4B">
                  <w:pPr>
                    <w:keepNext w:val="0"/>
                    <w:keepLines w:val="0"/>
                    <w:pageBreakBefore w:val="0"/>
                    <w:widowControl w:val="0"/>
                    <w:kinsoku/>
                    <w:wordWrap/>
                    <w:overflowPunct/>
                    <w:topLinePunct w:val="0"/>
                    <w:autoSpaceDE/>
                    <w:autoSpaceDN/>
                    <w:bidi w:val="0"/>
                    <w:adjustRightInd w:val="0"/>
                    <w:snapToGrid w:val="0"/>
                    <w:ind w:left="0" w:leftChars="0"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污泥回流比：100%</w:t>
                  </w:r>
                </w:p>
                <w:p w14:paraId="5A6E8BCF">
                  <w:pPr>
                    <w:keepNext w:val="0"/>
                    <w:keepLines w:val="0"/>
                    <w:pageBreakBefore w:val="0"/>
                    <w:widowControl w:val="0"/>
                    <w:kinsoku/>
                    <w:wordWrap/>
                    <w:overflowPunct/>
                    <w:topLinePunct w:val="0"/>
                    <w:autoSpaceDE/>
                    <w:autoSpaceDN/>
                    <w:bidi w:val="0"/>
                    <w:adjustRightInd w:val="0"/>
                    <w:snapToGrid w:val="0"/>
                    <w:ind w:left="0" w:leftChars="0"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MLSS：4g/L</w:t>
                  </w:r>
                </w:p>
                <w:p w14:paraId="67F0B7B7">
                  <w:pPr>
                    <w:keepNext w:val="0"/>
                    <w:keepLines w:val="0"/>
                    <w:pageBreakBefore w:val="0"/>
                    <w:widowControl w:val="0"/>
                    <w:kinsoku/>
                    <w:wordWrap/>
                    <w:overflowPunct/>
                    <w:topLinePunct w:val="0"/>
                    <w:autoSpaceDE/>
                    <w:autoSpaceDN/>
                    <w:bidi w:val="0"/>
                    <w:adjustRightInd w:val="0"/>
                    <w:snapToGrid w:val="0"/>
                    <w:ind w:left="0" w:leftChars="0"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污泥产率系数：0.90kgMLSS/kgBOD</w:t>
                  </w:r>
                </w:p>
                <w:p w14:paraId="13BE9B42">
                  <w:pPr>
                    <w:keepNext w:val="0"/>
                    <w:keepLines w:val="0"/>
                    <w:pageBreakBefore w:val="0"/>
                    <w:widowControl w:val="0"/>
                    <w:kinsoku/>
                    <w:wordWrap/>
                    <w:overflowPunct/>
                    <w:topLinePunct w:val="0"/>
                    <w:autoSpaceDE/>
                    <w:autoSpaceDN/>
                    <w:bidi w:val="0"/>
                    <w:adjustRightInd w:val="0"/>
                    <w:snapToGrid w:val="0"/>
                    <w:ind w:left="0" w:leftChars="0"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反硝化速率：0.029kgNO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-N/（kgMLSS·d）</w:t>
                  </w:r>
                </w:p>
                <w:p w14:paraId="1684182C">
                  <w:pPr>
                    <w:keepNext w:val="0"/>
                    <w:keepLines w:val="0"/>
                    <w:pageBreakBefore w:val="0"/>
                    <w:widowControl w:val="0"/>
                    <w:kinsoku/>
                    <w:wordWrap/>
                    <w:overflowPunct/>
                    <w:topLinePunct w:val="0"/>
                    <w:autoSpaceDE/>
                    <w:autoSpaceDN/>
                    <w:bidi w:val="0"/>
                    <w:adjustRightInd w:val="0"/>
                    <w:snapToGrid w:val="0"/>
                    <w:ind w:left="0" w:leftChars="0"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剩余污泥量：T=2811kg/d，含水率99.2%</w:t>
                  </w:r>
                </w:p>
              </w:tc>
              <w:tc>
                <w:tcPr>
                  <w:tcW w:w="1053" w:type="dxa"/>
                  <w:vAlign w:val="center"/>
                </w:tcPr>
                <w:p w14:paraId="7DC69D9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7C77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60E5E029">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713BD679">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配水集泥井</w:t>
                  </w:r>
                </w:p>
              </w:tc>
              <w:tc>
                <w:tcPr>
                  <w:tcW w:w="4935" w:type="dxa"/>
                  <w:tcMar>
                    <w:left w:w="28" w:type="dxa"/>
                    <w:right w:w="28" w:type="dxa"/>
                  </w:tcMar>
                  <w:vAlign w:val="center"/>
                </w:tcPr>
                <w:p w14:paraId="40DE2C8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类型：半地下式钢筋混凝土</w:t>
                  </w:r>
                </w:p>
                <w:p w14:paraId="0D022A08">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tc>
              <w:tc>
                <w:tcPr>
                  <w:tcW w:w="1053" w:type="dxa"/>
                  <w:vAlign w:val="center"/>
                </w:tcPr>
                <w:p w14:paraId="138D0AE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343F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3F8AC595">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0F7B644F">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二沉池</w:t>
                  </w:r>
                </w:p>
              </w:tc>
              <w:tc>
                <w:tcPr>
                  <w:tcW w:w="4935" w:type="dxa"/>
                  <w:tcMar>
                    <w:left w:w="28" w:type="dxa"/>
                    <w:right w:w="28" w:type="dxa"/>
                  </w:tcMar>
                  <w:vAlign w:val="center"/>
                </w:tcPr>
                <w:p w14:paraId="444409C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类型：半地下式</w:t>
                  </w:r>
                  <w:r>
                    <w:rPr>
                      <w:rFonts w:hint="default" w:ascii="Times New Roman" w:hAnsi="Times New Roman" w:cs="Times New Roman"/>
                      <w:color w:val="auto"/>
                      <w:sz w:val="21"/>
                      <w:szCs w:val="21"/>
                      <w:highlight w:val="none"/>
                      <w:lang w:eastAsia="zh-CN"/>
                    </w:rPr>
                    <w:t>钢筋混凝土</w:t>
                  </w:r>
                  <w:r>
                    <w:rPr>
                      <w:rFonts w:hint="default" w:ascii="Times New Roman" w:hAnsi="Times New Roman" w:eastAsia="宋体" w:cs="Times New Roman"/>
                      <w:color w:val="auto"/>
                      <w:sz w:val="21"/>
                      <w:szCs w:val="21"/>
                      <w:highlight w:val="none"/>
                    </w:rPr>
                    <w:t>圆形周进、周出辐流式沉淀池</w:t>
                  </w:r>
                </w:p>
                <w:p w14:paraId="3DE498E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数量：2座</w:t>
                  </w:r>
                </w:p>
                <w:p w14:paraId="247EE893">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表面负荷：q</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=0.67</w:t>
                  </w:r>
                  <w:r>
                    <w:rPr>
                      <w:rFonts w:hint="default" w:ascii="Times New Roman" w:hAnsi="Times New Roman" w:cs="Times New Roman"/>
                      <w:color w:val="auto"/>
                      <w:sz w:val="21"/>
                      <w:szCs w:val="21"/>
                      <w:highlight w:val="none"/>
                      <w:vertAlign w:val="baseline"/>
                      <w:lang w:eastAsia="zh-CN"/>
                    </w:rPr>
                    <w:t>m</w:t>
                  </w:r>
                  <w:r>
                    <w:rPr>
                      <w:rFonts w:hint="default" w:ascii="Times New Roman" w:hAnsi="Times New Roman"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vertAlign w:val="baseline"/>
                      <w:lang w:eastAsia="zh-CN"/>
                    </w:rPr>
                    <w:t>m</w:t>
                  </w:r>
                  <w:r>
                    <w:rPr>
                      <w:rFonts w:hint="default" w:ascii="Times New Roman" w:hAnsi="Times New Roman"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rPr>
                    <w:t>·hr</w:t>
                  </w:r>
                </w:p>
                <w:p w14:paraId="6E17A9D1">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单座尺寸：直径D=20</w:t>
                  </w:r>
                  <w:r>
                    <w:rPr>
                      <w:rFonts w:hint="default" w:ascii="Times New Roman" w:hAnsi="Times New Roman" w:cs="Times New Roman"/>
                      <w:color w:val="auto"/>
                      <w:sz w:val="21"/>
                      <w:szCs w:val="21"/>
                      <w:highlight w:val="none"/>
                      <w:lang w:eastAsia="zh-CN"/>
                    </w:rPr>
                    <w:t>mH</w:t>
                  </w:r>
                  <w:r>
                    <w:rPr>
                      <w:rFonts w:hint="default" w:ascii="Times New Roman" w:hAnsi="Times New Roman" w:eastAsia="宋体" w:cs="Times New Roman"/>
                      <w:color w:val="auto"/>
                      <w:sz w:val="21"/>
                      <w:szCs w:val="21"/>
                      <w:highlight w:val="none"/>
                    </w:rPr>
                    <w:t>=4.0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tc>
              <w:tc>
                <w:tcPr>
                  <w:tcW w:w="1053" w:type="dxa"/>
                  <w:vAlign w:val="center"/>
                </w:tcPr>
                <w:p w14:paraId="410E988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3F07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6D4F7C93">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43A8938F">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提升泵池</w:t>
                  </w:r>
                </w:p>
              </w:tc>
              <w:tc>
                <w:tcPr>
                  <w:tcW w:w="4935" w:type="dxa"/>
                  <w:tcMar>
                    <w:left w:w="28" w:type="dxa"/>
                    <w:right w:w="28" w:type="dxa"/>
                  </w:tcMar>
                  <w:vAlign w:val="center"/>
                </w:tcPr>
                <w:p w14:paraId="7434C1D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类型：半地下式钢筋混凝土矩形</w:t>
                  </w:r>
                </w:p>
                <w:p w14:paraId="761A9D4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p w14:paraId="538737B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单座尺寸：L×B×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=6.4×5.3×4.1</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tc>
              <w:tc>
                <w:tcPr>
                  <w:tcW w:w="1053" w:type="dxa"/>
                  <w:vAlign w:val="center"/>
                </w:tcPr>
                <w:p w14:paraId="17D85BA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5A193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4A7362DE">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74509062">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磁混凝沉淀间</w:t>
                  </w:r>
                </w:p>
              </w:tc>
              <w:tc>
                <w:tcPr>
                  <w:tcW w:w="4935" w:type="dxa"/>
                  <w:tcMar>
                    <w:left w:w="28" w:type="dxa"/>
                    <w:right w:w="28" w:type="dxa"/>
                  </w:tcMar>
                  <w:vAlign w:val="center"/>
                </w:tcPr>
                <w:p w14:paraId="36267F4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类型：半地下式钢筋混凝土矩形</w:t>
                  </w:r>
                </w:p>
                <w:p w14:paraId="1EBAD81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p w14:paraId="760FA04E">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单座尺寸：L×B×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=21.05×14.4×7.7</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（房间尺寸）</w:t>
                  </w:r>
                </w:p>
              </w:tc>
              <w:tc>
                <w:tcPr>
                  <w:tcW w:w="1053" w:type="dxa"/>
                  <w:vAlign w:val="center"/>
                </w:tcPr>
                <w:p w14:paraId="1A79537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7E0E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452DE29B">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4A7CE8E4">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V型滤池间</w:t>
                  </w:r>
                </w:p>
              </w:tc>
              <w:tc>
                <w:tcPr>
                  <w:tcW w:w="4935" w:type="dxa"/>
                  <w:tcMar>
                    <w:left w:w="28" w:type="dxa"/>
                    <w:right w:w="28" w:type="dxa"/>
                  </w:tcMar>
                  <w:vAlign w:val="center"/>
                </w:tcPr>
                <w:p w14:paraId="09D66FB1">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平均流量：Q均＝14000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³/d</w:t>
                  </w:r>
                  <w:r>
                    <w:rPr>
                      <w:rFonts w:hint="default" w:ascii="Times New Roman" w:hAnsi="Times New Roman" w:cs="Times New Roman"/>
                      <w:color w:val="auto"/>
                      <w:sz w:val="21"/>
                      <w:szCs w:val="21"/>
                      <w:highlight w:val="none"/>
                      <w:lang w:eastAsia="zh-CN"/>
                    </w:rPr>
                    <w:t>（现状一期、二期工程未配套建设滤池设施，导致出水SS等关键水质指标稳定性不足。为有效保障出水水质，本次V型滤池按现状工程与本次设计总规模统一规划设计）</w:t>
                  </w:r>
                </w:p>
                <w:p w14:paraId="42E1AE5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类型：滤池半地下式</w:t>
                  </w:r>
                  <w:r>
                    <w:rPr>
                      <w:rFonts w:hint="default" w:ascii="Times New Roman" w:hAnsi="Times New Roman" w:cs="Times New Roman"/>
                      <w:color w:val="auto"/>
                      <w:sz w:val="21"/>
                      <w:szCs w:val="21"/>
                      <w:highlight w:val="none"/>
                      <w:lang w:eastAsia="zh-CN"/>
                    </w:rPr>
                    <w:t>钢筋混凝土</w:t>
                  </w:r>
                  <w:r>
                    <w:rPr>
                      <w:rFonts w:hint="default" w:ascii="Times New Roman" w:hAnsi="Times New Roman" w:eastAsia="宋体" w:cs="Times New Roman"/>
                      <w:color w:val="auto"/>
                      <w:sz w:val="21"/>
                      <w:szCs w:val="21"/>
                      <w:highlight w:val="none"/>
                    </w:rPr>
                    <w:t>构筑物，设备间地上式框架结构合建</w:t>
                  </w:r>
                </w:p>
                <w:p w14:paraId="0A8E5693">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数量：1座，4格</w:t>
                  </w:r>
                </w:p>
                <w:p w14:paraId="21F9A01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单座尺寸：滤池：L×B×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=27.35×15.0×6.2</w:t>
                  </w:r>
                  <w:r>
                    <w:rPr>
                      <w:rFonts w:hint="default" w:ascii="Times New Roman" w:hAnsi="Times New Roman" w:cs="Times New Roman"/>
                      <w:color w:val="auto"/>
                      <w:sz w:val="21"/>
                      <w:szCs w:val="21"/>
                      <w:highlight w:val="none"/>
                      <w:lang w:eastAsia="zh-CN"/>
                    </w:rPr>
                    <w:t>m</w:t>
                  </w:r>
                </w:p>
                <w:p w14:paraId="3B15919D">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设备间：L×B×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=9.55×15.0×9.1</w:t>
                  </w:r>
                  <w:r>
                    <w:rPr>
                      <w:rFonts w:hint="default" w:ascii="Times New Roman" w:hAnsi="Times New Roman" w:cs="Times New Roman"/>
                      <w:color w:val="auto"/>
                      <w:sz w:val="21"/>
                      <w:szCs w:val="21"/>
                      <w:highlight w:val="none"/>
                      <w:lang w:eastAsia="zh-CN"/>
                    </w:rPr>
                    <w:t>m</w:t>
                  </w:r>
                </w:p>
                <w:p w14:paraId="1ACD144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设计参数：单格过滤面积：17.5</w:t>
                  </w:r>
                  <w:r>
                    <w:rPr>
                      <w:rFonts w:hint="default" w:ascii="Times New Roman" w:hAnsi="Times New Roman" w:cs="Times New Roman"/>
                      <w:color w:val="auto"/>
                      <w:sz w:val="21"/>
                      <w:szCs w:val="21"/>
                      <w:highlight w:val="none"/>
                      <w:vertAlign w:val="baseline"/>
                      <w:lang w:eastAsia="zh-CN"/>
                    </w:rPr>
                    <w:t>m</w:t>
                  </w:r>
                  <w:r>
                    <w:rPr>
                      <w:rFonts w:hint="default" w:ascii="Times New Roman" w:hAnsi="Times New Roman" w:cs="Times New Roman"/>
                      <w:color w:val="auto"/>
                      <w:sz w:val="21"/>
                      <w:szCs w:val="21"/>
                      <w:highlight w:val="none"/>
                      <w:vertAlign w:val="superscript"/>
                      <w:lang w:eastAsia="zh-CN"/>
                    </w:rPr>
                    <w:t>2</w:t>
                  </w:r>
                </w:p>
                <w:p w14:paraId="34DB022F">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常规滤速：6.2</w:t>
                  </w:r>
                  <w:r>
                    <w:rPr>
                      <w:rFonts w:hint="default" w:ascii="Times New Roman" w:hAnsi="Times New Roman" w:cs="Times New Roman"/>
                      <w:color w:val="auto"/>
                      <w:sz w:val="21"/>
                      <w:szCs w:val="21"/>
                      <w:highlight w:val="none"/>
                      <w:vertAlign w:val="baseline"/>
                      <w:lang w:eastAsia="zh-CN"/>
                    </w:rPr>
                    <w:t>m</w:t>
                  </w:r>
                  <w:r>
                    <w:rPr>
                      <w:rFonts w:hint="default" w:ascii="Times New Roman" w:hAnsi="Times New Roman"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vertAlign w:val="baseline"/>
                      <w:lang w:eastAsia="zh-CN"/>
                    </w:rPr>
                    <w:t>m</w:t>
                  </w:r>
                  <w:r>
                    <w:rPr>
                      <w:rFonts w:hint="default" w:ascii="Times New Roman" w:hAnsi="Times New Roman"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rPr>
                    <w:t>·h（峰值流量）</w:t>
                  </w:r>
                </w:p>
                <w:p w14:paraId="24FF1B5E">
                  <w:pPr>
                    <w:keepNext w:val="0"/>
                    <w:keepLines w:val="0"/>
                    <w:pageBreakBefore w:val="0"/>
                    <w:widowControl w:val="0"/>
                    <w:kinsoku/>
                    <w:wordWrap/>
                    <w:overflowPunct/>
                    <w:topLinePunct w:val="0"/>
                    <w:autoSpaceDE/>
                    <w:autoSpaceDN/>
                    <w:bidi w:val="0"/>
                    <w:adjustRightInd w:val="0"/>
                    <w:snapToGrid w:val="0"/>
                    <w:ind w:left="1044" w:leftChars="435" w:firstLine="0" w:firstLineChars="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强制滤速：8.2</w:t>
                  </w:r>
                  <w:r>
                    <w:rPr>
                      <w:rFonts w:hint="default" w:ascii="Times New Roman" w:hAnsi="Times New Roman" w:cs="Times New Roman"/>
                      <w:color w:val="auto"/>
                      <w:sz w:val="21"/>
                      <w:szCs w:val="21"/>
                      <w:highlight w:val="none"/>
                      <w:vertAlign w:val="baseline"/>
                      <w:lang w:eastAsia="zh-CN"/>
                    </w:rPr>
                    <w:t>m</w:t>
                  </w:r>
                  <w:r>
                    <w:rPr>
                      <w:rFonts w:hint="default" w:ascii="Times New Roman" w:hAnsi="Times New Roman"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vertAlign w:val="baseline"/>
                      <w:lang w:eastAsia="zh-CN"/>
                    </w:rPr>
                    <w:t>m</w:t>
                  </w:r>
                  <w:r>
                    <w:rPr>
                      <w:rFonts w:hint="default" w:ascii="Times New Roman" w:hAnsi="Times New Roman"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rPr>
                    <w:t>·h（考虑1格进行反冲洗，且达峰值流量情况）</w:t>
                  </w:r>
                </w:p>
                <w:p w14:paraId="78516D2D">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滤料层厚度：1.2</w:t>
                  </w:r>
                  <w:r>
                    <w:rPr>
                      <w:rFonts w:hint="default" w:ascii="Times New Roman" w:hAnsi="Times New Roman" w:cs="Times New Roman"/>
                      <w:color w:val="auto"/>
                      <w:sz w:val="21"/>
                      <w:szCs w:val="21"/>
                      <w:highlight w:val="none"/>
                      <w:lang w:eastAsia="zh-CN"/>
                    </w:rPr>
                    <w:t>m</w:t>
                  </w:r>
                </w:p>
                <w:p w14:paraId="28C21D11">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承托层厚度：0.15</w:t>
                  </w:r>
                  <w:r>
                    <w:rPr>
                      <w:rFonts w:hint="default" w:ascii="Times New Roman" w:hAnsi="Times New Roman" w:cs="Times New Roman"/>
                      <w:color w:val="auto"/>
                      <w:sz w:val="21"/>
                      <w:szCs w:val="21"/>
                      <w:highlight w:val="none"/>
                      <w:lang w:eastAsia="zh-CN"/>
                    </w:rPr>
                    <w:t>m</w:t>
                  </w:r>
                </w:p>
              </w:tc>
              <w:tc>
                <w:tcPr>
                  <w:tcW w:w="1053" w:type="dxa"/>
                  <w:vAlign w:val="center"/>
                </w:tcPr>
                <w:p w14:paraId="2728D8A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7625C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5B865196">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6DEBD82A">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清水池</w:t>
                  </w:r>
                </w:p>
              </w:tc>
              <w:tc>
                <w:tcPr>
                  <w:tcW w:w="4935" w:type="dxa"/>
                  <w:tcMar>
                    <w:left w:w="28" w:type="dxa"/>
                    <w:right w:w="28" w:type="dxa"/>
                  </w:tcMar>
                  <w:vAlign w:val="center"/>
                </w:tcPr>
                <w:p w14:paraId="4F4CAF1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类型：地上式钢筋混凝土</w:t>
                  </w:r>
                  <w:r>
                    <w:rPr>
                      <w:rFonts w:hint="default" w:ascii="Times New Roman" w:hAnsi="Times New Roman" w:cs="Times New Roman"/>
                      <w:color w:val="auto"/>
                      <w:sz w:val="21"/>
                      <w:szCs w:val="21"/>
                      <w:highlight w:val="none"/>
                      <w:lang w:eastAsia="zh-CN"/>
                    </w:rPr>
                    <w:t>结构</w:t>
                  </w:r>
                </w:p>
                <w:p w14:paraId="0FCBFBD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数量：1座，2格</w:t>
                  </w:r>
                </w:p>
                <w:p w14:paraId="706F6443">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单格尺寸：L×B×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=16×12×3</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p w14:paraId="5A83BC0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设计参数：调节体积比例：18%</w:t>
                  </w:r>
                </w:p>
                <w:p w14:paraId="17D5A89E">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次氯酸钠投加量：8</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g/L（有效氯）</w:t>
                  </w:r>
                </w:p>
              </w:tc>
              <w:tc>
                <w:tcPr>
                  <w:tcW w:w="1053" w:type="dxa"/>
                  <w:vAlign w:val="center"/>
                </w:tcPr>
                <w:p w14:paraId="32D07D6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2CF8E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36DAD171">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57A2A556">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送水泵房</w:t>
                  </w:r>
                </w:p>
              </w:tc>
              <w:tc>
                <w:tcPr>
                  <w:tcW w:w="4935" w:type="dxa"/>
                  <w:tcMar>
                    <w:left w:w="28" w:type="dxa"/>
                    <w:right w:w="28" w:type="dxa"/>
                  </w:tcMar>
                  <w:vAlign w:val="center"/>
                </w:tcPr>
                <w:p w14:paraId="1237B7B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类型：半地下式框架结构</w:t>
                  </w:r>
                </w:p>
                <w:p w14:paraId="6C55470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p w14:paraId="1A01623A">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尺寸：泵房L×B×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=19.3×7.2×7.6</w:t>
                  </w:r>
                  <w:r>
                    <w:rPr>
                      <w:rFonts w:hint="default" w:ascii="Times New Roman" w:hAnsi="Times New Roman" w:cs="Times New Roman"/>
                      <w:color w:val="auto"/>
                      <w:sz w:val="21"/>
                      <w:szCs w:val="21"/>
                      <w:highlight w:val="none"/>
                      <w:lang w:eastAsia="zh-CN"/>
                    </w:rPr>
                    <w:t>m</w:t>
                  </w:r>
                </w:p>
                <w:p w14:paraId="6E397D6B">
                  <w:pPr>
                    <w:keepNext w:val="0"/>
                    <w:keepLines w:val="0"/>
                    <w:pageBreakBefore w:val="0"/>
                    <w:widowControl w:val="0"/>
                    <w:kinsoku/>
                    <w:wordWrap/>
                    <w:overflowPunct/>
                    <w:topLinePunct w:val="0"/>
                    <w:autoSpaceDE/>
                    <w:autoSpaceDN/>
                    <w:bidi w:val="0"/>
                    <w:adjustRightInd w:val="0"/>
                    <w:snapToGrid w:val="0"/>
                    <w:ind w:firstLine="630" w:firstLineChars="3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设备间L×B×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=12.1×11.4×4.5</w:t>
                  </w:r>
                  <w:r>
                    <w:rPr>
                      <w:rFonts w:hint="default" w:ascii="Times New Roman" w:hAnsi="Times New Roman" w:cs="Times New Roman"/>
                      <w:color w:val="auto"/>
                      <w:sz w:val="21"/>
                      <w:szCs w:val="21"/>
                      <w:highlight w:val="none"/>
                      <w:lang w:eastAsia="zh-CN"/>
                    </w:rPr>
                    <w:t>m</w:t>
                  </w:r>
                </w:p>
              </w:tc>
              <w:tc>
                <w:tcPr>
                  <w:tcW w:w="1053" w:type="dxa"/>
                  <w:vAlign w:val="center"/>
                </w:tcPr>
                <w:p w14:paraId="10B94B2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64C6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0F192191">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0DC605D7">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鼓风机房</w:t>
                  </w:r>
                </w:p>
              </w:tc>
              <w:tc>
                <w:tcPr>
                  <w:tcW w:w="4935" w:type="dxa"/>
                  <w:tcMar>
                    <w:left w:w="28" w:type="dxa"/>
                    <w:right w:w="28" w:type="dxa"/>
                  </w:tcMar>
                  <w:vAlign w:val="center"/>
                </w:tcPr>
                <w:p w14:paraId="36D207F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功能：为污水处理提供足够的空气量</w:t>
                  </w:r>
                </w:p>
                <w:p w14:paraId="30FF2D5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p w14:paraId="7FE1AE2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平面尺寸：L×B=16.6×8.5</w:t>
                  </w:r>
                  <w:r>
                    <w:rPr>
                      <w:rFonts w:hint="default" w:ascii="Times New Roman" w:hAnsi="Times New Roman" w:cs="Times New Roman"/>
                      <w:color w:val="auto"/>
                      <w:sz w:val="21"/>
                      <w:szCs w:val="21"/>
                      <w:highlight w:val="none"/>
                      <w:lang w:eastAsia="zh-CN"/>
                    </w:rPr>
                    <w:t>m</w:t>
                  </w:r>
                </w:p>
              </w:tc>
              <w:tc>
                <w:tcPr>
                  <w:tcW w:w="1053" w:type="dxa"/>
                  <w:vAlign w:val="center"/>
                </w:tcPr>
                <w:p w14:paraId="345C641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4BCD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20984ACA">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16568E2E">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贮泥池</w:t>
                  </w:r>
                </w:p>
              </w:tc>
              <w:tc>
                <w:tcPr>
                  <w:tcW w:w="4935" w:type="dxa"/>
                  <w:tcMar>
                    <w:left w:w="28" w:type="dxa"/>
                    <w:right w:w="28" w:type="dxa"/>
                  </w:tcMar>
                  <w:vAlign w:val="center"/>
                </w:tcPr>
                <w:p w14:paraId="1817DB38">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污泥量：375</w:t>
                  </w:r>
                  <w:r>
                    <w:rPr>
                      <w:rFonts w:hint="default" w:ascii="Times New Roman" w:hAnsi="Times New Roman" w:cs="Times New Roman"/>
                      <w:color w:val="auto"/>
                      <w:sz w:val="21"/>
                      <w:szCs w:val="21"/>
                      <w:highlight w:val="none"/>
                      <w:vertAlign w:val="baseline"/>
                      <w:lang w:eastAsia="zh-CN"/>
                    </w:rPr>
                    <w:t>m</w:t>
                  </w:r>
                  <w:r>
                    <w:rPr>
                      <w:rFonts w:hint="default" w:ascii="Times New Roman" w:hAnsi="Times New Roman"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rPr>
                    <w:t>/d</w:t>
                  </w:r>
                </w:p>
                <w:p w14:paraId="21C1670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p w14:paraId="166E6D3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土建尺寸：L×B×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=7.0×7.0×4.0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（有效深度）</w:t>
                  </w:r>
                </w:p>
              </w:tc>
              <w:tc>
                <w:tcPr>
                  <w:tcW w:w="1053" w:type="dxa"/>
                  <w:vAlign w:val="center"/>
                </w:tcPr>
                <w:p w14:paraId="1BCD5BC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4E8F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340F7B7E">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53EA9DFD">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污泥脱水机房</w:t>
                  </w:r>
                </w:p>
              </w:tc>
              <w:tc>
                <w:tcPr>
                  <w:tcW w:w="4935" w:type="dxa"/>
                  <w:tcMar>
                    <w:left w:w="28" w:type="dxa"/>
                    <w:right w:w="28" w:type="dxa"/>
                  </w:tcMar>
                  <w:vAlign w:val="center"/>
                </w:tcPr>
                <w:p w14:paraId="7CF5F40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污泥量：3kgDS/d</w:t>
                  </w:r>
                </w:p>
                <w:p w14:paraId="0DD6C99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类型：框架结构</w:t>
                  </w:r>
                </w:p>
                <w:p w14:paraId="2226BC00">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数量</w:t>
                  </w:r>
                  <w:r>
                    <w:rPr>
                      <w:rFonts w:hint="default" w:ascii="Times New Roman" w:hAnsi="Times New Roman" w:eastAsia="宋体" w:cs="Times New Roman"/>
                      <w:color w:val="auto"/>
                      <w:sz w:val="21"/>
                      <w:szCs w:val="21"/>
                      <w:highlight w:val="none"/>
                    </w:rPr>
                    <w:t>：1座</w:t>
                  </w:r>
                </w:p>
                <w:p w14:paraId="14F1880E">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建筑尺寸：L×B×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=28.8</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×18.2</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×15.0</w:t>
                  </w:r>
                  <w:r>
                    <w:rPr>
                      <w:rFonts w:hint="default" w:ascii="Times New Roman" w:hAnsi="Times New Roman" w:cs="Times New Roman"/>
                      <w:color w:val="auto"/>
                      <w:sz w:val="21"/>
                      <w:szCs w:val="21"/>
                      <w:highlight w:val="none"/>
                      <w:lang w:eastAsia="zh-CN"/>
                    </w:rPr>
                    <w:t>m</w:t>
                  </w:r>
                </w:p>
              </w:tc>
              <w:tc>
                <w:tcPr>
                  <w:tcW w:w="1053" w:type="dxa"/>
                  <w:vAlign w:val="center"/>
                </w:tcPr>
                <w:p w14:paraId="1C6B9F8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18CF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20DCB48D">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6B6A6F10">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除臭系统</w:t>
                  </w:r>
                </w:p>
              </w:tc>
              <w:tc>
                <w:tcPr>
                  <w:tcW w:w="4935" w:type="dxa"/>
                  <w:tcMar>
                    <w:left w:w="28" w:type="dxa"/>
                    <w:right w:w="28" w:type="dxa"/>
                  </w:tcMar>
                  <w:vAlign w:val="center"/>
                </w:tcPr>
                <w:p w14:paraId="574259F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生物池的缺氧段安装微生物培养箱4台，采用全</w:t>
                  </w:r>
                  <w:r>
                    <w:rPr>
                      <w:rFonts w:hint="default" w:ascii="Times New Roman" w:hAnsi="Times New Roman" w:cs="Times New Roman"/>
                      <w:color w:val="auto"/>
                      <w:sz w:val="21"/>
                      <w:szCs w:val="21"/>
                      <w:highlight w:val="none"/>
                      <w:lang w:val="en-US" w:eastAsia="zh-CN"/>
                    </w:rPr>
                    <w:t>过程</w:t>
                  </w:r>
                  <w:r>
                    <w:rPr>
                      <w:rFonts w:hint="default" w:ascii="Times New Roman" w:hAnsi="Times New Roman" w:eastAsia="宋体" w:cs="Times New Roman"/>
                      <w:color w:val="auto"/>
                      <w:sz w:val="21"/>
                      <w:szCs w:val="21"/>
                      <w:highlight w:val="none"/>
                      <w:lang w:val="en-US" w:eastAsia="zh-CN"/>
                    </w:rPr>
                    <w:t>除臭工艺。</w:t>
                  </w:r>
                </w:p>
              </w:tc>
              <w:tc>
                <w:tcPr>
                  <w:tcW w:w="1053" w:type="dxa"/>
                  <w:vAlign w:val="center"/>
                </w:tcPr>
                <w:p w14:paraId="3D0C125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25E6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restart"/>
                  <w:tcMar>
                    <w:left w:w="28" w:type="dxa"/>
                    <w:right w:w="28" w:type="dxa"/>
                  </w:tcMar>
                  <w:vAlign w:val="center"/>
                </w:tcPr>
                <w:p w14:paraId="74D057A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储运工程</w:t>
                  </w:r>
                </w:p>
              </w:tc>
              <w:tc>
                <w:tcPr>
                  <w:tcW w:w="1497" w:type="dxa"/>
                  <w:gridSpan w:val="2"/>
                  <w:tcMar>
                    <w:left w:w="28" w:type="dxa"/>
                    <w:right w:w="28" w:type="dxa"/>
                  </w:tcMar>
                  <w:vAlign w:val="center"/>
                </w:tcPr>
                <w:p w14:paraId="100E84CF">
                  <w:pPr>
                    <w:widowControl/>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厂内道路</w:t>
                  </w:r>
                </w:p>
              </w:tc>
              <w:tc>
                <w:tcPr>
                  <w:tcW w:w="4935" w:type="dxa"/>
                  <w:tcMar>
                    <w:left w:w="28" w:type="dxa"/>
                    <w:right w:w="28" w:type="dxa"/>
                  </w:tcMar>
                  <w:vAlign w:val="center"/>
                </w:tcPr>
                <w:p w14:paraId="40095BB3">
                  <w:pPr>
                    <w:adjustRightInd w:val="0"/>
                    <w:snapToGrid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在各主要建构筑物间通道内新建永久道路并相互回环畅通，道路宽度4米，主路口转弯半径9米</w:t>
                  </w:r>
                </w:p>
              </w:tc>
              <w:tc>
                <w:tcPr>
                  <w:tcW w:w="1053" w:type="dxa"/>
                  <w:vAlign w:val="center"/>
                </w:tcPr>
                <w:p w14:paraId="6CD1415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05CC3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470DCA0E">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338C5978">
                  <w:pPr>
                    <w:adjustRightInd w:val="0"/>
                    <w:snapToGrid w:val="0"/>
                    <w:jc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加氯加药间</w:t>
                  </w:r>
                </w:p>
              </w:tc>
              <w:tc>
                <w:tcPr>
                  <w:tcW w:w="4935" w:type="dxa"/>
                  <w:tcMar>
                    <w:left w:w="28" w:type="dxa"/>
                    <w:right w:w="28" w:type="dxa"/>
                  </w:tcMar>
                  <w:vAlign w:val="center"/>
                </w:tcPr>
                <w:p w14:paraId="19912A2E">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类型：地上式框架结构</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用于各类药剂的存储及投加</w:t>
                  </w:r>
                </w:p>
                <w:p w14:paraId="5606B52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数量：1座，2格</w:t>
                  </w:r>
                </w:p>
                <w:p w14:paraId="52DAB11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=24.2×10×5.1</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p w14:paraId="1F6DD41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设计参数：①碳源药剂：液态乙酸钠（20%）</w:t>
                  </w:r>
                </w:p>
                <w:p w14:paraId="3249B9F3">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投加量：78</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g/L</w:t>
                  </w:r>
                </w:p>
                <w:p w14:paraId="10EBB938">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②絮凝剂：聚合硫酸铁，现场</w:t>
                  </w:r>
                  <w:r>
                    <w:rPr>
                      <w:rFonts w:hint="default" w:ascii="Times New Roman" w:hAnsi="Times New Roman" w:cs="Times New Roman"/>
                      <w:color w:val="auto"/>
                      <w:sz w:val="21"/>
                      <w:szCs w:val="21"/>
                      <w:highlight w:val="none"/>
                      <w:lang w:eastAsia="zh-CN"/>
                    </w:rPr>
                    <w:t>配制</w:t>
                  </w:r>
                </w:p>
                <w:p w14:paraId="740BF46A">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投加量：98.7</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g/L</w:t>
                  </w:r>
                </w:p>
                <w:p w14:paraId="2DCC6490">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③助凝剂：PAM，现场</w:t>
                  </w:r>
                  <w:r>
                    <w:rPr>
                      <w:rFonts w:hint="default" w:ascii="Times New Roman" w:hAnsi="Times New Roman" w:cs="Times New Roman"/>
                      <w:color w:val="auto"/>
                      <w:sz w:val="21"/>
                      <w:szCs w:val="21"/>
                      <w:highlight w:val="none"/>
                      <w:lang w:eastAsia="zh-CN"/>
                    </w:rPr>
                    <w:t>配制</w:t>
                  </w:r>
                </w:p>
                <w:p w14:paraId="41DC473B">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制备投加浓度：0.1%~0.2%</w:t>
                  </w:r>
                </w:p>
                <w:p w14:paraId="7A56AD3E">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投加量：1.5</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g/L</w:t>
                  </w:r>
                </w:p>
                <w:p w14:paraId="1B85BBFF">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④消毒剂：液态次氯酸钠（有效成分10%）</w:t>
                  </w:r>
                </w:p>
                <w:p w14:paraId="0FB72C00">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投加量：8</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g/L（有效氯）</w:t>
                  </w:r>
                </w:p>
              </w:tc>
              <w:tc>
                <w:tcPr>
                  <w:tcW w:w="1053" w:type="dxa"/>
                  <w:vAlign w:val="center"/>
                </w:tcPr>
                <w:p w14:paraId="62939702">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4A71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4A6F5202">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23407C43">
                  <w:pPr>
                    <w:widowControl/>
                    <w:adjustRightInd w:val="0"/>
                    <w:snapToGrid w:val="0"/>
                    <w:jc w:val="center"/>
                    <w:rPr>
                      <w:rFonts w:hint="default" w:ascii="Times New Roman" w:hAnsi="Times New Roman" w:cs="Times New Roman"/>
                      <w:color w:val="auto"/>
                      <w:kern w:val="0"/>
                      <w:sz w:val="21"/>
                      <w:szCs w:val="21"/>
                      <w:highlight w:val="yellow"/>
                      <w:lang w:val="en-US" w:eastAsia="zh-CN"/>
                    </w:rPr>
                  </w:pPr>
                  <w:r>
                    <w:rPr>
                      <w:rFonts w:hint="default" w:ascii="Times New Roman" w:hAnsi="Times New Roman" w:cs="Times New Roman"/>
                      <w:color w:val="auto"/>
                      <w:kern w:val="0"/>
                      <w:sz w:val="21"/>
                      <w:szCs w:val="21"/>
                      <w:highlight w:val="none"/>
                      <w:lang w:val="en-US" w:eastAsia="zh-CN"/>
                    </w:rPr>
                    <w:t>污泥车</w:t>
                  </w:r>
                </w:p>
              </w:tc>
              <w:tc>
                <w:tcPr>
                  <w:tcW w:w="4935" w:type="dxa"/>
                  <w:tcMar>
                    <w:left w:w="28" w:type="dxa"/>
                    <w:right w:w="28" w:type="dxa"/>
                  </w:tcMar>
                  <w:vAlign w:val="center"/>
                </w:tcPr>
                <w:p w14:paraId="1B9C34F4">
                  <w:pPr>
                    <w:adjustRightInd w:val="0"/>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脱水后，污泥直接进入污泥车外运，不在厂区内暂存。</w:t>
                  </w:r>
                </w:p>
              </w:tc>
              <w:tc>
                <w:tcPr>
                  <w:tcW w:w="1053" w:type="dxa"/>
                  <w:vAlign w:val="center"/>
                </w:tcPr>
                <w:p w14:paraId="34C45A6B">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44D6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restart"/>
                  <w:tcMar>
                    <w:left w:w="28" w:type="dxa"/>
                    <w:right w:w="28" w:type="dxa"/>
                  </w:tcMar>
                  <w:vAlign w:val="center"/>
                </w:tcPr>
                <w:p w14:paraId="2A98DDF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1497" w:type="dxa"/>
                  <w:gridSpan w:val="2"/>
                  <w:shd w:val="clear" w:color="auto" w:fill="auto"/>
                  <w:tcMar>
                    <w:left w:w="28" w:type="dxa"/>
                    <w:right w:w="28" w:type="dxa"/>
                  </w:tcMar>
                  <w:vAlign w:val="center"/>
                </w:tcPr>
                <w:p w14:paraId="69A0CE6E">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办公用房</w:t>
                  </w:r>
                </w:p>
              </w:tc>
              <w:tc>
                <w:tcPr>
                  <w:tcW w:w="4935" w:type="dxa"/>
                  <w:shd w:val="clear" w:color="auto" w:fill="auto"/>
                  <w:tcMar>
                    <w:left w:w="28" w:type="dxa"/>
                    <w:right w:w="28" w:type="dxa"/>
                  </w:tcMar>
                  <w:vAlign w:val="center"/>
                </w:tcPr>
                <w:p w14:paraId="0621DC25">
                  <w:pPr>
                    <w:adjustRightInd w:val="0"/>
                    <w:snapToGrid w:val="0"/>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依托污水厂已有办公楼</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位于一期工程北侧，建筑面积667.8</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，1F</w:t>
                  </w:r>
                </w:p>
              </w:tc>
              <w:tc>
                <w:tcPr>
                  <w:tcW w:w="1053" w:type="dxa"/>
                  <w:shd w:val="clear" w:color="auto" w:fill="auto"/>
                  <w:vAlign w:val="center"/>
                </w:tcPr>
                <w:p w14:paraId="35D93C33">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依托</w:t>
                  </w:r>
                </w:p>
              </w:tc>
            </w:tr>
            <w:tr w14:paraId="7001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67719903">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shd w:val="clear" w:color="auto" w:fill="auto"/>
                  <w:tcMar>
                    <w:left w:w="28" w:type="dxa"/>
                    <w:right w:w="28" w:type="dxa"/>
                  </w:tcMar>
                  <w:vAlign w:val="center"/>
                </w:tcPr>
                <w:p w14:paraId="0D414C0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在线监测室</w:t>
                  </w:r>
                </w:p>
              </w:tc>
              <w:tc>
                <w:tcPr>
                  <w:tcW w:w="4935" w:type="dxa"/>
                  <w:shd w:val="clear" w:color="auto" w:fill="auto"/>
                  <w:tcMar>
                    <w:left w:w="28" w:type="dxa"/>
                    <w:right w:w="28" w:type="dxa"/>
                  </w:tcMar>
                  <w:vAlign w:val="center"/>
                </w:tcPr>
                <w:p w14:paraId="6FEBD67E">
                  <w:pPr>
                    <w:pStyle w:val="21"/>
                    <w:ind w:left="0" w:lef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依托二期工程在线监测室，在线监测仪，包括：CODCr、TOC水质自动分析仪、N</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-N水质自动分析仪、TP水质自动分析仪、TN水质自动分析仪、p</w:t>
                  </w:r>
                  <w:r>
                    <w:rPr>
                      <w:rFonts w:hint="default" w:ascii="Times New Roman" w:hAnsi="Times New Roman"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lang w:val="en-US" w:eastAsia="zh-CN"/>
                    </w:rPr>
                    <w:t>水质自动分析仪、超声波明渠流量计</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浊度计等</w:t>
                  </w:r>
                </w:p>
              </w:tc>
              <w:tc>
                <w:tcPr>
                  <w:tcW w:w="1053" w:type="dxa"/>
                  <w:shd w:val="clear" w:color="auto" w:fill="auto"/>
                  <w:vAlign w:val="center"/>
                </w:tcPr>
                <w:p w14:paraId="01DC150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依托</w:t>
                  </w:r>
                </w:p>
              </w:tc>
            </w:tr>
            <w:tr w14:paraId="0E4C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23C193A8">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shd w:val="clear" w:color="auto" w:fill="auto"/>
                  <w:tcMar>
                    <w:left w:w="28" w:type="dxa"/>
                    <w:right w:w="28" w:type="dxa"/>
                  </w:tcMar>
                  <w:vAlign w:val="center"/>
                </w:tcPr>
                <w:p w14:paraId="4E292EFC">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危废库</w:t>
                  </w:r>
                </w:p>
              </w:tc>
              <w:tc>
                <w:tcPr>
                  <w:tcW w:w="4935" w:type="dxa"/>
                  <w:shd w:val="clear" w:color="auto" w:fill="auto"/>
                  <w:tcMar>
                    <w:left w:w="28" w:type="dxa"/>
                    <w:right w:w="28" w:type="dxa"/>
                  </w:tcMar>
                  <w:vAlign w:val="center"/>
                </w:tcPr>
                <w:p w14:paraId="4E595056">
                  <w:pPr>
                    <w:pStyle w:val="21"/>
                    <w:ind w:left="0" w:lef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位于一期工程厂区东侧，建筑面积16m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，用于暂存污水厂实验室产生的分析废液和运营期产生的废机油。危废暂存库地面及裙脚、导流渠、集液池（0.027m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）防渗措施自下而上依次为：基础防渗层+2mm厚HDPE防渗膜+15cm抗渗C30钢筋混凝土结构+环氧树脂涂层防腐，防渗系数≤1.0×10</w:t>
                  </w:r>
                  <w:r>
                    <w:rPr>
                      <w:rFonts w:hint="default" w:ascii="Times New Roman" w:hAnsi="Times New Roman" w:cs="Times New Roman"/>
                      <w:color w:val="auto"/>
                      <w:sz w:val="21"/>
                      <w:szCs w:val="21"/>
                      <w:highlight w:val="none"/>
                      <w:vertAlign w:val="superscript"/>
                      <w:lang w:val="en-US" w:eastAsia="zh-CN"/>
                    </w:rPr>
                    <w:t>-10</w:t>
                  </w:r>
                  <w:r>
                    <w:rPr>
                      <w:rFonts w:hint="default" w:ascii="Times New Roman" w:hAnsi="Times New Roman" w:cs="Times New Roman"/>
                      <w:color w:val="auto"/>
                      <w:sz w:val="21"/>
                      <w:szCs w:val="21"/>
                      <w:highlight w:val="none"/>
                      <w:lang w:val="en-US" w:eastAsia="zh-CN"/>
                    </w:rPr>
                    <w:t>cm/s。</w:t>
                  </w:r>
                </w:p>
                <w:p w14:paraId="7FFE6089">
                  <w:pPr>
                    <w:pStyle w:val="21"/>
                    <w:ind w:left="0" w:lef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实验室分析废液定期交由通辽市轩鼎鸿泰环保科技有限公司拉运处置。</w:t>
                  </w:r>
                </w:p>
                <w:p w14:paraId="42ABAA76">
                  <w:pPr>
                    <w:pStyle w:val="21"/>
                    <w:ind w:left="0" w:lef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废矿物油定期交由鄂尔多斯市蒙鸿再生资源回收有限公司拉运处置。</w:t>
                  </w:r>
                </w:p>
              </w:tc>
              <w:tc>
                <w:tcPr>
                  <w:tcW w:w="1053" w:type="dxa"/>
                  <w:shd w:val="clear" w:color="auto" w:fill="auto"/>
                  <w:vAlign w:val="center"/>
                </w:tcPr>
                <w:p w14:paraId="3AA0922C">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依托</w:t>
                  </w:r>
                </w:p>
              </w:tc>
            </w:tr>
            <w:tr w14:paraId="2D36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505FDE24">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shd w:val="clear" w:color="auto" w:fill="auto"/>
                  <w:tcMar>
                    <w:left w:w="28" w:type="dxa"/>
                    <w:right w:w="28" w:type="dxa"/>
                  </w:tcMar>
                  <w:vAlign w:val="center"/>
                </w:tcPr>
                <w:p w14:paraId="646BB508">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配电室</w:t>
                  </w:r>
                </w:p>
              </w:tc>
              <w:tc>
                <w:tcPr>
                  <w:tcW w:w="4935" w:type="dxa"/>
                  <w:shd w:val="clear" w:color="auto" w:fill="auto"/>
                  <w:tcMar>
                    <w:left w:w="28" w:type="dxa"/>
                    <w:right w:w="28" w:type="dxa"/>
                  </w:tcMar>
                  <w:vAlign w:val="center"/>
                </w:tcPr>
                <w:p w14:paraId="7C37BAC2">
                  <w:pPr>
                    <w:adjustRightInd w:val="0"/>
                    <w:snapToGrid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40</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砖混结构，1</w:t>
                  </w:r>
                  <w:r>
                    <w:rPr>
                      <w:rFonts w:hint="default" w:ascii="Times New Roman" w:hAnsi="Times New Roman" w:cs="Times New Roman"/>
                      <w:color w:val="auto"/>
                      <w:sz w:val="21"/>
                      <w:szCs w:val="21"/>
                      <w:highlight w:val="none"/>
                      <w:lang w:val="en-US" w:eastAsia="zh-CN"/>
                    </w:rPr>
                    <w:t>间</w:t>
                  </w:r>
                </w:p>
              </w:tc>
              <w:tc>
                <w:tcPr>
                  <w:tcW w:w="1053" w:type="dxa"/>
                  <w:shd w:val="clear" w:color="auto" w:fill="auto"/>
                  <w:vAlign w:val="center"/>
                </w:tcPr>
                <w:p w14:paraId="120DA39A">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新建</w:t>
                  </w:r>
                </w:p>
              </w:tc>
            </w:tr>
            <w:tr w14:paraId="49AF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54" w:type="dxa"/>
                  <w:vMerge w:val="restart"/>
                  <w:tcMar>
                    <w:left w:w="28" w:type="dxa"/>
                    <w:right w:w="28" w:type="dxa"/>
                  </w:tcMar>
                  <w:vAlign w:val="center"/>
                </w:tcPr>
                <w:p w14:paraId="2EBAC7B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w:t>
                  </w:r>
                </w:p>
                <w:p w14:paraId="6F6F408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1497" w:type="dxa"/>
                  <w:gridSpan w:val="2"/>
                  <w:tcMar>
                    <w:left w:w="28" w:type="dxa"/>
                    <w:right w:w="28" w:type="dxa"/>
                  </w:tcMar>
                  <w:vAlign w:val="center"/>
                </w:tcPr>
                <w:p w14:paraId="7C8BD16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给水工程</w:t>
                  </w:r>
                </w:p>
              </w:tc>
              <w:tc>
                <w:tcPr>
                  <w:tcW w:w="4935" w:type="dxa"/>
                  <w:tcMar>
                    <w:left w:w="28" w:type="dxa"/>
                    <w:right w:w="28" w:type="dxa"/>
                  </w:tcMar>
                  <w:vAlign w:val="center"/>
                </w:tcPr>
                <w:p w14:paraId="1C4254CD">
                  <w:pPr>
                    <w:adjustRightInd w:val="0"/>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生活用水</w:t>
                  </w:r>
                  <w:r>
                    <w:rPr>
                      <w:rFonts w:hint="default" w:ascii="Times New Roman" w:hAnsi="Times New Roman" w:cs="Times New Roman"/>
                      <w:color w:val="auto"/>
                      <w:sz w:val="21"/>
                      <w:szCs w:val="21"/>
                      <w:highlight w:val="none"/>
                      <w:lang w:val="en-US" w:eastAsia="zh-CN"/>
                    </w:rPr>
                    <w:t>由市政自来水管网供给</w:t>
                  </w:r>
                  <w:r>
                    <w:rPr>
                      <w:rFonts w:hint="eastAsia" w:cs="Times New Roman"/>
                      <w:color w:val="auto"/>
                      <w:sz w:val="21"/>
                      <w:szCs w:val="21"/>
                      <w:highlight w:val="none"/>
                      <w:lang w:val="en-US" w:eastAsia="zh-CN"/>
                    </w:rPr>
                    <w:t>；</w:t>
                  </w:r>
                </w:p>
                <w:p w14:paraId="61376C5D">
                  <w:pPr>
                    <w:adjustRightInd w:val="0"/>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生产用水为</w:t>
                  </w:r>
                  <w:r>
                    <w:rPr>
                      <w:rFonts w:hint="default" w:ascii="Times New Roman" w:hAnsi="Times New Roman" w:eastAsia="宋体" w:cs="Times New Roman"/>
                      <w:color w:val="auto"/>
                      <w:sz w:val="21"/>
                      <w:szCs w:val="21"/>
                      <w:highlight w:val="none"/>
                      <w:lang w:val="en-US" w:eastAsia="zh-CN"/>
                    </w:rPr>
                    <w:t>污水厂处理后的中水</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污水进入V型滤池后，与全厂一期、二期、三期的中水混合后统一利用</w:t>
                  </w:r>
                  <w:r>
                    <w:rPr>
                      <w:rFonts w:hint="default" w:ascii="Times New Roman" w:hAnsi="Times New Roman" w:cs="Times New Roman"/>
                      <w:color w:val="auto"/>
                      <w:sz w:val="21"/>
                      <w:szCs w:val="21"/>
                      <w:highlight w:val="none"/>
                      <w:lang w:eastAsia="zh-CN"/>
                    </w:rPr>
                    <w:t>）。</w:t>
                  </w:r>
                </w:p>
              </w:tc>
              <w:tc>
                <w:tcPr>
                  <w:tcW w:w="1053" w:type="dxa"/>
                  <w:vAlign w:val="center"/>
                </w:tcPr>
                <w:p w14:paraId="3899127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C1E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1F8CF301">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5FF08A2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排水工程</w:t>
                  </w:r>
                </w:p>
              </w:tc>
              <w:tc>
                <w:tcPr>
                  <w:tcW w:w="4935" w:type="dxa"/>
                  <w:tcMar>
                    <w:left w:w="28" w:type="dxa"/>
                    <w:right w:w="28" w:type="dxa"/>
                  </w:tcMar>
                  <w:vAlign w:val="center"/>
                </w:tcPr>
                <w:p w14:paraId="140AB287">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生活污水排入本项目污水处理系统</w:t>
                  </w:r>
                  <w:r>
                    <w:rPr>
                      <w:rFonts w:hint="default" w:ascii="Times New Roman" w:hAnsi="Times New Roman" w:eastAsia="宋体" w:cs="Times New Roman"/>
                      <w:color w:val="auto"/>
                      <w:sz w:val="21"/>
                      <w:szCs w:val="21"/>
                      <w:highlight w:val="none"/>
                    </w:rPr>
                    <w:t>；</w:t>
                  </w:r>
                </w:p>
                <w:p w14:paraId="170345B6">
                  <w:pPr>
                    <w:adjustRightInd w:val="0"/>
                    <w:snapToGrid w:val="0"/>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V型滤池</w:t>
                  </w:r>
                  <w:r>
                    <w:rPr>
                      <w:rFonts w:hint="default" w:ascii="Times New Roman" w:hAnsi="Times New Roman" w:eastAsia="宋体" w:cs="Times New Roman"/>
                      <w:color w:val="auto"/>
                      <w:sz w:val="21"/>
                      <w:szCs w:val="21"/>
                      <w:highlight w:val="none"/>
                      <w:lang w:val="en-US" w:eastAsia="zh-CN"/>
                    </w:rPr>
                    <w:t>反冲洗废水进入污水厂污水井，不外排</w:t>
                  </w:r>
                  <w:r>
                    <w:rPr>
                      <w:rFonts w:hint="eastAsia" w:cs="Times New Roman"/>
                      <w:color w:val="auto"/>
                      <w:sz w:val="21"/>
                      <w:szCs w:val="21"/>
                      <w:highlight w:val="none"/>
                      <w:lang w:val="en-US" w:eastAsia="zh-CN"/>
                    </w:rPr>
                    <w:t>。</w:t>
                  </w:r>
                </w:p>
              </w:tc>
              <w:tc>
                <w:tcPr>
                  <w:tcW w:w="1053" w:type="dxa"/>
                  <w:vAlign w:val="center"/>
                </w:tcPr>
                <w:p w14:paraId="0CD6B55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0C26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3482D1D0">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66116EC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供电工程</w:t>
                  </w:r>
                </w:p>
              </w:tc>
              <w:tc>
                <w:tcPr>
                  <w:tcW w:w="4935" w:type="dxa"/>
                  <w:tcMar>
                    <w:left w:w="28" w:type="dxa"/>
                    <w:right w:w="28" w:type="dxa"/>
                  </w:tcMar>
                  <w:vAlign w:val="center"/>
                </w:tcPr>
                <w:p w14:paraId="48B67694">
                  <w:pPr>
                    <w:adjustRightInd w:val="0"/>
                    <w:snapToGrid w:val="0"/>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由</w:t>
                  </w:r>
                  <w:r>
                    <w:rPr>
                      <w:rFonts w:hint="default" w:ascii="Times New Roman" w:hAnsi="Times New Roman" w:eastAsia="宋体" w:cs="Times New Roman"/>
                      <w:color w:val="auto"/>
                      <w:sz w:val="21"/>
                      <w:szCs w:val="21"/>
                      <w:highlight w:val="none"/>
                      <w:lang w:val="en-US" w:eastAsia="zh-CN"/>
                    </w:rPr>
                    <w:t>污水厂原有</w:t>
                  </w:r>
                  <w:r>
                    <w:rPr>
                      <w:rFonts w:hint="default" w:ascii="Times New Roman" w:hAnsi="Times New Roman" w:eastAsia="宋体" w:cs="Times New Roman"/>
                      <w:color w:val="auto"/>
                      <w:sz w:val="21"/>
                      <w:szCs w:val="21"/>
                      <w:highlight w:val="none"/>
                    </w:rPr>
                    <w:t>电网</w:t>
                  </w:r>
                  <w:r>
                    <w:rPr>
                      <w:rFonts w:hint="eastAsia" w:cs="Times New Roman"/>
                      <w:color w:val="auto"/>
                      <w:sz w:val="21"/>
                      <w:szCs w:val="21"/>
                      <w:highlight w:val="none"/>
                      <w:lang w:eastAsia="zh-CN"/>
                    </w:rPr>
                    <w:t>供电。</w:t>
                  </w:r>
                </w:p>
              </w:tc>
              <w:tc>
                <w:tcPr>
                  <w:tcW w:w="1053" w:type="dxa"/>
                  <w:vAlign w:val="center"/>
                </w:tcPr>
                <w:p w14:paraId="719205B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5C8E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723B61D4">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6536884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供暖工程</w:t>
                  </w:r>
                </w:p>
              </w:tc>
              <w:tc>
                <w:tcPr>
                  <w:tcW w:w="4935" w:type="dxa"/>
                  <w:tcMar>
                    <w:left w:w="28" w:type="dxa"/>
                    <w:right w:w="28" w:type="dxa"/>
                  </w:tcMar>
                  <w:vAlign w:val="center"/>
                </w:tcPr>
                <w:p w14:paraId="55EABDEC">
                  <w:pPr>
                    <w:adjustRightInd w:val="0"/>
                    <w:snapToGrid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本项目为市政集中</w:t>
                  </w:r>
                  <w:r>
                    <w:rPr>
                      <w:rFonts w:hint="default" w:ascii="Times New Roman" w:hAnsi="Times New Roman" w:eastAsia="宋体" w:cs="Times New Roman"/>
                      <w:color w:val="auto"/>
                      <w:sz w:val="21"/>
                      <w:szCs w:val="21"/>
                      <w:highlight w:val="none"/>
                      <w:lang w:eastAsia="zh-CN"/>
                    </w:rPr>
                    <w:t>供暖</w:t>
                  </w:r>
                  <w:r>
                    <w:rPr>
                      <w:rFonts w:hint="eastAsia" w:cs="Times New Roman"/>
                      <w:color w:val="auto"/>
                      <w:sz w:val="21"/>
                      <w:szCs w:val="21"/>
                      <w:highlight w:val="none"/>
                      <w:lang w:eastAsia="zh-CN"/>
                    </w:rPr>
                    <w:t>。</w:t>
                  </w:r>
                </w:p>
              </w:tc>
              <w:tc>
                <w:tcPr>
                  <w:tcW w:w="1053" w:type="dxa"/>
                  <w:vAlign w:val="center"/>
                </w:tcPr>
                <w:p w14:paraId="03FBF6B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724B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restart"/>
                  <w:tcMar>
                    <w:left w:w="28" w:type="dxa"/>
                    <w:right w:w="28" w:type="dxa"/>
                  </w:tcMar>
                  <w:vAlign w:val="center"/>
                </w:tcPr>
                <w:p w14:paraId="5D07982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w:t>
                  </w:r>
                </w:p>
                <w:p w14:paraId="3C24A34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1497" w:type="dxa"/>
                  <w:gridSpan w:val="2"/>
                  <w:tcMar>
                    <w:left w:w="28" w:type="dxa"/>
                    <w:right w:w="28" w:type="dxa"/>
                  </w:tcMar>
                  <w:vAlign w:val="center"/>
                </w:tcPr>
                <w:p w14:paraId="320C33D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4935" w:type="dxa"/>
                  <w:tcMar>
                    <w:left w:w="28" w:type="dxa"/>
                    <w:right w:w="28" w:type="dxa"/>
                  </w:tcMar>
                  <w:vAlign w:val="center"/>
                </w:tcPr>
                <w:p w14:paraId="655A5626">
                  <w:pPr>
                    <w:adjustRightInd w:val="0"/>
                    <w:snapToGrid w:val="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对产生恶臭气体的格栅、生化池、污泥脱水等工序布置于全封闭厂房内，并在生物池的缺氧段安装微生物培养箱4台，</w:t>
                  </w:r>
                  <w:r>
                    <w:rPr>
                      <w:rFonts w:hint="default" w:ascii="Times New Roman" w:hAnsi="Times New Roman" w:cs="Times New Roman"/>
                      <w:color w:val="auto"/>
                      <w:sz w:val="21"/>
                      <w:szCs w:val="21"/>
                      <w:highlight w:val="none"/>
                      <w:lang w:val="en-US" w:eastAsia="zh-CN"/>
                    </w:rPr>
                    <w:t>可实现</w:t>
                  </w:r>
                  <w:r>
                    <w:rPr>
                      <w:rFonts w:hint="default" w:ascii="Times New Roman" w:hAnsi="Times New Roman" w:eastAsia="宋体" w:cs="Times New Roman"/>
                      <w:color w:val="auto"/>
                      <w:sz w:val="21"/>
                      <w:szCs w:val="21"/>
                      <w:highlight w:val="none"/>
                      <w:lang w:val="en-US" w:eastAsia="zh-CN"/>
                    </w:rPr>
                    <w:t>全</w:t>
                  </w:r>
                  <w:r>
                    <w:rPr>
                      <w:rFonts w:hint="default" w:ascii="Times New Roman" w:hAnsi="Times New Roman" w:cs="Times New Roman"/>
                      <w:color w:val="auto"/>
                      <w:sz w:val="21"/>
                      <w:szCs w:val="21"/>
                      <w:highlight w:val="none"/>
                      <w:lang w:val="en-US" w:eastAsia="zh-CN"/>
                    </w:rPr>
                    <w:t>过程</w:t>
                  </w:r>
                  <w:r>
                    <w:rPr>
                      <w:rFonts w:hint="default" w:ascii="Times New Roman" w:hAnsi="Times New Roman" w:eastAsia="宋体" w:cs="Times New Roman"/>
                      <w:color w:val="auto"/>
                      <w:sz w:val="21"/>
                      <w:szCs w:val="21"/>
                      <w:highlight w:val="none"/>
                      <w:lang w:val="en-US" w:eastAsia="zh-CN"/>
                    </w:rPr>
                    <w:t>除臭。</w:t>
                  </w:r>
                </w:p>
              </w:tc>
              <w:tc>
                <w:tcPr>
                  <w:tcW w:w="1053" w:type="dxa"/>
                  <w:vAlign w:val="center"/>
                </w:tcPr>
                <w:p w14:paraId="2EDDBB8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新建</w:t>
                  </w:r>
                </w:p>
              </w:tc>
            </w:tr>
            <w:tr w14:paraId="3786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1AB8B7D8">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51A00BA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4935" w:type="dxa"/>
                  <w:tcMar>
                    <w:left w:w="28" w:type="dxa"/>
                    <w:right w:w="28" w:type="dxa"/>
                  </w:tcMar>
                  <w:vAlign w:val="center"/>
                </w:tcPr>
                <w:p w14:paraId="7B998523">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生活污水排入本项目污水处理系统</w:t>
                  </w:r>
                  <w:r>
                    <w:rPr>
                      <w:rFonts w:hint="default" w:ascii="Times New Roman" w:hAnsi="Times New Roman" w:eastAsia="宋体" w:cs="Times New Roman"/>
                      <w:color w:val="auto"/>
                      <w:sz w:val="21"/>
                      <w:szCs w:val="21"/>
                      <w:highlight w:val="none"/>
                    </w:rPr>
                    <w:t>；</w:t>
                  </w:r>
                </w:p>
                <w:p w14:paraId="730B5F96">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本项目污水处理厂处理后的中水全部实现再生利用（即污水回用）。本次</w:t>
                  </w:r>
                  <w:r>
                    <w:rPr>
                      <w:rFonts w:hint="default" w:ascii="Times New Roman" w:hAnsi="Times New Roman" w:cs="Times New Roman"/>
                      <w:color w:val="auto"/>
                      <w:sz w:val="21"/>
                      <w:szCs w:val="21"/>
                      <w:highlight w:val="none"/>
                      <w:lang w:eastAsia="zh-CN"/>
                    </w:rPr>
                    <w:t>三期建设工程</w:t>
                  </w:r>
                  <w:r>
                    <w:rPr>
                      <w:rFonts w:hint="default" w:ascii="Times New Roman" w:hAnsi="Times New Roman" w:cs="Times New Roman"/>
                      <w:color w:val="auto"/>
                      <w:sz w:val="21"/>
                      <w:szCs w:val="21"/>
                      <w:highlight w:val="none"/>
                      <w:lang w:val="en-US" w:eastAsia="zh-CN"/>
                    </w:rPr>
                    <w:t>建成后全厂处理中水能力为14000t/d，届时，尾水水质净化工程已完成验收正式运行，其中原一二期的3000</w:t>
                  </w:r>
                  <w:r>
                    <w:rPr>
                      <w:rFonts w:hint="eastAsia" w:cs="Times New Roman"/>
                      <w:color w:val="auto"/>
                      <w:sz w:val="21"/>
                      <w:szCs w:val="21"/>
                      <w:highlight w:val="none"/>
                      <w:lang w:val="en-US" w:eastAsia="zh-CN"/>
                    </w:rPr>
                    <w:t>吨</w:t>
                  </w:r>
                  <w:r>
                    <w:rPr>
                      <w:rFonts w:hint="default" w:ascii="Times New Roman" w:hAnsi="Times New Roman" w:cs="Times New Roman"/>
                      <w:color w:val="auto"/>
                      <w:sz w:val="21"/>
                      <w:szCs w:val="21"/>
                      <w:highlight w:val="none"/>
                      <w:lang w:val="en-US" w:eastAsia="zh-CN"/>
                    </w:rPr>
                    <w:t>及本次新增的5500</w:t>
                  </w:r>
                  <w:r>
                    <w:rPr>
                      <w:rFonts w:hint="eastAsia" w:cs="Times New Roman"/>
                      <w:color w:val="auto"/>
                      <w:sz w:val="21"/>
                      <w:szCs w:val="21"/>
                      <w:highlight w:val="none"/>
                      <w:lang w:val="en-US" w:eastAsia="zh-CN"/>
                    </w:rPr>
                    <w:t>吨</w:t>
                  </w:r>
                  <w:r>
                    <w:rPr>
                      <w:rFonts w:hint="default" w:ascii="Times New Roman" w:hAnsi="Times New Roman" w:cs="Times New Roman"/>
                      <w:color w:val="auto"/>
                      <w:sz w:val="21"/>
                      <w:szCs w:val="21"/>
                      <w:highlight w:val="none"/>
                      <w:lang w:val="en-US" w:eastAsia="zh-CN"/>
                    </w:rPr>
                    <w:t>排入杭锦旗锡尼镇污水处理厂尾水水质净化工程进行深度处理，处理达标后用于周边企业回用及陶赖沟生态补水。其余5500</w:t>
                  </w:r>
                  <w:r>
                    <w:rPr>
                      <w:rFonts w:hint="eastAsia" w:cs="Times New Roman"/>
                      <w:color w:val="auto"/>
                      <w:sz w:val="21"/>
                      <w:szCs w:val="21"/>
                      <w:highlight w:val="none"/>
                      <w:lang w:val="en-US" w:eastAsia="zh-CN"/>
                    </w:rPr>
                    <w:t>吨</w:t>
                  </w:r>
                  <w:r>
                    <w:rPr>
                      <w:rFonts w:hint="default" w:ascii="Times New Roman" w:hAnsi="Times New Roman" w:cs="Times New Roman"/>
                      <w:color w:val="auto"/>
                      <w:sz w:val="21"/>
                      <w:szCs w:val="21"/>
                      <w:highlight w:val="none"/>
                      <w:lang w:val="en-US" w:eastAsia="zh-CN"/>
                    </w:rPr>
                    <w:t>统筹用于园林绿化、鄂尔多斯市新能源产业示范区企业及内蒙古能源发电杭锦发电有限公司工业用水</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不外排。</w:t>
                  </w:r>
                </w:p>
              </w:tc>
              <w:tc>
                <w:tcPr>
                  <w:tcW w:w="1053" w:type="dxa"/>
                  <w:vAlign w:val="center"/>
                </w:tcPr>
                <w:p w14:paraId="684E471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633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4732DE26">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tcMar>
                    <w:left w:w="28" w:type="dxa"/>
                    <w:right w:w="28" w:type="dxa"/>
                  </w:tcMar>
                  <w:vAlign w:val="center"/>
                </w:tcPr>
                <w:p w14:paraId="40198F0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4935" w:type="dxa"/>
                  <w:tcMar>
                    <w:left w:w="28" w:type="dxa"/>
                    <w:right w:w="28" w:type="dxa"/>
                  </w:tcMar>
                  <w:vAlign w:val="center"/>
                </w:tcPr>
                <w:p w14:paraId="11F422CF">
                  <w:pPr>
                    <w:adjustRightInd w:val="0"/>
                    <w:snapToGri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项目运行过程中产生的</w:t>
                  </w:r>
                  <w:r>
                    <w:rPr>
                      <w:rFonts w:hint="default" w:ascii="Times New Roman" w:hAnsi="Times New Roman" w:eastAsia="宋体" w:cs="Times New Roman"/>
                      <w:color w:val="auto"/>
                      <w:sz w:val="21"/>
                      <w:szCs w:val="21"/>
                      <w:highlight w:val="none"/>
                      <w:lang w:eastAsia="zh-CN"/>
                    </w:rPr>
                    <w:t>栅渣、沉砂、</w:t>
                  </w:r>
                  <w:r>
                    <w:rPr>
                      <w:rFonts w:hint="default" w:ascii="Times New Roman" w:hAnsi="Times New Roman" w:eastAsia="宋体" w:cs="Times New Roman"/>
                      <w:color w:val="auto"/>
                      <w:sz w:val="21"/>
                      <w:szCs w:val="21"/>
                      <w:highlight w:val="none"/>
                      <w:lang w:val="en-US" w:eastAsia="zh-CN"/>
                    </w:rPr>
                    <w:t>脱水污泥</w:t>
                  </w:r>
                  <w:r>
                    <w:rPr>
                      <w:rFonts w:hint="default" w:ascii="Times New Roman" w:hAnsi="Times New Roman" w:eastAsia="宋体" w:cs="Times New Roman"/>
                      <w:color w:val="auto"/>
                      <w:sz w:val="21"/>
                      <w:szCs w:val="21"/>
                      <w:highlight w:val="none"/>
                      <w:lang w:eastAsia="zh-CN"/>
                    </w:rPr>
                    <w:t>集中收集</w:t>
                  </w:r>
                  <w:r>
                    <w:rPr>
                      <w:rFonts w:hint="default" w:ascii="Times New Roman" w:hAnsi="Times New Roman" w:eastAsia="宋体" w:cs="Times New Roman"/>
                      <w:color w:val="auto"/>
                      <w:sz w:val="21"/>
                      <w:szCs w:val="21"/>
                      <w:highlight w:val="none"/>
                      <w:lang w:val="en-US" w:eastAsia="zh-CN"/>
                    </w:rPr>
                    <w:t>后</w:t>
                  </w:r>
                  <w:r>
                    <w:rPr>
                      <w:rFonts w:hint="default" w:ascii="Times New Roman" w:hAnsi="Times New Roman" w:cs="Times New Roman"/>
                      <w:color w:val="auto"/>
                      <w:sz w:val="21"/>
                      <w:szCs w:val="21"/>
                      <w:highlight w:val="none"/>
                      <w:lang w:val="en-US" w:eastAsia="zh-CN"/>
                    </w:rPr>
                    <w:t>定期</w:t>
                  </w:r>
                  <w:r>
                    <w:rPr>
                      <w:rFonts w:hint="default" w:ascii="Times New Roman" w:hAnsi="Times New Roman" w:eastAsia="宋体" w:cs="Times New Roman"/>
                      <w:color w:val="auto"/>
                      <w:sz w:val="21"/>
                      <w:szCs w:val="21"/>
                      <w:highlight w:val="none"/>
                      <w:lang w:eastAsia="zh-CN"/>
                    </w:rPr>
                    <w:t>送锡尼镇垃圾填埋场处理</w:t>
                  </w:r>
                </w:p>
              </w:tc>
              <w:tc>
                <w:tcPr>
                  <w:tcW w:w="1053" w:type="dxa"/>
                  <w:vAlign w:val="center"/>
                </w:tcPr>
                <w:p w14:paraId="06225C4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200B4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65948697">
                  <w:pPr>
                    <w:adjustRightInd w:val="0"/>
                    <w:snapToGrid w:val="0"/>
                    <w:jc w:val="center"/>
                    <w:rPr>
                      <w:rFonts w:hint="default" w:ascii="Times New Roman" w:hAnsi="Times New Roman" w:eastAsia="宋体" w:cs="Times New Roman"/>
                      <w:color w:val="auto"/>
                      <w:sz w:val="21"/>
                      <w:szCs w:val="21"/>
                      <w:highlight w:val="none"/>
                    </w:rPr>
                  </w:pPr>
                </w:p>
              </w:tc>
              <w:tc>
                <w:tcPr>
                  <w:tcW w:w="1497" w:type="dxa"/>
                  <w:gridSpan w:val="2"/>
                  <w:shd w:val="clear" w:color="auto" w:fill="auto"/>
                  <w:tcMar>
                    <w:left w:w="28" w:type="dxa"/>
                    <w:right w:w="28" w:type="dxa"/>
                  </w:tcMar>
                  <w:vAlign w:val="center"/>
                </w:tcPr>
                <w:p w14:paraId="585CF22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噪声</w:t>
                  </w:r>
                </w:p>
              </w:tc>
              <w:tc>
                <w:tcPr>
                  <w:tcW w:w="4935" w:type="dxa"/>
                  <w:shd w:val="clear" w:color="auto" w:fill="auto"/>
                  <w:tcMar>
                    <w:left w:w="28" w:type="dxa"/>
                    <w:right w:w="28" w:type="dxa"/>
                  </w:tcMar>
                  <w:vAlign w:val="center"/>
                </w:tcPr>
                <w:p w14:paraId="058BDB77">
                  <w:pPr>
                    <w:adjustRightInd w:val="0"/>
                    <w:snapToGrid w:val="0"/>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选用低噪设备、基础减</w:t>
                  </w:r>
                  <w:r>
                    <w:rPr>
                      <w:rFonts w:hint="default" w:ascii="Times New Roman" w:hAnsi="Times New Roman" w:eastAsia="宋体" w:cs="Times New Roman"/>
                      <w:color w:val="auto"/>
                      <w:sz w:val="21"/>
                      <w:szCs w:val="21"/>
                      <w:highlight w:val="none"/>
                      <w:lang w:val="en-US" w:eastAsia="zh-CN"/>
                    </w:rPr>
                    <w:t>振</w:t>
                  </w:r>
                  <w:r>
                    <w:rPr>
                      <w:rFonts w:hint="default" w:ascii="Times New Roman" w:hAnsi="Times New Roman" w:eastAsia="宋体" w:cs="Times New Roman"/>
                      <w:color w:val="auto"/>
                      <w:sz w:val="21"/>
                      <w:szCs w:val="21"/>
                      <w:highlight w:val="none"/>
                    </w:rPr>
                    <w:t>、封闭隔声等措施</w:t>
                  </w:r>
                </w:p>
              </w:tc>
              <w:tc>
                <w:tcPr>
                  <w:tcW w:w="1053" w:type="dxa"/>
                  <w:shd w:val="clear" w:color="auto" w:fill="auto"/>
                  <w:vAlign w:val="center"/>
                </w:tcPr>
                <w:p w14:paraId="39A20D5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bl>
          <w:p w14:paraId="0F52A6C2">
            <w:pPr>
              <w:pStyle w:val="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rPr>
              <w:t xml:space="preserve"> </w:t>
            </w:r>
            <w:r>
              <w:rPr>
                <w:rFonts w:hint="default" w:ascii="Times New Roman" w:hAnsi="Times New Roman" w:cs="Times New Roman"/>
                <w:color w:val="auto"/>
                <w:highlight w:val="none"/>
                <w:lang w:val="en-US" w:eastAsia="zh-CN"/>
              </w:rPr>
              <w:t>扩建后全厂</w:t>
            </w:r>
            <w:r>
              <w:rPr>
                <w:rFonts w:hint="default" w:ascii="Times New Roman" w:hAnsi="Times New Roman" w:eastAsia="宋体" w:cs="Times New Roman"/>
                <w:color w:val="auto"/>
                <w:highlight w:val="none"/>
              </w:rPr>
              <w:t>项目组成一览表</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345"/>
              <w:gridCol w:w="314"/>
              <w:gridCol w:w="14"/>
              <w:gridCol w:w="57"/>
              <w:gridCol w:w="554"/>
              <w:gridCol w:w="5394"/>
              <w:gridCol w:w="798"/>
            </w:tblGrid>
            <w:tr w14:paraId="06635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tcMar>
                    <w:left w:w="28" w:type="dxa"/>
                    <w:right w:w="28" w:type="dxa"/>
                  </w:tcMar>
                  <w:vAlign w:val="center"/>
                </w:tcPr>
                <w:p w14:paraId="5DCA1D25">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1285" w:type="dxa"/>
                  <w:gridSpan w:val="5"/>
                  <w:tcMar>
                    <w:left w:w="28" w:type="dxa"/>
                    <w:right w:w="28" w:type="dxa"/>
                  </w:tcMar>
                  <w:vAlign w:val="center"/>
                </w:tcPr>
                <w:p w14:paraId="78187785">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工程名称</w:t>
                  </w:r>
                </w:p>
              </w:tc>
              <w:tc>
                <w:tcPr>
                  <w:tcW w:w="5401" w:type="dxa"/>
                  <w:tcMar>
                    <w:left w:w="28" w:type="dxa"/>
                    <w:right w:w="28" w:type="dxa"/>
                  </w:tcMar>
                  <w:vAlign w:val="center"/>
                </w:tcPr>
                <w:p w14:paraId="6DB2E3AC">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建设内容及规模</w:t>
                  </w:r>
                </w:p>
              </w:tc>
              <w:tc>
                <w:tcPr>
                  <w:tcW w:w="799" w:type="dxa"/>
                  <w:vAlign w:val="center"/>
                </w:tcPr>
                <w:p w14:paraId="52B704ED">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备注</w:t>
                  </w:r>
                </w:p>
              </w:tc>
            </w:tr>
            <w:tr w14:paraId="3D4C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restart"/>
                  <w:tcMar>
                    <w:left w:w="28" w:type="dxa"/>
                    <w:right w:w="28" w:type="dxa"/>
                  </w:tcMar>
                  <w:vAlign w:val="center"/>
                </w:tcPr>
                <w:p w14:paraId="0828F66A">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主体工程</w:t>
                  </w:r>
                </w:p>
              </w:tc>
              <w:tc>
                <w:tcPr>
                  <w:tcW w:w="345" w:type="dxa"/>
                  <w:vMerge w:val="restart"/>
                  <w:tcMar>
                    <w:left w:w="28" w:type="dxa"/>
                    <w:right w:w="28" w:type="dxa"/>
                  </w:tcMar>
                  <w:vAlign w:val="center"/>
                </w:tcPr>
                <w:p w14:paraId="3FCA0FF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一</w:t>
                  </w:r>
                  <w:r>
                    <w:rPr>
                      <w:rFonts w:hint="default" w:ascii="Times New Roman" w:hAnsi="Times New Roman" w:eastAsia="宋体" w:cs="Times New Roman"/>
                      <w:color w:val="auto"/>
                      <w:sz w:val="21"/>
                      <w:szCs w:val="21"/>
                      <w:highlight w:val="none"/>
                      <w:lang w:val="en-US" w:eastAsia="zh-CN"/>
                    </w:rPr>
                    <w:t>期现有工程</w:t>
                  </w:r>
                </w:p>
              </w:tc>
              <w:tc>
                <w:tcPr>
                  <w:tcW w:w="385" w:type="dxa"/>
                  <w:gridSpan w:val="3"/>
                  <w:vMerge w:val="restart"/>
                  <w:shd w:val="clear" w:color="auto" w:fill="auto"/>
                  <w:tcMar>
                    <w:left w:w="28" w:type="dxa"/>
                    <w:right w:w="28" w:type="dxa"/>
                  </w:tcMar>
                  <w:vAlign w:val="center"/>
                </w:tcPr>
                <w:p w14:paraId="25459190">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预处理间</w:t>
                  </w:r>
                </w:p>
              </w:tc>
              <w:tc>
                <w:tcPr>
                  <w:tcW w:w="555" w:type="dxa"/>
                  <w:shd w:val="clear" w:color="auto" w:fill="auto"/>
                  <w:tcMar>
                    <w:left w:w="28" w:type="dxa"/>
                    <w:right w:w="28" w:type="dxa"/>
                  </w:tcMar>
                  <w:vAlign w:val="center"/>
                </w:tcPr>
                <w:p w14:paraId="7D84A754">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eastAsia="zh-CN"/>
                    </w:rPr>
                    <w:t>进水井</w:t>
                  </w:r>
                </w:p>
              </w:tc>
              <w:tc>
                <w:tcPr>
                  <w:tcW w:w="5401" w:type="dxa"/>
                  <w:shd w:val="clear" w:color="auto" w:fill="auto"/>
                  <w:tcMar>
                    <w:left w:w="28" w:type="dxa"/>
                    <w:right w:w="28" w:type="dxa"/>
                  </w:tcMar>
                  <w:vAlign w:val="center"/>
                </w:tcPr>
                <w:p w14:paraId="38690CED">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数量：1座，</w:t>
                  </w:r>
                  <w:r>
                    <w:rPr>
                      <w:rFonts w:hint="default" w:ascii="Times New Roman" w:hAnsi="Times New Roman" w:cs="Times New Roman"/>
                      <w:color w:val="auto"/>
                      <w:sz w:val="21"/>
                      <w:szCs w:val="21"/>
                      <w:lang w:val="en-US" w:eastAsia="zh-CN"/>
                    </w:rPr>
                    <w:t>41.86</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eastAsia="zh-CN"/>
                    </w:rPr>
                    <w:t>尺寸：4.6m×2.6m×3.5m（长×宽×高），</w:t>
                  </w:r>
                  <w:r>
                    <w:rPr>
                      <w:rFonts w:hint="default" w:ascii="Times New Roman" w:hAnsi="Times New Roman" w:cs="Times New Roman"/>
                      <w:color w:val="auto"/>
                      <w:sz w:val="21"/>
                      <w:szCs w:val="21"/>
                      <w:lang w:val="en-US" w:eastAsia="zh-CN"/>
                    </w:rPr>
                    <w:t>闸门DN600。</w:t>
                  </w:r>
                </w:p>
              </w:tc>
              <w:tc>
                <w:tcPr>
                  <w:tcW w:w="799" w:type="dxa"/>
                  <w:vAlign w:val="center"/>
                </w:tcPr>
                <w:p w14:paraId="68590221">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已建</w:t>
                  </w:r>
                </w:p>
              </w:tc>
            </w:tr>
            <w:tr w14:paraId="1844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3B7CAFBE">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603EFBD8">
                  <w:pPr>
                    <w:adjustRightInd w:val="0"/>
                    <w:snapToGrid w:val="0"/>
                    <w:jc w:val="center"/>
                    <w:rPr>
                      <w:rFonts w:hint="default" w:ascii="Times New Roman" w:hAnsi="Times New Roman" w:cs="Times New Roman"/>
                      <w:color w:val="auto"/>
                      <w:sz w:val="21"/>
                      <w:szCs w:val="21"/>
                      <w:highlight w:val="none"/>
                      <w:lang w:val="en-US" w:eastAsia="zh-CN"/>
                    </w:rPr>
                  </w:pPr>
                </w:p>
              </w:tc>
              <w:tc>
                <w:tcPr>
                  <w:tcW w:w="385" w:type="dxa"/>
                  <w:gridSpan w:val="3"/>
                  <w:vMerge w:val="continue"/>
                  <w:shd w:val="clear" w:color="auto" w:fill="auto"/>
                  <w:tcMar>
                    <w:left w:w="28" w:type="dxa"/>
                    <w:right w:w="28" w:type="dxa"/>
                  </w:tcMar>
                  <w:vAlign w:val="center"/>
                </w:tcPr>
                <w:p w14:paraId="03802959">
                  <w:pPr>
                    <w:pStyle w:val="17"/>
                    <w:bidi w:val="0"/>
                    <w:rPr>
                      <w:rFonts w:hint="default" w:ascii="Times New Roman" w:hAnsi="Times New Roman" w:eastAsia="宋体" w:cs="Times New Roman"/>
                      <w:b w:val="0"/>
                      <w:bCs w:val="0"/>
                      <w:color w:val="auto"/>
                      <w:kern w:val="2"/>
                      <w:sz w:val="21"/>
                      <w:szCs w:val="21"/>
                      <w:lang w:val="en-US" w:eastAsia="zh-CN" w:bidi="ar-SA"/>
                    </w:rPr>
                  </w:pPr>
                </w:p>
              </w:tc>
              <w:tc>
                <w:tcPr>
                  <w:tcW w:w="555" w:type="dxa"/>
                  <w:shd w:val="clear" w:color="auto" w:fill="auto"/>
                  <w:tcMar>
                    <w:left w:w="28" w:type="dxa"/>
                    <w:right w:w="28" w:type="dxa"/>
                  </w:tcMar>
                  <w:vAlign w:val="center"/>
                </w:tcPr>
                <w:p w14:paraId="35C4ECE5">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eastAsia="zh-CN"/>
                    </w:rPr>
                    <w:t>格栅间</w:t>
                  </w:r>
                </w:p>
              </w:tc>
              <w:tc>
                <w:tcPr>
                  <w:tcW w:w="5401" w:type="dxa"/>
                  <w:shd w:val="clear" w:color="auto" w:fill="auto"/>
                  <w:tcMar>
                    <w:left w:w="28" w:type="dxa"/>
                    <w:right w:w="28" w:type="dxa"/>
                  </w:tcMar>
                  <w:vAlign w:val="center"/>
                </w:tcPr>
                <w:p w14:paraId="637C4BF1">
                  <w:pPr>
                    <w:pStyle w:val="17"/>
                    <w:bidi w:val="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格栅间1座：5.65m×6.5m×8.0m，地下3.4m，地上4.6m，为钢混结构。</w:t>
                  </w:r>
                </w:p>
                <w:p w14:paraId="351A2FA0">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地下格栅渠：单条4.4m×0.8m×3.4m，共2条。</w:t>
                  </w:r>
                </w:p>
              </w:tc>
              <w:tc>
                <w:tcPr>
                  <w:tcW w:w="799" w:type="dxa"/>
                  <w:vAlign w:val="center"/>
                </w:tcPr>
                <w:p w14:paraId="7819AA1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1776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13D73DBA">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75A1D66B">
                  <w:pPr>
                    <w:adjustRightInd w:val="0"/>
                    <w:snapToGrid w:val="0"/>
                    <w:jc w:val="center"/>
                    <w:rPr>
                      <w:rFonts w:hint="default" w:ascii="Times New Roman" w:hAnsi="Times New Roman" w:cs="Times New Roman"/>
                      <w:color w:val="auto"/>
                      <w:sz w:val="21"/>
                      <w:szCs w:val="21"/>
                      <w:highlight w:val="none"/>
                      <w:lang w:val="en-US" w:eastAsia="zh-CN"/>
                    </w:rPr>
                  </w:pPr>
                </w:p>
              </w:tc>
              <w:tc>
                <w:tcPr>
                  <w:tcW w:w="385" w:type="dxa"/>
                  <w:gridSpan w:val="3"/>
                  <w:vMerge w:val="continue"/>
                  <w:shd w:val="clear" w:color="auto" w:fill="auto"/>
                  <w:tcMar>
                    <w:left w:w="28" w:type="dxa"/>
                    <w:right w:w="28" w:type="dxa"/>
                  </w:tcMar>
                  <w:vAlign w:val="center"/>
                </w:tcPr>
                <w:p w14:paraId="01698206">
                  <w:pPr>
                    <w:pStyle w:val="17"/>
                    <w:bidi w:val="0"/>
                    <w:rPr>
                      <w:rFonts w:hint="default" w:ascii="Times New Roman" w:hAnsi="Times New Roman" w:eastAsia="宋体" w:cs="Times New Roman"/>
                      <w:b w:val="0"/>
                      <w:bCs w:val="0"/>
                      <w:color w:val="auto"/>
                      <w:kern w:val="2"/>
                      <w:sz w:val="21"/>
                      <w:szCs w:val="21"/>
                      <w:lang w:val="en-US" w:eastAsia="zh-CN" w:bidi="ar-SA"/>
                    </w:rPr>
                  </w:pPr>
                </w:p>
              </w:tc>
              <w:tc>
                <w:tcPr>
                  <w:tcW w:w="555" w:type="dxa"/>
                  <w:shd w:val="clear" w:color="auto" w:fill="auto"/>
                  <w:tcMar>
                    <w:left w:w="28" w:type="dxa"/>
                    <w:right w:w="28" w:type="dxa"/>
                  </w:tcMar>
                  <w:vAlign w:val="center"/>
                </w:tcPr>
                <w:p w14:paraId="539B147F">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eastAsia="zh-CN"/>
                    </w:rPr>
                    <w:t>污水提升泵房</w:t>
                  </w:r>
                </w:p>
              </w:tc>
              <w:tc>
                <w:tcPr>
                  <w:tcW w:w="5401" w:type="dxa"/>
                  <w:shd w:val="clear" w:color="auto" w:fill="auto"/>
                  <w:tcMar>
                    <w:left w:w="28" w:type="dxa"/>
                    <w:right w:w="28" w:type="dxa"/>
                  </w:tcMar>
                  <w:vAlign w:val="center"/>
                </w:tcPr>
                <w:p w14:paraId="1E6CF41C">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数量：1座，尺寸：4.75m×6.5m×9.8m，污水提升泵房与粗格栅间合建。</w:t>
                  </w:r>
                </w:p>
              </w:tc>
              <w:tc>
                <w:tcPr>
                  <w:tcW w:w="799" w:type="dxa"/>
                  <w:vAlign w:val="center"/>
                </w:tcPr>
                <w:p w14:paraId="1718B44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6143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7073E0FC">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2175443B">
                  <w:pPr>
                    <w:adjustRightInd w:val="0"/>
                    <w:snapToGrid w:val="0"/>
                    <w:jc w:val="center"/>
                    <w:rPr>
                      <w:rFonts w:hint="default" w:ascii="Times New Roman" w:hAnsi="Times New Roman" w:cs="Times New Roman"/>
                      <w:color w:val="auto"/>
                      <w:sz w:val="21"/>
                      <w:szCs w:val="21"/>
                      <w:highlight w:val="none"/>
                      <w:lang w:val="en-US" w:eastAsia="zh-CN"/>
                    </w:rPr>
                  </w:pPr>
                </w:p>
              </w:tc>
              <w:tc>
                <w:tcPr>
                  <w:tcW w:w="385" w:type="dxa"/>
                  <w:gridSpan w:val="3"/>
                  <w:vMerge w:val="continue"/>
                  <w:shd w:val="clear" w:color="auto" w:fill="auto"/>
                  <w:tcMar>
                    <w:left w:w="28" w:type="dxa"/>
                    <w:right w:w="28" w:type="dxa"/>
                  </w:tcMar>
                  <w:vAlign w:val="center"/>
                </w:tcPr>
                <w:p w14:paraId="5B36A925">
                  <w:pPr>
                    <w:pStyle w:val="17"/>
                    <w:bidi w:val="0"/>
                    <w:rPr>
                      <w:rFonts w:hint="default" w:ascii="Times New Roman" w:hAnsi="Times New Roman" w:eastAsia="宋体" w:cs="Times New Roman"/>
                      <w:b w:val="0"/>
                      <w:bCs w:val="0"/>
                      <w:color w:val="auto"/>
                      <w:kern w:val="2"/>
                      <w:sz w:val="21"/>
                      <w:szCs w:val="21"/>
                      <w:lang w:val="en-US" w:eastAsia="zh-CN" w:bidi="ar-SA"/>
                    </w:rPr>
                  </w:pPr>
                </w:p>
              </w:tc>
              <w:tc>
                <w:tcPr>
                  <w:tcW w:w="555" w:type="dxa"/>
                  <w:shd w:val="clear" w:color="auto" w:fill="auto"/>
                  <w:tcMar>
                    <w:left w:w="28" w:type="dxa"/>
                    <w:right w:w="28" w:type="dxa"/>
                  </w:tcMar>
                  <w:vAlign w:val="center"/>
                </w:tcPr>
                <w:p w14:paraId="463B1918">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细格栅沉砂间</w:t>
                  </w:r>
                </w:p>
              </w:tc>
              <w:tc>
                <w:tcPr>
                  <w:tcW w:w="5401" w:type="dxa"/>
                  <w:shd w:val="clear" w:color="auto" w:fill="auto"/>
                  <w:tcMar>
                    <w:left w:w="28" w:type="dxa"/>
                    <w:right w:w="28" w:type="dxa"/>
                  </w:tcMar>
                  <w:vAlign w:val="center"/>
                </w:tcPr>
                <w:p w14:paraId="5C6B0A67">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数量：1座，尺寸：</w:t>
                  </w:r>
                  <w:r>
                    <w:rPr>
                      <w:rFonts w:hint="default" w:ascii="Times New Roman" w:hAnsi="Times New Roman" w:cs="Times New Roman"/>
                      <w:color w:val="auto"/>
                      <w:sz w:val="21"/>
                      <w:szCs w:val="21"/>
                      <w:lang w:val="en-US" w:eastAsia="zh-CN"/>
                    </w:rPr>
                    <w:t>14m</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8m</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6.3</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lang w:val="en-US" w:eastAsia="zh-CN"/>
                    </w:rPr>
                    <w:t>细格栅间</w:t>
                  </w:r>
                  <w:r>
                    <w:rPr>
                      <w:rFonts w:hint="default" w:ascii="Times New Roman" w:hAnsi="Times New Roman" w:cs="Times New Roman"/>
                      <w:color w:val="auto"/>
                      <w:sz w:val="21"/>
                      <w:szCs w:val="21"/>
                      <w:lang w:eastAsia="zh-CN"/>
                    </w:rPr>
                    <w:t>与</w:t>
                  </w:r>
                  <w:r>
                    <w:rPr>
                      <w:rFonts w:hint="default" w:ascii="Times New Roman" w:hAnsi="Times New Roman" w:cs="Times New Roman"/>
                      <w:color w:val="auto"/>
                      <w:sz w:val="21"/>
                      <w:szCs w:val="21"/>
                      <w:lang w:val="en-US" w:eastAsia="zh-CN"/>
                    </w:rPr>
                    <w:t>沉砂间</w:t>
                  </w:r>
                  <w:r>
                    <w:rPr>
                      <w:rFonts w:hint="default" w:ascii="Times New Roman" w:hAnsi="Times New Roman" w:cs="Times New Roman"/>
                      <w:color w:val="auto"/>
                      <w:sz w:val="21"/>
                      <w:szCs w:val="21"/>
                      <w:lang w:eastAsia="zh-CN"/>
                    </w:rPr>
                    <w:t>合建。</w:t>
                  </w:r>
                </w:p>
              </w:tc>
              <w:tc>
                <w:tcPr>
                  <w:tcW w:w="799" w:type="dxa"/>
                  <w:vAlign w:val="center"/>
                </w:tcPr>
                <w:p w14:paraId="2F3DB4C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38CF0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54127BB1">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464EDCD6">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098A18CA">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改良AAO池</w:t>
                  </w:r>
                </w:p>
              </w:tc>
              <w:tc>
                <w:tcPr>
                  <w:tcW w:w="5401" w:type="dxa"/>
                  <w:shd w:val="clear" w:color="auto" w:fill="auto"/>
                  <w:tcMar>
                    <w:left w:w="28" w:type="dxa"/>
                    <w:right w:w="28" w:type="dxa"/>
                  </w:tcMar>
                  <w:vAlign w:val="center"/>
                </w:tcPr>
                <w:p w14:paraId="577BFEFB">
                  <w:pPr>
                    <w:pStyle w:val="17"/>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设计规模：2000t/d</w:t>
                  </w:r>
                </w:p>
                <w:p w14:paraId="051A91E2">
                  <w:pPr>
                    <w:pStyle w:val="17"/>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厌氧池：2座，每座尺寸：11.35m×3.0m×5.1m；</w:t>
                  </w:r>
                </w:p>
                <w:p w14:paraId="4C2BFC11">
                  <w:pPr>
                    <w:pStyle w:val="17"/>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缺</w:t>
                  </w:r>
                  <w:r>
                    <w:rPr>
                      <w:rFonts w:hint="default" w:ascii="Times New Roman" w:hAnsi="Times New Roman" w:cs="Times New Roman"/>
                      <w:color w:val="auto"/>
                      <w:sz w:val="21"/>
                      <w:szCs w:val="21"/>
                      <w:lang w:val="en-US" w:eastAsia="zh-CN"/>
                    </w:rPr>
                    <w:t>氧池：2座，每座尺寸：15m×21m×5.1m；</w:t>
                  </w:r>
                </w:p>
                <w:p w14:paraId="5A6EAA93">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好氧池：2座，每座尺寸：6m×12m×5.1m。</w:t>
                  </w:r>
                </w:p>
              </w:tc>
              <w:tc>
                <w:tcPr>
                  <w:tcW w:w="799" w:type="dxa"/>
                  <w:shd w:val="clear" w:color="auto" w:fill="auto"/>
                  <w:vAlign w:val="center"/>
                </w:tcPr>
                <w:p w14:paraId="42A9AF86">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已建</w:t>
                  </w:r>
                </w:p>
              </w:tc>
            </w:tr>
            <w:tr w14:paraId="3184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2A171D8F">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41201BA2">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1E15CEB4">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二沉池</w:t>
                  </w:r>
                </w:p>
              </w:tc>
              <w:tc>
                <w:tcPr>
                  <w:tcW w:w="5401" w:type="dxa"/>
                  <w:shd w:val="clear" w:color="auto" w:fill="auto"/>
                  <w:tcMar>
                    <w:left w:w="28" w:type="dxa"/>
                    <w:right w:w="28" w:type="dxa"/>
                  </w:tcMar>
                  <w:vAlign w:val="center"/>
                </w:tcPr>
                <w:p w14:paraId="6FD70C92">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数量：2座，尺寸：Φ14.6m×2.7m（直径×有效高度），HRT：3.6h，表面负荷：0.84</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•h。</w:t>
                  </w:r>
                </w:p>
              </w:tc>
              <w:tc>
                <w:tcPr>
                  <w:tcW w:w="799" w:type="dxa"/>
                  <w:shd w:val="clear" w:color="auto" w:fill="auto"/>
                  <w:vAlign w:val="center"/>
                </w:tcPr>
                <w:p w14:paraId="35C29F37">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已建</w:t>
                  </w:r>
                </w:p>
              </w:tc>
            </w:tr>
            <w:tr w14:paraId="01B12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29279D5A">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33204BAA">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1C31C817">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eastAsia="zh-CN"/>
                    </w:rPr>
                    <w:t>磁混凝澄清池</w:t>
                  </w:r>
                </w:p>
              </w:tc>
              <w:tc>
                <w:tcPr>
                  <w:tcW w:w="5401" w:type="dxa"/>
                  <w:shd w:val="clear" w:color="auto" w:fill="auto"/>
                  <w:tcMar>
                    <w:left w:w="28" w:type="dxa"/>
                    <w:right w:w="28" w:type="dxa"/>
                  </w:tcMar>
                  <w:vAlign w:val="center"/>
                </w:tcPr>
                <w:p w14:paraId="6BC08F7F">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共设置2座磁混凝澄清池，每座包括絮凝池1座，磁混凝池2座，澄清池1座。</w:t>
                  </w:r>
                </w:p>
              </w:tc>
              <w:tc>
                <w:tcPr>
                  <w:tcW w:w="799" w:type="dxa"/>
                  <w:shd w:val="clear" w:color="auto" w:fill="auto"/>
                  <w:vAlign w:val="center"/>
                </w:tcPr>
                <w:p w14:paraId="3271DDE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已建</w:t>
                  </w:r>
                </w:p>
              </w:tc>
            </w:tr>
            <w:tr w14:paraId="370B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4948F398">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3245ECFD">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0C608D13">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消毒池</w:t>
                  </w:r>
                </w:p>
              </w:tc>
              <w:tc>
                <w:tcPr>
                  <w:tcW w:w="5401" w:type="dxa"/>
                  <w:shd w:val="clear" w:color="auto" w:fill="auto"/>
                  <w:tcMar>
                    <w:left w:w="28" w:type="dxa"/>
                    <w:right w:w="28" w:type="dxa"/>
                  </w:tcMar>
                  <w:vAlign w:val="center"/>
                </w:tcPr>
                <w:p w14:paraId="547FBD30">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数量：1座，尺寸：12.6m×7.1m×3.7m（全地下）。</w:t>
                  </w:r>
                </w:p>
              </w:tc>
              <w:tc>
                <w:tcPr>
                  <w:tcW w:w="799" w:type="dxa"/>
                  <w:shd w:val="clear" w:color="auto" w:fill="auto"/>
                  <w:vAlign w:val="center"/>
                </w:tcPr>
                <w:p w14:paraId="02FAC2C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已建</w:t>
                  </w:r>
                </w:p>
              </w:tc>
            </w:tr>
            <w:tr w14:paraId="7A4D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5EDB850B">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7E9F418E">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06645734">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外回流污泥池</w:t>
                  </w:r>
                </w:p>
              </w:tc>
              <w:tc>
                <w:tcPr>
                  <w:tcW w:w="5401" w:type="dxa"/>
                  <w:shd w:val="clear" w:color="auto" w:fill="auto"/>
                  <w:tcMar>
                    <w:left w:w="28" w:type="dxa"/>
                    <w:right w:w="28" w:type="dxa"/>
                  </w:tcMar>
                  <w:vAlign w:val="center"/>
                </w:tcPr>
                <w:p w14:paraId="36DF96B1">
                  <w:pPr>
                    <w:pStyle w:val="17"/>
                    <w:bidi w:val="0"/>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数量：1座，尺寸：10.2m×6.6m×4.0m（全地下）</w:t>
                  </w:r>
                </w:p>
                <w:p w14:paraId="0FED71EB">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主要设备：污泥回流泵2台。</w:t>
                  </w:r>
                </w:p>
              </w:tc>
              <w:tc>
                <w:tcPr>
                  <w:tcW w:w="799" w:type="dxa"/>
                  <w:vAlign w:val="center"/>
                </w:tcPr>
                <w:p w14:paraId="774BA8B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08A0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5E6AAD27">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5BF4583E">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32E761BF">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混合反应池</w:t>
                  </w:r>
                </w:p>
              </w:tc>
              <w:tc>
                <w:tcPr>
                  <w:tcW w:w="5401" w:type="dxa"/>
                  <w:shd w:val="clear" w:color="auto" w:fill="auto"/>
                  <w:tcMar>
                    <w:left w:w="28" w:type="dxa"/>
                    <w:right w:w="28" w:type="dxa"/>
                  </w:tcMar>
                  <w:vAlign w:val="center"/>
                </w:tcPr>
                <w:p w14:paraId="1D4B1494">
                  <w:pPr>
                    <w:pStyle w:val="17"/>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数量：1座，尺寸：9.6m×5.2m×3.95m（全地下）</w:t>
                  </w:r>
                </w:p>
                <w:p w14:paraId="75796269">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主要设备：剩余污泥泵4台。</w:t>
                  </w:r>
                </w:p>
              </w:tc>
              <w:tc>
                <w:tcPr>
                  <w:tcW w:w="799" w:type="dxa"/>
                  <w:vAlign w:val="center"/>
                </w:tcPr>
                <w:p w14:paraId="35598E2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79D3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290DA691">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676D5F11">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1ED83C01">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污泥调理池</w:t>
                  </w:r>
                </w:p>
              </w:tc>
              <w:tc>
                <w:tcPr>
                  <w:tcW w:w="5401" w:type="dxa"/>
                  <w:shd w:val="clear" w:color="auto" w:fill="auto"/>
                  <w:tcMar>
                    <w:left w:w="28" w:type="dxa"/>
                    <w:right w:w="28" w:type="dxa"/>
                  </w:tcMar>
                  <w:vAlign w:val="center"/>
                </w:tcPr>
                <w:p w14:paraId="3661E3F1">
                  <w:pPr>
                    <w:pStyle w:val="17"/>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数量：1座，尺寸：11.6m×6.6m×4.0m（地下1.75m）</w:t>
                  </w:r>
                </w:p>
                <w:p w14:paraId="1F9723E7">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主要设备：污泥泵4台。</w:t>
                  </w:r>
                </w:p>
              </w:tc>
              <w:tc>
                <w:tcPr>
                  <w:tcW w:w="799" w:type="dxa"/>
                  <w:vAlign w:val="center"/>
                </w:tcPr>
                <w:p w14:paraId="341411E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52CE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3D87C3DD">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496E6EDE">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50D2AADD">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污泥脱水机房</w:t>
                  </w:r>
                </w:p>
              </w:tc>
              <w:tc>
                <w:tcPr>
                  <w:tcW w:w="5401" w:type="dxa"/>
                  <w:shd w:val="clear" w:color="auto" w:fill="auto"/>
                  <w:tcMar>
                    <w:left w:w="28" w:type="dxa"/>
                    <w:right w:w="28" w:type="dxa"/>
                  </w:tcMar>
                  <w:vAlign w:val="center"/>
                </w:tcPr>
                <w:p w14:paraId="44B08D5E">
                  <w:pPr>
                    <w:pStyle w:val="17"/>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数量：1座，尺寸：14.3m×11.3m×6m（地上，两层）</w:t>
                  </w:r>
                </w:p>
                <w:p w14:paraId="16C83A52">
                  <w:pPr>
                    <w:pStyle w:val="17"/>
                    <w:bidi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压滤机泵：2台，规格：NM053BY01L06V，Q=6-30m/h，N=5.5kW</w:t>
                  </w:r>
                </w:p>
                <w:p w14:paraId="1265ADC5">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带式脱水机：2台，规格：DNY1000A，B=1.0m，N=1.1+0.75kW</w:t>
                  </w:r>
                </w:p>
              </w:tc>
              <w:tc>
                <w:tcPr>
                  <w:tcW w:w="799" w:type="dxa"/>
                  <w:vAlign w:val="center"/>
                </w:tcPr>
                <w:p w14:paraId="14E254B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086A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528F7AB4">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5F04C2A6">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6CE426F1">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加药间</w:t>
                  </w:r>
                </w:p>
              </w:tc>
              <w:tc>
                <w:tcPr>
                  <w:tcW w:w="5401" w:type="dxa"/>
                  <w:shd w:val="clear" w:color="auto" w:fill="auto"/>
                  <w:tcMar>
                    <w:left w:w="28" w:type="dxa"/>
                    <w:right w:w="28" w:type="dxa"/>
                  </w:tcMar>
                  <w:vAlign w:val="center"/>
                </w:tcPr>
                <w:p w14:paraId="58A50CD8">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数量：1座；尺寸：14m×7.1m×4.5m（全地上）。</w:t>
                  </w:r>
                </w:p>
              </w:tc>
              <w:tc>
                <w:tcPr>
                  <w:tcW w:w="799" w:type="dxa"/>
                  <w:vAlign w:val="center"/>
                </w:tcPr>
                <w:p w14:paraId="498C9B8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3C3D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0B5F11DD">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4F6501D2">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6FBD48E0">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鼓风机房</w:t>
                  </w:r>
                </w:p>
              </w:tc>
              <w:tc>
                <w:tcPr>
                  <w:tcW w:w="5401" w:type="dxa"/>
                  <w:shd w:val="clear" w:color="auto" w:fill="auto"/>
                  <w:tcMar>
                    <w:left w:w="28" w:type="dxa"/>
                    <w:right w:w="28" w:type="dxa"/>
                  </w:tcMar>
                  <w:vAlign w:val="center"/>
                </w:tcPr>
                <w:p w14:paraId="71072A06">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数量：1间，尺寸：19.7m×8.9m×5.55m（全地上），砖混结构，数量：1座，尺寸10.6m×8.9m=174.1</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w:t>
                  </w:r>
                </w:p>
              </w:tc>
              <w:tc>
                <w:tcPr>
                  <w:tcW w:w="799" w:type="dxa"/>
                  <w:vAlign w:val="center"/>
                </w:tcPr>
                <w:p w14:paraId="0F3FF86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7B25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73DD80BA">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6A79AD8D">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43EB36CF">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除臭设施</w:t>
                  </w:r>
                </w:p>
              </w:tc>
              <w:tc>
                <w:tcPr>
                  <w:tcW w:w="5401" w:type="dxa"/>
                  <w:shd w:val="clear" w:color="auto" w:fill="auto"/>
                  <w:tcMar>
                    <w:left w:w="28" w:type="dxa"/>
                    <w:right w:w="28" w:type="dxa"/>
                  </w:tcMar>
                  <w:vAlign w:val="center"/>
                </w:tcPr>
                <w:p w14:paraId="3D20F3E1">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生物池的缺氧段安装微生物培养箱4台，采用全过程除臭工艺</w:t>
                  </w:r>
                </w:p>
              </w:tc>
              <w:tc>
                <w:tcPr>
                  <w:tcW w:w="799" w:type="dxa"/>
                  <w:vAlign w:val="center"/>
                </w:tcPr>
                <w:p w14:paraId="6450B03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403D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24077C58">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0E689862">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66FCF5B6">
                  <w:pPr>
                    <w:pStyle w:val="17"/>
                    <w:bidi w:val="0"/>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应急池</w:t>
                  </w:r>
                </w:p>
              </w:tc>
              <w:tc>
                <w:tcPr>
                  <w:tcW w:w="5401" w:type="dxa"/>
                  <w:shd w:val="clear" w:color="auto" w:fill="auto"/>
                  <w:tcMar>
                    <w:left w:w="28" w:type="dxa"/>
                    <w:right w:w="28" w:type="dxa"/>
                  </w:tcMar>
                  <w:vAlign w:val="center"/>
                </w:tcPr>
                <w:p w14:paraId="69D0C7E4">
                  <w:pPr>
                    <w:pStyle w:val="17"/>
                    <w:bidi w:val="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位于污水处理厂南墙南侧60米处，水池为钢筋混凝土结构，无盖，结构尺寸为37m×35m×5m，池内设置两台潜污泵，两用1备（冷备库房），50</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w:t>
                  </w:r>
                  <w:r>
                    <w:rPr>
                      <w:rFonts w:hint="default" w:ascii="Times New Roman" w:hAnsi="Times New Roman" w:cs="Times New Roman"/>
                      <w:color w:val="auto"/>
                      <w:sz w:val="21"/>
                      <w:szCs w:val="21"/>
                      <w:lang w:val="en-US" w:eastAsia="zh-CN"/>
                    </w:rPr>
                    <w:t>h，扬程为8m，功率为3kW；池内隔离出20</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的水池作为进水提升泵站，泵站内设置三台潜污泵，两用一备。</w:t>
                  </w:r>
                </w:p>
              </w:tc>
              <w:tc>
                <w:tcPr>
                  <w:tcW w:w="799" w:type="dxa"/>
                  <w:vAlign w:val="center"/>
                </w:tcPr>
                <w:p w14:paraId="5C3B9B3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3201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48B3E3FF">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restart"/>
                  <w:tcMar>
                    <w:left w:w="28" w:type="dxa"/>
                    <w:right w:w="28" w:type="dxa"/>
                  </w:tcMar>
                  <w:vAlign w:val="center"/>
                </w:tcPr>
                <w:p w14:paraId="0D4B71A4">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二期现有工程</w:t>
                  </w:r>
                </w:p>
              </w:tc>
              <w:tc>
                <w:tcPr>
                  <w:tcW w:w="314" w:type="dxa"/>
                  <w:vMerge w:val="restart"/>
                  <w:shd w:val="clear" w:color="auto" w:fill="auto"/>
                  <w:tcMar>
                    <w:left w:w="28" w:type="dxa"/>
                    <w:right w:w="28" w:type="dxa"/>
                  </w:tcMar>
                  <w:vAlign w:val="center"/>
                </w:tcPr>
                <w:p w14:paraId="1EC9447B">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预处理间</w:t>
                  </w:r>
                </w:p>
              </w:tc>
              <w:tc>
                <w:tcPr>
                  <w:tcW w:w="626" w:type="dxa"/>
                  <w:gridSpan w:val="3"/>
                  <w:shd w:val="clear" w:color="auto" w:fill="auto"/>
                  <w:tcMar>
                    <w:left w:w="28" w:type="dxa"/>
                    <w:right w:w="28" w:type="dxa"/>
                  </w:tcMar>
                  <w:vAlign w:val="center"/>
                </w:tcPr>
                <w:p w14:paraId="66E07A52">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粗格栅</w:t>
                  </w:r>
                </w:p>
              </w:tc>
              <w:tc>
                <w:tcPr>
                  <w:tcW w:w="5401" w:type="dxa"/>
                  <w:shd w:val="clear" w:color="auto" w:fill="auto"/>
                  <w:tcMar>
                    <w:left w:w="28" w:type="dxa"/>
                    <w:right w:w="28" w:type="dxa"/>
                  </w:tcMar>
                  <w:vAlign w:val="center"/>
                </w:tcPr>
                <w:p w14:paraId="1ACDF821">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粗格栅</w:t>
                  </w:r>
                  <w:r>
                    <w:rPr>
                      <w:rFonts w:hint="default" w:ascii="Times New Roman" w:hAnsi="Times New Roman" w:cs="Times New Roman"/>
                      <w:color w:val="auto"/>
                      <w:sz w:val="21"/>
                      <w:szCs w:val="21"/>
                      <w:lang w:eastAsia="zh-CN"/>
                    </w:rPr>
                    <w:t>：2条，设计流量：584.4</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/h，宽度0.7m，高度3m，栅条净距20mm，安装角度75°</w:t>
                  </w:r>
                </w:p>
              </w:tc>
              <w:tc>
                <w:tcPr>
                  <w:tcW w:w="799" w:type="dxa"/>
                  <w:vAlign w:val="center"/>
                </w:tcPr>
                <w:p w14:paraId="2EBDA42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41CF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4453C8C7">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211915D3">
                  <w:pPr>
                    <w:adjustRightInd w:val="0"/>
                    <w:snapToGrid w:val="0"/>
                    <w:jc w:val="center"/>
                    <w:rPr>
                      <w:rFonts w:hint="default" w:ascii="Times New Roman" w:hAnsi="Times New Roman" w:cs="Times New Roman"/>
                      <w:color w:val="auto"/>
                      <w:sz w:val="21"/>
                      <w:szCs w:val="21"/>
                      <w:highlight w:val="none"/>
                      <w:lang w:val="en-US" w:eastAsia="zh-CN"/>
                    </w:rPr>
                  </w:pPr>
                </w:p>
              </w:tc>
              <w:tc>
                <w:tcPr>
                  <w:tcW w:w="314" w:type="dxa"/>
                  <w:vMerge w:val="continue"/>
                  <w:shd w:val="clear" w:color="auto" w:fill="auto"/>
                  <w:tcMar>
                    <w:left w:w="28" w:type="dxa"/>
                    <w:right w:w="28" w:type="dxa"/>
                  </w:tcMar>
                  <w:vAlign w:val="center"/>
                </w:tcPr>
                <w:p w14:paraId="73668FA8">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p>
              </w:tc>
              <w:tc>
                <w:tcPr>
                  <w:tcW w:w="626" w:type="dxa"/>
                  <w:gridSpan w:val="3"/>
                  <w:shd w:val="clear" w:color="auto" w:fill="auto"/>
                  <w:tcMar>
                    <w:left w:w="28" w:type="dxa"/>
                    <w:right w:w="28" w:type="dxa"/>
                  </w:tcMar>
                  <w:vAlign w:val="center"/>
                </w:tcPr>
                <w:p w14:paraId="4119185D">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进水泵房</w:t>
                  </w:r>
                </w:p>
              </w:tc>
              <w:tc>
                <w:tcPr>
                  <w:tcW w:w="5401" w:type="dxa"/>
                  <w:shd w:val="clear" w:color="auto" w:fill="auto"/>
                  <w:tcMar>
                    <w:left w:w="28" w:type="dxa"/>
                    <w:right w:w="28" w:type="dxa"/>
                  </w:tcMar>
                  <w:vAlign w:val="center"/>
                </w:tcPr>
                <w:p w14:paraId="4E9A8A63">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rPr>
                    <w:t>4台潜污泵（3用1备</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rPr>
                    <w:t>其中两台为变频运行）</w:t>
                  </w:r>
                  <w:r>
                    <w:rPr>
                      <w:rFonts w:hint="default" w:ascii="Times New Roman" w:hAnsi="Times New Roman" w:cs="Times New Roman"/>
                      <w:color w:val="auto"/>
                      <w:sz w:val="21"/>
                      <w:szCs w:val="21"/>
                      <w:lang w:val="en-US" w:eastAsia="zh-CN"/>
                    </w:rPr>
                    <w:t>，流量</w:t>
                  </w:r>
                  <w:r>
                    <w:rPr>
                      <w:rFonts w:hint="eastAsia" w:ascii="Times New Roman" w:hAnsi="Times New Roman" w:cs="Times New Roman"/>
                      <w:color w:val="auto"/>
                      <w:sz w:val="21"/>
                      <w:szCs w:val="21"/>
                      <w:lang w:val="en-US" w:eastAsia="zh-CN"/>
                    </w:rPr>
                    <w:t>为</w:t>
                  </w:r>
                  <w:r>
                    <w:rPr>
                      <w:rFonts w:hint="default" w:ascii="Times New Roman" w:hAnsi="Times New Roman" w:cs="Times New Roman"/>
                      <w:color w:val="auto"/>
                      <w:sz w:val="21"/>
                      <w:szCs w:val="21"/>
                      <w:lang w:val="en-US"/>
                    </w:rPr>
                    <w:t>150</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rPr>
                    <w:t>/h</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rPr>
                    <w:t>扬程</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rPr>
                    <w:t>7</w:t>
                  </w:r>
                  <w:r>
                    <w:rPr>
                      <w:rFonts w:hint="default" w:ascii="Times New Roman" w:hAnsi="Times New Roman" w:cs="Times New Roman"/>
                      <w:color w:val="auto"/>
                      <w:sz w:val="21"/>
                      <w:szCs w:val="21"/>
                      <w:lang w:val="en-US" w:eastAsia="zh-CN"/>
                    </w:rPr>
                    <w:t>m。</w:t>
                  </w:r>
                </w:p>
              </w:tc>
              <w:tc>
                <w:tcPr>
                  <w:tcW w:w="799" w:type="dxa"/>
                  <w:vAlign w:val="center"/>
                </w:tcPr>
                <w:p w14:paraId="5510990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39A8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26896DEB">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457A9BA4">
                  <w:pPr>
                    <w:adjustRightInd w:val="0"/>
                    <w:snapToGrid w:val="0"/>
                    <w:jc w:val="center"/>
                    <w:rPr>
                      <w:rFonts w:hint="default" w:ascii="Times New Roman" w:hAnsi="Times New Roman" w:cs="Times New Roman"/>
                      <w:color w:val="auto"/>
                      <w:sz w:val="21"/>
                      <w:szCs w:val="21"/>
                      <w:highlight w:val="none"/>
                      <w:lang w:val="en-US" w:eastAsia="zh-CN"/>
                    </w:rPr>
                  </w:pPr>
                </w:p>
              </w:tc>
              <w:tc>
                <w:tcPr>
                  <w:tcW w:w="314" w:type="dxa"/>
                  <w:vMerge w:val="continue"/>
                  <w:shd w:val="clear" w:color="auto" w:fill="auto"/>
                  <w:tcMar>
                    <w:left w:w="28" w:type="dxa"/>
                    <w:right w:w="28" w:type="dxa"/>
                  </w:tcMar>
                  <w:vAlign w:val="center"/>
                </w:tcPr>
                <w:p w14:paraId="00E3F9A0">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p>
              </w:tc>
              <w:tc>
                <w:tcPr>
                  <w:tcW w:w="626" w:type="dxa"/>
                  <w:gridSpan w:val="3"/>
                  <w:shd w:val="clear" w:color="auto" w:fill="auto"/>
                  <w:tcMar>
                    <w:left w:w="28" w:type="dxa"/>
                    <w:right w:w="28" w:type="dxa"/>
                  </w:tcMar>
                  <w:vAlign w:val="center"/>
                </w:tcPr>
                <w:p w14:paraId="58BEAC2F">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细格栅间</w:t>
                  </w:r>
                </w:p>
              </w:tc>
              <w:tc>
                <w:tcPr>
                  <w:tcW w:w="5401" w:type="dxa"/>
                  <w:shd w:val="clear" w:color="auto" w:fill="auto"/>
                  <w:tcMar>
                    <w:left w:w="28" w:type="dxa"/>
                    <w:right w:w="28" w:type="dxa"/>
                  </w:tcMar>
                  <w:vAlign w:val="center"/>
                </w:tcPr>
                <w:p w14:paraId="24352BBE">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细格栅</w:t>
                  </w:r>
                  <w:r>
                    <w:rPr>
                      <w:rFonts w:hint="default" w:ascii="Times New Roman" w:hAnsi="Times New Roman" w:cs="Times New Roman"/>
                      <w:color w:val="auto"/>
                      <w:sz w:val="21"/>
                      <w:szCs w:val="21"/>
                      <w:lang w:eastAsia="zh-CN"/>
                    </w:rPr>
                    <w:t>：2台，单台设计流量：223.45</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/h，渠道宽1000mm，格栅间隙3mm</w:t>
                  </w:r>
                </w:p>
              </w:tc>
              <w:tc>
                <w:tcPr>
                  <w:tcW w:w="799" w:type="dxa"/>
                  <w:vAlign w:val="center"/>
                </w:tcPr>
                <w:p w14:paraId="41CF7D4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4856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3DCFDAFB">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63ED582A">
                  <w:pPr>
                    <w:adjustRightInd w:val="0"/>
                    <w:snapToGrid w:val="0"/>
                    <w:jc w:val="center"/>
                    <w:rPr>
                      <w:rFonts w:hint="default" w:ascii="Times New Roman" w:hAnsi="Times New Roman" w:cs="Times New Roman"/>
                      <w:color w:val="auto"/>
                      <w:sz w:val="21"/>
                      <w:szCs w:val="21"/>
                      <w:highlight w:val="none"/>
                      <w:lang w:val="en-US" w:eastAsia="zh-CN"/>
                    </w:rPr>
                  </w:pPr>
                </w:p>
              </w:tc>
              <w:tc>
                <w:tcPr>
                  <w:tcW w:w="314" w:type="dxa"/>
                  <w:vMerge w:val="continue"/>
                  <w:shd w:val="clear" w:color="auto" w:fill="auto"/>
                  <w:tcMar>
                    <w:left w:w="28" w:type="dxa"/>
                    <w:right w:w="28" w:type="dxa"/>
                  </w:tcMar>
                  <w:vAlign w:val="center"/>
                </w:tcPr>
                <w:p w14:paraId="0A85DB9C">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p>
              </w:tc>
              <w:tc>
                <w:tcPr>
                  <w:tcW w:w="626" w:type="dxa"/>
                  <w:gridSpan w:val="3"/>
                  <w:shd w:val="clear" w:color="auto" w:fill="auto"/>
                  <w:tcMar>
                    <w:left w:w="28" w:type="dxa"/>
                    <w:right w:w="28" w:type="dxa"/>
                  </w:tcMar>
                  <w:vAlign w:val="center"/>
                </w:tcPr>
                <w:p w14:paraId="7C22D4E7">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曝气沉砂池</w:t>
                  </w:r>
                </w:p>
              </w:tc>
              <w:tc>
                <w:tcPr>
                  <w:tcW w:w="5401" w:type="dxa"/>
                  <w:shd w:val="clear" w:color="auto" w:fill="auto"/>
                  <w:tcMar>
                    <w:left w:w="28" w:type="dxa"/>
                    <w:right w:w="28" w:type="dxa"/>
                  </w:tcMar>
                  <w:vAlign w:val="center"/>
                </w:tcPr>
                <w:p w14:paraId="209D8044">
                  <w:pPr>
                    <w:pStyle w:val="6"/>
                    <w:spacing w:line="240" w:lineRule="auto"/>
                    <w:ind w:firstLine="0" w:firstLineChars="0"/>
                    <w:contextualSpacing/>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1座（分2格），水力停留时间8.5min</w:t>
                  </w:r>
                </w:p>
                <w:p w14:paraId="4E831B4D">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去除污水中的无机砂粒，通过水的旋流运动，增加了无机颗粒之间的相互碰撞与摩擦的机会，使黏附在砂粒上的有机物得以去除，把表面附着的有机物除去</w:t>
                  </w:r>
                </w:p>
              </w:tc>
              <w:tc>
                <w:tcPr>
                  <w:tcW w:w="799" w:type="dxa"/>
                  <w:vAlign w:val="center"/>
                </w:tcPr>
                <w:p w14:paraId="12108A3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04A5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2C1E7C85">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4D4CBE03">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4DEEFCBC">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生物池</w:t>
                  </w:r>
                </w:p>
              </w:tc>
              <w:tc>
                <w:tcPr>
                  <w:tcW w:w="5401" w:type="dxa"/>
                  <w:shd w:val="clear" w:color="auto" w:fill="auto"/>
                  <w:tcMar>
                    <w:left w:w="28" w:type="dxa"/>
                    <w:right w:w="28" w:type="dxa"/>
                  </w:tcMar>
                  <w:vAlign w:val="center"/>
                </w:tcPr>
                <w:p w14:paraId="5158BEB0">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1座矩形池（分2格，每格分别由5个池子组成），设计规模0.65×10</w:t>
                  </w:r>
                  <w:r>
                    <w:rPr>
                      <w:rFonts w:hint="default" w:ascii="Times New Roman" w:hAnsi="Times New Roman" w:cs="Times New Roman"/>
                      <w:color w:val="auto"/>
                      <w:sz w:val="21"/>
                      <w:szCs w:val="21"/>
                      <w:vertAlign w:val="superscript"/>
                      <w:lang w:eastAsia="zh-CN"/>
                    </w:rPr>
                    <w:t>4</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/d</w:t>
                  </w:r>
                </w:p>
              </w:tc>
              <w:tc>
                <w:tcPr>
                  <w:tcW w:w="799" w:type="dxa"/>
                  <w:vAlign w:val="center"/>
                </w:tcPr>
                <w:p w14:paraId="2536BF5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194C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072AAAB7">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0844BFFA">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7293A986">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污泥泵站</w:t>
                  </w:r>
                </w:p>
              </w:tc>
              <w:tc>
                <w:tcPr>
                  <w:tcW w:w="5401" w:type="dxa"/>
                  <w:shd w:val="clear" w:color="auto" w:fill="auto"/>
                  <w:tcMar>
                    <w:left w:w="28" w:type="dxa"/>
                    <w:right w:w="28" w:type="dxa"/>
                  </w:tcMar>
                  <w:vAlign w:val="center"/>
                </w:tcPr>
                <w:p w14:paraId="6C479DED">
                  <w:pPr>
                    <w:pStyle w:val="6"/>
                    <w:spacing w:line="240" w:lineRule="auto"/>
                    <w:ind w:firstLine="0" w:firstLineChars="0"/>
                    <w:contextualSpacing/>
                    <w:jc w:val="left"/>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4台（3用1备）回流污泥泵，单台流量110</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/h</w:t>
                  </w:r>
                </w:p>
                <w:p w14:paraId="435A4D1D">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2台（1用1备）剩余污泥泵，单台流量21</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/h</w:t>
                  </w:r>
                </w:p>
              </w:tc>
              <w:tc>
                <w:tcPr>
                  <w:tcW w:w="799" w:type="dxa"/>
                  <w:vAlign w:val="center"/>
                </w:tcPr>
                <w:p w14:paraId="581CBE8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6AD4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495AF65F">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37E4CB0C">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1C4A09F6">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二沉池</w:t>
                  </w:r>
                </w:p>
              </w:tc>
              <w:tc>
                <w:tcPr>
                  <w:tcW w:w="5401" w:type="dxa"/>
                  <w:shd w:val="clear" w:color="auto" w:fill="auto"/>
                  <w:tcMar>
                    <w:left w:w="28" w:type="dxa"/>
                    <w:right w:w="28" w:type="dxa"/>
                  </w:tcMar>
                  <w:vAlign w:val="center"/>
                </w:tcPr>
                <w:p w14:paraId="6F267705">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2座中心驱动普通辐流式二沉池，直径18m，有效水深为4.5m，设计流量223.44</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/h</w:t>
                  </w:r>
                </w:p>
              </w:tc>
              <w:tc>
                <w:tcPr>
                  <w:tcW w:w="799" w:type="dxa"/>
                  <w:vAlign w:val="center"/>
                </w:tcPr>
                <w:p w14:paraId="76B997A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49B0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101F5BA7">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7E4A2093">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5F7CD45C">
                  <w:pPr>
                    <w:pStyle w:val="17"/>
                    <w:bidi w:val="0"/>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磁混凝澄清池</w:t>
                  </w:r>
                </w:p>
              </w:tc>
              <w:tc>
                <w:tcPr>
                  <w:tcW w:w="5401" w:type="dxa"/>
                  <w:shd w:val="clear" w:color="auto" w:fill="auto"/>
                  <w:tcMar>
                    <w:left w:w="28" w:type="dxa"/>
                    <w:right w:w="28" w:type="dxa"/>
                  </w:tcMar>
                  <w:vAlign w:val="center"/>
                </w:tcPr>
                <w:p w14:paraId="70B961AF">
                  <w:pPr>
                    <w:pStyle w:val="6"/>
                    <w:spacing w:line="240" w:lineRule="auto"/>
                    <w:ind w:firstLine="0" w:firstLineChars="0"/>
                    <w:contextualSpacing/>
                    <w:jc w:val="left"/>
                    <w:rPr>
                      <w:rFonts w:hint="default" w:ascii="Times New Roman" w:hAnsi="Times New Roman" w:cs="Times New Roman"/>
                      <w:color w:val="auto"/>
                      <w:sz w:val="21"/>
                      <w:szCs w:val="21"/>
                      <w:vertAlign w:val="superscript"/>
                      <w:lang w:eastAsia="zh-CN"/>
                    </w:rPr>
                  </w:pPr>
                  <w:r>
                    <w:rPr>
                      <w:rFonts w:hint="default" w:ascii="Times New Roman" w:hAnsi="Times New Roman" w:cs="Times New Roman"/>
                      <w:color w:val="auto"/>
                      <w:sz w:val="21"/>
                      <w:szCs w:val="21"/>
                    </w:rPr>
                    <w:t>絮凝池</w:t>
                  </w:r>
                  <w:r>
                    <w:rPr>
                      <w:rFonts w:hint="default" w:ascii="Times New Roman" w:hAnsi="Times New Roman" w:cs="Times New Roman"/>
                      <w:color w:val="auto"/>
                      <w:sz w:val="21"/>
                      <w:szCs w:val="21"/>
                      <w:lang w:eastAsia="zh-CN"/>
                    </w:rPr>
                    <w:t>1座，设计流量223.44</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/h，单池容积3.5</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p>
                <w:p w14:paraId="35B8C562">
                  <w:pPr>
                    <w:pStyle w:val="6"/>
                    <w:spacing w:line="240" w:lineRule="auto"/>
                    <w:ind w:firstLine="0" w:firstLineChars="0"/>
                    <w:contextualSpacing/>
                    <w:jc w:val="left"/>
                    <w:rPr>
                      <w:rFonts w:hint="default" w:ascii="Times New Roman" w:hAnsi="Times New Roman" w:cs="Times New Roman"/>
                      <w:color w:val="auto"/>
                      <w:sz w:val="21"/>
                      <w:szCs w:val="21"/>
                      <w:vertAlign w:val="superscript"/>
                      <w:lang w:eastAsia="zh-CN"/>
                    </w:rPr>
                  </w:pPr>
                  <w:r>
                    <w:rPr>
                      <w:rFonts w:hint="default" w:ascii="Times New Roman" w:hAnsi="Times New Roman" w:cs="Times New Roman"/>
                      <w:color w:val="auto"/>
                      <w:sz w:val="21"/>
                      <w:szCs w:val="21"/>
                    </w:rPr>
                    <w:t>磁混凝池</w:t>
                  </w:r>
                  <w:r>
                    <w:rPr>
                      <w:rFonts w:hint="default" w:ascii="Times New Roman" w:hAnsi="Times New Roman" w:cs="Times New Roman"/>
                      <w:color w:val="auto"/>
                      <w:sz w:val="21"/>
                      <w:szCs w:val="21"/>
                      <w:lang w:eastAsia="zh-CN"/>
                    </w:rPr>
                    <w:t>2座，设计流量223.44</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/h，单池容积7</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p>
                <w:p w14:paraId="4D0FAE1B">
                  <w:pPr>
                    <w:pStyle w:val="6"/>
                    <w:spacing w:line="240" w:lineRule="auto"/>
                    <w:ind w:firstLine="0" w:firstLineChars="0"/>
                    <w:contextualSpacing/>
                    <w:jc w:val="left"/>
                    <w:rPr>
                      <w:rFonts w:hint="default" w:ascii="Times New Roman" w:hAnsi="Times New Roman" w:cs="Times New Roman"/>
                      <w:color w:val="auto"/>
                      <w:sz w:val="21"/>
                      <w:szCs w:val="21"/>
                      <w:vertAlign w:val="superscript"/>
                      <w:lang w:val="en-US" w:eastAsia="zh-CN"/>
                    </w:rPr>
                  </w:pPr>
                  <w:r>
                    <w:rPr>
                      <w:rFonts w:hint="default" w:ascii="Times New Roman" w:hAnsi="Times New Roman" w:cs="Times New Roman"/>
                      <w:color w:val="auto"/>
                      <w:sz w:val="21"/>
                      <w:szCs w:val="21"/>
                    </w:rPr>
                    <w:t>澄清池</w:t>
                  </w:r>
                  <w:r>
                    <w:rPr>
                      <w:rFonts w:hint="default" w:ascii="Times New Roman" w:hAnsi="Times New Roman" w:cs="Times New Roman"/>
                      <w:color w:val="auto"/>
                      <w:sz w:val="21"/>
                      <w:szCs w:val="21"/>
                      <w:lang w:eastAsia="zh-CN"/>
                    </w:rPr>
                    <w:t>采用高效沉淀池，设计流量223.44</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/h，沉淀池平面尺寸4m</w:t>
                  </w:r>
                </w:p>
              </w:tc>
              <w:tc>
                <w:tcPr>
                  <w:tcW w:w="799" w:type="dxa"/>
                  <w:vAlign w:val="center"/>
                </w:tcPr>
                <w:p w14:paraId="281E003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4F20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619CFE12">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26C2E484">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67AE96E3">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臭氧接触池及中水池</w:t>
                  </w:r>
                </w:p>
              </w:tc>
              <w:tc>
                <w:tcPr>
                  <w:tcW w:w="5401" w:type="dxa"/>
                  <w:shd w:val="clear" w:color="auto" w:fill="auto"/>
                  <w:tcMar>
                    <w:left w:w="28" w:type="dxa"/>
                    <w:right w:w="28" w:type="dxa"/>
                  </w:tcMar>
                  <w:vAlign w:val="center"/>
                </w:tcPr>
                <w:p w14:paraId="35FA48BA">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臭氧接触池和中水池合建</w:t>
                  </w:r>
                  <w:r>
                    <w:rPr>
                      <w:rFonts w:hint="default" w:ascii="Times New Roman" w:hAnsi="Times New Roman" w:cs="Times New Roman"/>
                      <w:color w:val="auto"/>
                      <w:sz w:val="21"/>
                      <w:szCs w:val="21"/>
                      <w:lang w:eastAsia="zh-CN"/>
                    </w:rPr>
                    <w:t>，设计规模0.85×104</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/d，总体平面尺寸为27×18m</w:t>
                  </w:r>
                </w:p>
              </w:tc>
              <w:tc>
                <w:tcPr>
                  <w:tcW w:w="799" w:type="dxa"/>
                  <w:vAlign w:val="center"/>
                </w:tcPr>
                <w:p w14:paraId="37DF5B58">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30F0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205ADF2D">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6CC527C8">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385698FF">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臭氧发生间</w:t>
                  </w:r>
                </w:p>
              </w:tc>
              <w:tc>
                <w:tcPr>
                  <w:tcW w:w="5401" w:type="dxa"/>
                  <w:shd w:val="clear" w:color="auto" w:fill="auto"/>
                  <w:tcMar>
                    <w:left w:w="28" w:type="dxa"/>
                    <w:right w:w="28" w:type="dxa"/>
                  </w:tcMar>
                  <w:vAlign w:val="center"/>
                </w:tcPr>
                <w:p w14:paraId="497A86A3">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2台产量为1.5kg/h的臭氧发生器</w:t>
                  </w:r>
                </w:p>
              </w:tc>
              <w:tc>
                <w:tcPr>
                  <w:tcW w:w="799" w:type="dxa"/>
                  <w:vAlign w:val="center"/>
                </w:tcPr>
                <w:p w14:paraId="5018756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0E83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6BC46C62">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71D0A030">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4BBD4740">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鼓风机房</w:t>
                  </w:r>
                </w:p>
              </w:tc>
              <w:tc>
                <w:tcPr>
                  <w:tcW w:w="5401" w:type="dxa"/>
                  <w:shd w:val="clear" w:color="auto" w:fill="auto"/>
                  <w:tcMar>
                    <w:left w:w="28" w:type="dxa"/>
                    <w:right w:w="28" w:type="dxa"/>
                  </w:tcMar>
                  <w:vAlign w:val="center"/>
                </w:tcPr>
                <w:p w14:paraId="5F4E4302">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罗茨风机共4台，3用1备</w:t>
                  </w:r>
                </w:p>
              </w:tc>
              <w:tc>
                <w:tcPr>
                  <w:tcW w:w="799" w:type="dxa"/>
                  <w:vAlign w:val="center"/>
                </w:tcPr>
                <w:p w14:paraId="062EC61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14C0D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0CCE895F">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51AC20B8">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4E9B20EA">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污泥脱水机房</w:t>
                  </w:r>
                </w:p>
              </w:tc>
              <w:tc>
                <w:tcPr>
                  <w:tcW w:w="5401" w:type="dxa"/>
                  <w:shd w:val="clear" w:color="auto" w:fill="auto"/>
                  <w:tcMar>
                    <w:left w:w="28" w:type="dxa"/>
                    <w:right w:w="28" w:type="dxa"/>
                  </w:tcMar>
                  <w:vAlign w:val="center"/>
                </w:tcPr>
                <w:p w14:paraId="45F2155D">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带式压滤机和板框式压滤机相结合2台，预留一台设备的土建安装位置，单台污泥处理量15~25</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rPr>
                    <w:t>/h。</w:t>
                  </w:r>
                </w:p>
              </w:tc>
              <w:tc>
                <w:tcPr>
                  <w:tcW w:w="799" w:type="dxa"/>
                  <w:vAlign w:val="center"/>
                </w:tcPr>
                <w:p w14:paraId="4024C82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37CF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265E538A">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08E98C28">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5ED95CC5">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综合加药间</w:t>
                  </w:r>
                </w:p>
              </w:tc>
              <w:tc>
                <w:tcPr>
                  <w:tcW w:w="5401" w:type="dxa"/>
                  <w:shd w:val="clear" w:color="auto" w:fill="auto"/>
                  <w:tcMar>
                    <w:left w:w="28" w:type="dxa"/>
                    <w:right w:w="28" w:type="dxa"/>
                  </w:tcMar>
                  <w:vAlign w:val="center"/>
                </w:tcPr>
                <w:p w14:paraId="6954378E">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设在深度处理间内</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设计流量</w:t>
                  </w:r>
                  <w:r>
                    <w:rPr>
                      <w:rFonts w:hint="default" w:ascii="Times New Roman" w:hAnsi="Times New Roman" w:cs="Times New Roman"/>
                      <w:color w:val="auto"/>
                      <w:sz w:val="21"/>
                      <w:szCs w:val="21"/>
                      <w:lang w:eastAsia="zh-CN"/>
                    </w:rPr>
                    <w:t>为446.87</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/h。</w:t>
                  </w:r>
                </w:p>
              </w:tc>
              <w:tc>
                <w:tcPr>
                  <w:tcW w:w="799" w:type="dxa"/>
                  <w:vAlign w:val="center"/>
                </w:tcPr>
                <w:p w14:paraId="2F174E4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69C3C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455CE15C">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10E7FFC7">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45591F62">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二氧化氯投加</w:t>
                  </w:r>
                </w:p>
              </w:tc>
              <w:tc>
                <w:tcPr>
                  <w:tcW w:w="5401" w:type="dxa"/>
                  <w:shd w:val="clear" w:color="auto" w:fill="auto"/>
                  <w:tcMar>
                    <w:left w:w="28" w:type="dxa"/>
                    <w:right w:w="28" w:type="dxa"/>
                  </w:tcMar>
                  <w:vAlign w:val="center"/>
                </w:tcPr>
                <w:p w14:paraId="38C220A6">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设备放在现状污水厂的加氯间内</w:t>
                  </w:r>
                  <w:r>
                    <w:rPr>
                      <w:rFonts w:hint="default" w:ascii="Times New Roman" w:hAnsi="Times New Roman" w:cs="Times New Roman"/>
                      <w:color w:val="auto"/>
                      <w:sz w:val="21"/>
                      <w:szCs w:val="21"/>
                      <w:lang w:eastAsia="zh-CN"/>
                    </w:rPr>
                    <w:t>，3台（2用1备）设计流量0.85×104</w:t>
                  </w:r>
                  <w:r>
                    <w:rPr>
                      <w:rFonts w:hint="default" w:ascii="Times New Roman" w:hAnsi="Times New Roman" w:cs="Times New Roman"/>
                      <w:color w:val="auto"/>
                      <w:sz w:val="21"/>
                      <w:szCs w:val="21"/>
                      <w:vertAlign w:val="baseline"/>
                      <w:lang w:eastAsia="zh-CN"/>
                    </w:rPr>
                    <w:t>m</w:t>
                  </w:r>
                  <w:r>
                    <w:rPr>
                      <w:rFonts w:hint="default" w:ascii="Times New Roman" w:hAnsi="Times New Roman" w:cs="Times New Roman"/>
                      <w:color w:val="auto"/>
                      <w:sz w:val="21"/>
                      <w:szCs w:val="21"/>
                      <w:vertAlign w:val="superscript"/>
                      <w:lang w:eastAsia="zh-CN"/>
                    </w:rPr>
                    <w:t>3</w:t>
                  </w:r>
                  <w:r>
                    <w:rPr>
                      <w:rFonts w:hint="default" w:ascii="Times New Roman" w:hAnsi="Times New Roman" w:cs="Times New Roman"/>
                      <w:color w:val="auto"/>
                      <w:sz w:val="21"/>
                      <w:szCs w:val="21"/>
                      <w:lang w:eastAsia="zh-CN"/>
                    </w:rPr>
                    <w:t>/d</w:t>
                  </w:r>
                </w:p>
              </w:tc>
              <w:tc>
                <w:tcPr>
                  <w:tcW w:w="799" w:type="dxa"/>
                  <w:vAlign w:val="center"/>
                </w:tcPr>
                <w:p w14:paraId="5084B37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2C74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7696E961">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0BE9956C">
                  <w:pPr>
                    <w:adjustRightInd w:val="0"/>
                    <w:snapToGrid w:val="0"/>
                    <w:jc w:val="center"/>
                    <w:rPr>
                      <w:rFonts w:hint="default" w:ascii="Times New Roman" w:hAnsi="Times New Roman" w:cs="Times New Roman"/>
                      <w:color w:val="auto"/>
                      <w:sz w:val="21"/>
                      <w:szCs w:val="21"/>
                      <w:highlight w:val="none"/>
                      <w:lang w:val="en-US" w:eastAsia="zh-CN"/>
                    </w:rPr>
                  </w:pPr>
                </w:p>
              </w:tc>
              <w:tc>
                <w:tcPr>
                  <w:tcW w:w="940" w:type="dxa"/>
                  <w:gridSpan w:val="4"/>
                  <w:shd w:val="clear" w:color="auto" w:fill="auto"/>
                  <w:tcMar>
                    <w:left w:w="28" w:type="dxa"/>
                    <w:right w:w="28" w:type="dxa"/>
                  </w:tcMar>
                  <w:vAlign w:val="center"/>
                </w:tcPr>
                <w:p w14:paraId="18CA2753">
                  <w:pPr>
                    <w:pStyle w:val="6"/>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送水泵房</w:t>
                  </w:r>
                </w:p>
              </w:tc>
              <w:tc>
                <w:tcPr>
                  <w:tcW w:w="5401" w:type="dxa"/>
                  <w:shd w:val="clear" w:color="auto" w:fill="auto"/>
                  <w:tcMar>
                    <w:left w:w="28" w:type="dxa"/>
                    <w:right w:w="28" w:type="dxa"/>
                  </w:tcMar>
                  <w:vAlign w:val="center"/>
                </w:tcPr>
                <w:p w14:paraId="35345E09">
                  <w:pPr>
                    <w:pStyle w:val="6"/>
                    <w:spacing w:line="240" w:lineRule="auto"/>
                    <w:ind w:firstLine="0" w:firstLineChars="0"/>
                    <w:contextualSpacing/>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半地下式结构，地下4.5</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rPr>
                    <w:t>，地上5.5</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rPr>
                    <w:t>，平面尺寸为9×30</w:t>
                  </w:r>
                  <w:r>
                    <w:rPr>
                      <w:rFonts w:hint="default" w:ascii="Times New Roman" w:hAnsi="Times New Roman" w:cs="Times New Roman"/>
                      <w:color w:val="auto"/>
                      <w:sz w:val="21"/>
                      <w:szCs w:val="21"/>
                      <w:lang w:eastAsia="zh-CN"/>
                    </w:rPr>
                    <w:t>m</w:t>
                  </w:r>
                  <w:r>
                    <w:rPr>
                      <w:rFonts w:hint="default" w:ascii="Times New Roman" w:hAnsi="Times New Roman" w:cs="Times New Roman"/>
                      <w:color w:val="auto"/>
                      <w:sz w:val="21"/>
                      <w:szCs w:val="21"/>
                    </w:rPr>
                    <w:t>，设置4台卧式离心泵，3用1备</w:t>
                  </w:r>
                </w:p>
              </w:tc>
              <w:tc>
                <w:tcPr>
                  <w:tcW w:w="799" w:type="dxa"/>
                  <w:vAlign w:val="center"/>
                </w:tcPr>
                <w:p w14:paraId="5F5C880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已建</w:t>
                  </w:r>
                </w:p>
              </w:tc>
            </w:tr>
            <w:tr w14:paraId="4C31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6824AC8F">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345" w:type="dxa"/>
                  <w:vMerge w:val="restart"/>
                  <w:tcMar>
                    <w:left w:w="28" w:type="dxa"/>
                    <w:right w:w="28" w:type="dxa"/>
                  </w:tcMar>
                  <w:vAlign w:val="center"/>
                </w:tcPr>
                <w:p w14:paraId="75720208">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三期新建工程</w:t>
                  </w:r>
                </w:p>
              </w:tc>
              <w:tc>
                <w:tcPr>
                  <w:tcW w:w="328" w:type="dxa"/>
                  <w:gridSpan w:val="2"/>
                  <w:vMerge w:val="restart"/>
                  <w:tcMar>
                    <w:left w:w="28" w:type="dxa"/>
                    <w:right w:w="28" w:type="dxa"/>
                  </w:tcMar>
                  <w:vAlign w:val="center"/>
                </w:tcPr>
                <w:p w14:paraId="5F2F3D6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预处理间</w:t>
                  </w:r>
                </w:p>
              </w:tc>
              <w:tc>
                <w:tcPr>
                  <w:tcW w:w="612" w:type="dxa"/>
                  <w:gridSpan w:val="2"/>
                  <w:shd w:val="clear" w:color="auto" w:fill="auto"/>
                  <w:tcMar>
                    <w:left w:w="28" w:type="dxa"/>
                    <w:right w:w="28" w:type="dxa"/>
                  </w:tcMar>
                  <w:vAlign w:val="center"/>
                </w:tcPr>
                <w:p w14:paraId="2BC10F6F">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粗格栅</w:t>
                  </w:r>
                </w:p>
              </w:tc>
              <w:tc>
                <w:tcPr>
                  <w:tcW w:w="5401" w:type="dxa"/>
                  <w:tcMar>
                    <w:left w:w="28" w:type="dxa"/>
                    <w:right w:w="28" w:type="dxa"/>
                  </w:tcMar>
                  <w:vAlign w:val="center"/>
                </w:tcPr>
                <w:p w14:paraId="6F7B103E">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平均流量：Q均＝5500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³/d</w:t>
                  </w:r>
                </w:p>
                <w:p w14:paraId="1EDCBFF4">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w:t>
                  </w:r>
                  <w:r>
                    <w:rPr>
                      <w:rFonts w:hint="default" w:ascii="Times New Roman" w:hAnsi="Times New Roman" w:cs="Times New Roman"/>
                      <w:color w:val="auto"/>
                      <w:sz w:val="21"/>
                      <w:szCs w:val="21"/>
                      <w:highlight w:val="none"/>
                      <w:lang w:eastAsia="zh-CN"/>
                    </w:rPr>
                    <w:t>钢筋混凝土</w:t>
                  </w:r>
                  <w:r>
                    <w:rPr>
                      <w:rFonts w:hint="default" w:ascii="Times New Roman" w:hAnsi="Times New Roman" w:eastAsia="宋体" w:cs="Times New Roman"/>
                      <w:color w:val="auto"/>
                      <w:sz w:val="21"/>
                      <w:szCs w:val="21"/>
                      <w:highlight w:val="none"/>
                    </w:rPr>
                    <w:t>平行渠道</w:t>
                  </w:r>
                </w:p>
                <w:p w14:paraId="44707EC2">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数量：1座，格栅渠道数2条</w:t>
                  </w:r>
                </w:p>
                <w:p w14:paraId="6B4F6A41">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单格尺寸：L×B×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=5.8×0.8×0.7</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tc>
              <w:tc>
                <w:tcPr>
                  <w:tcW w:w="799" w:type="dxa"/>
                  <w:vAlign w:val="center"/>
                </w:tcPr>
                <w:p w14:paraId="69DD26A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39B72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5A5A6957">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67E7B78F">
                  <w:pPr>
                    <w:adjustRightInd w:val="0"/>
                    <w:snapToGrid w:val="0"/>
                    <w:jc w:val="center"/>
                    <w:rPr>
                      <w:rFonts w:hint="default" w:ascii="Times New Roman" w:hAnsi="Times New Roman" w:eastAsia="宋体" w:cs="Times New Roman"/>
                      <w:color w:val="auto"/>
                      <w:sz w:val="21"/>
                      <w:szCs w:val="21"/>
                      <w:highlight w:val="none"/>
                    </w:rPr>
                  </w:pPr>
                </w:p>
              </w:tc>
              <w:tc>
                <w:tcPr>
                  <w:tcW w:w="328" w:type="dxa"/>
                  <w:gridSpan w:val="2"/>
                  <w:vMerge w:val="continue"/>
                  <w:tcMar>
                    <w:left w:w="28" w:type="dxa"/>
                    <w:right w:w="28" w:type="dxa"/>
                  </w:tcMar>
                  <w:vAlign w:val="center"/>
                </w:tcPr>
                <w:p w14:paraId="5981B22E">
                  <w:pPr>
                    <w:adjustRightInd w:val="0"/>
                    <w:snapToGrid w:val="0"/>
                    <w:jc w:val="center"/>
                    <w:rPr>
                      <w:rFonts w:hint="default" w:ascii="Times New Roman" w:hAnsi="Times New Roman" w:eastAsia="宋体" w:cs="Times New Roman"/>
                      <w:color w:val="auto"/>
                      <w:sz w:val="21"/>
                      <w:szCs w:val="21"/>
                      <w:highlight w:val="none"/>
                    </w:rPr>
                  </w:pPr>
                </w:p>
              </w:tc>
              <w:tc>
                <w:tcPr>
                  <w:tcW w:w="612" w:type="dxa"/>
                  <w:gridSpan w:val="2"/>
                  <w:shd w:val="clear" w:color="auto" w:fill="auto"/>
                  <w:tcMar>
                    <w:left w:w="28" w:type="dxa"/>
                    <w:right w:w="28" w:type="dxa"/>
                  </w:tcMar>
                  <w:vAlign w:val="center"/>
                </w:tcPr>
                <w:p w14:paraId="3664CD1C">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进水泵房</w:t>
                  </w:r>
                </w:p>
              </w:tc>
              <w:tc>
                <w:tcPr>
                  <w:tcW w:w="5401" w:type="dxa"/>
                  <w:tcMar>
                    <w:left w:w="28" w:type="dxa"/>
                    <w:right w:w="28" w:type="dxa"/>
                  </w:tcMar>
                  <w:vAlign w:val="center"/>
                </w:tcPr>
                <w:p w14:paraId="0EA3EF5B">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类型：半地下式</w:t>
                  </w:r>
                  <w:r>
                    <w:rPr>
                      <w:rFonts w:hint="default" w:ascii="Times New Roman" w:hAnsi="Times New Roman" w:cs="Times New Roman"/>
                      <w:color w:val="auto"/>
                      <w:sz w:val="21"/>
                      <w:szCs w:val="21"/>
                      <w:highlight w:val="none"/>
                      <w:lang w:eastAsia="zh-CN"/>
                    </w:rPr>
                    <w:t>钢筋混凝土</w:t>
                  </w:r>
                  <w:r>
                    <w:rPr>
                      <w:rFonts w:hint="default" w:ascii="Times New Roman" w:hAnsi="Times New Roman" w:eastAsia="宋体" w:cs="Times New Roman"/>
                      <w:color w:val="auto"/>
                      <w:sz w:val="21"/>
                      <w:szCs w:val="21"/>
                      <w:highlight w:val="none"/>
                    </w:rPr>
                    <w:t>构筑物，与粗格栅渠合建</w:t>
                  </w:r>
                </w:p>
                <w:p w14:paraId="03355DEB">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p w14:paraId="689B0F0C">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=4.6×7.1×2.75</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tc>
              <w:tc>
                <w:tcPr>
                  <w:tcW w:w="799" w:type="dxa"/>
                  <w:vAlign w:val="center"/>
                </w:tcPr>
                <w:p w14:paraId="2A8D5A30">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307C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4FE7A02B">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7D921BCA">
                  <w:pPr>
                    <w:adjustRightInd w:val="0"/>
                    <w:snapToGrid w:val="0"/>
                    <w:jc w:val="center"/>
                    <w:rPr>
                      <w:rFonts w:hint="default" w:ascii="Times New Roman" w:hAnsi="Times New Roman" w:eastAsia="宋体" w:cs="Times New Roman"/>
                      <w:color w:val="auto"/>
                      <w:sz w:val="21"/>
                      <w:szCs w:val="21"/>
                      <w:highlight w:val="none"/>
                    </w:rPr>
                  </w:pPr>
                </w:p>
              </w:tc>
              <w:tc>
                <w:tcPr>
                  <w:tcW w:w="328" w:type="dxa"/>
                  <w:gridSpan w:val="2"/>
                  <w:vMerge w:val="continue"/>
                  <w:tcMar>
                    <w:left w:w="28" w:type="dxa"/>
                    <w:right w:w="28" w:type="dxa"/>
                  </w:tcMar>
                  <w:vAlign w:val="center"/>
                </w:tcPr>
                <w:p w14:paraId="17847CCB">
                  <w:pPr>
                    <w:adjustRightInd w:val="0"/>
                    <w:snapToGrid w:val="0"/>
                    <w:jc w:val="center"/>
                    <w:rPr>
                      <w:rFonts w:hint="default" w:ascii="Times New Roman" w:hAnsi="Times New Roman" w:eastAsia="宋体" w:cs="Times New Roman"/>
                      <w:color w:val="auto"/>
                      <w:sz w:val="21"/>
                      <w:szCs w:val="21"/>
                      <w:highlight w:val="none"/>
                    </w:rPr>
                  </w:pPr>
                </w:p>
              </w:tc>
              <w:tc>
                <w:tcPr>
                  <w:tcW w:w="612" w:type="dxa"/>
                  <w:gridSpan w:val="2"/>
                  <w:shd w:val="clear" w:color="auto" w:fill="auto"/>
                  <w:tcMar>
                    <w:left w:w="28" w:type="dxa"/>
                    <w:right w:w="28" w:type="dxa"/>
                  </w:tcMar>
                  <w:vAlign w:val="center"/>
                </w:tcPr>
                <w:p w14:paraId="66862D78">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细格栅</w:t>
                  </w:r>
                </w:p>
              </w:tc>
              <w:tc>
                <w:tcPr>
                  <w:tcW w:w="5401" w:type="dxa"/>
                  <w:tcMar>
                    <w:left w:w="28" w:type="dxa"/>
                    <w:right w:w="28" w:type="dxa"/>
                  </w:tcMar>
                  <w:vAlign w:val="center"/>
                </w:tcPr>
                <w:p w14:paraId="43CFDAE8">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w:t>
                  </w:r>
                  <w:r>
                    <w:rPr>
                      <w:rFonts w:hint="default" w:ascii="Times New Roman" w:hAnsi="Times New Roman" w:cs="Times New Roman"/>
                      <w:color w:val="auto"/>
                      <w:sz w:val="21"/>
                      <w:szCs w:val="21"/>
                      <w:highlight w:val="none"/>
                      <w:lang w:eastAsia="zh-CN"/>
                    </w:rPr>
                    <w:t>钢筋混凝土</w:t>
                  </w:r>
                  <w:r>
                    <w:rPr>
                      <w:rFonts w:hint="default" w:ascii="Times New Roman" w:hAnsi="Times New Roman" w:eastAsia="宋体" w:cs="Times New Roman"/>
                      <w:color w:val="auto"/>
                      <w:sz w:val="21"/>
                      <w:szCs w:val="21"/>
                      <w:highlight w:val="none"/>
                    </w:rPr>
                    <w:t>平行渠道，与曝气沉砂池合建</w:t>
                  </w:r>
                </w:p>
                <w:p w14:paraId="7E78E389">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数量：1座，渠道数2条</w:t>
                  </w:r>
                </w:p>
                <w:p w14:paraId="54A25394">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单格尺寸：L×B×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=6.47×1.06×1.05</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tc>
              <w:tc>
                <w:tcPr>
                  <w:tcW w:w="799" w:type="dxa"/>
                  <w:vAlign w:val="center"/>
                </w:tcPr>
                <w:p w14:paraId="3A1384B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13F3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79FCDE2A">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29B5F529">
                  <w:pPr>
                    <w:adjustRightInd w:val="0"/>
                    <w:snapToGrid w:val="0"/>
                    <w:jc w:val="center"/>
                    <w:rPr>
                      <w:rFonts w:hint="default" w:ascii="Times New Roman" w:hAnsi="Times New Roman" w:eastAsia="宋体" w:cs="Times New Roman"/>
                      <w:color w:val="auto"/>
                      <w:sz w:val="21"/>
                      <w:szCs w:val="21"/>
                      <w:highlight w:val="none"/>
                    </w:rPr>
                  </w:pPr>
                </w:p>
              </w:tc>
              <w:tc>
                <w:tcPr>
                  <w:tcW w:w="328" w:type="dxa"/>
                  <w:gridSpan w:val="2"/>
                  <w:vMerge w:val="continue"/>
                  <w:tcMar>
                    <w:left w:w="28" w:type="dxa"/>
                    <w:right w:w="28" w:type="dxa"/>
                  </w:tcMar>
                  <w:vAlign w:val="center"/>
                </w:tcPr>
                <w:p w14:paraId="67B52C4E">
                  <w:pPr>
                    <w:adjustRightInd w:val="0"/>
                    <w:snapToGrid w:val="0"/>
                    <w:jc w:val="center"/>
                    <w:rPr>
                      <w:rFonts w:hint="default" w:ascii="Times New Roman" w:hAnsi="Times New Roman" w:eastAsia="宋体" w:cs="Times New Roman"/>
                      <w:color w:val="auto"/>
                      <w:sz w:val="21"/>
                      <w:szCs w:val="21"/>
                      <w:highlight w:val="none"/>
                    </w:rPr>
                  </w:pPr>
                </w:p>
              </w:tc>
              <w:tc>
                <w:tcPr>
                  <w:tcW w:w="612" w:type="dxa"/>
                  <w:gridSpan w:val="2"/>
                  <w:shd w:val="clear" w:color="auto" w:fill="auto"/>
                  <w:tcMar>
                    <w:left w:w="28" w:type="dxa"/>
                    <w:right w:w="28" w:type="dxa"/>
                  </w:tcMar>
                  <w:vAlign w:val="center"/>
                </w:tcPr>
                <w:p w14:paraId="79149C3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曝气沉砂池</w:t>
                  </w:r>
                </w:p>
              </w:tc>
              <w:tc>
                <w:tcPr>
                  <w:tcW w:w="5401" w:type="dxa"/>
                  <w:tcMar>
                    <w:left w:w="28" w:type="dxa"/>
                    <w:right w:w="28" w:type="dxa"/>
                  </w:tcMar>
                  <w:vAlign w:val="center"/>
                </w:tcPr>
                <w:p w14:paraId="4D0E563E">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类型：钢筋混凝土池，与细格栅渠合建</w:t>
                  </w:r>
                </w:p>
                <w:p w14:paraId="44A5BCFA">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数量：1座，2组</w:t>
                  </w:r>
                </w:p>
                <w:p w14:paraId="490AA92A">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单组尺寸：L×B×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=9.0×0.95×2.85</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tc>
              <w:tc>
                <w:tcPr>
                  <w:tcW w:w="799" w:type="dxa"/>
                  <w:vAlign w:val="center"/>
                </w:tcPr>
                <w:p w14:paraId="5B6F70B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65D8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5F84D7EB">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09F434AF">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940" w:type="dxa"/>
                  <w:gridSpan w:val="4"/>
                  <w:shd w:val="clear" w:color="auto" w:fill="auto"/>
                  <w:tcMar>
                    <w:left w:w="28" w:type="dxa"/>
                    <w:right w:w="28" w:type="dxa"/>
                  </w:tcMar>
                  <w:vAlign w:val="center"/>
                </w:tcPr>
                <w:p w14:paraId="1B208E2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生物池</w:t>
                  </w:r>
                </w:p>
              </w:tc>
              <w:tc>
                <w:tcPr>
                  <w:tcW w:w="5401" w:type="dxa"/>
                  <w:tcMar>
                    <w:left w:w="28" w:type="dxa"/>
                    <w:right w:w="28" w:type="dxa"/>
                  </w:tcMar>
                  <w:vAlign w:val="center"/>
                </w:tcPr>
                <w:p w14:paraId="7536B4B0">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类型：矩形钢筋混凝土池</w:t>
                  </w:r>
                </w:p>
                <w:p w14:paraId="0D4138F5">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数量</w:t>
                  </w:r>
                  <w:r>
                    <w:rPr>
                      <w:rFonts w:hint="default" w:ascii="Times New Roman" w:hAnsi="Times New Roman" w:eastAsia="宋体" w:cs="Times New Roman"/>
                      <w:color w:val="auto"/>
                      <w:sz w:val="21"/>
                      <w:szCs w:val="21"/>
                      <w:highlight w:val="none"/>
                    </w:rPr>
                    <w:t>：2座</w:t>
                  </w:r>
                </w:p>
                <w:p w14:paraId="1CBB0069">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单座尺寸：L</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=35.5</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23.9</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7.0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（其中有效水深</w:t>
                  </w:r>
                  <w:r>
                    <w:rPr>
                      <w:rFonts w:hint="default" w:ascii="Times New Roman" w:hAnsi="Times New Roman" w:cs="Times New Roman"/>
                      <w:color w:val="auto"/>
                      <w:sz w:val="21"/>
                      <w:szCs w:val="21"/>
                      <w:highlight w:val="none"/>
                      <w:lang w:eastAsia="zh-CN"/>
                    </w:rPr>
                    <w:t>为</w:t>
                  </w:r>
                  <w:r>
                    <w:rPr>
                      <w:rFonts w:hint="default" w:ascii="Times New Roman" w:hAnsi="Times New Roman" w:eastAsia="宋体" w:cs="Times New Roman"/>
                      <w:color w:val="auto"/>
                      <w:sz w:val="21"/>
                      <w:szCs w:val="21"/>
                      <w:highlight w:val="none"/>
                    </w:rPr>
                    <w:t>6.0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w:t>
                  </w:r>
                </w:p>
              </w:tc>
              <w:tc>
                <w:tcPr>
                  <w:tcW w:w="799" w:type="dxa"/>
                  <w:vAlign w:val="center"/>
                </w:tcPr>
                <w:p w14:paraId="0D3D111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5661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54A8B621">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15BE44B7">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940" w:type="dxa"/>
                  <w:gridSpan w:val="4"/>
                  <w:shd w:val="clear" w:color="auto" w:fill="auto"/>
                  <w:tcMar>
                    <w:left w:w="28" w:type="dxa"/>
                    <w:right w:w="28" w:type="dxa"/>
                  </w:tcMar>
                  <w:vAlign w:val="center"/>
                </w:tcPr>
                <w:p w14:paraId="123373A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配水集泥井</w:t>
                  </w:r>
                </w:p>
              </w:tc>
              <w:tc>
                <w:tcPr>
                  <w:tcW w:w="5401" w:type="dxa"/>
                  <w:tcMar>
                    <w:left w:w="28" w:type="dxa"/>
                    <w:right w:w="28" w:type="dxa"/>
                  </w:tcMar>
                  <w:vAlign w:val="center"/>
                </w:tcPr>
                <w:p w14:paraId="2EAE77F6">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类型：半地下式钢筋混凝土</w:t>
                  </w:r>
                </w:p>
                <w:p w14:paraId="3384954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tc>
              <w:tc>
                <w:tcPr>
                  <w:tcW w:w="799" w:type="dxa"/>
                  <w:vAlign w:val="center"/>
                </w:tcPr>
                <w:p w14:paraId="7D8187E9">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23A1D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4D3EFA28">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09549788">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940" w:type="dxa"/>
                  <w:gridSpan w:val="4"/>
                  <w:shd w:val="clear" w:color="auto" w:fill="auto"/>
                  <w:tcMar>
                    <w:left w:w="28" w:type="dxa"/>
                    <w:right w:w="28" w:type="dxa"/>
                  </w:tcMar>
                  <w:vAlign w:val="center"/>
                </w:tcPr>
                <w:p w14:paraId="60C49B6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二沉池</w:t>
                  </w:r>
                </w:p>
              </w:tc>
              <w:tc>
                <w:tcPr>
                  <w:tcW w:w="5401" w:type="dxa"/>
                  <w:tcMar>
                    <w:left w:w="28" w:type="dxa"/>
                    <w:right w:w="28" w:type="dxa"/>
                  </w:tcMar>
                  <w:vAlign w:val="center"/>
                </w:tcPr>
                <w:p w14:paraId="771018E3">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类型：半地下式</w:t>
                  </w:r>
                  <w:r>
                    <w:rPr>
                      <w:rFonts w:hint="default" w:ascii="Times New Roman" w:hAnsi="Times New Roman" w:cs="Times New Roman"/>
                      <w:color w:val="auto"/>
                      <w:sz w:val="21"/>
                      <w:szCs w:val="21"/>
                      <w:highlight w:val="none"/>
                      <w:lang w:eastAsia="zh-CN"/>
                    </w:rPr>
                    <w:t>钢筋混凝土</w:t>
                  </w:r>
                  <w:r>
                    <w:rPr>
                      <w:rFonts w:hint="default" w:ascii="Times New Roman" w:hAnsi="Times New Roman" w:eastAsia="宋体" w:cs="Times New Roman"/>
                      <w:color w:val="auto"/>
                      <w:sz w:val="21"/>
                      <w:szCs w:val="21"/>
                      <w:highlight w:val="none"/>
                    </w:rPr>
                    <w:t>圆形周进、周出辐流式沉淀池</w:t>
                  </w:r>
                </w:p>
                <w:p w14:paraId="558AD45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数量：2座</w:t>
                  </w:r>
                </w:p>
                <w:p w14:paraId="6C47BA3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表面负荷：q</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=0.67</w:t>
                  </w:r>
                  <w:r>
                    <w:rPr>
                      <w:rFonts w:hint="default" w:ascii="Times New Roman" w:hAnsi="Times New Roman" w:cs="Times New Roman"/>
                      <w:color w:val="auto"/>
                      <w:sz w:val="21"/>
                      <w:szCs w:val="21"/>
                      <w:highlight w:val="none"/>
                      <w:vertAlign w:val="baseline"/>
                      <w:lang w:eastAsia="zh-CN"/>
                    </w:rPr>
                    <w:t>m</w:t>
                  </w:r>
                  <w:r>
                    <w:rPr>
                      <w:rFonts w:hint="default" w:ascii="Times New Roman" w:hAnsi="Times New Roman"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rPr>
                    <w:t>/</w:t>
                  </w:r>
                  <w:r>
                    <w:rPr>
                      <w:rFonts w:hint="default" w:ascii="Times New Roman" w:hAnsi="Times New Roman" w:cs="Times New Roman"/>
                      <w:color w:val="auto"/>
                      <w:sz w:val="21"/>
                      <w:szCs w:val="21"/>
                      <w:highlight w:val="none"/>
                      <w:vertAlign w:val="baseline"/>
                      <w:lang w:eastAsia="zh-CN"/>
                    </w:rPr>
                    <w:t>m</w:t>
                  </w:r>
                  <w:r>
                    <w:rPr>
                      <w:rFonts w:hint="default" w:ascii="Times New Roman" w:hAnsi="Times New Roman"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rPr>
                    <w:t>·hr</w:t>
                  </w:r>
                </w:p>
                <w:p w14:paraId="0F20F32C">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单座尺寸：直径D=20</w:t>
                  </w:r>
                  <w:r>
                    <w:rPr>
                      <w:rFonts w:hint="default" w:ascii="Times New Roman" w:hAnsi="Times New Roman" w:cs="Times New Roman"/>
                      <w:color w:val="auto"/>
                      <w:sz w:val="21"/>
                      <w:szCs w:val="21"/>
                      <w:highlight w:val="none"/>
                      <w:lang w:eastAsia="zh-CN"/>
                    </w:rPr>
                    <w:t>mH</w:t>
                  </w:r>
                  <w:r>
                    <w:rPr>
                      <w:rFonts w:hint="default" w:ascii="Times New Roman" w:hAnsi="Times New Roman" w:eastAsia="宋体" w:cs="Times New Roman"/>
                      <w:color w:val="auto"/>
                      <w:sz w:val="21"/>
                      <w:szCs w:val="21"/>
                      <w:highlight w:val="none"/>
                    </w:rPr>
                    <w:t>=4.0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tc>
              <w:tc>
                <w:tcPr>
                  <w:tcW w:w="799" w:type="dxa"/>
                  <w:vAlign w:val="center"/>
                </w:tcPr>
                <w:p w14:paraId="70DF41B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3B845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4EBDF024">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5A83186A">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940" w:type="dxa"/>
                  <w:gridSpan w:val="4"/>
                  <w:shd w:val="clear" w:color="auto" w:fill="auto"/>
                  <w:tcMar>
                    <w:left w:w="28" w:type="dxa"/>
                    <w:right w:w="28" w:type="dxa"/>
                  </w:tcMar>
                  <w:vAlign w:val="center"/>
                </w:tcPr>
                <w:p w14:paraId="18BF875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提升泵池</w:t>
                  </w:r>
                </w:p>
              </w:tc>
              <w:tc>
                <w:tcPr>
                  <w:tcW w:w="5401" w:type="dxa"/>
                  <w:tcMar>
                    <w:left w:w="28" w:type="dxa"/>
                    <w:right w:w="28" w:type="dxa"/>
                  </w:tcMar>
                  <w:vAlign w:val="center"/>
                </w:tcPr>
                <w:p w14:paraId="5779F0A8">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类型：半地下式钢筋混凝土矩形</w:t>
                  </w:r>
                </w:p>
                <w:p w14:paraId="4EDED40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p w14:paraId="439A117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单座尺寸：L×B×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=6.4×5.3×4.1</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tc>
              <w:tc>
                <w:tcPr>
                  <w:tcW w:w="799" w:type="dxa"/>
                  <w:vAlign w:val="center"/>
                </w:tcPr>
                <w:p w14:paraId="65EB0271">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0D66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1BDAB06C">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4E3D2452">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940" w:type="dxa"/>
                  <w:gridSpan w:val="4"/>
                  <w:shd w:val="clear" w:color="auto" w:fill="auto"/>
                  <w:tcMar>
                    <w:left w:w="28" w:type="dxa"/>
                    <w:right w:w="28" w:type="dxa"/>
                  </w:tcMar>
                  <w:vAlign w:val="center"/>
                </w:tcPr>
                <w:p w14:paraId="330E063F">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磁混凝沉淀间</w:t>
                  </w:r>
                </w:p>
              </w:tc>
              <w:tc>
                <w:tcPr>
                  <w:tcW w:w="5401" w:type="dxa"/>
                  <w:tcMar>
                    <w:left w:w="28" w:type="dxa"/>
                    <w:right w:w="28" w:type="dxa"/>
                  </w:tcMar>
                  <w:vAlign w:val="center"/>
                </w:tcPr>
                <w:p w14:paraId="37E77A4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类型：半地下式钢筋混凝土矩形</w:t>
                  </w:r>
                </w:p>
                <w:p w14:paraId="49B0116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p w14:paraId="329D9F41">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单座尺寸：L×B×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=21.05×14.4×7.7</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（房间尺寸）</w:t>
                  </w:r>
                </w:p>
              </w:tc>
              <w:tc>
                <w:tcPr>
                  <w:tcW w:w="799" w:type="dxa"/>
                  <w:vAlign w:val="center"/>
                </w:tcPr>
                <w:p w14:paraId="0584A80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4E7E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2F161255">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12105E36">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940" w:type="dxa"/>
                  <w:gridSpan w:val="4"/>
                  <w:shd w:val="clear" w:color="auto" w:fill="auto"/>
                  <w:tcMar>
                    <w:left w:w="28" w:type="dxa"/>
                    <w:right w:w="28" w:type="dxa"/>
                  </w:tcMar>
                  <w:vAlign w:val="center"/>
                </w:tcPr>
                <w:p w14:paraId="6280D877">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V型滤池间</w:t>
                  </w:r>
                </w:p>
              </w:tc>
              <w:tc>
                <w:tcPr>
                  <w:tcW w:w="5401" w:type="dxa"/>
                  <w:tcMar>
                    <w:left w:w="28" w:type="dxa"/>
                    <w:right w:w="28" w:type="dxa"/>
                  </w:tcMar>
                  <w:vAlign w:val="center"/>
                </w:tcPr>
                <w:p w14:paraId="43AAC963">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平均流量：Q均＝14000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³/d</w:t>
                  </w:r>
                  <w:r>
                    <w:rPr>
                      <w:rFonts w:hint="default" w:ascii="Times New Roman" w:hAnsi="Times New Roman" w:cs="Times New Roman"/>
                      <w:color w:val="auto"/>
                      <w:sz w:val="21"/>
                      <w:szCs w:val="21"/>
                      <w:highlight w:val="none"/>
                      <w:lang w:eastAsia="zh-CN"/>
                    </w:rPr>
                    <w:t>（现状一期、二期工程未配套建设滤池设施，导致出水SS等关键水质指标稳定性不足。为有效保障出水水质，本次V型滤池按现状工程与本次设计总规模统一规划设计）</w:t>
                  </w:r>
                </w:p>
                <w:p w14:paraId="76D25FD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类型：滤池半地下式</w:t>
                  </w:r>
                  <w:r>
                    <w:rPr>
                      <w:rFonts w:hint="default" w:ascii="Times New Roman" w:hAnsi="Times New Roman" w:cs="Times New Roman"/>
                      <w:color w:val="auto"/>
                      <w:sz w:val="21"/>
                      <w:szCs w:val="21"/>
                      <w:highlight w:val="none"/>
                      <w:lang w:eastAsia="zh-CN"/>
                    </w:rPr>
                    <w:t>钢筋混凝土</w:t>
                  </w:r>
                  <w:r>
                    <w:rPr>
                      <w:rFonts w:hint="default" w:ascii="Times New Roman" w:hAnsi="Times New Roman" w:eastAsia="宋体" w:cs="Times New Roman"/>
                      <w:color w:val="auto"/>
                      <w:sz w:val="21"/>
                      <w:szCs w:val="21"/>
                      <w:highlight w:val="none"/>
                    </w:rPr>
                    <w:t>构筑物，设备间地上式框架结构合建</w:t>
                  </w:r>
                </w:p>
                <w:p w14:paraId="5BCE195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数量：1座，4格</w:t>
                  </w:r>
                </w:p>
              </w:tc>
              <w:tc>
                <w:tcPr>
                  <w:tcW w:w="799" w:type="dxa"/>
                  <w:vAlign w:val="center"/>
                </w:tcPr>
                <w:p w14:paraId="630C843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5569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1B6F2255">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7A71B2DA">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940" w:type="dxa"/>
                  <w:gridSpan w:val="4"/>
                  <w:shd w:val="clear" w:color="auto" w:fill="auto"/>
                  <w:tcMar>
                    <w:left w:w="28" w:type="dxa"/>
                    <w:right w:w="28" w:type="dxa"/>
                  </w:tcMar>
                  <w:vAlign w:val="center"/>
                </w:tcPr>
                <w:p w14:paraId="2A8B6CF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清水池</w:t>
                  </w:r>
                </w:p>
              </w:tc>
              <w:tc>
                <w:tcPr>
                  <w:tcW w:w="5401" w:type="dxa"/>
                  <w:tcMar>
                    <w:left w:w="28" w:type="dxa"/>
                    <w:right w:w="28" w:type="dxa"/>
                  </w:tcMar>
                  <w:vAlign w:val="center"/>
                </w:tcPr>
                <w:p w14:paraId="61FAD93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类型：地上式钢筋混凝土</w:t>
                  </w:r>
                  <w:r>
                    <w:rPr>
                      <w:rFonts w:hint="default" w:ascii="Times New Roman" w:hAnsi="Times New Roman" w:cs="Times New Roman"/>
                      <w:color w:val="auto"/>
                      <w:sz w:val="21"/>
                      <w:szCs w:val="21"/>
                      <w:highlight w:val="none"/>
                      <w:lang w:eastAsia="zh-CN"/>
                    </w:rPr>
                    <w:t>结构</w:t>
                  </w:r>
                </w:p>
                <w:p w14:paraId="3A691B5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数量：1座，2格</w:t>
                  </w:r>
                </w:p>
                <w:p w14:paraId="440E7050">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单格尺寸：L×B×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=16×12×3</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p w14:paraId="1C4B6A2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设计参数：调节体积比例：18%</w:t>
                  </w:r>
                </w:p>
                <w:p w14:paraId="2102357C">
                  <w:pPr>
                    <w:keepNext w:val="0"/>
                    <w:keepLines w:val="0"/>
                    <w:pageBreakBefore w:val="0"/>
                    <w:widowControl w:val="0"/>
                    <w:kinsoku/>
                    <w:wordWrap/>
                    <w:overflowPunct/>
                    <w:topLinePunct w:val="0"/>
                    <w:autoSpaceDE/>
                    <w:autoSpaceDN/>
                    <w:bidi w:val="0"/>
                    <w:adjustRightInd w:val="0"/>
                    <w:snapToGrid w:val="0"/>
                    <w:ind w:firstLine="1050" w:firstLineChars="5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次氯酸钠投加量：8</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g/L（有效氯）</w:t>
                  </w:r>
                </w:p>
              </w:tc>
              <w:tc>
                <w:tcPr>
                  <w:tcW w:w="799" w:type="dxa"/>
                  <w:vAlign w:val="center"/>
                </w:tcPr>
                <w:p w14:paraId="2AC81925">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2628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526624AB">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3FD2B9EB">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940" w:type="dxa"/>
                  <w:gridSpan w:val="4"/>
                  <w:shd w:val="clear" w:color="auto" w:fill="auto"/>
                  <w:tcMar>
                    <w:left w:w="28" w:type="dxa"/>
                    <w:right w:w="28" w:type="dxa"/>
                  </w:tcMar>
                  <w:vAlign w:val="center"/>
                </w:tcPr>
                <w:p w14:paraId="06C4CC48">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送水泵房</w:t>
                  </w:r>
                </w:p>
              </w:tc>
              <w:tc>
                <w:tcPr>
                  <w:tcW w:w="5401" w:type="dxa"/>
                  <w:tcMar>
                    <w:left w:w="28" w:type="dxa"/>
                    <w:right w:w="28" w:type="dxa"/>
                  </w:tcMar>
                  <w:vAlign w:val="center"/>
                </w:tcPr>
                <w:p w14:paraId="096D9DE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类型：半地下式框架结构</w:t>
                  </w:r>
                </w:p>
                <w:p w14:paraId="72DD2CF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p w14:paraId="0BD16707">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尺寸：泵房L×B×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=19.3×7.2×7.6</w:t>
                  </w:r>
                  <w:r>
                    <w:rPr>
                      <w:rFonts w:hint="default" w:ascii="Times New Roman" w:hAnsi="Times New Roman" w:cs="Times New Roman"/>
                      <w:color w:val="auto"/>
                      <w:sz w:val="21"/>
                      <w:szCs w:val="21"/>
                      <w:highlight w:val="none"/>
                      <w:lang w:eastAsia="zh-CN"/>
                    </w:rPr>
                    <w:t>m</w:t>
                  </w:r>
                </w:p>
                <w:p w14:paraId="41816F1E">
                  <w:pPr>
                    <w:keepNext w:val="0"/>
                    <w:keepLines w:val="0"/>
                    <w:pageBreakBefore w:val="0"/>
                    <w:widowControl w:val="0"/>
                    <w:kinsoku/>
                    <w:wordWrap/>
                    <w:overflowPunct/>
                    <w:topLinePunct w:val="0"/>
                    <w:autoSpaceDE/>
                    <w:autoSpaceDN/>
                    <w:bidi w:val="0"/>
                    <w:adjustRightInd w:val="0"/>
                    <w:snapToGrid w:val="0"/>
                    <w:ind w:firstLine="630" w:firstLineChars="30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设备间L×B×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=12.1×11.4×4.5</w:t>
                  </w:r>
                  <w:r>
                    <w:rPr>
                      <w:rFonts w:hint="default" w:ascii="Times New Roman" w:hAnsi="Times New Roman" w:cs="Times New Roman"/>
                      <w:color w:val="auto"/>
                      <w:sz w:val="21"/>
                      <w:szCs w:val="21"/>
                      <w:highlight w:val="none"/>
                      <w:lang w:eastAsia="zh-CN"/>
                    </w:rPr>
                    <w:t>m</w:t>
                  </w:r>
                </w:p>
              </w:tc>
              <w:tc>
                <w:tcPr>
                  <w:tcW w:w="799" w:type="dxa"/>
                  <w:vAlign w:val="center"/>
                </w:tcPr>
                <w:p w14:paraId="34E271BC">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4481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163FF614">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70A93A47">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940" w:type="dxa"/>
                  <w:gridSpan w:val="4"/>
                  <w:shd w:val="clear" w:color="auto" w:fill="auto"/>
                  <w:tcMar>
                    <w:left w:w="28" w:type="dxa"/>
                    <w:right w:w="28" w:type="dxa"/>
                  </w:tcMar>
                  <w:vAlign w:val="center"/>
                </w:tcPr>
                <w:p w14:paraId="71C3829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鼓风机房</w:t>
                  </w:r>
                </w:p>
              </w:tc>
              <w:tc>
                <w:tcPr>
                  <w:tcW w:w="5401" w:type="dxa"/>
                  <w:tcMar>
                    <w:left w:w="28" w:type="dxa"/>
                    <w:right w:w="28" w:type="dxa"/>
                  </w:tcMar>
                  <w:vAlign w:val="center"/>
                </w:tcPr>
                <w:p w14:paraId="16FE80E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功能：为污水处理提供足够的空气量</w:t>
                  </w:r>
                </w:p>
                <w:p w14:paraId="27E7EA64">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p w14:paraId="0B6441E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平面尺寸：L×B=16.6×8.5</w:t>
                  </w:r>
                  <w:r>
                    <w:rPr>
                      <w:rFonts w:hint="default" w:ascii="Times New Roman" w:hAnsi="Times New Roman" w:cs="Times New Roman"/>
                      <w:color w:val="auto"/>
                      <w:sz w:val="21"/>
                      <w:szCs w:val="21"/>
                      <w:highlight w:val="none"/>
                      <w:lang w:eastAsia="zh-CN"/>
                    </w:rPr>
                    <w:t>m</w:t>
                  </w:r>
                </w:p>
              </w:tc>
              <w:tc>
                <w:tcPr>
                  <w:tcW w:w="799" w:type="dxa"/>
                  <w:vAlign w:val="center"/>
                </w:tcPr>
                <w:p w14:paraId="5BF33CCF">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01F4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26F24C5C">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0C11D139">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940" w:type="dxa"/>
                  <w:gridSpan w:val="4"/>
                  <w:shd w:val="clear" w:color="auto" w:fill="auto"/>
                  <w:tcMar>
                    <w:left w:w="28" w:type="dxa"/>
                    <w:right w:w="28" w:type="dxa"/>
                  </w:tcMar>
                  <w:vAlign w:val="center"/>
                </w:tcPr>
                <w:p w14:paraId="25FD4C24">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贮泥池</w:t>
                  </w:r>
                </w:p>
              </w:tc>
              <w:tc>
                <w:tcPr>
                  <w:tcW w:w="5401" w:type="dxa"/>
                  <w:tcMar>
                    <w:left w:w="28" w:type="dxa"/>
                    <w:right w:w="28" w:type="dxa"/>
                  </w:tcMar>
                  <w:vAlign w:val="center"/>
                </w:tcPr>
                <w:p w14:paraId="3A3B041D">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污泥量：375</w:t>
                  </w:r>
                  <w:r>
                    <w:rPr>
                      <w:rFonts w:hint="default" w:ascii="Times New Roman" w:hAnsi="Times New Roman" w:cs="Times New Roman"/>
                      <w:color w:val="auto"/>
                      <w:sz w:val="21"/>
                      <w:szCs w:val="21"/>
                      <w:highlight w:val="none"/>
                      <w:vertAlign w:val="baseline"/>
                      <w:lang w:eastAsia="zh-CN"/>
                    </w:rPr>
                    <w:t>m</w:t>
                  </w:r>
                  <w:r>
                    <w:rPr>
                      <w:rFonts w:hint="default" w:ascii="Times New Roman" w:hAnsi="Times New Roman" w:cs="Times New Roman"/>
                      <w:color w:val="auto"/>
                      <w:sz w:val="21"/>
                      <w:szCs w:val="21"/>
                      <w:highlight w:val="none"/>
                      <w:vertAlign w:val="superscript"/>
                      <w:lang w:eastAsia="zh-CN"/>
                    </w:rPr>
                    <w:t>3</w:t>
                  </w:r>
                  <w:r>
                    <w:rPr>
                      <w:rFonts w:hint="default" w:ascii="Times New Roman" w:hAnsi="Times New Roman" w:eastAsia="宋体" w:cs="Times New Roman"/>
                      <w:color w:val="auto"/>
                      <w:sz w:val="21"/>
                      <w:szCs w:val="21"/>
                      <w:highlight w:val="none"/>
                    </w:rPr>
                    <w:t>/d</w:t>
                  </w:r>
                </w:p>
                <w:p w14:paraId="72D9BC2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w:t>
                  </w:r>
                </w:p>
                <w:p w14:paraId="10FFD581">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土建尺寸：L×B×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=7.0×7.0×4.0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（有效深度）</w:t>
                  </w:r>
                </w:p>
              </w:tc>
              <w:tc>
                <w:tcPr>
                  <w:tcW w:w="799" w:type="dxa"/>
                  <w:vAlign w:val="center"/>
                </w:tcPr>
                <w:p w14:paraId="7948E02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6A8A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1B6D0C3C">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43658A53">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940" w:type="dxa"/>
                  <w:gridSpan w:val="4"/>
                  <w:shd w:val="clear" w:color="auto" w:fill="auto"/>
                  <w:tcMar>
                    <w:left w:w="28" w:type="dxa"/>
                    <w:right w:w="28" w:type="dxa"/>
                  </w:tcMar>
                  <w:vAlign w:val="center"/>
                </w:tcPr>
                <w:p w14:paraId="7231361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污泥脱水机房</w:t>
                  </w:r>
                </w:p>
              </w:tc>
              <w:tc>
                <w:tcPr>
                  <w:tcW w:w="5401" w:type="dxa"/>
                  <w:tcMar>
                    <w:left w:w="28" w:type="dxa"/>
                    <w:right w:w="28" w:type="dxa"/>
                  </w:tcMar>
                  <w:vAlign w:val="center"/>
                </w:tcPr>
                <w:p w14:paraId="118CAC98">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污泥量：3kgDS/d</w:t>
                  </w:r>
                </w:p>
                <w:p w14:paraId="26E2AA7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类型：框架结构</w:t>
                  </w:r>
                </w:p>
                <w:p w14:paraId="4E921AF9">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数量</w:t>
                  </w:r>
                  <w:r>
                    <w:rPr>
                      <w:rFonts w:hint="default" w:ascii="Times New Roman" w:hAnsi="Times New Roman" w:eastAsia="宋体" w:cs="Times New Roman"/>
                      <w:color w:val="auto"/>
                      <w:sz w:val="21"/>
                      <w:szCs w:val="21"/>
                      <w:highlight w:val="none"/>
                    </w:rPr>
                    <w:t>：1座</w:t>
                  </w:r>
                </w:p>
                <w:p w14:paraId="2BEE5CCB">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建筑尺寸：L×B×</w:t>
                  </w:r>
                  <w:r>
                    <w:rPr>
                      <w:rFonts w:hint="default" w:ascii="Times New Roman" w:hAnsi="Times New Roman"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=28.8</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×18.2</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×15.0</w:t>
                  </w:r>
                  <w:r>
                    <w:rPr>
                      <w:rFonts w:hint="default" w:ascii="Times New Roman" w:hAnsi="Times New Roman" w:cs="Times New Roman"/>
                      <w:color w:val="auto"/>
                      <w:sz w:val="21"/>
                      <w:szCs w:val="21"/>
                      <w:highlight w:val="none"/>
                      <w:lang w:eastAsia="zh-CN"/>
                    </w:rPr>
                    <w:t>m</w:t>
                  </w:r>
                </w:p>
              </w:tc>
              <w:tc>
                <w:tcPr>
                  <w:tcW w:w="799" w:type="dxa"/>
                  <w:vAlign w:val="center"/>
                </w:tcPr>
                <w:p w14:paraId="532A9AD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新建</w:t>
                  </w:r>
                </w:p>
              </w:tc>
            </w:tr>
            <w:tr w14:paraId="2CC9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2C0725B3">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06DCEE17">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940" w:type="dxa"/>
                  <w:gridSpan w:val="4"/>
                  <w:shd w:val="clear" w:color="auto" w:fill="auto"/>
                  <w:tcMar>
                    <w:left w:w="28" w:type="dxa"/>
                    <w:right w:w="28" w:type="dxa"/>
                  </w:tcMar>
                  <w:vAlign w:val="center"/>
                </w:tcPr>
                <w:p w14:paraId="591A688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除臭系统</w:t>
                  </w:r>
                </w:p>
              </w:tc>
              <w:tc>
                <w:tcPr>
                  <w:tcW w:w="5401" w:type="dxa"/>
                  <w:shd w:val="clear" w:color="auto" w:fill="auto"/>
                  <w:tcMar>
                    <w:left w:w="28" w:type="dxa"/>
                    <w:right w:w="28" w:type="dxa"/>
                  </w:tcMar>
                  <w:vAlign w:val="center"/>
                </w:tcPr>
                <w:p w14:paraId="534C9E68">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生物池的缺氧段安装微生物培养箱4台，采用全</w:t>
                  </w:r>
                  <w:r>
                    <w:rPr>
                      <w:rFonts w:hint="default" w:ascii="Times New Roman" w:hAnsi="Times New Roman" w:cs="Times New Roman"/>
                      <w:color w:val="auto"/>
                      <w:sz w:val="21"/>
                      <w:szCs w:val="21"/>
                      <w:highlight w:val="none"/>
                      <w:lang w:val="en-US" w:eastAsia="zh-CN"/>
                    </w:rPr>
                    <w:t>过程</w:t>
                  </w:r>
                  <w:r>
                    <w:rPr>
                      <w:rFonts w:hint="default" w:ascii="Times New Roman" w:hAnsi="Times New Roman" w:eastAsia="宋体" w:cs="Times New Roman"/>
                      <w:color w:val="auto"/>
                      <w:sz w:val="21"/>
                      <w:szCs w:val="21"/>
                      <w:highlight w:val="none"/>
                      <w:lang w:val="en-US" w:eastAsia="zh-CN"/>
                    </w:rPr>
                    <w:t>除臭工艺。</w:t>
                  </w:r>
                </w:p>
              </w:tc>
              <w:tc>
                <w:tcPr>
                  <w:tcW w:w="799" w:type="dxa"/>
                  <w:shd w:val="clear" w:color="auto" w:fill="auto"/>
                  <w:vAlign w:val="center"/>
                </w:tcPr>
                <w:p w14:paraId="59673F8B">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新建</w:t>
                  </w:r>
                </w:p>
              </w:tc>
            </w:tr>
            <w:tr w14:paraId="5A1C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Mar>
                    <w:left w:w="28" w:type="dxa"/>
                    <w:right w:w="28" w:type="dxa"/>
                  </w:tcMar>
                  <w:vAlign w:val="center"/>
                </w:tcPr>
                <w:p w14:paraId="41BAFA88">
                  <w:pPr>
                    <w:adjustRightInd w:val="0"/>
                    <w:snapToGrid w:val="0"/>
                    <w:jc w:val="center"/>
                    <w:rPr>
                      <w:rFonts w:hint="default" w:ascii="Times New Roman" w:hAnsi="Times New Roman" w:eastAsia="宋体" w:cs="Times New Roman"/>
                      <w:color w:val="auto"/>
                      <w:sz w:val="21"/>
                      <w:szCs w:val="21"/>
                      <w:highlight w:val="none"/>
                    </w:rPr>
                  </w:pPr>
                </w:p>
              </w:tc>
              <w:tc>
                <w:tcPr>
                  <w:tcW w:w="345" w:type="dxa"/>
                  <w:vMerge w:val="continue"/>
                  <w:tcMar>
                    <w:left w:w="28" w:type="dxa"/>
                    <w:right w:w="28" w:type="dxa"/>
                  </w:tcMar>
                  <w:vAlign w:val="center"/>
                </w:tcPr>
                <w:p w14:paraId="15DF1B4A">
                  <w:pPr>
                    <w:adjustRightInd w:val="0"/>
                    <w:snapToGrid w:val="0"/>
                    <w:jc w:val="center"/>
                    <w:rPr>
                      <w:rFonts w:hint="default" w:ascii="Times New Roman" w:hAnsi="Times New Roman" w:eastAsia="宋体" w:cs="Times New Roman"/>
                      <w:color w:val="auto"/>
                      <w:sz w:val="21"/>
                      <w:szCs w:val="21"/>
                      <w:highlight w:val="none"/>
                      <w:lang w:eastAsia="zh-CN"/>
                    </w:rPr>
                  </w:pPr>
                </w:p>
              </w:tc>
              <w:tc>
                <w:tcPr>
                  <w:tcW w:w="940" w:type="dxa"/>
                  <w:gridSpan w:val="4"/>
                  <w:shd w:val="clear" w:color="auto" w:fill="auto"/>
                  <w:tcMar>
                    <w:left w:w="28" w:type="dxa"/>
                    <w:right w:w="28" w:type="dxa"/>
                  </w:tcMar>
                  <w:vAlign w:val="center"/>
                </w:tcPr>
                <w:p w14:paraId="0A4676A1">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加氯加药间</w:t>
                  </w:r>
                </w:p>
              </w:tc>
              <w:tc>
                <w:tcPr>
                  <w:tcW w:w="5401" w:type="dxa"/>
                  <w:shd w:val="clear" w:color="auto" w:fill="auto"/>
                  <w:tcMar>
                    <w:left w:w="28" w:type="dxa"/>
                    <w:right w:w="28" w:type="dxa"/>
                  </w:tcMar>
                  <w:vAlign w:val="center"/>
                </w:tcPr>
                <w:p w14:paraId="22228395">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类型：地上式框架结构</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用于各类药剂的存储及投加</w:t>
                  </w:r>
                </w:p>
                <w:p w14:paraId="14702C8F">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数量：1座，2格</w:t>
                  </w:r>
                </w:p>
                <w:p w14:paraId="0F6B6ED1">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尺寸：L×B×</w:t>
                  </w:r>
                  <w:r>
                    <w:rPr>
                      <w:rFonts w:hint="default" w:ascii="Times New Roman" w:hAnsi="Times New Roman" w:eastAsia="宋体" w:cs="Times New Roman"/>
                      <w:color w:val="auto"/>
                      <w:sz w:val="21"/>
                      <w:szCs w:val="21"/>
                      <w:highlight w:val="none"/>
                      <w:lang w:eastAsia="zh-CN"/>
                    </w:rPr>
                    <w:t>H</w:t>
                  </w:r>
                  <w:r>
                    <w:rPr>
                      <w:rFonts w:hint="default" w:ascii="Times New Roman" w:hAnsi="Times New Roman" w:eastAsia="宋体" w:cs="Times New Roman"/>
                      <w:color w:val="auto"/>
                      <w:sz w:val="21"/>
                      <w:szCs w:val="21"/>
                      <w:highlight w:val="none"/>
                    </w:rPr>
                    <w:t>=24.2×10×5.1</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（有效水深）</w:t>
                  </w:r>
                </w:p>
              </w:tc>
              <w:tc>
                <w:tcPr>
                  <w:tcW w:w="799" w:type="dxa"/>
                  <w:shd w:val="clear" w:color="auto" w:fill="auto"/>
                  <w:vAlign w:val="center"/>
                </w:tcPr>
                <w:p w14:paraId="05E8A89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新建</w:t>
                  </w:r>
                </w:p>
              </w:tc>
            </w:tr>
            <w:tr w14:paraId="1D69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restart"/>
                  <w:tcMar>
                    <w:left w:w="28" w:type="dxa"/>
                    <w:right w:w="28" w:type="dxa"/>
                  </w:tcMar>
                  <w:vAlign w:val="center"/>
                </w:tcPr>
                <w:p w14:paraId="626EE2D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辅助工程</w:t>
                  </w:r>
                </w:p>
              </w:tc>
              <w:tc>
                <w:tcPr>
                  <w:tcW w:w="1285" w:type="dxa"/>
                  <w:gridSpan w:val="5"/>
                  <w:tcBorders>
                    <w:top w:val="single" w:color="auto" w:sz="4" w:space="0"/>
                  </w:tcBorders>
                  <w:shd w:val="clear" w:color="auto" w:fill="auto"/>
                  <w:tcMar>
                    <w:left w:w="28" w:type="dxa"/>
                    <w:right w:w="28" w:type="dxa"/>
                  </w:tcMar>
                  <w:vAlign w:val="center"/>
                </w:tcPr>
                <w:p w14:paraId="16E5B4AB">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办公用房</w:t>
                  </w:r>
                </w:p>
              </w:tc>
              <w:tc>
                <w:tcPr>
                  <w:tcW w:w="5401" w:type="dxa"/>
                  <w:tcBorders>
                    <w:top w:val="single" w:color="auto" w:sz="4" w:space="0"/>
                  </w:tcBorders>
                  <w:shd w:val="clear" w:color="auto" w:fill="auto"/>
                  <w:tcMar>
                    <w:left w:w="28" w:type="dxa"/>
                    <w:right w:w="28" w:type="dxa"/>
                  </w:tcMar>
                  <w:vAlign w:val="center"/>
                </w:tcPr>
                <w:p w14:paraId="26B61825">
                  <w:pPr>
                    <w:adjustRightInd w:val="0"/>
                    <w:snapToGrid w:val="0"/>
                    <w:jc w:val="left"/>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位于一期工程北侧，建筑面积667.8</w:t>
                  </w:r>
                  <w:r>
                    <w:rPr>
                      <w:rFonts w:hint="default" w:ascii="Times New Roman" w:hAnsi="Times New Roman" w:cs="Times New Roman"/>
                      <w:color w:val="auto"/>
                      <w:sz w:val="21"/>
                      <w:szCs w:val="21"/>
                      <w:highlight w:val="none"/>
                      <w:vertAlign w:val="baseli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，1F</w:t>
                  </w:r>
                </w:p>
              </w:tc>
              <w:tc>
                <w:tcPr>
                  <w:tcW w:w="799" w:type="dxa"/>
                  <w:shd w:val="clear" w:color="auto" w:fill="auto"/>
                  <w:vAlign w:val="center"/>
                </w:tcPr>
                <w:p w14:paraId="6B74C7F9">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已建</w:t>
                  </w:r>
                </w:p>
              </w:tc>
            </w:tr>
            <w:tr w14:paraId="43257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47EF3235">
                  <w:pPr>
                    <w:adjustRightInd w:val="0"/>
                    <w:snapToGrid w:val="0"/>
                    <w:jc w:val="center"/>
                    <w:rPr>
                      <w:rFonts w:hint="default" w:ascii="Times New Roman" w:hAnsi="Times New Roman" w:eastAsia="宋体" w:cs="Times New Roman"/>
                      <w:color w:val="auto"/>
                      <w:sz w:val="21"/>
                      <w:szCs w:val="21"/>
                      <w:highlight w:val="none"/>
                    </w:rPr>
                  </w:pPr>
                </w:p>
              </w:tc>
              <w:tc>
                <w:tcPr>
                  <w:tcW w:w="1285" w:type="dxa"/>
                  <w:gridSpan w:val="5"/>
                  <w:tcBorders>
                    <w:top w:val="single" w:color="auto" w:sz="4" w:space="0"/>
                  </w:tcBorders>
                  <w:shd w:val="clear" w:color="auto" w:fill="auto"/>
                  <w:tcMar>
                    <w:left w:w="28" w:type="dxa"/>
                    <w:right w:w="28" w:type="dxa"/>
                  </w:tcMar>
                  <w:vAlign w:val="center"/>
                </w:tcPr>
                <w:p w14:paraId="18E8B782">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危废库</w:t>
                  </w:r>
                </w:p>
              </w:tc>
              <w:tc>
                <w:tcPr>
                  <w:tcW w:w="5401" w:type="dxa"/>
                  <w:tcBorders>
                    <w:top w:val="single" w:color="auto" w:sz="4" w:space="0"/>
                  </w:tcBorders>
                  <w:shd w:val="clear" w:color="auto" w:fill="auto"/>
                  <w:tcMar>
                    <w:left w:w="28" w:type="dxa"/>
                    <w:right w:w="28" w:type="dxa"/>
                  </w:tcMar>
                  <w:vAlign w:val="center"/>
                </w:tcPr>
                <w:p w14:paraId="27F7A928">
                  <w:pPr>
                    <w:pStyle w:val="21"/>
                    <w:ind w:left="0" w:lef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位于一期工程厂区东侧，建筑面积16m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，用于暂存污水厂实验室产生的分析废液和运营期产生的废机油。危废暂存库地面及裙脚、导流渠、集液池（0.027m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）防渗措施自下而上依次为：基础防渗层+2mm厚HDPE防渗膜+15cm抗渗C30钢筋混凝土结构+环氧树脂涂层防腐，防渗系数≤1.0×10</w:t>
                  </w:r>
                  <w:r>
                    <w:rPr>
                      <w:rFonts w:hint="default" w:ascii="Times New Roman" w:hAnsi="Times New Roman" w:cs="Times New Roman"/>
                      <w:color w:val="auto"/>
                      <w:sz w:val="21"/>
                      <w:szCs w:val="21"/>
                      <w:highlight w:val="none"/>
                      <w:vertAlign w:val="superscript"/>
                      <w:lang w:val="en-US" w:eastAsia="zh-CN"/>
                    </w:rPr>
                    <w:t>-10</w:t>
                  </w:r>
                  <w:r>
                    <w:rPr>
                      <w:rFonts w:hint="default" w:ascii="Times New Roman" w:hAnsi="Times New Roman" w:cs="Times New Roman"/>
                      <w:color w:val="auto"/>
                      <w:sz w:val="21"/>
                      <w:szCs w:val="21"/>
                      <w:highlight w:val="none"/>
                      <w:lang w:val="en-US" w:eastAsia="zh-CN"/>
                    </w:rPr>
                    <w:t>cm/s。</w:t>
                  </w:r>
                </w:p>
                <w:p w14:paraId="7F56D8D8">
                  <w:pPr>
                    <w:pStyle w:val="21"/>
                    <w:ind w:left="0" w:leftChars="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实验室分析废液定期交由通辽市轩鼎鸿泰环保科技有限公司拉运处置。</w:t>
                  </w:r>
                </w:p>
                <w:p w14:paraId="7B7CCA05">
                  <w:pPr>
                    <w:pStyle w:val="21"/>
                    <w:ind w:left="0" w:leftChars="0" w:firstLine="0" w:firstLineChars="0"/>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废矿物油定期交由鄂尔多斯市蒙鸿再生资源回收有限公司拉运处置。</w:t>
                  </w:r>
                </w:p>
              </w:tc>
              <w:tc>
                <w:tcPr>
                  <w:tcW w:w="799" w:type="dxa"/>
                  <w:shd w:val="clear" w:color="auto" w:fill="auto"/>
                  <w:vAlign w:val="center"/>
                </w:tcPr>
                <w:p w14:paraId="2FC04A98">
                  <w:pPr>
                    <w:adjustRightInd w:val="0"/>
                    <w:snapToGrid w:val="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已建</w:t>
                  </w:r>
                </w:p>
              </w:tc>
            </w:tr>
            <w:tr w14:paraId="56FB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68EFDD59">
                  <w:pPr>
                    <w:adjustRightInd w:val="0"/>
                    <w:snapToGrid w:val="0"/>
                    <w:jc w:val="center"/>
                    <w:rPr>
                      <w:rFonts w:hint="default" w:ascii="Times New Roman" w:hAnsi="Times New Roman" w:eastAsia="宋体" w:cs="Times New Roman"/>
                      <w:color w:val="auto"/>
                      <w:sz w:val="21"/>
                      <w:szCs w:val="21"/>
                      <w:highlight w:val="none"/>
                    </w:rPr>
                  </w:pPr>
                </w:p>
              </w:tc>
              <w:tc>
                <w:tcPr>
                  <w:tcW w:w="1285" w:type="dxa"/>
                  <w:gridSpan w:val="5"/>
                  <w:tcBorders>
                    <w:top w:val="single" w:color="auto" w:sz="4" w:space="0"/>
                  </w:tcBorders>
                  <w:shd w:val="clear" w:color="auto" w:fill="auto"/>
                  <w:tcMar>
                    <w:left w:w="28" w:type="dxa"/>
                    <w:right w:w="28" w:type="dxa"/>
                  </w:tcMar>
                  <w:vAlign w:val="center"/>
                </w:tcPr>
                <w:p w14:paraId="0094BD11">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在线监测室</w:t>
                  </w:r>
                </w:p>
              </w:tc>
              <w:tc>
                <w:tcPr>
                  <w:tcW w:w="5401" w:type="dxa"/>
                  <w:tcBorders>
                    <w:top w:val="single" w:color="auto" w:sz="4" w:space="0"/>
                  </w:tcBorders>
                  <w:shd w:val="clear" w:color="auto" w:fill="auto"/>
                  <w:tcMar>
                    <w:left w:w="28" w:type="dxa"/>
                    <w:right w:w="28" w:type="dxa"/>
                  </w:tcMar>
                  <w:vAlign w:val="center"/>
                </w:tcPr>
                <w:p w14:paraId="4D17503F">
                  <w:pPr>
                    <w:pStyle w:val="21"/>
                    <w:ind w:left="0" w:leftChars="0" w:firstLine="0" w:firstLineChars="0"/>
                    <w:jc w:val="left"/>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位于</w:t>
                  </w:r>
                  <w:r>
                    <w:rPr>
                      <w:rFonts w:hint="default" w:ascii="Times New Roman" w:hAnsi="Times New Roman" w:eastAsia="宋体" w:cs="Times New Roman"/>
                      <w:color w:val="auto"/>
                      <w:sz w:val="21"/>
                      <w:szCs w:val="21"/>
                      <w:highlight w:val="none"/>
                      <w:lang w:val="en-US" w:eastAsia="zh-CN"/>
                    </w:rPr>
                    <w:t>二期工程</w:t>
                  </w:r>
                  <w:r>
                    <w:rPr>
                      <w:rFonts w:hint="default" w:ascii="Times New Roman" w:hAnsi="Times New Roman" w:cs="Times New Roman"/>
                      <w:color w:val="auto"/>
                      <w:sz w:val="21"/>
                      <w:szCs w:val="21"/>
                      <w:highlight w:val="none"/>
                      <w:lang w:val="en-US" w:eastAsia="zh-CN"/>
                    </w:rPr>
                    <w:t>南侧</w:t>
                  </w:r>
                  <w:r>
                    <w:rPr>
                      <w:rFonts w:hint="default" w:ascii="Times New Roman" w:hAnsi="Times New Roman" w:eastAsia="宋体" w:cs="Times New Roman"/>
                      <w:color w:val="auto"/>
                      <w:sz w:val="21"/>
                      <w:szCs w:val="21"/>
                      <w:highlight w:val="none"/>
                      <w:lang w:val="en-US" w:eastAsia="zh-CN"/>
                    </w:rPr>
                    <w:t>，在线监测仪，包括：CODCr、TOC水质自动分析仪、N</w:t>
                  </w:r>
                  <w:r>
                    <w:rPr>
                      <w:rFonts w:hint="default" w:ascii="Times New Roman" w:hAnsi="Times New Roman" w:cs="Times New Roman"/>
                      <w:color w:val="auto"/>
                      <w:sz w:val="21"/>
                      <w:szCs w:val="21"/>
                      <w:highlight w:val="none"/>
                      <w:vertAlign w:val="baseline"/>
                      <w:lang w:val="en-US" w:eastAsia="zh-CN"/>
                    </w:rPr>
                    <w:t>H</w:t>
                  </w:r>
                  <w:r>
                    <w:rPr>
                      <w:rFonts w:hint="default" w:ascii="Times New Roman" w:hAnsi="Times New Roman" w:cs="Times New Roman"/>
                      <w:color w:val="auto"/>
                      <w:sz w:val="21"/>
                      <w:szCs w:val="21"/>
                      <w:highlight w:val="none"/>
                      <w:vertAlign w:val="subscript"/>
                      <w:lang w:val="en-US" w:eastAsia="zh-CN"/>
                    </w:rPr>
                    <w:t>3</w:t>
                  </w:r>
                  <w:r>
                    <w:rPr>
                      <w:rFonts w:hint="default" w:ascii="Times New Roman" w:hAnsi="Times New Roman" w:eastAsia="宋体" w:cs="Times New Roman"/>
                      <w:color w:val="auto"/>
                      <w:sz w:val="21"/>
                      <w:szCs w:val="21"/>
                      <w:highlight w:val="none"/>
                      <w:lang w:val="en-US" w:eastAsia="zh-CN"/>
                    </w:rPr>
                    <w:t>-N水质自动分析仪、TP水质自动分析仪、TN水质自动分析仪、p</w:t>
                  </w:r>
                  <w:r>
                    <w:rPr>
                      <w:rFonts w:hint="default" w:ascii="Times New Roman" w:hAnsi="Times New Roman"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lang w:val="en-US" w:eastAsia="zh-CN"/>
                    </w:rPr>
                    <w:t>水质自动分析仪、超声波明渠流量计、</w:t>
                  </w:r>
                  <w:r>
                    <w:rPr>
                      <w:rFonts w:hint="default" w:ascii="Times New Roman" w:hAnsi="Times New Roman" w:cs="Times New Roman"/>
                      <w:color w:val="auto"/>
                      <w:sz w:val="21"/>
                      <w:szCs w:val="21"/>
                      <w:highlight w:val="none"/>
                      <w:lang w:val="en-US" w:eastAsia="zh-CN"/>
                    </w:rPr>
                    <w:t>浊度计</w:t>
                  </w:r>
                </w:p>
              </w:tc>
              <w:tc>
                <w:tcPr>
                  <w:tcW w:w="799" w:type="dxa"/>
                  <w:shd w:val="clear" w:color="auto" w:fill="auto"/>
                  <w:vAlign w:val="center"/>
                </w:tcPr>
                <w:p w14:paraId="53E8DF60">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已建</w:t>
                  </w:r>
                </w:p>
              </w:tc>
            </w:tr>
            <w:tr w14:paraId="4BDB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54" w:type="dxa"/>
                  <w:vMerge w:val="restart"/>
                  <w:tcMar>
                    <w:left w:w="28" w:type="dxa"/>
                    <w:right w:w="28" w:type="dxa"/>
                  </w:tcMar>
                  <w:vAlign w:val="center"/>
                </w:tcPr>
                <w:p w14:paraId="2FD5EC3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w:t>
                  </w:r>
                </w:p>
                <w:p w14:paraId="6B6B6B6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1285" w:type="dxa"/>
                  <w:gridSpan w:val="5"/>
                  <w:tcMar>
                    <w:left w:w="28" w:type="dxa"/>
                    <w:right w:w="28" w:type="dxa"/>
                  </w:tcMar>
                  <w:vAlign w:val="center"/>
                </w:tcPr>
                <w:p w14:paraId="4456CCC6">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给水工程</w:t>
                  </w:r>
                </w:p>
              </w:tc>
              <w:tc>
                <w:tcPr>
                  <w:tcW w:w="5401" w:type="dxa"/>
                  <w:tcMar>
                    <w:left w:w="28" w:type="dxa"/>
                    <w:right w:w="28" w:type="dxa"/>
                  </w:tcMar>
                  <w:vAlign w:val="center"/>
                </w:tcPr>
                <w:p w14:paraId="6354FC0E">
                  <w:pPr>
                    <w:adjustRightInd w:val="0"/>
                    <w:snapToGrid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生活用水</w:t>
                  </w:r>
                  <w:r>
                    <w:rPr>
                      <w:rFonts w:hint="default" w:ascii="Times New Roman" w:hAnsi="Times New Roman" w:cs="Times New Roman"/>
                      <w:color w:val="auto"/>
                      <w:sz w:val="21"/>
                      <w:szCs w:val="21"/>
                      <w:highlight w:val="none"/>
                      <w:lang w:val="en-US" w:eastAsia="zh-CN"/>
                    </w:rPr>
                    <w:t>由市政自来水管网供给</w:t>
                  </w:r>
                </w:p>
                <w:p w14:paraId="4F5FCB92">
                  <w:pPr>
                    <w:adjustRightInd w:val="0"/>
                    <w:snapToGrid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生产用水为</w:t>
                  </w:r>
                  <w:r>
                    <w:rPr>
                      <w:rFonts w:hint="default" w:ascii="Times New Roman" w:hAnsi="Times New Roman" w:eastAsia="宋体" w:cs="Times New Roman"/>
                      <w:color w:val="auto"/>
                      <w:sz w:val="21"/>
                      <w:szCs w:val="21"/>
                      <w:highlight w:val="none"/>
                      <w:lang w:val="en-US" w:eastAsia="zh-CN"/>
                    </w:rPr>
                    <w:t>污水厂处理后的中水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污水进入V型滤池后，</w:t>
                  </w:r>
                  <w:r>
                    <w:rPr>
                      <w:rFonts w:hint="default" w:ascii="Times New Roman" w:hAnsi="Times New Roman" w:cs="Times New Roman"/>
                      <w:color w:val="auto"/>
                      <w:sz w:val="21"/>
                      <w:szCs w:val="21"/>
                      <w:highlight w:val="none"/>
                      <w:lang w:val="en-US" w:eastAsia="zh-CN"/>
                    </w:rPr>
                    <w:t>与</w:t>
                  </w:r>
                  <w:r>
                    <w:rPr>
                      <w:rFonts w:hint="default" w:ascii="Times New Roman" w:hAnsi="Times New Roman" w:eastAsia="宋体" w:cs="Times New Roman"/>
                      <w:color w:val="auto"/>
                      <w:sz w:val="21"/>
                      <w:szCs w:val="21"/>
                      <w:highlight w:val="none"/>
                      <w:lang w:val="en-US" w:eastAsia="zh-CN"/>
                    </w:rPr>
                    <w:t>全厂一期、二期、三期的中水混合后统一利用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cs="Times New Roman"/>
                      <w:color w:val="auto"/>
                      <w:sz w:val="21"/>
                      <w:szCs w:val="21"/>
                      <w:highlight w:val="none"/>
                      <w:lang w:eastAsia="zh-CN"/>
                    </w:rPr>
                    <w:t>。</w:t>
                  </w:r>
                </w:p>
              </w:tc>
              <w:tc>
                <w:tcPr>
                  <w:tcW w:w="799" w:type="dxa"/>
                  <w:vAlign w:val="center"/>
                </w:tcPr>
                <w:p w14:paraId="24965413">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8AAD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6FB30374">
                  <w:pPr>
                    <w:adjustRightInd w:val="0"/>
                    <w:snapToGrid w:val="0"/>
                    <w:jc w:val="center"/>
                    <w:rPr>
                      <w:rFonts w:hint="default" w:ascii="Times New Roman" w:hAnsi="Times New Roman" w:eastAsia="宋体" w:cs="Times New Roman"/>
                      <w:color w:val="auto"/>
                      <w:sz w:val="21"/>
                      <w:szCs w:val="21"/>
                      <w:highlight w:val="none"/>
                    </w:rPr>
                  </w:pPr>
                </w:p>
              </w:tc>
              <w:tc>
                <w:tcPr>
                  <w:tcW w:w="1285" w:type="dxa"/>
                  <w:gridSpan w:val="5"/>
                  <w:tcMar>
                    <w:left w:w="28" w:type="dxa"/>
                    <w:right w:w="28" w:type="dxa"/>
                  </w:tcMar>
                  <w:vAlign w:val="center"/>
                </w:tcPr>
                <w:p w14:paraId="70B718F2">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排水工程</w:t>
                  </w:r>
                </w:p>
              </w:tc>
              <w:tc>
                <w:tcPr>
                  <w:tcW w:w="5401" w:type="dxa"/>
                  <w:tcMar>
                    <w:left w:w="28" w:type="dxa"/>
                    <w:right w:w="28" w:type="dxa"/>
                  </w:tcMar>
                  <w:vAlign w:val="center"/>
                </w:tcPr>
                <w:p w14:paraId="7EEABDB1">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生活污水排入本项目污水处理系统</w:t>
                  </w:r>
                  <w:r>
                    <w:rPr>
                      <w:rFonts w:hint="default" w:ascii="Times New Roman" w:hAnsi="Times New Roman" w:eastAsia="宋体" w:cs="Times New Roman"/>
                      <w:color w:val="auto"/>
                      <w:sz w:val="21"/>
                      <w:szCs w:val="21"/>
                      <w:highlight w:val="none"/>
                    </w:rPr>
                    <w:t>；</w:t>
                  </w:r>
                </w:p>
                <w:p w14:paraId="59FBA83F">
                  <w:pPr>
                    <w:adjustRightInd w:val="0"/>
                    <w:snapToGrid w:val="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lang w:val="en-US" w:eastAsia="zh-CN"/>
                    </w:rPr>
                    <w:t>废水进入污水厂污水井，不外排</w:t>
                  </w:r>
                </w:p>
              </w:tc>
              <w:tc>
                <w:tcPr>
                  <w:tcW w:w="799" w:type="dxa"/>
                  <w:vAlign w:val="center"/>
                </w:tcPr>
                <w:p w14:paraId="24EAB8EF">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138E1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4A77AC41">
                  <w:pPr>
                    <w:adjustRightInd w:val="0"/>
                    <w:snapToGrid w:val="0"/>
                    <w:jc w:val="center"/>
                    <w:rPr>
                      <w:rFonts w:hint="default" w:ascii="Times New Roman" w:hAnsi="Times New Roman" w:eastAsia="宋体" w:cs="Times New Roman"/>
                      <w:color w:val="auto"/>
                      <w:sz w:val="21"/>
                      <w:szCs w:val="21"/>
                      <w:highlight w:val="none"/>
                    </w:rPr>
                  </w:pPr>
                </w:p>
              </w:tc>
              <w:tc>
                <w:tcPr>
                  <w:tcW w:w="1285" w:type="dxa"/>
                  <w:gridSpan w:val="5"/>
                  <w:tcMar>
                    <w:left w:w="28" w:type="dxa"/>
                    <w:right w:w="28" w:type="dxa"/>
                  </w:tcMar>
                  <w:vAlign w:val="center"/>
                </w:tcPr>
                <w:p w14:paraId="01816A8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供电工程</w:t>
                  </w:r>
                </w:p>
              </w:tc>
              <w:tc>
                <w:tcPr>
                  <w:tcW w:w="5401" w:type="dxa"/>
                  <w:tcMar>
                    <w:left w:w="28" w:type="dxa"/>
                    <w:right w:w="28" w:type="dxa"/>
                  </w:tcMar>
                  <w:vAlign w:val="center"/>
                </w:tcPr>
                <w:p w14:paraId="60DA5C52">
                  <w:pPr>
                    <w:adjustRightInd w:val="0"/>
                    <w:snapToGrid w:val="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由市政</w:t>
                  </w:r>
                  <w:r>
                    <w:rPr>
                      <w:rFonts w:hint="default" w:ascii="Times New Roman" w:hAnsi="Times New Roman" w:eastAsia="宋体" w:cs="Times New Roman"/>
                      <w:color w:val="auto"/>
                      <w:sz w:val="21"/>
                      <w:szCs w:val="21"/>
                      <w:highlight w:val="none"/>
                    </w:rPr>
                    <w:t>电网供给</w:t>
                  </w:r>
                </w:p>
              </w:tc>
              <w:tc>
                <w:tcPr>
                  <w:tcW w:w="799" w:type="dxa"/>
                  <w:vAlign w:val="center"/>
                </w:tcPr>
                <w:p w14:paraId="36E61D1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AABF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43244287">
                  <w:pPr>
                    <w:adjustRightInd w:val="0"/>
                    <w:snapToGrid w:val="0"/>
                    <w:jc w:val="center"/>
                    <w:rPr>
                      <w:rFonts w:hint="default" w:ascii="Times New Roman" w:hAnsi="Times New Roman" w:eastAsia="宋体" w:cs="Times New Roman"/>
                      <w:color w:val="auto"/>
                      <w:sz w:val="21"/>
                      <w:szCs w:val="21"/>
                      <w:highlight w:val="none"/>
                    </w:rPr>
                  </w:pPr>
                </w:p>
              </w:tc>
              <w:tc>
                <w:tcPr>
                  <w:tcW w:w="1285" w:type="dxa"/>
                  <w:gridSpan w:val="5"/>
                  <w:tcMar>
                    <w:left w:w="28" w:type="dxa"/>
                    <w:right w:w="28" w:type="dxa"/>
                  </w:tcMar>
                  <w:vAlign w:val="center"/>
                </w:tcPr>
                <w:p w14:paraId="6CE8950A">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供暖工程</w:t>
                  </w:r>
                </w:p>
              </w:tc>
              <w:tc>
                <w:tcPr>
                  <w:tcW w:w="5401" w:type="dxa"/>
                  <w:tcMar>
                    <w:left w:w="28" w:type="dxa"/>
                    <w:right w:w="28" w:type="dxa"/>
                  </w:tcMar>
                  <w:vAlign w:val="center"/>
                </w:tcPr>
                <w:p w14:paraId="58C6BEF7">
                  <w:pPr>
                    <w:adjustRightInd w:val="0"/>
                    <w:snapToGrid w:val="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本项目为市政集中</w:t>
                  </w:r>
                  <w:r>
                    <w:rPr>
                      <w:rFonts w:hint="default" w:ascii="Times New Roman" w:hAnsi="Times New Roman" w:eastAsia="宋体" w:cs="Times New Roman"/>
                      <w:color w:val="auto"/>
                      <w:sz w:val="21"/>
                      <w:szCs w:val="21"/>
                      <w:highlight w:val="none"/>
                      <w:lang w:eastAsia="zh-CN"/>
                    </w:rPr>
                    <w:t>供暖</w:t>
                  </w:r>
                </w:p>
              </w:tc>
              <w:tc>
                <w:tcPr>
                  <w:tcW w:w="799" w:type="dxa"/>
                  <w:vAlign w:val="center"/>
                </w:tcPr>
                <w:p w14:paraId="51E2834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3C2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restart"/>
                  <w:tcMar>
                    <w:left w:w="28" w:type="dxa"/>
                    <w:right w:w="28" w:type="dxa"/>
                  </w:tcMar>
                  <w:vAlign w:val="center"/>
                </w:tcPr>
                <w:p w14:paraId="00121D4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w:t>
                  </w:r>
                </w:p>
                <w:p w14:paraId="3155DF8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w:t>
                  </w:r>
                </w:p>
              </w:tc>
              <w:tc>
                <w:tcPr>
                  <w:tcW w:w="1285" w:type="dxa"/>
                  <w:gridSpan w:val="5"/>
                  <w:tcMar>
                    <w:left w:w="28" w:type="dxa"/>
                    <w:right w:w="28" w:type="dxa"/>
                  </w:tcMar>
                  <w:vAlign w:val="center"/>
                </w:tcPr>
                <w:p w14:paraId="7172CED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w:t>
                  </w:r>
                </w:p>
              </w:tc>
              <w:tc>
                <w:tcPr>
                  <w:tcW w:w="5401" w:type="dxa"/>
                  <w:tcMar>
                    <w:left w:w="28" w:type="dxa"/>
                    <w:right w:w="28" w:type="dxa"/>
                  </w:tcMar>
                  <w:vAlign w:val="center"/>
                </w:tcPr>
                <w:p w14:paraId="0AD873F9">
                  <w:pPr>
                    <w:adjustRightInd w:val="0"/>
                    <w:snapToGrid w:val="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对产生恶臭气体的格栅、生化池、污泥脱水等工序布置于全封闭厂房内，并在生物池的缺氧段安装微生物培养箱，</w:t>
                  </w:r>
                  <w:r>
                    <w:rPr>
                      <w:rFonts w:hint="default" w:ascii="Times New Roman" w:hAnsi="Times New Roman" w:cs="Times New Roman"/>
                      <w:color w:val="auto"/>
                      <w:sz w:val="21"/>
                      <w:szCs w:val="21"/>
                      <w:highlight w:val="none"/>
                      <w:lang w:val="en-US" w:eastAsia="zh-CN"/>
                    </w:rPr>
                    <w:t>可实现</w:t>
                  </w:r>
                  <w:r>
                    <w:rPr>
                      <w:rFonts w:hint="default" w:ascii="Times New Roman" w:hAnsi="Times New Roman" w:eastAsia="宋体" w:cs="Times New Roman"/>
                      <w:color w:val="auto"/>
                      <w:sz w:val="21"/>
                      <w:szCs w:val="21"/>
                      <w:highlight w:val="none"/>
                      <w:lang w:val="en-US" w:eastAsia="zh-CN"/>
                    </w:rPr>
                    <w:t>全</w:t>
                  </w:r>
                  <w:r>
                    <w:rPr>
                      <w:rFonts w:hint="default" w:ascii="Times New Roman" w:hAnsi="Times New Roman" w:cs="Times New Roman"/>
                      <w:color w:val="auto"/>
                      <w:sz w:val="21"/>
                      <w:szCs w:val="21"/>
                      <w:highlight w:val="none"/>
                      <w:lang w:val="en-US" w:eastAsia="zh-CN"/>
                    </w:rPr>
                    <w:t>过程</w:t>
                  </w:r>
                  <w:r>
                    <w:rPr>
                      <w:rFonts w:hint="default" w:ascii="Times New Roman" w:hAnsi="Times New Roman" w:eastAsia="宋体" w:cs="Times New Roman"/>
                      <w:color w:val="auto"/>
                      <w:sz w:val="21"/>
                      <w:szCs w:val="21"/>
                      <w:highlight w:val="none"/>
                      <w:lang w:val="en-US" w:eastAsia="zh-CN"/>
                    </w:rPr>
                    <w:t>除臭。</w:t>
                  </w:r>
                </w:p>
              </w:tc>
              <w:tc>
                <w:tcPr>
                  <w:tcW w:w="799" w:type="dxa"/>
                  <w:vAlign w:val="center"/>
                </w:tcPr>
                <w:p w14:paraId="16DC7D15">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662C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64E031F5">
                  <w:pPr>
                    <w:adjustRightInd w:val="0"/>
                    <w:snapToGrid w:val="0"/>
                    <w:jc w:val="center"/>
                    <w:rPr>
                      <w:rFonts w:hint="default" w:ascii="Times New Roman" w:hAnsi="Times New Roman" w:eastAsia="宋体" w:cs="Times New Roman"/>
                      <w:color w:val="auto"/>
                      <w:sz w:val="21"/>
                      <w:szCs w:val="21"/>
                      <w:highlight w:val="none"/>
                    </w:rPr>
                  </w:pPr>
                </w:p>
              </w:tc>
              <w:tc>
                <w:tcPr>
                  <w:tcW w:w="1285" w:type="dxa"/>
                  <w:gridSpan w:val="5"/>
                  <w:tcMar>
                    <w:left w:w="28" w:type="dxa"/>
                    <w:right w:w="28" w:type="dxa"/>
                  </w:tcMar>
                  <w:vAlign w:val="center"/>
                </w:tcPr>
                <w:p w14:paraId="25F50F8D">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5401" w:type="dxa"/>
                  <w:tcMar>
                    <w:left w:w="28" w:type="dxa"/>
                    <w:right w:w="28" w:type="dxa"/>
                  </w:tcMar>
                  <w:vAlign w:val="center"/>
                </w:tcPr>
                <w:p w14:paraId="53D8F236">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生活污水排入本项目污水处理系统</w:t>
                  </w:r>
                  <w:r>
                    <w:rPr>
                      <w:rFonts w:hint="default" w:ascii="Times New Roman" w:hAnsi="Times New Roman" w:eastAsia="宋体" w:cs="Times New Roman"/>
                      <w:color w:val="auto"/>
                      <w:sz w:val="21"/>
                      <w:szCs w:val="21"/>
                      <w:highlight w:val="none"/>
                    </w:rPr>
                    <w:t>；</w:t>
                  </w:r>
                </w:p>
                <w:p w14:paraId="38F8C420">
                  <w:pPr>
                    <w:adjustRightInd w:val="0"/>
                    <w:snapToGrid w:val="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本项目污水处理厂处理后的中水全部实现再生利用（即污水回用）。</w:t>
                  </w:r>
                </w:p>
                <w:p w14:paraId="2F4926C7">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本项目一二期现状处理能力为8500t/d，其中3000t/a送往处于试运行阶段的杭锦旗锡尼镇污水处理厂尾水水质净化工程，其余5500t统筹用于园林绿化、鄂尔多斯市新能源产业示范区企业及内蒙古能源发电杭锦发电有限公司工业用水。本次三期建设工程建成后全厂处理中水能力为14000t/d，届时，尾水水质净化工程已完成验收正式运行，其中原一二期的3000</w:t>
                  </w:r>
                  <w:r>
                    <w:rPr>
                      <w:rFonts w:hint="eastAsia" w:cs="Times New Roman"/>
                      <w:color w:val="auto"/>
                      <w:sz w:val="21"/>
                      <w:szCs w:val="21"/>
                      <w:highlight w:val="none"/>
                      <w:lang w:val="en-US" w:eastAsia="zh-CN"/>
                    </w:rPr>
                    <w:t>吨</w:t>
                  </w:r>
                  <w:r>
                    <w:rPr>
                      <w:rFonts w:hint="default" w:ascii="Times New Roman" w:hAnsi="Times New Roman" w:cs="Times New Roman"/>
                      <w:color w:val="auto"/>
                      <w:sz w:val="21"/>
                      <w:szCs w:val="21"/>
                      <w:highlight w:val="none"/>
                      <w:lang w:val="en-US" w:eastAsia="zh-CN"/>
                    </w:rPr>
                    <w:t>及本次新增的5500</w:t>
                  </w:r>
                  <w:r>
                    <w:rPr>
                      <w:rFonts w:hint="eastAsia" w:cs="Times New Roman"/>
                      <w:color w:val="auto"/>
                      <w:sz w:val="21"/>
                      <w:szCs w:val="21"/>
                      <w:highlight w:val="none"/>
                      <w:lang w:val="en-US" w:eastAsia="zh-CN"/>
                    </w:rPr>
                    <w:t>吨</w:t>
                  </w:r>
                  <w:r>
                    <w:rPr>
                      <w:rFonts w:hint="default" w:ascii="Times New Roman" w:hAnsi="Times New Roman" w:cs="Times New Roman"/>
                      <w:color w:val="auto"/>
                      <w:sz w:val="21"/>
                      <w:szCs w:val="21"/>
                      <w:highlight w:val="none"/>
                      <w:lang w:val="en-US" w:eastAsia="zh-CN"/>
                    </w:rPr>
                    <w:t>排入杭锦旗锡尼镇污水处理厂尾水水质净化工程进行深度处理，处理达标后用于周边企业回用及陶赖沟生态补水。其余5500</w:t>
                  </w:r>
                  <w:r>
                    <w:rPr>
                      <w:rFonts w:hint="eastAsia" w:cs="Times New Roman"/>
                      <w:color w:val="auto"/>
                      <w:sz w:val="21"/>
                      <w:szCs w:val="21"/>
                      <w:highlight w:val="none"/>
                      <w:lang w:val="en-US" w:eastAsia="zh-CN"/>
                    </w:rPr>
                    <w:t>吨</w:t>
                  </w:r>
                  <w:r>
                    <w:rPr>
                      <w:rFonts w:hint="default" w:ascii="Times New Roman" w:hAnsi="Times New Roman" w:cs="Times New Roman"/>
                      <w:color w:val="auto"/>
                      <w:sz w:val="21"/>
                      <w:szCs w:val="21"/>
                      <w:highlight w:val="none"/>
                      <w:lang w:val="en-US" w:eastAsia="zh-CN"/>
                    </w:rPr>
                    <w:t>统筹用于园林绿化、鄂尔多斯市新能源产业示范区企业及内蒙古能源发电杭锦发电有限公司工业用水，不外排。</w:t>
                  </w:r>
                </w:p>
              </w:tc>
              <w:tc>
                <w:tcPr>
                  <w:tcW w:w="799" w:type="dxa"/>
                  <w:vAlign w:val="center"/>
                </w:tcPr>
                <w:p w14:paraId="457555C8">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F01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5035E359">
                  <w:pPr>
                    <w:adjustRightInd w:val="0"/>
                    <w:snapToGrid w:val="0"/>
                    <w:jc w:val="center"/>
                    <w:rPr>
                      <w:rFonts w:hint="default" w:ascii="Times New Roman" w:hAnsi="Times New Roman" w:eastAsia="宋体" w:cs="Times New Roman"/>
                      <w:color w:val="auto"/>
                      <w:sz w:val="21"/>
                      <w:szCs w:val="21"/>
                      <w:highlight w:val="none"/>
                    </w:rPr>
                  </w:pPr>
                </w:p>
              </w:tc>
              <w:tc>
                <w:tcPr>
                  <w:tcW w:w="1285" w:type="dxa"/>
                  <w:gridSpan w:val="5"/>
                  <w:tcMar>
                    <w:left w:w="28" w:type="dxa"/>
                    <w:right w:w="28" w:type="dxa"/>
                  </w:tcMar>
                  <w:vAlign w:val="center"/>
                </w:tcPr>
                <w:p w14:paraId="2C612E3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w:t>
                  </w:r>
                </w:p>
              </w:tc>
              <w:tc>
                <w:tcPr>
                  <w:tcW w:w="5401" w:type="dxa"/>
                  <w:tcMar>
                    <w:left w:w="28" w:type="dxa"/>
                    <w:right w:w="28" w:type="dxa"/>
                  </w:tcMar>
                  <w:vAlign w:val="center"/>
                </w:tcPr>
                <w:p w14:paraId="7FDF695C">
                  <w:pPr>
                    <w:adjustRightInd w:val="0"/>
                    <w:snapToGrid w:val="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项目运行过程中产生的</w:t>
                  </w:r>
                  <w:r>
                    <w:rPr>
                      <w:rFonts w:hint="default" w:ascii="Times New Roman" w:hAnsi="Times New Roman" w:eastAsia="宋体" w:cs="Times New Roman"/>
                      <w:color w:val="auto"/>
                      <w:sz w:val="21"/>
                      <w:szCs w:val="21"/>
                      <w:highlight w:val="none"/>
                      <w:lang w:eastAsia="zh-CN"/>
                    </w:rPr>
                    <w:t>栅渣、沉砂、</w:t>
                  </w:r>
                  <w:r>
                    <w:rPr>
                      <w:rFonts w:hint="default" w:ascii="Times New Roman" w:hAnsi="Times New Roman" w:eastAsia="宋体" w:cs="Times New Roman"/>
                      <w:color w:val="auto"/>
                      <w:sz w:val="21"/>
                      <w:szCs w:val="21"/>
                      <w:highlight w:val="none"/>
                      <w:lang w:val="en-US" w:eastAsia="zh-CN"/>
                    </w:rPr>
                    <w:t>脱水污泥</w:t>
                  </w:r>
                  <w:r>
                    <w:rPr>
                      <w:rFonts w:hint="default" w:ascii="Times New Roman" w:hAnsi="Times New Roman" w:eastAsia="宋体" w:cs="Times New Roman"/>
                      <w:color w:val="auto"/>
                      <w:sz w:val="21"/>
                      <w:szCs w:val="21"/>
                      <w:highlight w:val="none"/>
                      <w:lang w:eastAsia="zh-CN"/>
                    </w:rPr>
                    <w:t>集中收集</w:t>
                  </w:r>
                  <w:r>
                    <w:rPr>
                      <w:rFonts w:hint="default" w:ascii="Times New Roman" w:hAnsi="Times New Roman" w:eastAsia="宋体" w:cs="Times New Roman"/>
                      <w:color w:val="auto"/>
                      <w:sz w:val="21"/>
                      <w:szCs w:val="21"/>
                      <w:highlight w:val="none"/>
                      <w:lang w:val="en-US" w:eastAsia="zh-CN"/>
                    </w:rPr>
                    <w:t>后</w:t>
                  </w:r>
                  <w:r>
                    <w:rPr>
                      <w:rFonts w:hint="default" w:ascii="Times New Roman" w:hAnsi="Times New Roman" w:cs="Times New Roman"/>
                      <w:color w:val="auto"/>
                      <w:sz w:val="21"/>
                      <w:szCs w:val="21"/>
                      <w:highlight w:val="none"/>
                      <w:lang w:val="en-US" w:eastAsia="zh-CN"/>
                    </w:rPr>
                    <w:t>定期</w:t>
                  </w:r>
                  <w:r>
                    <w:rPr>
                      <w:rFonts w:hint="default" w:ascii="Times New Roman" w:hAnsi="Times New Roman" w:eastAsia="宋体" w:cs="Times New Roman"/>
                      <w:color w:val="auto"/>
                      <w:sz w:val="21"/>
                      <w:szCs w:val="21"/>
                      <w:highlight w:val="none"/>
                      <w:lang w:eastAsia="zh-CN"/>
                    </w:rPr>
                    <w:t>送锡尼镇垃圾填埋场处理</w:t>
                  </w:r>
                </w:p>
              </w:tc>
              <w:tc>
                <w:tcPr>
                  <w:tcW w:w="799" w:type="dxa"/>
                  <w:vAlign w:val="center"/>
                </w:tcPr>
                <w:p w14:paraId="3587F05E">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3D48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4" w:type="dxa"/>
                  <w:vMerge w:val="continue"/>
                  <w:tcMar>
                    <w:left w:w="28" w:type="dxa"/>
                    <w:right w:w="28" w:type="dxa"/>
                  </w:tcMar>
                  <w:vAlign w:val="center"/>
                </w:tcPr>
                <w:p w14:paraId="6F31B40E">
                  <w:pPr>
                    <w:adjustRightInd w:val="0"/>
                    <w:snapToGrid w:val="0"/>
                    <w:jc w:val="center"/>
                    <w:rPr>
                      <w:rFonts w:hint="default" w:ascii="Times New Roman" w:hAnsi="Times New Roman" w:eastAsia="宋体" w:cs="Times New Roman"/>
                      <w:color w:val="auto"/>
                      <w:sz w:val="21"/>
                      <w:szCs w:val="21"/>
                      <w:highlight w:val="none"/>
                    </w:rPr>
                  </w:pPr>
                </w:p>
              </w:tc>
              <w:tc>
                <w:tcPr>
                  <w:tcW w:w="1285" w:type="dxa"/>
                  <w:gridSpan w:val="5"/>
                  <w:shd w:val="clear" w:color="auto" w:fill="auto"/>
                  <w:tcMar>
                    <w:left w:w="28" w:type="dxa"/>
                    <w:right w:w="28" w:type="dxa"/>
                  </w:tcMar>
                  <w:vAlign w:val="center"/>
                </w:tcPr>
                <w:p w14:paraId="355FF274">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噪声</w:t>
                  </w:r>
                </w:p>
              </w:tc>
              <w:tc>
                <w:tcPr>
                  <w:tcW w:w="5401" w:type="dxa"/>
                  <w:shd w:val="clear" w:color="auto" w:fill="auto"/>
                  <w:tcMar>
                    <w:left w:w="28" w:type="dxa"/>
                    <w:right w:w="28" w:type="dxa"/>
                  </w:tcMar>
                  <w:vAlign w:val="center"/>
                </w:tcPr>
                <w:p w14:paraId="6228A022">
                  <w:pPr>
                    <w:adjustRightInd w:val="0"/>
                    <w:snapToGrid w:val="0"/>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选用低噪设备、基础减</w:t>
                  </w:r>
                  <w:r>
                    <w:rPr>
                      <w:rFonts w:hint="default" w:ascii="Times New Roman" w:hAnsi="Times New Roman" w:eastAsia="宋体" w:cs="Times New Roman"/>
                      <w:color w:val="auto"/>
                      <w:sz w:val="21"/>
                      <w:szCs w:val="21"/>
                      <w:highlight w:val="none"/>
                      <w:lang w:val="en-US" w:eastAsia="zh-CN"/>
                    </w:rPr>
                    <w:t>振</w:t>
                  </w:r>
                  <w:r>
                    <w:rPr>
                      <w:rFonts w:hint="default" w:ascii="Times New Roman" w:hAnsi="Times New Roman" w:eastAsia="宋体" w:cs="Times New Roman"/>
                      <w:color w:val="auto"/>
                      <w:sz w:val="21"/>
                      <w:szCs w:val="21"/>
                      <w:highlight w:val="none"/>
                    </w:rPr>
                    <w:t>、封闭隔声等措施</w:t>
                  </w:r>
                </w:p>
              </w:tc>
              <w:tc>
                <w:tcPr>
                  <w:tcW w:w="799" w:type="dxa"/>
                  <w:shd w:val="clear" w:color="auto" w:fill="auto"/>
                  <w:vAlign w:val="center"/>
                </w:tcPr>
                <w:p w14:paraId="5717CDF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bl>
          <w:p w14:paraId="235FC8D5">
            <w:pPr>
              <w:spacing w:before="240"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.主要生产设备</w:t>
            </w:r>
          </w:p>
          <w:p w14:paraId="3E49D449">
            <w:pPr>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本项目主要设备选择如下：</w:t>
            </w:r>
          </w:p>
          <w:p w14:paraId="6FB597AF">
            <w:pPr>
              <w:pStyle w:val="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w:t>
            </w:r>
            <w:r>
              <w:rPr>
                <w:rFonts w:hint="default" w:ascii="Times New Roman" w:hAnsi="Times New Roman" w:cs="Times New Roman"/>
                <w:color w:val="auto"/>
                <w:highlight w:val="none"/>
                <w:lang w:val="en-US" w:eastAsia="zh-CN"/>
              </w:rPr>
              <w:t>3 三</w:t>
            </w:r>
            <w:r>
              <w:rPr>
                <w:rFonts w:hint="default" w:ascii="Times New Roman" w:hAnsi="Times New Roman" w:eastAsia="宋体" w:cs="Times New Roman"/>
                <w:color w:val="auto"/>
                <w:highlight w:val="none"/>
                <w:lang w:val="en-US" w:eastAsia="zh-CN"/>
              </w:rPr>
              <w:t>期工程设备</w:t>
            </w:r>
            <w:r>
              <w:rPr>
                <w:rFonts w:hint="default" w:ascii="Times New Roman" w:hAnsi="Times New Roman" w:eastAsia="宋体" w:cs="Times New Roman"/>
                <w:color w:val="auto"/>
                <w:highlight w:val="none"/>
              </w:rPr>
              <w:t>一览表</w:t>
            </w:r>
          </w:p>
          <w:tbl>
            <w:tblPr>
              <w:tblStyle w:val="11"/>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52"/>
              <w:gridCol w:w="1972"/>
              <w:gridCol w:w="2685"/>
              <w:gridCol w:w="947"/>
              <w:gridCol w:w="517"/>
              <w:gridCol w:w="486"/>
              <w:gridCol w:w="1161"/>
            </w:tblGrid>
            <w:tr w14:paraId="65470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631D8D2">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序号</w:t>
                  </w:r>
                </w:p>
              </w:tc>
              <w:tc>
                <w:tcPr>
                  <w:tcW w:w="1972" w:type="dxa"/>
                  <w:tcBorders>
                    <w:tl2br w:val="nil"/>
                    <w:tr2bl w:val="nil"/>
                  </w:tcBorders>
                  <w:shd w:val="clear" w:color="auto" w:fill="auto"/>
                  <w:vAlign w:val="center"/>
                </w:tcPr>
                <w:p w14:paraId="4B3B144C">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名称</w:t>
                  </w:r>
                </w:p>
              </w:tc>
              <w:tc>
                <w:tcPr>
                  <w:tcW w:w="2685" w:type="dxa"/>
                  <w:tcBorders>
                    <w:tl2br w:val="nil"/>
                    <w:tr2bl w:val="nil"/>
                  </w:tcBorders>
                  <w:shd w:val="clear" w:color="auto" w:fill="auto"/>
                  <w:vAlign w:val="center"/>
                </w:tcPr>
                <w:p w14:paraId="3E4EB0C6">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规格</w:t>
                  </w:r>
                </w:p>
              </w:tc>
              <w:tc>
                <w:tcPr>
                  <w:tcW w:w="947" w:type="dxa"/>
                  <w:tcBorders>
                    <w:tl2br w:val="nil"/>
                    <w:tr2bl w:val="nil"/>
                  </w:tcBorders>
                  <w:shd w:val="clear" w:color="auto" w:fill="auto"/>
                  <w:vAlign w:val="center"/>
                </w:tcPr>
                <w:p w14:paraId="32C6125B">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材料</w:t>
                  </w:r>
                </w:p>
              </w:tc>
              <w:tc>
                <w:tcPr>
                  <w:tcW w:w="517" w:type="dxa"/>
                  <w:tcBorders>
                    <w:tl2br w:val="nil"/>
                    <w:tr2bl w:val="nil"/>
                  </w:tcBorders>
                  <w:shd w:val="clear" w:color="auto" w:fill="auto"/>
                  <w:vAlign w:val="center"/>
                </w:tcPr>
                <w:p w14:paraId="346AE3CD">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单位</w:t>
                  </w:r>
                </w:p>
              </w:tc>
              <w:tc>
                <w:tcPr>
                  <w:tcW w:w="486" w:type="dxa"/>
                  <w:tcBorders>
                    <w:tl2br w:val="nil"/>
                    <w:tr2bl w:val="nil"/>
                  </w:tcBorders>
                  <w:shd w:val="clear" w:color="auto" w:fill="auto"/>
                  <w:vAlign w:val="center"/>
                </w:tcPr>
                <w:p w14:paraId="419336F0">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数量</w:t>
                  </w:r>
                </w:p>
              </w:tc>
              <w:tc>
                <w:tcPr>
                  <w:tcW w:w="1161" w:type="dxa"/>
                  <w:tcBorders>
                    <w:tl2br w:val="nil"/>
                    <w:tr2bl w:val="nil"/>
                  </w:tcBorders>
                  <w:shd w:val="clear" w:color="auto" w:fill="auto"/>
                  <w:vAlign w:val="center"/>
                </w:tcPr>
                <w:p w14:paraId="0B4F71FF">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val="en-US" w:eastAsia="zh-CN"/>
                    </w:rPr>
                    <w:t>备注</w:t>
                  </w:r>
                </w:p>
              </w:tc>
            </w:tr>
            <w:tr w14:paraId="72A5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7"/>
                  <w:tcBorders>
                    <w:tl2br w:val="nil"/>
                    <w:tr2bl w:val="nil"/>
                  </w:tcBorders>
                  <w:shd w:val="clear" w:color="auto" w:fill="auto"/>
                  <w:vAlign w:val="center"/>
                </w:tcPr>
                <w:p w14:paraId="6D14E14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预处理间</w:t>
                  </w:r>
                </w:p>
              </w:tc>
            </w:tr>
            <w:tr w14:paraId="34B3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6FDB61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972" w:type="dxa"/>
                  <w:tcBorders>
                    <w:tl2br w:val="nil"/>
                    <w:tr2bl w:val="nil"/>
                  </w:tcBorders>
                  <w:shd w:val="clear" w:color="auto" w:fill="auto"/>
                  <w:vAlign w:val="center"/>
                </w:tcPr>
                <w:p w14:paraId="445FDC4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粗格栅-反捞式格栅除污机</w:t>
                  </w:r>
                </w:p>
              </w:tc>
              <w:tc>
                <w:tcPr>
                  <w:tcW w:w="2685" w:type="dxa"/>
                  <w:tcBorders>
                    <w:tl2br w:val="nil"/>
                    <w:tr2bl w:val="nil"/>
                  </w:tcBorders>
                  <w:shd w:val="clear" w:color="auto" w:fill="auto"/>
                  <w:vAlign w:val="center"/>
                </w:tcPr>
                <w:p w14:paraId="5E65EA7D">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20mm，B=0.7m，H=3.0m，</w:t>
                  </w:r>
                </w:p>
                <w:p w14:paraId="0B9CC8DF">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N=1.1kW</w:t>
                  </w:r>
                </w:p>
              </w:tc>
              <w:tc>
                <w:tcPr>
                  <w:tcW w:w="947" w:type="dxa"/>
                  <w:tcBorders>
                    <w:tl2br w:val="nil"/>
                    <w:tr2bl w:val="nil"/>
                  </w:tcBorders>
                  <w:shd w:val="clear" w:color="auto" w:fill="auto"/>
                  <w:vAlign w:val="center"/>
                </w:tcPr>
                <w:p w14:paraId="70E9A80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0BD6CE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6234394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3C53ACD3">
                  <w:pPr>
                    <w:jc w:val="center"/>
                    <w:rPr>
                      <w:rFonts w:hint="default" w:ascii="Times New Roman" w:hAnsi="Times New Roman" w:cs="Times New Roman"/>
                      <w:color w:val="auto"/>
                      <w:sz w:val="21"/>
                      <w:szCs w:val="21"/>
                    </w:rPr>
                  </w:pPr>
                </w:p>
              </w:tc>
            </w:tr>
            <w:tr w14:paraId="52E2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C0A197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972" w:type="dxa"/>
                  <w:tcBorders>
                    <w:tl2br w:val="nil"/>
                    <w:tr2bl w:val="nil"/>
                  </w:tcBorders>
                  <w:shd w:val="clear" w:color="auto" w:fill="auto"/>
                  <w:vAlign w:val="center"/>
                </w:tcPr>
                <w:p w14:paraId="5CF41DA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自耦式潜污泵</w:t>
                  </w:r>
                </w:p>
              </w:tc>
              <w:tc>
                <w:tcPr>
                  <w:tcW w:w="2685" w:type="dxa"/>
                  <w:tcBorders>
                    <w:tl2br w:val="nil"/>
                    <w:tr2bl w:val="nil"/>
                  </w:tcBorders>
                  <w:shd w:val="clear" w:color="auto" w:fill="auto"/>
                  <w:vAlign w:val="center"/>
                </w:tcPr>
                <w:p w14:paraId="1B2D3BF5">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Q=200m³/h，H=15m，N=11kW</w:t>
                  </w:r>
                </w:p>
              </w:tc>
              <w:tc>
                <w:tcPr>
                  <w:tcW w:w="947" w:type="dxa"/>
                  <w:tcBorders>
                    <w:tl2br w:val="nil"/>
                    <w:tr2bl w:val="nil"/>
                  </w:tcBorders>
                  <w:shd w:val="clear" w:color="auto" w:fill="auto"/>
                  <w:vAlign w:val="center"/>
                </w:tcPr>
                <w:p w14:paraId="094ACA3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CBB0FF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7E79C79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774A60C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3用1备，1台变频</w:t>
                  </w:r>
                </w:p>
              </w:tc>
            </w:tr>
            <w:tr w14:paraId="23E0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134E9E1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972" w:type="dxa"/>
                  <w:tcBorders>
                    <w:tl2br w:val="nil"/>
                    <w:tr2bl w:val="nil"/>
                  </w:tcBorders>
                  <w:shd w:val="clear" w:color="auto" w:fill="auto"/>
                  <w:vAlign w:val="center"/>
                </w:tcPr>
                <w:p w14:paraId="66A121D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手动铸铁镶铜方闸门</w:t>
                  </w:r>
                </w:p>
              </w:tc>
              <w:tc>
                <w:tcPr>
                  <w:tcW w:w="2685" w:type="dxa"/>
                  <w:tcBorders>
                    <w:tl2br w:val="nil"/>
                    <w:tr2bl w:val="nil"/>
                  </w:tcBorders>
                  <w:shd w:val="clear" w:color="auto" w:fill="auto"/>
                  <w:vAlign w:val="center"/>
                </w:tcPr>
                <w:p w14:paraId="18C4D820">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B×H=0.6×0.8m</w:t>
                  </w:r>
                </w:p>
              </w:tc>
              <w:tc>
                <w:tcPr>
                  <w:tcW w:w="947" w:type="dxa"/>
                  <w:tcBorders>
                    <w:tl2br w:val="nil"/>
                    <w:tr2bl w:val="nil"/>
                  </w:tcBorders>
                  <w:shd w:val="clear" w:color="auto" w:fill="auto"/>
                  <w:vAlign w:val="center"/>
                </w:tcPr>
                <w:p w14:paraId="0D10AC6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51677A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5759A58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6C6FEB2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配套启闭机</w:t>
                  </w:r>
                </w:p>
              </w:tc>
            </w:tr>
            <w:tr w14:paraId="79E4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6915982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972" w:type="dxa"/>
                  <w:tcBorders>
                    <w:tl2br w:val="nil"/>
                    <w:tr2bl w:val="nil"/>
                  </w:tcBorders>
                  <w:shd w:val="clear" w:color="auto" w:fill="auto"/>
                  <w:vAlign w:val="center"/>
                </w:tcPr>
                <w:p w14:paraId="7378A75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电动葫芦</w:t>
                  </w:r>
                </w:p>
              </w:tc>
              <w:tc>
                <w:tcPr>
                  <w:tcW w:w="2685" w:type="dxa"/>
                  <w:tcBorders>
                    <w:tl2br w:val="nil"/>
                    <w:tr2bl w:val="nil"/>
                  </w:tcBorders>
                  <w:shd w:val="clear" w:color="auto" w:fill="auto"/>
                  <w:vAlign w:val="center"/>
                </w:tcPr>
                <w:p w14:paraId="663193D1">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T=1t，H=9m，N=1.5+0.2kW</w:t>
                  </w:r>
                </w:p>
              </w:tc>
              <w:tc>
                <w:tcPr>
                  <w:tcW w:w="947" w:type="dxa"/>
                  <w:tcBorders>
                    <w:tl2br w:val="nil"/>
                    <w:tr2bl w:val="nil"/>
                  </w:tcBorders>
                  <w:shd w:val="clear" w:color="auto" w:fill="auto"/>
                  <w:vAlign w:val="center"/>
                </w:tcPr>
                <w:p w14:paraId="376D7B6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8DAB0F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0FA30A3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5EBA7FB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3754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0549A4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972" w:type="dxa"/>
                  <w:tcBorders>
                    <w:tl2br w:val="nil"/>
                    <w:tr2bl w:val="nil"/>
                  </w:tcBorders>
                  <w:shd w:val="clear" w:color="auto" w:fill="auto"/>
                  <w:vAlign w:val="center"/>
                </w:tcPr>
                <w:p w14:paraId="2B27860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细格栅-耙转式格栅</w:t>
                  </w:r>
                </w:p>
              </w:tc>
              <w:tc>
                <w:tcPr>
                  <w:tcW w:w="2685" w:type="dxa"/>
                  <w:tcBorders>
                    <w:tl2br w:val="nil"/>
                    <w:tr2bl w:val="nil"/>
                  </w:tcBorders>
                  <w:shd w:val="clear" w:color="auto" w:fill="auto"/>
                  <w:vAlign w:val="center"/>
                </w:tcPr>
                <w:p w14:paraId="0EFB738A">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5mm，B=1.2m，N=1.5kW</w:t>
                  </w:r>
                </w:p>
              </w:tc>
              <w:tc>
                <w:tcPr>
                  <w:tcW w:w="947" w:type="dxa"/>
                  <w:tcBorders>
                    <w:tl2br w:val="nil"/>
                    <w:tr2bl w:val="nil"/>
                  </w:tcBorders>
                  <w:shd w:val="clear" w:color="auto" w:fill="auto"/>
                  <w:vAlign w:val="center"/>
                </w:tcPr>
                <w:p w14:paraId="0451A07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4BC87E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72C7BCA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4CBCA8D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36E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156FD7A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1972" w:type="dxa"/>
                  <w:tcBorders>
                    <w:tl2br w:val="nil"/>
                    <w:tr2bl w:val="nil"/>
                  </w:tcBorders>
                  <w:shd w:val="clear" w:color="auto" w:fill="auto"/>
                  <w:vAlign w:val="center"/>
                </w:tcPr>
                <w:p w14:paraId="28BA9EE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无轴螺旋输送器</w:t>
                  </w:r>
                </w:p>
              </w:tc>
              <w:tc>
                <w:tcPr>
                  <w:tcW w:w="2685" w:type="dxa"/>
                  <w:tcBorders>
                    <w:tl2br w:val="nil"/>
                    <w:tr2bl w:val="nil"/>
                  </w:tcBorders>
                  <w:shd w:val="clear" w:color="auto" w:fill="auto"/>
                  <w:vAlign w:val="center"/>
                </w:tcPr>
                <w:p w14:paraId="7094BFE1">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∅220，α=0°，N=2.2kW</w:t>
                  </w:r>
                </w:p>
              </w:tc>
              <w:tc>
                <w:tcPr>
                  <w:tcW w:w="947" w:type="dxa"/>
                  <w:tcBorders>
                    <w:tl2br w:val="nil"/>
                    <w:tr2bl w:val="nil"/>
                  </w:tcBorders>
                  <w:shd w:val="clear" w:color="auto" w:fill="auto"/>
                  <w:vAlign w:val="center"/>
                </w:tcPr>
                <w:p w14:paraId="1028D04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475D85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663D993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3B5C7C1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59C9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242079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w:t>
                  </w:r>
                </w:p>
              </w:tc>
              <w:tc>
                <w:tcPr>
                  <w:tcW w:w="1972" w:type="dxa"/>
                  <w:tcBorders>
                    <w:tl2br w:val="nil"/>
                    <w:tr2bl w:val="nil"/>
                  </w:tcBorders>
                  <w:shd w:val="clear" w:color="auto" w:fill="auto"/>
                  <w:vAlign w:val="center"/>
                </w:tcPr>
                <w:p w14:paraId="6912773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桥式吸砂机</w:t>
                  </w:r>
                </w:p>
              </w:tc>
              <w:tc>
                <w:tcPr>
                  <w:tcW w:w="2685" w:type="dxa"/>
                  <w:tcBorders>
                    <w:tl2br w:val="nil"/>
                    <w:tr2bl w:val="nil"/>
                  </w:tcBorders>
                  <w:shd w:val="clear" w:color="auto" w:fill="auto"/>
                  <w:vAlign w:val="center"/>
                </w:tcPr>
                <w:p w14:paraId="58E2BDD1">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L=4m，N=0.55kW</w:t>
                  </w:r>
                </w:p>
              </w:tc>
              <w:tc>
                <w:tcPr>
                  <w:tcW w:w="947" w:type="dxa"/>
                  <w:tcBorders>
                    <w:tl2br w:val="nil"/>
                    <w:tr2bl w:val="nil"/>
                  </w:tcBorders>
                  <w:shd w:val="clear" w:color="auto" w:fill="auto"/>
                  <w:vAlign w:val="center"/>
                </w:tcPr>
                <w:p w14:paraId="137E991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883552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32A3360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26296DE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C7F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16D9722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c>
                <w:tcPr>
                  <w:tcW w:w="1972" w:type="dxa"/>
                  <w:tcBorders>
                    <w:tl2br w:val="nil"/>
                    <w:tr2bl w:val="nil"/>
                  </w:tcBorders>
                  <w:shd w:val="clear" w:color="auto" w:fill="auto"/>
                  <w:vAlign w:val="center"/>
                </w:tcPr>
                <w:p w14:paraId="0DA8250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潜污泵</w:t>
                  </w:r>
                </w:p>
              </w:tc>
              <w:tc>
                <w:tcPr>
                  <w:tcW w:w="2685" w:type="dxa"/>
                  <w:tcBorders>
                    <w:tl2br w:val="nil"/>
                    <w:tr2bl w:val="nil"/>
                  </w:tcBorders>
                  <w:shd w:val="clear" w:color="auto" w:fill="auto"/>
                  <w:vAlign w:val="center"/>
                </w:tcPr>
                <w:p w14:paraId="09A26B55">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Q=22m³/h，H=7m，P=1.4kW</w:t>
                  </w:r>
                </w:p>
              </w:tc>
              <w:tc>
                <w:tcPr>
                  <w:tcW w:w="947" w:type="dxa"/>
                  <w:tcBorders>
                    <w:tl2br w:val="nil"/>
                    <w:tr2bl w:val="nil"/>
                  </w:tcBorders>
                  <w:shd w:val="clear" w:color="auto" w:fill="auto"/>
                  <w:vAlign w:val="center"/>
                </w:tcPr>
                <w:p w14:paraId="2175416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9EA282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15E1217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4AA45C9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吸砂机配套</w:t>
                  </w:r>
                </w:p>
              </w:tc>
            </w:tr>
            <w:tr w14:paraId="56AC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242F0F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w:t>
                  </w:r>
                </w:p>
              </w:tc>
              <w:tc>
                <w:tcPr>
                  <w:tcW w:w="1972" w:type="dxa"/>
                  <w:tcBorders>
                    <w:tl2br w:val="nil"/>
                    <w:tr2bl w:val="nil"/>
                  </w:tcBorders>
                  <w:shd w:val="clear" w:color="auto" w:fill="auto"/>
                  <w:vAlign w:val="center"/>
                </w:tcPr>
                <w:p w14:paraId="52FE773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罗茨鼓风机</w:t>
                  </w:r>
                </w:p>
              </w:tc>
              <w:tc>
                <w:tcPr>
                  <w:tcW w:w="2685" w:type="dxa"/>
                  <w:tcBorders>
                    <w:tl2br w:val="nil"/>
                    <w:tr2bl w:val="nil"/>
                  </w:tcBorders>
                  <w:shd w:val="clear" w:color="auto" w:fill="auto"/>
                  <w:vAlign w:val="center"/>
                </w:tcPr>
                <w:p w14:paraId="428FD7B8">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Q=4.53m³/min，P=39.2Kpa，</w:t>
                  </w:r>
                </w:p>
                <w:p w14:paraId="247727D7">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N=4.76kW</w:t>
                  </w:r>
                </w:p>
              </w:tc>
              <w:tc>
                <w:tcPr>
                  <w:tcW w:w="947" w:type="dxa"/>
                  <w:tcBorders>
                    <w:tl2br w:val="nil"/>
                    <w:tr2bl w:val="nil"/>
                  </w:tcBorders>
                  <w:shd w:val="clear" w:color="auto" w:fill="auto"/>
                  <w:vAlign w:val="center"/>
                </w:tcPr>
                <w:p w14:paraId="63AA2D1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CF6EA1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3E833AE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690031A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吸砂机配套</w:t>
                  </w:r>
                </w:p>
              </w:tc>
            </w:tr>
            <w:tr w14:paraId="039C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BCAC84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w:t>
                  </w:r>
                </w:p>
              </w:tc>
              <w:tc>
                <w:tcPr>
                  <w:tcW w:w="1972" w:type="dxa"/>
                  <w:tcBorders>
                    <w:tl2br w:val="nil"/>
                    <w:tr2bl w:val="nil"/>
                  </w:tcBorders>
                  <w:shd w:val="clear" w:color="auto" w:fill="auto"/>
                  <w:vAlign w:val="center"/>
                </w:tcPr>
                <w:p w14:paraId="0DC9E84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砂水分离器</w:t>
                  </w:r>
                </w:p>
              </w:tc>
              <w:tc>
                <w:tcPr>
                  <w:tcW w:w="2685" w:type="dxa"/>
                  <w:tcBorders>
                    <w:tl2br w:val="nil"/>
                    <w:tr2bl w:val="nil"/>
                  </w:tcBorders>
                  <w:shd w:val="clear" w:color="auto" w:fill="auto"/>
                  <w:vAlign w:val="center"/>
                </w:tcPr>
                <w:p w14:paraId="5D80A9ED">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Q=18m³/h，P=0.37kW</w:t>
                  </w:r>
                </w:p>
              </w:tc>
              <w:tc>
                <w:tcPr>
                  <w:tcW w:w="947" w:type="dxa"/>
                  <w:tcBorders>
                    <w:tl2br w:val="nil"/>
                    <w:tr2bl w:val="nil"/>
                  </w:tcBorders>
                  <w:shd w:val="clear" w:color="auto" w:fill="auto"/>
                  <w:vAlign w:val="center"/>
                </w:tcPr>
                <w:p w14:paraId="1E14AC1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A81EA7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62B7945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7B76D9A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021D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A67189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w:t>
                  </w:r>
                </w:p>
              </w:tc>
              <w:tc>
                <w:tcPr>
                  <w:tcW w:w="1972" w:type="dxa"/>
                  <w:tcBorders>
                    <w:tl2br w:val="nil"/>
                    <w:tr2bl w:val="nil"/>
                  </w:tcBorders>
                  <w:shd w:val="clear" w:color="auto" w:fill="auto"/>
                  <w:vAlign w:val="center"/>
                </w:tcPr>
                <w:p w14:paraId="266320C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手动钢制插板闸门</w:t>
                  </w:r>
                </w:p>
              </w:tc>
              <w:tc>
                <w:tcPr>
                  <w:tcW w:w="2685" w:type="dxa"/>
                  <w:tcBorders>
                    <w:tl2br w:val="nil"/>
                    <w:tr2bl w:val="nil"/>
                  </w:tcBorders>
                  <w:shd w:val="clear" w:color="auto" w:fill="auto"/>
                  <w:vAlign w:val="center"/>
                </w:tcPr>
                <w:p w14:paraId="4198DFAA">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B×H=0.8×1.2m</w:t>
                  </w:r>
                </w:p>
              </w:tc>
              <w:tc>
                <w:tcPr>
                  <w:tcW w:w="947" w:type="dxa"/>
                  <w:tcBorders>
                    <w:tl2br w:val="nil"/>
                    <w:tr2bl w:val="nil"/>
                  </w:tcBorders>
                  <w:shd w:val="clear" w:color="auto" w:fill="auto"/>
                  <w:vAlign w:val="center"/>
                </w:tcPr>
                <w:p w14:paraId="4E37063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34E1F3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0171344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780DFD3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配套启闭机</w:t>
                  </w:r>
                </w:p>
              </w:tc>
            </w:tr>
            <w:tr w14:paraId="67A4E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2EB014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12</w:t>
                  </w:r>
                </w:p>
              </w:tc>
              <w:tc>
                <w:tcPr>
                  <w:tcW w:w="1972" w:type="dxa"/>
                  <w:tcBorders>
                    <w:tl2br w:val="nil"/>
                    <w:tr2bl w:val="nil"/>
                  </w:tcBorders>
                  <w:shd w:val="clear" w:color="auto" w:fill="auto"/>
                  <w:vAlign w:val="center"/>
                </w:tcPr>
                <w:p w14:paraId="7D6FCAE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手动钢制插板闸门</w:t>
                  </w:r>
                </w:p>
              </w:tc>
              <w:tc>
                <w:tcPr>
                  <w:tcW w:w="2685" w:type="dxa"/>
                  <w:tcBorders>
                    <w:tl2br w:val="nil"/>
                    <w:tr2bl w:val="nil"/>
                  </w:tcBorders>
                  <w:shd w:val="clear" w:color="auto" w:fill="auto"/>
                  <w:vAlign w:val="center"/>
                </w:tcPr>
                <w:p w14:paraId="26A0BDBC">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B×H=0.6×0.8m</w:t>
                  </w:r>
                </w:p>
              </w:tc>
              <w:tc>
                <w:tcPr>
                  <w:tcW w:w="947" w:type="dxa"/>
                  <w:tcBorders>
                    <w:tl2br w:val="nil"/>
                    <w:tr2bl w:val="nil"/>
                  </w:tcBorders>
                  <w:shd w:val="clear" w:color="auto" w:fill="auto"/>
                  <w:vAlign w:val="center"/>
                </w:tcPr>
                <w:p w14:paraId="6534B69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09BC0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1E30AB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286DFFE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配套启闭机</w:t>
                  </w:r>
                </w:p>
              </w:tc>
            </w:tr>
            <w:tr w14:paraId="2EA8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731E43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13</w:t>
                  </w:r>
                </w:p>
              </w:tc>
              <w:tc>
                <w:tcPr>
                  <w:tcW w:w="1972" w:type="dxa"/>
                  <w:tcBorders>
                    <w:tl2br w:val="nil"/>
                    <w:tr2bl w:val="nil"/>
                  </w:tcBorders>
                  <w:shd w:val="clear" w:color="auto" w:fill="auto"/>
                  <w:vAlign w:val="center"/>
                </w:tcPr>
                <w:p w14:paraId="6E3D0AA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电动可调节堰门</w:t>
                  </w:r>
                </w:p>
              </w:tc>
              <w:tc>
                <w:tcPr>
                  <w:tcW w:w="2685" w:type="dxa"/>
                  <w:tcBorders>
                    <w:tl2br w:val="nil"/>
                    <w:tr2bl w:val="nil"/>
                  </w:tcBorders>
                  <w:shd w:val="clear" w:color="auto" w:fill="auto"/>
                  <w:vAlign w:val="center"/>
                </w:tcPr>
                <w:p w14:paraId="61F61154">
                  <w:pP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B×H=1.4×0.6m</w:t>
                  </w:r>
                </w:p>
                <w:p w14:paraId="6ED895E0">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N=0.37kW</w:t>
                  </w:r>
                </w:p>
              </w:tc>
              <w:tc>
                <w:tcPr>
                  <w:tcW w:w="947" w:type="dxa"/>
                  <w:tcBorders>
                    <w:tl2br w:val="nil"/>
                    <w:tr2bl w:val="nil"/>
                  </w:tcBorders>
                  <w:shd w:val="clear" w:color="auto" w:fill="auto"/>
                  <w:vAlign w:val="center"/>
                </w:tcPr>
                <w:p w14:paraId="72557B6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491374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41EA8AC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3C66A7A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配套手电两用启闭机</w:t>
                  </w:r>
                </w:p>
              </w:tc>
            </w:tr>
            <w:tr w14:paraId="5F5B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2527E0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14</w:t>
                  </w:r>
                </w:p>
              </w:tc>
              <w:tc>
                <w:tcPr>
                  <w:tcW w:w="1972" w:type="dxa"/>
                  <w:tcBorders>
                    <w:tl2br w:val="nil"/>
                    <w:tr2bl w:val="nil"/>
                  </w:tcBorders>
                  <w:shd w:val="clear" w:color="auto" w:fill="auto"/>
                  <w:vAlign w:val="center"/>
                </w:tcPr>
                <w:p w14:paraId="6096FFF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橡胶柔性管接头</w:t>
                  </w:r>
                </w:p>
              </w:tc>
              <w:tc>
                <w:tcPr>
                  <w:tcW w:w="2685" w:type="dxa"/>
                  <w:tcBorders>
                    <w:tl2br w:val="nil"/>
                    <w:tr2bl w:val="nil"/>
                  </w:tcBorders>
                  <w:shd w:val="clear" w:color="auto" w:fill="auto"/>
                  <w:vAlign w:val="center"/>
                </w:tcPr>
                <w:p w14:paraId="4B0F139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DN500</w:t>
                  </w:r>
                </w:p>
              </w:tc>
              <w:tc>
                <w:tcPr>
                  <w:tcW w:w="947" w:type="dxa"/>
                  <w:tcBorders>
                    <w:tl2br w:val="nil"/>
                    <w:tr2bl w:val="nil"/>
                  </w:tcBorders>
                  <w:shd w:val="clear" w:color="auto" w:fill="auto"/>
                  <w:vAlign w:val="center"/>
                </w:tcPr>
                <w:p w14:paraId="325B30A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D736FA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735C11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069564B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D6D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9C50F7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p>
              </w:tc>
              <w:tc>
                <w:tcPr>
                  <w:tcW w:w="1972" w:type="dxa"/>
                  <w:tcBorders>
                    <w:tl2br w:val="nil"/>
                    <w:tr2bl w:val="nil"/>
                  </w:tcBorders>
                  <w:shd w:val="clear" w:color="auto" w:fill="auto"/>
                  <w:vAlign w:val="center"/>
                </w:tcPr>
                <w:p w14:paraId="71DC8BC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橡胶柔性管接头</w:t>
                  </w:r>
                </w:p>
              </w:tc>
              <w:tc>
                <w:tcPr>
                  <w:tcW w:w="2685" w:type="dxa"/>
                  <w:tcBorders>
                    <w:tl2br w:val="nil"/>
                    <w:tr2bl w:val="nil"/>
                  </w:tcBorders>
                  <w:shd w:val="clear" w:color="auto" w:fill="auto"/>
                  <w:vAlign w:val="center"/>
                </w:tcPr>
                <w:p w14:paraId="2CD5BB4D">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DN250</w:t>
                  </w:r>
                </w:p>
              </w:tc>
              <w:tc>
                <w:tcPr>
                  <w:tcW w:w="947" w:type="dxa"/>
                  <w:tcBorders>
                    <w:tl2br w:val="nil"/>
                    <w:tr2bl w:val="nil"/>
                  </w:tcBorders>
                  <w:shd w:val="clear" w:color="auto" w:fill="auto"/>
                  <w:vAlign w:val="center"/>
                </w:tcPr>
                <w:p w14:paraId="7249993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A3E3B4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C648D1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457AA08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96D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522338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16</w:t>
                  </w:r>
                </w:p>
              </w:tc>
              <w:tc>
                <w:tcPr>
                  <w:tcW w:w="1972" w:type="dxa"/>
                  <w:tcBorders>
                    <w:tl2br w:val="nil"/>
                    <w:tr2bl w:val="nil"/>
                  </w:tcBorders>
                  <w:shd w:val="clear" w:color="auto" w:fill="auto"/>
                  <w:vAlign w:val="center"/>
                </w:tcPr>
                <w:p w14:paraId="3210E0F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电动葫芦</w:t>
                  </w:r>
                </w:p>
              </w:tc>
              <w:tc>
                <w:tcPr>
                  <w:tcW w:w="2685" w:type="dxa"/>
                  <w:tcBorders>
                    <w:tl2br w:val="nil"/>
                    <w:tr2bl w:val="nil"/>
                  </w:tcBorders>
                  <w:shd w:val="clear" w:color="auto" w:fill="auto"/>
                  <w:vAlign w:val="center"/>
                </w:tcPr>
                <w:p w14:paraId="49723E2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W=2t，H=9m，N=3.4kW</w:t>
                  </w:r>
                </w:p>
              </w:tc>
              <w:tc>
                <w:tcPr>
                  <w:tcW w:w="947" w:type="dxa"/>
                  <w:tcBorders>
                    <w:tl2br w:val="nil"/>
                    <w:tr2bl w:val="nil"/>
                  </w:tcBorders>
                  <w:shd w:val="clear" w:color="auto" w:fill="auto"/>
                  <w:vAlign w:val="center"/>
                </w:tcPr>
                <w:p w14:paraId="093E5A3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94D021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0BA60CF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663BBAA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C11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5EF692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17</w:t>
                  </w:r>
                </w:p>
              </w:tc>
              <w:tc>
                <w:tcPr>
                  <w:tcW w:w="1972" w:type="dxa"/>
                  <w:tcBorders>
                    <w:tl2br w:val="nil"/>
                    <w:tr2bl w:val="nil"/>
                  </w:tcBorders>
                  <w:shd w:val="clear" w:color="auto" w:fill="auto"/>
                  <w:vAlign w:val="center"/>
                </w:tcPr>
                <w:p w14:paraId="4704EF1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空气管路闸阀</w:t>
                  </w:r>
                </w:p>
              </w:tc>
              <w:tc>
                <w:tcPr>
                  <w:tcW w:w="2685" w:type="dxa"/>
                  <w:tcBorders>
                    <w:tl2br w:val="nil"/>
                    <w:tr2bl w:val="nil"/>
                  </w:tcBorders>
                  <w:shd w:val="clear" w:color="auto" w:fill="auto"/>
                  <w:vAlign w:val="center"/>
                </w:tcPr>
                <w:p w14:paraId="0E5B222A">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D108×δ4</w:t>
                  </w:r>
                </w:p>
              </w:tc>
              <w:tc>
                <w:tcPr>
                  <w:tcW w:w="947" w:type="dxa"/>
                  <w:tcBorders>
                    <w:tl2br w:val="nil"/>
                    <w:tr2bl w:val="nil"/>
                  </w:tcBorders>
                  <w:shd w:val="clear" w:color="auto" w:fill="auto"/>
                  <w:vAlign w:val="center"/>
                </w:tcPr>
                <w:p w14:paraId="6D70EE2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64C97A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4DCB056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103059C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空气管</w:t>
                  </w:r>
                </w:p>
              </w:tc>
            </w:tr>
            <w:tr w14:paraId="25D63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D408C6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18</w:t>
                  </w:r>
                </w:p>
              </w:tc>
              <w:tc>
                <w:tcPr>
                  <w:tcW w:w="1972" w:type="dxa"/>
                  <w:tcBorders>
                    <w:tl2br w:val="nil"/>
                    <w:tr2bl w:val="nil"/>
                  </w:tcBorders>
                  <w:shd w:val="clear" w:color="auto" w:fill="auto"/>
                  <w:vAlign w:val="center"/>
                </w:tcPr>
                <w:p w14:paraId="129D24B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逆止阀</w:t>
                  </w:r>
                </w:p>
              </w:tc>
              <w:tc>
                <w:tcPr>
                  <w:tcW w:w="2685" w:type="dxa"/>
                  <w:tcBorders>
                    <w:tl2br w:val="nil"/>
                    <w:tr2bl w:val="nil"/>
                  </w:tcBorders>
                  <w:shd w:val="clear" w:color="auto" w:fill="auto"/>
                  <w:vAlign w:val="center"/>
                </w:tcPr>
                <w:p w14:paraId="4F157820">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D108×δ4</w:t>
                  </w:r>
                </w:p>
              </w:tc>
              <w:tc>
                <w:tcPr>
                  <w:tcW w:w="947" w:type="dxa"/>
                  <w:tcBorders>
                    <w:tl2br w:val="nil"/>
                    <w:tr2bl w:val="nil"/>
                  </w:tcBorders>
                  <w:shd w:val="clear" w:color="auto" w:fill="auto"/>
                  <w:vAlign w:val="center"/>
                </w:tcPr>
                <w:p w14:paraId="0843B87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87F7E3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086DEF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287650A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空气管</w:t>
                  </w:r>
                </w:p>
              </w:tc>
            </w:tr>
            <w:tr w14:paraId="328E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7"/>
                  <w:tcBorders>
                    <w:tl2br w:val="nil"/>
                    <w:tr2bl w:val="nil"/>
                  </w:tcBorders>
                  <w:shd w:val="clear" w:color="auto" w:fill="auto"/>
                  <w:vAlign w:val="center"/>
                </w:tcPr>
                <w:p w14:paraId="45EE8C6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生物池</w:t>
                  </w:r>
                </w:p>
              </w:tc>
            </w:tr>
            <w:tr w14:paraId="2BAC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452" w:type="dxa"/>
                  <w:tcBorders>
                    <w:tl2br w:val="nil"/>
                    <w:tr2bl w:val="nil"/>
                  </w:tcBorders>
                  <w:shd w:val="clear" w:color="auto" w:fill="auto"/>
                  <w:vAlign w:val="center"/>
                </w:tcPr>
                <w:p w14:paraId="5811D8D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972" w:type="dxa"/>
                  <w:tcBorders>
                    <w:tl2br w:val="nil"/>
                    <w:tr2bl w:val="nil"/>
                  </w:tcBorders>
                  <w:shd w:val="clear" w:color="auto" w:fill="auto"/>
                  <w:vAlign w:val="center"/>
                </w:tcPr>
                <w:p w14:paraId="0F1C934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混合液回流泵</w:t>
                  </w:r>
                </w:p>
              </w:tc>
              <w:tc>
                <w:tcPr>
                  <w:tcW w:w="2685" w:type="dxa"/>
                  <w:tcBorders>
                    <w:tl2br w:val="nil"/>
                    <w:tr2bl w:val="nil"/>
                  </w:tcBorders>
                  <w:shd w:val="clear" w:color="auto" w:fill="auto"/>
                  <w:vAlign w:val="center"/>
                </w:tcPr>
                <w:p w14:paraId="36FAF6B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Q=90L/s，H=0.6m，N=1.1kW</w:t>
                  </w:r>
                </w:p>
              </w:tc>
              <w:tc>
                <w:tcPr>
                  <w:tcW w:w="947" w:type="dxa"/>
                  <w:tcBorders>
                    <w:tl2br w:val="nil"/>
                    <w:tr2bl w:val="nil"/>
                  </w:tcBorders>
                  <w:shd w:val="clear" w:color="auto" w:fill="auto"/>
                  <w:vAlign w:val="center"/>
                </w:tcPr>
                <w:p w14:paraId="4D7F1B0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AA521F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37DBF34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1161" w:type="dxa"/>
                  <w:tcBorders>
                    <w:tl2br w:val="nil"/>
                    <w:tr2bl w:val="nil"/>
                  </w:tcBorders>
                  <w:shd w:val="clear" w:color="auto" w:fill="auto"/>
                  <w:vAlign w:val="center"/>
                </w:tcPr>
                <w:p w14:paraId="40C6D2A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4用2冷设备，变频调速</w:t>
                  </w:r>
                </w:p>
              </w:tc>
            </w:tr>
            <w:tr w14:paraId="1915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C1DD56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972" w:type="dxa"/>
                  <w:tcBorders>
                    <w:tl2br w:val="nil"/>
                    <w:tr2bl w:val="nil"/>
                  </w:tcBorders>
                  <w:shd w:val="clear" w:color="auto" w:fill="auto"/>
                  <w:vAlign w:val="center"/>
                </w:tcPr>
                <w:p w14:paraId="4DF1B1F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潜水搅拌器</w:t>
                  </w:r>
                </w:p>
              </w:tc>
              <w:tc>
                <w:tcPr>
                  <w:tcW w:w="2685" w:type="dxa"/>
                  <w:tcBorders>
                    <w:tl2br w:val="nil"/>
                    <w:tr2bl w:val="nil"/>
                  </w:tcBorders>
                  <w:shd w:val="clear" w:color="auto" w:fill="auto"/>
                  <w:vAlign w:val="center"/>
                </w:tcPr>
                <w:p w14:paraId="757C271F">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∅=260mm，N=1.5kW</w:t>
                  </w:r>
                </w:p>
              </w:tc>
              <w:tc>
                <w:tcPr>
                  <w:tcW w:w="947" w:type="dxa"/>
                  <w:tcBorders>
                    <w:tl2br w:val="nil"/>
                    <w:tr2bl w:val="nil"/>
                  </w:tcBorders>
                  <w:shd w:val="clear" w:color="auto" w:fill="auto"/>
                  <w:vAlign w:val="center"/>
                </w:tcPr>
                <w:p w14:paraId="774741E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9D1C64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156714A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33B4D35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用于厌氧区</w:t>
                  </w:r>
                </w:p>
              </w:tc>
            </w:tr>
            <w:tr w14:paraId="6623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9C85D4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972" w:type="dxa"/>
                  <w:tcBorders>
                    <w:tl2br w:val="nil"/>
                    <w:tr2bl w:val="nil"/>
                  </w:tcBorders>
                  <w:shd w:val="clear" w:color="auto" w:fill="auto"/>
                  <w:vAlign w:val="center"/>
                </w:tcPr>
                <w:p w14:paraId="5F109E6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潜水推流器</w:t>
                  </w:r>
                </w:p>
              </w:tc>
              <w:tc>
                <w:tcPr>
                  <w:tcW w:w="2685" w:type="dxa"/>
                  <w:tcBorders>
                    <w:tl2br w:val="nil"/>
                    <w:tr2bl w:val="nil"/>
                  </w:tcBorders>
                  <w:shd w:val="clear" w:color="auto" w:fill="auto"/>
                  <w:vAlign w:val="center"/>
                </w:tcPr>
                <w:p w14:paraId="1D19A138">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∅=2500mm，N=5.3kW</w:t>
                  </w:r>
                </w:p>
              </w:tc>
              <w:tc>
                <w:tcPr>
                  <w:tcW w:w="947" w:type="dxa"/>
                  <w:tcBorders>
                    <w:tl2br w:val="nil"/>
                    <w:tr2bl w:val="nil"/>
                  </w:tcBorders>
                  <w:shd w:val="clear" w:color="auto" w:fill="auto"/>
                  <w:vAlign w:val="center"/>
                </w:tcPr>
                <w:p w14:paraId="2E971B6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A10487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020D123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c>
                <w:tcPr>
                  <w:tcW w:w="1161" w:type="dxa"/>
                  <w:tcBorders>
                    <w:tl2br w:val="nil"/>
                    <w:tr2bl w:val="nil"/>
                  </w:tcBorders>
                  <w:shd w:val="clear" w:color="auto" w:fill="auto"/>
                  <w:vAlign w:val="center"/>
                </w:tcPr>
                <w:p w14:paraId="2944F05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用于缺氧区</w:t>
                  </w:r>
                </w:p>
              </w:tc>
            </w:tr>
            <w:tr w14:paraId="0C43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06FB2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972" w:type="dxa"/>
                  <w:tcBorders>
                    <w:tl2br w:val="nil"/>
                    <w:tr2bl w:val="nil"/>
                  </w:tcBorders>
                  <w:shd w:val="clear" w:color="auto" w:fill="auto"/>
                  <w:vAlign w:val="center"/>
                </w:tcPr>
                <w:p w14:paraId="77A8B14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手动圆形闸门</w:t>
                  </w:r>
                </w:p>
              </w:tc>
              <w:tc>
                <w:tcPr>
                  <w:tcW w:w="2685" w:type="dxa"/>
                  <w:tcBorders>
                    <w:tl2br w:val="nil"/>
                    <w:tr2bl w:val="nil"/>
                  </w:tcBorders>
                  <w:shd w:val="clear" w:color="auto" w:fill="auto"/>
                  <w:vAlign w:val="center"/>
                </w:tcPr>
                <w:p w14:paraId="7F666CC7">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DN400</w:t>
                  </w:r>
                </w:p>
              </w:tc>
              <w:tc>
                <w:tcPr>
                  <w:tcW w:w="947" w:type="dxa"/>
                  <w:tcBorders>
                    <w:tl2br w:val="nil"/>
                    <w:tr2bl w:val="nil"/>
                  </w:tcBorders>
                  <w:shd w:val="clear" w:color="auto" w:fill="auto"/>
                  <w:vAlign w:val="center"/>
                </w:tcPr>
                <w:p w14:paraId="29F2E3F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1D9E9B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04EBF7C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53E1E13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反向受力</w:t>
                  </w:r>
                </w:p>
              </w:tc>
            </w:tr>
            <w:tr w14:paraId="0D32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29165E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972" w:type="dxa"/>
                  <w:tcBorders>
                    <w:tl2br w:val="nil"/>
                    <w:tr2bl w:val="nil"/>
                  </w:tcBorders>
                  <w:shd w:val="clear" w:color="auto" w:fill="auto"/>
                  <w:vAlign w:val="center"/>
                </w:tcPr>
                <w:p w14:paraId="7B982A7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电动调节阀</w:t>
                  </w:r>
                </w:p>
              </w:tc>
              <w:tc>
                <w:tcPr>
                  <w:tcW w:w="2685" w:type="dxa"/>
                  <w:tcBorders>
                    <w:tl2br w:val="nil"/>
                    <w:tr2bl w:val="nil"/>
                  </w:tcBorders>
                  <w:shd w:val="clear" w:color="auto" w:fill="auto"/>
                  <w:vAlign w:val="center"/>
                </w:tcPr>
                <w:p w14:paraId="6FBC68F9">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DN300，PN=0.6MPa，N=0.06kW</w:t>
                  </w:r>
                </w:p>
              </w:tc>
              <w:tc>
                <w:tcPr>
                  <w:tcW w:w="947" w:type="dxa"/>
                  <w:tcBorders>
                    <w:tl2br w:val="nil"/>
                    <w:tr2bl w:val="nil"/>
                  </w:tcBorders>
                  <w:shd w:val="clear" w:color="auto" w:fill="auto"/>
                  <w:vAlign w:val="center"/>
                </w:tcPr>
                <w:p w14:paraId="57E5E59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7CFFD3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3859776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6D8BA70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用于空气主管</w:t>
                  </w:r>
                </w:p>
              </w:tc>
            </w:tr>
            <w:tr w14:paraId="5A63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860CD8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1972" w:type="dxa"/>
                  <w:tcBorders>
                    <w:tl2br w:val="nil"/>
                    <w:tr2bl w:val="nil"/>
                  </w:tcBorders>
                  <w:shd w:val="clear" w:color="auto" w:fill="auto"/>
                  <w:vAlign w:val="center"/>
                </w:tcPr>
                <w:p w14:paraId="2C568C8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双法兰限位伸缩接头</w:t>
                  </w:r>
                </w:p>
              </w:tc>
              <w:tc>
                <w:tcPr>
                  <w:tcW w:w="2685" w:type="dxa"/>
                  <w:tcBorders>
                    <w:tl2br w:val="nil"/>
                    <w:tr2bl w:val="nil"/>
                  </w:tcBorders>
                  <w:shd w:val="clear" w:color="auto" w:fill="auto"/>
                  <w:vAlign w:val="center"/>
                </w:tcPr>
                <w:p w14:paraId="7F1C543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DN300，PN=0.6MPa</w:t>
                  </w:r>
                </w:p>
              </w:tc>
              <w:tc>
                <w:tcPr>
                  <w:tcW w:w="947" w:type="dxa"/>
                  <w:tcBorders>
                    <w:tl2br w:val="nil"/>
                    <w:tr2bl w:val="nil"/>
                  </w:tcBorders>
                  <w:shd w:val="clear" w:color="auto" w:fill="auto"/>
                  <w:vAlign w:val="center"/>
                </w:tcPr>
                <w:p w14:paraId="2A77A6B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906060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35552F4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41989F9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用于空气主管</w:t>
                  </w:r>
                </w:p>
              </w:tc>
            </w:tr>
            <w:tr w14:paraId="6CD3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9A815A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w:t>
                  </w:r>
                </w:p>
              </w:tc>
              <w:tc>
                <w:tcPr>
                  <w:tcW w:w="1972" w:type="dxa"/>
                  <w:tcBorders>
                    <w:tl2br w:val="nil"/>
                    <w:tr2bl w:val="nil"/>
                  </w:tcBorders>
                  <w:shd w:val="clear" w:color="auto" w:fill="auto"/>
                  <w:vAlign w:val="center"/>
                </w:tcPr>
                <w:p w14:paraId="0671E75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手动蝶阀</w:t>
                  </w:r>
                </w:p>
              </w:tc>
              <w:tc>
                <w:tcPr>
                  <w:tcW w:w="2685" w:type="dxa"/>
                  <w:tcBorders>
                    <w:tl2br w:val="nil"/>
                    <w:tr2bl w:val="nil"/>
                  </w:tcBorders>
                  <w:shd w:val="clear" w:color="auto" w:fill="auto"/>
                  <w:vAlign w:val="center"/>
                </w:tcPr>
                <w:p w14:paraId="1A0C574D">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DN300，PN=0.6MPa</w:t>
                  </w:r>
                </w:p>
              </w:tc>
              <w:tc>
                <w:tcPr>
                  <w:tcW w:w="947" w:type="dxa"/>
                  <w:tcBorders>
                    <w:tl2br w:val="nil"/>
                    <w:tr2bl w:val="nil"/>
                  </w:tcBorders>
                  <w:shd w:val="clear" w:color="auto" w:fill="auto"/>
                  <w:vAlign w:val="center"/>
                </w:tcPr>
                <w:p w14:paraId="6E62772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C9AA4C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40BFA99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71CCA0B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用于空气主管</w:t>
                  </w:r>
                </w:p>
              </w:tc>
            </w:tr>
            <w:tr w14:paraId="724A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B2F476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c>
                <w:tcPr>
                  <w:tcW w:w="1972" w:type="dxa"/>
                  <w:tcBorders>
                    <w:tl2br w:val="nil"/>
                    <w:tr2bl w:val="nil"/>
                  </w:tcBorders>
                  <w:shd w:val="clear" w:color="auto" w:fill="auto"/>
                  <w:vAlign w:val="center"/>
                </w:tcPr>
                <w:p w14:paraId="1D76F86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手动对夹式蝶阀</w:t>
                  </w:r>
                </w:p>
              </w:tc>
              <w:tc>
                <w:tcPr>
                  <w:tcW w:w="2685" w:type="dxa"/>
                  <w:tcBorders>
                    <w:tl2br w:val="nil"/>
                    <w:tr2bl w:val="nil"/>
                  </w:tcBorders>
                  <w:shd w:val="clear" w:color="auto" w:fill="auto"/>
                  <w:vAlign w:val="center"/>
                </w:tcPr>
                <w:p w14:paraId="6E8BA89C">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DN100，PN=0.6MPa</w:t>
                  </w:r>
                </w:p>
              </w:tc>
              <w:tc>
                <w:tcPr>
                  <w:tcW w:w="947" w:type="dxa"/>
                  <w:tcBorders>
                    <w:tl2br w:val="nil"/>
                    <w:tr2bl w:val="nil"/>
                  </w:tcBorders>
                  <w:shd w:val="clear" w:color="auto" w:fill="auto"/>
                  <w:vAlign w:val="center"/>
                </w:tcPr>
                <w:p w14:paraId="5F8AD2E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293821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4E5BC49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54</w:t>
                  </w:r>
                </w:p>
              </w:tc>
              <w:tc>
                <w:tcPr>
                  <w:tcW w:w="1161" w:type="dxa"/>
                  <w:tcBorders>
                    <w:tl2br w:val="nil"/>
                    <w:tr2bl w:val="nil"/>
                  </w:tcBorders>
                  <w:shd w:val="clear" w:color="auto" w:fill="auto"/>
                  <w:vAlign w:val="center"/>
                </w:tcPr>
                <w:p w14:paraId="31FE6C0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用于空气竖支管</w:t>
                  </w:r>
                </w:p>
              </w:tc>
            </w:tr>
            <w:tr w14:paraId="1627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E4BC56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w:t>
                  </w:r>
                </w:p>
              </w:tc>
              <w:tc>
                <w:tcPr>
                  <w:tcW w:w="1972" w:type="dxa"/>
                  <w:tcBorders>
                    <w:tl2br w:val="nil"/>
                    <w:tr2bl w:val="nil"/>
                  </w:tcBorders>
                  <w:shd w:val="clear" w:color="auto" w:fill="auto"/>
                  <w:vAlign w:val="center"/>
                </w:tcPr>
                <w:p w14:paraId="24F9B3C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盘式曝气器</w:t>
                  </w:r>
                </w:p>
              </w:tc>
              <w:tc>
                <w:tcPr>
                  <w:tcW w:w="2685" w:type="dxa"/>
                  <w:tcBorders>
                    <w:tl2br w:val="nil"/>
                    <w:tr2bl w:val="nil"/>
                  </w:tcBorders>
                  <w:shd w:val="clear" w:color="auto" w:fill="auto"/>
                  <w:vAlign w:val="center"/>
                </w:tcPr>
                <w:p w14:paraId="1027BF38">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∅200，Q=1.5~3.0N</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w:t>
                  </w:r>
                </w:p>
              </w:tc>
              <w:tc>
                <w:tcPr>
                  <w:tcW w:w="947" w:type="dxa"/>
                  <w:tcBorders>
                    <w:tl2br w:val="nil"/>
                    <w:tr2bl w:val="nil"/>
                  </w:tcBorders>
                  <w:shd w:val="clear" w:color="auto" w:fill="auto"/>
                  <w:vAlign w:val="center"/>
                </w:tcPr>
                <w:p w14:paraId="3F7E830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EPDM</w:t>
                  </w:r>
                </w:p>
              </w:tc>
              <w:tc>
                <w:tcPr>
                  <w:tcW w:w="517" w:type="dxa"/>
                  <w:tcBorders>
                    <w:tl2br w:val="nil"/>
                    <w:tr2bl w:val="nil"/>
                  </w:tcBorders>
                  <w:shd w:val="clear" w:color="auto" w:fill="auto"/>
                  <w:vAlign w:val="center"/>
                </w:tcPr>
                <w:p w14:paraId="79D3975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77FDCF0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3280</w:t>
                  </w:r>
                </w:p>
              </w:tc>
              <w:tc>
                <w:tcPr>
                  <w:tcW w:w="1161" w:type="dxa"/>
                  <w:tcBorders>
                    <w:tl2br w:val="nil"/>
                    <w:tr2bl w:val="nil"/>
                  </w:tcBorders>
                  <w:shd w:val="clear" w:color="auto" w:fill="auto"/>
                  <w:vAlign w:val="center"/>
                </w:tcPr>
                <w:p w14:paraId="2A5DB24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配套曝气管、支管及扣件、支撑件等</w:t>
                  </w:r>
                </w:p>
              </w:tc>
            </w:tr>
            <w:tr w14:paraId="5B7E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7"/>
                  <w:tcBorders>
                    <w:tl2br w:val="nil"/>
                    <w:tr2bl w:val="nil"/>
                  </w:tcBorders>
                  <w:shd w:val="clear" w:color="auto" w:fill="auto"/>
                  <w:vAlign w:val="center"/>
                </w:tcPr>
                <w:p w14:paraId="7D99EC6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配水集泥井、二沉池及提升泵池</w:t>
                  </w:r>
                </w:p>
              </w:tc>
            </w:tr>
            <w:tr w14:paraId="31C2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B3F1A7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972" w:type="dxa"/>
                  <w:tcBorders>
                    <w:tl2br w:val="nil"/>
                    <w:tr2bl w:val="nil"/>
                  </w:tcBorders>
                  <w:shd w:val="clear" w:color="auto" w:fill="auto"/>
                  <w:vAlign w:val="center"/>
                </w:tcPr>
                <w:p w14:paraId="22DE3E1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半桥式周边传动刮吸泥机</w:t>
                  </w:r>
                </w:p>
              </w:tc>
              <w:tc>
                <w:tcPr>
                  <w:tcW w:w="2685" w:type="dxa"/>
                  <w:tcBorders>
                    <w:tl2br w:val="nil"/>
                    <w:tr2bl w:val="nil"/>
                  </w:tcBorders>
                  <w:shd w:val="clear" w:color="auto" w:fill="auto"/>
                  <w:vAlign w:val="center"/>
                </w:tcPr>
                <w:p w14:paraId="47A0896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D=20m，P=0.75kW</w:t>
                  </w:r>
                </w:p>
              </w:tc>
              <w:tc>
                <w:tcPr>
                  <w:tcW w:w="947" w:type="dxa"/>
                  <w:tcBorders>
                    <w:tl2br w:val="nil"/>
                    <w:tr2bl w:val="nil"/>
                  </w:tcBorders>
                  <w:shd w:val="clear" w:color="auto" w:fill="auto"/>
                  <w:vAlign w:val="center"/>
                </w:tcPr>
                <w:p w14:paraId="64DC211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55621D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4C9F73F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19D0BA8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配套稳流筒</w:t>
                  </w:r>
                </w:p>
              </w:tc>
            </w:tr>
            <w:tr w14:paraId="42C4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CD0521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972" w:type="dxa"/>
                  <w:tcBorders>
                    <w:tl2br w:val="nil"/>
                    <w:tr2bl w:val="nil"/>
                  </w:tcBorders>
                  <w:shd w:val="clear" w:color="auto" w:fill="auto"/>
                  <w:vAlign w:val="center"/>
                </w:tcPr>
                <w:p w14:paraId="007F678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回流污泥潜污泵</w:t>
                  </w:r>
                </w:p>
              </w:tc>
              <w:tc>
                <w:tcPr>
                  <w:tcW w:w="2685" w:type="dxa"/>
                  <w:tcBorders>
                    <w:tl2br w:val="nil"/>
                    <w:tr2bl w:val="nil"/>
                  </w:tcBorders>
                  <w:shd w:val="clear" w:color="auto" w:fill="auto"/>
                  <w:vAlign w:val="center"/>
                </w:tcPr>
                <w:p w14:paraId="74725841">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Q=150</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/h，H=7.0m，N=7.5kW</w:t>
                  </w:r>
                </w:p>
              </w:tc>
              <w:tc>
                <w:tcPr>
                  <w:tcW w:w="947" w:type="dxa"/>
                  <w:tcBorders>
                    <w:tl2br w:val="nil"/>
                    <w:tr2bl w:val="nil"/>
                  </w:tcBorders>
                  <w:shd w:val="clear" w:color="auto" w:fill="auto"/>
                  <w:vAlign w:val="center"/>
                </w:tcPr>
                <w:p w14:paraId="0DD5EA7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1A1D3C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2547595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161" w:type="dxa"/>
                  <w:tcBorders>
                    <w:tl2br w:val="nil"/>
                    <w:tr2bl w:val="nil"/>
                  </w:tcBorders>
                  <w:shd w:val="clear" w:color="auto" w:fill="auto"/>
                  <w:vAlign w:val="center"/>
                </w:tcPr>
                <w:p w14:paraId="1077D10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2用1备，变频</w:t>
                  </w:r>
                </w:p>
              </w:tc>
            </w:tr>
            <w:tr w14:paraId="1B39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9DDB07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972" w:type="dxa"/>
                  <w:tcBorders>
                    <w:tl2br w:val="nil"/>
                    <w:tr2bl w:val="nil"/>
                  </w:tcBorders>
                  <w:shd w:val="clear" w:color="auto" w:fill="auto"/>
                  <w:vAlign w:val="center"/>
                </w:tcPr>
                <w:p w14:paraId="02EDFCC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剩余污泥潜污泵</w:t>
                  </w:r>
                </w:p>
              </w:tc>
              <w:tc>
                <w:tcPr>
                  <w:tcW w:w="2685" w:type="dxa"/>
                  <w:tcBorders>
                    <w:tl2br w:val="nil"/>
                    <w:tr2bl w:val="nil"/>
                  </w:tcBorders>
                  <w:shd w:val="clear" w:color="auto" w:fill="auto"/>
                  <w:vAlign w:val="center"/>
                </w:tcPr>
                <w:p w14:paraId="75DD3F32">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Q=10</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/h，H=9.0m，N=0.75kW</w:t>
                  </w:r>
                </w:p>
              </w:tc>
              <w:tc>
                <w:tcPr>
                  <w:tcW w:w="947" w:type="dxa"/>
                  <w:tcBorders>
                    <w:tl2br w:val="nil"/>
                    <w:tr2bl w:val="nil"/>
                  </w:tcBorders>
                  <w:shd w:val="clear" w:color="auto" w:fill="auto"/>
                  <w:vAlign w:val="center"/>
                </w:tcPr>
                <w:p w14:paraId="1A71B97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8DCA7E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35B1278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54C3E5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1用1备</w:t>
                  </w:r>
                </w:p>
              </w:tc>
            </w:tr>
            <w:tr w14:paraId="21A9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8CC7A9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972" w:type="dxa"/>
                  <w:tcBorders>
                    <w:tl2br w:val="nil"/>
                    <w:tr2bl w:val="nil"/>
                  </w:tcBorders>
                  <w:shd w:val="clear" w:color="auto" w:fill="auto"/>
                  <w:vAlign w:val="center"/>
                </w:tcPr>
                <w:p w14:paraId="518AE7B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电动旋转堰门</w:t>
                  </w:r>
                </w:p>
              </w:tc>
              <w:tc>
                <w:tcPr>
                  <w:tcW w:w="2685" w:type="dxa"/>
                  <w:tcBorders>
                    <w:tl2br w:val="nil"/>
                    <w:tr2bl w:val="nil"/>
                  </w:tcBorders>
                  <w:shd w:val="clear" w:color="auto" w:fill="auto"/>
                  <w:vAlign w:val="center"/>
                </w:tcPr>
                <w:p w14:paraId="37250485">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L=2.5m，H=500mm，N=0.37kW</w:t>
                  </w:r>
                </w:p>
              </w:tc>
              <w:tc>
                <w:tcPr>
                  <w:tcW w:w="947" w:type="dxa"/>
                  <w:tcBorders>
                    <w:tl2br w:val="nil"/>
                    <w:tr2bl w:val="nil"/>
                  </w:tcBorders>
                  <w:shd w:val="clear" w:color="auto" w:fill="auto"/>
                  <w:vAlign w:val="center"/>
                </w:tcPr>
                <w:p w14:paraId="4D61840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2BC187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5EADA11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05A290C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配套手电两用启闭机</w:t>
                  </w:r>
                </w:p>
              </w:tc>
            </w:tr>
            <w:tr w14:paraId="49EE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CFF9E7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w:t>
                  </w:r>
                </w:p>
              </w:tc>
              <w:tc>
                <w:tcPr>
                  <w:tcW w:w="1972" w:type="dxa"/>
                  <w:tcBorders>
                    <w:tl2br w:val="nil"/>
                    <w:tr2bl w:val="nil"/>
                  </w:tcBorders>
                  <w:shd w:val="clear" w:color="auto" w:fill="auto"/>
                  <w:vAlign w:val="center"/>
                </w:tcPr>
                <w:p w14:paraId="203C4EF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电动方闸门</w:t>
                  </w:r>
                </w:p>
              </w:tc>
              <w:tc>
                <w:tcPr>
                  <w:tcW w:w="2685" w:type="dxa"/>
                  <w:tcBorders>
                    <w:tl2br w:val="nil"/>
                    <w:tr2bl w:val="nil"/>
                  </w:tcBorders>
                  <w:shd w:val="clear" w:color="auto" w:fill="auto"/>
                  <w:vAlign w:val="center"/>
                </w:tcPr>
                <w:p w14:paraId="017F18B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800×800，N=1.25kW</w:t>
                  </w:r>
                </w:p>
              </w:tc>
              <w:tc>
                <w:tcPr>
                  <w:tcW w:w="947" w:type="dxa"/>
                  <w:tcBorders>
                    <w:tl2br w:val="nil"/>
                    <w:tr2bl w:val="nil"/>
                  </w:tcBorders>
                  <w:shd w:val="clear" w:color="auto" w:fill="auto"/>
                  <w:vAlign w:val="center"/>
                </w:tcPr>
                <w:p w14:paraId="67ECFED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0BCF7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727082C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11E4E38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配套手电两用启闭机，双向受力</w:t>
                  </w:r>
                </w:p>
              </w:tc>
            </w:tr>
            <w:tr w14:paraId="17E6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29E53D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1972" w:type="dxa"/>
                  <w:tcBorders>
                    <w:tl2br w:val="nil"/>
                    <w:tr2bl w:val="nil"/>
                  </w:tcBorders>
                  <w:shd w:val="clear" w:color="auto" w:fill="auto"/>
                  <w:vAlign w:val="center"/>
                </w:tcPr>
                <w:p w14:paraId="1D07871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套筒排泥阀</w:t>
                  </w:r>
                </w:p>
              </w:tc>
              <w:tc>
                <w:tcPr>
                  <w:tcW w:w="2685" w:type="dxa"/>
                  <w:tcBorders>
                    <w:tl2br w:val="nil"/>
                    <w:tr2bl w:val="nil"/>
                  </w:tcBorders>
                  <w:shd w:val="clear" w:color="auto" w:fill="auto"/>
                  <w:vAlign w:val="center"/>
                </w:tcPr>
                <w:p w14:paraId="0E8BAE7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DN350，调节范围1.5m</w:t>
                  </w:r>
                </w:p>
              </w:tc>
              <w:tc>
                <w:tcPr>
                  <w:tcW w:w="947" w:type="dxa"/>
                  <w:tcBorders>
                    <w:tl2br w:val="nil"/>
                    <w:tr2bl w:val="nil"/>
                  </w:tcBorders>
                  <w:shd w:val="clear" w:color="auto" w:fill="auto"/>
                  <w:vAlign w:val="center"/>
                </w:tcPr>
                <w:p w14:paraId="5FE3142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71A939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2F4FDA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12C039E8">
                  <w:pPr>
                    <w:jc w:val="center"/>
                    <w:rPr>
                      <w:rFonts w:hint="default" w:ascii="Times New Roman" w:hAnsi="Times New Roman" w:cs="Times New Roman"/>
                      <w:color w:val="auto"/>
                      <w:sz w:val="21"/>
                      <w:szCs w:val="21"/>
                    </w:rPr>
                  </w:pPr>
                </w:p>
              </w:tc>
            </w:tr>
            <w:tr w14:paraId="40612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7F4933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w:t>
                  </w:r>
                </w:p>
              </w:tc>
              <w:tc>
                <w:tcPr>
                  <w:tcW w:w="1972" w:type="dxa"/>
                  <w:tcBorders>
                    <w:tl2br w:val="nil"/>
                    <w:tr2bl w:val="nil"/>
                  </w:tcBorders>
                  <w:shd w:val="clear" w:color="auto" w:fill="auto"/>
                  <w:vAlign w:val="center"/>
                </w:tcPr>
                <w:p w14:paraId="6D7860A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污水提升潜污泵</w:t>
                  </w:r>
                </w:p>
              </w:tc>
              <w:tc>
                <w:tcPr>
                  <w:tcW w:w="2685" w:type="dxa"/>
                  <w:tcBorders>
                    <w:tl2br w:val="nil"/>
                    <w:tr2bl w:val="nil"/>
                  </w:tcBorders>
                  <w:shd w:val="clear" w:color="auto" w:fill="auto"/>
                  <w:vAlign w:val="center"/>
                </w:tcPr>
                <w:p w14:paraId="1B2E33B0">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Q=190</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/h，H=12m，N=11kW</w:t>
                  </w:r>
                </w:p>
              </w:tc>
              <w:tc>
                <w:tcPr>
                  <w:tcW w:w="947" w:type="dxa"/>
                  <w:tcBorders>
                    <w:tl2br w:val="nil"/>
                    <w:tr2bl w:val="nil"/>
                  </w:tcBorders>
                  <w:shd w:val="clear" w:color="auto" w:fill="auto"/>
                  <w:vAlign w:val="center"/>
                </w:tcPr>
                <w:p w14:paraId="3F5063E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C5B47B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68BFB82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07C298E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3用1备，变频</w:t>
                  </w:r>
                </w:p>
              </w:tc>
            </w:tr>
            <w:tr w14:paraId="20F6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620B760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c>
                <w:tcPr>
                  <w:tcW w:w="1972" w:type="dxa"/>
                  <w:tcBorders>
                    <w:tl2br w:val="nil"/>
                    <w:tr2bl w:val="nil"/>
                  </w:tcBorders>
                  <w:shd w:val="clear" w:color="auto" w:fill="auto"/>
                  <w:vAlign w:val="center"/>
                </w:tcPr>
                <w:p w14:paraId="4736EBB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手动法兰伸缩蝶阀</w:t>
                  </w:r>
                </w:p>
              </w:tc>
              <w:tc>
                <w:tcPr>
                  <w:tcW w:w="2685" w:type="dxa"/>
                  <w:tcBorders>
                    <w:tl2br w:val="nil"/>
                    <w:tr2bl w:val="nil"/>
                  </w:tcBorders>
                  <w:shd w:val="clear" w:color="auto" w:fill="auto"/>
                  <w:vAlign w:val="center"/>
                </w:tcPr>
                <w:p w14:paraId="6F9491AA">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DN400，PN=0.6MPa</w:t>
                  </w:r>
                </w:p>
              </w:tc>
              <w:tc>
                <w:tcPr>
                  <w:tcW w:w="947" w:type="dxa"/>
                  <w:tcBorders>
                    <w:tl2br w:val="nil"/>
                    <w:tr2bl w:val="nil"/>
                  </w:tcBorders>
                  <w:shd w:val="clear" w:color="auto" w:fill="auto"/>
                  <w:vAlign w:val="center"/>
                </w:tcPr>
                <w:p w14:paraId="67BECA6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986027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7710349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7DF7207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中间提升泵房出水管</w:t>
                  </w:r>
                </w:p>
              </w:tc>
            </w:tr>
            <w:tr w14:paraId="3371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6631552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w:t>
                  </w:r>
                </w:p>
              </w:tc>
              <w:tc>
                <w:tcPr>
                  <w:tcW w:w="1972" w:type="dxa"/>
                  <w:tcBorders>
                    <w:tl2br w:val="nil"/>
                    <w:tr2bl w:val="nil"/>
                  </w:tcBorders>
                  <w:shd w:val="clear" w:color="auto" w:fill="auto"/>
                  <w:vAlign w:val="center"/>
                </w:tcPr>
                <w:p w14:paraId="50948B0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手动蝶阀</w:t>
                  </w:r>
                </w:p>
              </w:tc>
              <w:tc>
                <w:tcPr>
                  <w:tcW w:w="2685" w:type="dxa"/>
                  <w:tcBorders>
                    <w:tl2br w:val="nil"/>
                    <w:tr2bl w:val="nil"/>
                  </w:tcBorders>
                  <w:shd w:val="clear" w:color="auto" w:fill="auto"/>
                  <w:vAlign w:val="center"/>
                </w:tcPr>
                <w:p w14:paraId="3C9A864F">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DN250，PN=0.6MPa</w:t>
                  </w:r>
                </w:p>
              </w:tc>
              <w:tc>
                <w:tcPr>
                  <w:tcW w:w="947" w:type="dxa"/>
                  <w:tcBorders>
                    <w:tl2br w:val="nil"/>
                    <w:tr2bl w:val="nil"/>
                  </w:tcBorders>
                  <w:shd w:val="clear" w:color="auto" w:fill="auto"/>
                  <w:vAlign w:val="center"/>
                </w:tcPr>
                <w:p w14:paraId="58035EC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AE71D2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246C1D6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528ECC9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回流污泥管</w:t>
                  </w:r>
                </w:p>
              </w:tc>
            </w:tr>
            <w:tr w14:paraId="5027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639C90F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w:t>
                  </w:r>
                </w:p>
              </w:tc>
              <w:tc>
                <w:tcPr>
                  <w:tcW w:w="1972" w:type="dxa"/>
                  <w:tcBorders>
                    <w:tl2br w:val="nil"/>
                    <w:tr2bl w:val="nil"/>
                  </w:tcBorders>
                  <w:shd w:val="clear" w:color="auto" w:fill="auto"/>
                  <w:vAlign w:val="center"/>
                </w:tcPr>
                <w:p w14:paraId="038F0B9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手动蝶阀</w:t>
                  </w:r>
                </w:p>
              </w:tc>
              <w:tc>
                <w:tcPr>
                  <w:tcW w:w="2685" w:type="dxa"/>
                  <w:tcBorders>
                    <w:tl2br w:val="nil"/>
                    <w:tr2bl w:val="nil"/>
                  </w:tcBorders>
                  <w:shd w:val="clear" w:color="auto" w:fill="auto"/>
                  <w:vAlign w:val="center"/>
                </w:tcPr>
                <w:p w14:paraId="435EFFFD">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DN300，PN=0.6MPa</w:t>
                  </w:r>
                </w:p>
              </w:tc>
              <w:tc>
                <w:tcPr>
                  <w:tcW w:w="947" w:type="dxa"/>
                  <w:tcBorders>
                    <w:tl2br w:val="nil"/>
                    <w:tr2bl w:val="nil"/>
                  </w:tcBorders>
                  <w:shd w:val="clear" w:color="auto" w:fill="auto"/>
                  <w:vAlign w:val="center"/>
                </w:tcPr>
                <w:p w14:paraId="7481AF3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E29301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406D093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6326B05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中间提升泵出水管</w:t>
                  </w:r>
                </w:p>
              </w:tc>
            </w:tr>
            <w:tr w14:paraId="37A9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B13F22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w:t>
                  </w:r>
                </w:p>
              </w:tc>
              <w:tc>
                <w:tcPr>
                  <w:tcW w:w="1972" w:type="dxa"/>
                  <w:tcBorders>
                    <w:tl2br w:val="nil"/>
                    <w:tr2bl w:val="nil"/>
                  </w:tcBorders>
                  <w:shd w:val="clear" w:color="auto" w:fill="auto"/>
                  <w:vAlign w:val="center"/>
                </w:tcPr>
                <w:p w14:paraId="10873AC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手动蝶阀</w:t>
                  </w:r>
                </w:p>
              </w:tc>
              <w:tc>
                <w:tcPr>
                  <w:tcW w:w="2685" w:type="dxa"/>
                  <w:tcBorders>
                    <w:tl2br w:val="nil"/>
                    <w:tr2bl w:val="nil"/>
                  </w:tcBorders>
                  <w:shd w:val="clear" w:color="auto" w:fill="auto"/>
                  <w:vAlign w:val="center"/>
                </w:tcPr>
                <w:p w14:paraId="748B908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DN100，PN=0.6MPa</w:t>
                  </w:r>
                </w:p>
              </w:tc>
              <w:tc>
                <w:tcPr>
                  <w:tcW w:w="947" w:type="dxa"/>
                  <w:tcBorders>
                    <w:tl2br w:val="nil"/>
                    <w:tr2bl w:val="nil"/>
                  </w:tcBorders>
                  <w:shd w:val="clear" w:color="auto" w:fill="auto"/>
                  <w:vAlign w:val="center"/>
                </w:tcPr>
                <w:p w14:paraId="3EDFDCC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52B372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3CA2A2D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6168F28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剩余污泥管</w:t>
                  </w:r>
                </w:p>
              </w:tc>
            </w:tr>
            <w:tr w14:paraId="3E4F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16DBBD7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12</w:t>
                  </w:r>
                </w:p>
              </w:tc>
              <w:tc>
                <w:tcPr>
                  <w:tcW w:w="1972" w:type="dxa"/>
                  <w:tcBorders>
                    <w:tl2br w:val="nil"/>
                    <w:tr2bl w:val="nil"/>
                  </w:tcBorders>
                  <w:shd w:val="clear" w:color="auto" w:fill="auto"/>
                  <w:vAlign w:val="center"/>
                </w:tcPr>
                <w:p w14:paraId="70FA4A1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微阻缓闭消声止回阀</w:t>
                  </w:r>
                </w:p>
              </w:tc>
              <w:tc>
                <w:tcPr>
                  <w:tcW w:w="2685" w:type="dxa"/>
                  <w:tcBorders>
                    <w:tl2br w:val="nil"/>
                    <w:tr2bl w:val="nil"/>
                  </w:tcBorders>
                  <w:shd w:val="clear" w:color="auto" w:fill="auto"/>
                  <w:vAlign w:val="center"/>
                </w:tcPr>
                <w:p w14:paraId="401AEB5B">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DN250，PN=0.6MPa</w:t>
                  </w:r>
                </w:p>
              </w:tc>
              <w:tc>
                <w:tcPr>
                  <w:tcW w:w="947" w:type="dxa"/>
                  <w:tcBorders>
                    <w:tl2br w:val="nil"/>
                    <w:tr2bl w:val="nil"/>
                  </w:tcBorders>
                  <w:shd w:val="clear" w:color="auto" w:fill="auto"/>
                  <w:vAlign w:val="center"/>
                </w:tcPr>
                <w:p w14:paraId="51D5B8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CD3E17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D366D0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154BE2D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回流污泥管</w:t>
                  </w:r>
                </w:p>
              </w:tc>
            </w:tr>
            <w:tr w14:paraId="7FE3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EB664E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13</w:t>
                  </w:r>
                </w:p>
              </w:tc>
              <w:tc>
                <w:tcPr>
                  <w:tcW w:w="1972" w:type="dxa"/>
                  <w:tcBorders>
                    <w:tl2br w:val="nil"/>
                    <w:tr2bl w:val="nil"/>
                  </w:tcBorders>
                  <w:shd w:val="clear" w:color="auto" w:fill="auto"/>
                  <w:vAlign w:val="center"/>
                </w:tcPr>
                <w:p w14:paraId="06A3E12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微阻缓闭消声止回阀</w:t>
                  </w:r>
                </w:p>
              </w:tc>
              <w:tc>
                <w:tcPr>
                  <w:tcW w:w="2685" w:type="dxa"/>
                  <w:tcBorders>
                    <w:tl2br w:val="nil"/>
                    <w:tr2bl w:val="nil"/>
                  </w:tcBorders>
                  <w:shd w:val="clear" w:color="auto" w:fill="auto"/>
                  <w:vAlign w:val="center"/>
                </w:tcPr>
                <w:p w14:paraId="699B1F1F">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DN300，PN=0.6MPa</w:t>
                  </w:r>
                </w:p>
              </w:tc>
              <w:tc>
                <w:tcPr>
                  <w:tcW w:w="947" w:type="dxa"/>
                  <w:tcBorders>
                    <w:tl2br w:val="nil"/>
                    <w:tr2bl w:val="nil"/>
                  </w:tcBorders>
                  <w:shd w:val="clear" w:color="auto" w:fill="auto"/>
                  <w:vAlign w:val="center"/>
                </w:tcPr>
                <w:p w14:paraId="3C8FAA1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AB8CB7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2E8097C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3264179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中间提升泵出水管</w:t>
                  </w:r>
                </w:p>
              </w:tc>
            </w:tr>
            <w:tr w14:paraId="35F7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B11C58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14</w:t>
                  </w:r>
                </w:p>
              </w:tc>
              <w:tc>
                <w:tcPr>
                  <w:tcW w:w="1972" w:type="dxa"/>
                  <w:tcBorders>
                    <w:tl2br w:val="nil"/>
                    <w:tr2bl w:val="nil"/>
                  </w:tcBorders>
                  <w:shd w:val="clear" w:color="auto" w:fill="auto"/>
                  <w:vAlign w:val="center"/>
                </w:tcPr>
                <w:p w14:paraId="63B157C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微阻缓闭消声止回阀</w:t>
                  </w:r>
                </w:p>
              </w:tc>
              <w:tc>
                <w:tcPr>
                  <w:tcW w:w="2685" w:type="dxa"/>
                  <w:tcBorders>
                    <w:tl2br w:val="nil"/>
                    <w:tr2bl w:val="nil"/>
                  </w:tcBorders>
                  <w:shd w:val="clear" w:color="auto" w:fill="auto"/>
                  <w:vAlign w:val="center"/>
                </w:tcPr>
                <w:p w14:paraId="7A434557">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DN100，PN=0.6MPa</w:t>
                  </w:r>
                </w:p>
              </w:tc>
              <w:tc>
                <w:tcPr>
                  <w:tcW w:w="947" w:type="dxa"/>
                  <w:tcBorders>
                    <w:tl2br w:val="nil"/>
                    <w:tr2bl w:val="nil"/>
                  </w:tcBorders>
                  <w:shd w:val="clear" w:color="auto" w:fill="auto"/>
                  <w:vAlign w:val="center"/>
                </w:tcPr>
                <w:p w14:paraId="54CFFA5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97ADC0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55A4A2A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53B6E0E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剩余污泥管</w:t>
                  </w:r>
                </w:p>
              </w:tc>
            </w:tr>
            <w:tr w14:paraId="4F36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E36BA7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p>
              </w:tc>
              <w:tc>
                <w:tcPr>
                  <w:tcW w:w="1972" w:type="dxa"/>
                  <w:tcBorders>
                    <w:tl2br w:val="nil"/>
                    <w:tr2bl w:val="nil"/>
                  </w:tcBorders>
                  <w:shd w:val="clear" w:color="auto" w:fill="auto"/>
                  <w:vAlign w:val="center"/>
                </w:tcPr>
                <w:p w14:paraId="0EEB9CC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双法兰限位伸缩接头</w:t>
                  </w:r>
                </w:p>
              </w:tc>
              <w:tc>
                <w:tcPr>
                  <w:tcW w:w="2685" w:type="dxa"/>
                  <w:tcBorders>
                    <w:tl2br w:val="nil"/>
                    <w:tr2bl w:val="nil"/>
                  </w:tcBorders>
                  <w:shd w:val="clear" w:color="auto" w:fill="auto"/>
                  <w:vAlign w:val="center"/>
                </w:tcPr>
                <w:p w14:paraId="0E2B4E0E">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DN250，PN=0.6MPa</w:t>
                  </w:r>
                </w:p>
              </w:tc>
              <w:tc>
                <w:tcPr>
                  <w:tcW w:w="947" w:type="dxa"/>
                  <w:tcBorders>
                    <w:tl2br w:val="nil"/>
                    <w:tr2bl w:val="nil"/>
                  </w:tcBorders>
                  <w:shd w:val="clear" w:color="auto" w:fill="auto"/>
                  <w:vAlign w:val="center"/>
                </w:tcPr>
                <w:p w14:paraId="6939B03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043BC5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2141F2E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6CBBB6D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回流污泥管</w:t>
                  </w:r>
                </w:p>
              </w:tc>
            </w:tr>
            <w:tr w14:paraId="6F10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CC3A57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16</w:t>
                  </w:r>
                </w:p>
              </w:tc>
              <w:tc>
                <w:tcPr>
                  <w:tcW w:w="1972" w:type="dxa"/>
                  <w:tcBorders>
                    <w:tl2br w:val="nil"/>
                    <w:tr2bl w:val="nil"/>
                  </w:tcBorders>
                  <w:shd w:val="clear" w:color="auto" w:fill="auto"/>
                  <w:vAlign w:val="center"/>
                </w:tcPr>
                <w:p w14:paraId="7B4E719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双法兰限位伸缩接头</w:t>
                  </w:r>
                </w:p>
              </w:tc>
              <w:tc>
                <w:tcPr>
                  <w:tcW w:w="2685" w:type="dxa"/>
                  <w:tcBorders>
                    <w:tl2br w:val="nil"/>
                    <w:tr2bl w:val="nil"/>
                  </w:tcBorders>
                  <w:shd w:val="clear" w:color="auto" w:fill="auto"/>
                  <w:vAlign w:val="center"/>
                </w:tcPr>
                <w:p w14:paraId="20DC02B7">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DN300，PN=0.6MPa</w:t>
                  </w:r>
                </w:p>
              </w:tc>
              <w:tc>
                <w:tcPr>
                  <w:tcW w:w="947" w:type="dxa"/>
                  <w:tcBorders>
                    <w:tl2br w:val="nil"/>
                    <w:tr2bl w:val="nil"/>
                  </w:tcBorders>
                  <w:shd w:val="clear" w:color="auto" w:fill="auto"/>
                  <w:vAlign w:val="center"/>
                </w:tcPr>
                <w:p w14:paraId="48638EA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964564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AD73C0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2A6F21F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中间提升泵出水管</w:t>
                  </w:r>
                </w:p>
              </w:tc>
            </w:tr>
            <w:tr w14:paraId="23B7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9D3B55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17</w:t>
                  </w:r>
                </w:p>
              </w:tc>
              <w:tc>
                <w:tcPr>
                  <w:tcW w:w="1972" w:type="dxa"/>
                  <w:tcBorders>
                    <w:tl2br w:val="nil"/>
                    <w:tr2bl w:val="nil"/>
                  </w:tcBorders>
                  <w:shd w:val="clear" w:color="auto" w:fill="auto"/>
                  <w:vAlign w:val="center"/>
                </w:tcPr>
                <w:p w14:paraId="5A093FB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双法兰限位伸缩接头</w:t>
                  </w:r>
                </w:p>
              </w:tc>
              <w:tc>
                <w:tcPr>
                  <w:tcW w:w="2685" w:type="dxa"/>
                  <w:tcBorders>
                    <w:tl2br w:val="nil"/>
                    <w:tr2bl w:val="nil"/>
                  </w:tcBorders>
                  <w:shd w:val="clear" w:color="auto" w:fill="auto"/>
                  <w:vAlign w:val="center"/>
                </w:tcPr>
                <w:p w14:paraId="2092E9D9">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DN100，PN=0.6MPa</w:t>
                  </w:r>
                </w:p>
              </w:tc>
              <w:tc>
                <w:tcPr>
                  <w:tcW w:w="947" w:type="dxa"/>
                  <w:tcBorders>
                    <w:tl2br w:val="nil"/>
                    <w:tr2bl w:val="nil"/>
                  </w:tcBorders>
                  <w:shd w:val="clear" w:color="auto" w:fill="auto"/>
                  <w:vAlign w:val="center"/>
                </w:tcPr>
                <w:p w14:paraId="0E7D103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B94A3E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3C2C68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50D813F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剩余污泥管</w:t>
                  </w:r>
                </w:p>
              </w:tc>
            </w:tr>
            <w:tr w14:paraId="4312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1E91A67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18</w:t>
                  </w:r>
                </w:p>
              </w:tc>
              <w:tc>
                <w:tcPr>
                  <w:tcW w:w="1972" w:type="dxa"/>
                  <w:tcBorders>
                    <w:tl2br w:val="nil"/>
                    <w:tr2bl w:val="nil"/>
                  </w:tcBorders>
                  <w:shd w:val="clear" w:color="auto" w:fill="auto"/>
                  <w:vAlign w:val="center"/>
                </w:tcPr>
                <w:p w14:paraId="23D2FC3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手动闸阀</w:t>
                  </w:r>
                </w:p>
              </w:tc>
              <w:tc>
                <w:tcPr>
                  <w:tcW w:w="2685" w:type="dxa"/>
                  <w:tcBorders>
                    <w:tl2br w:val="nil"/>
                    <w:tr2bl w:val="nil"/>
                  </w:tcBorders>
                  <w:shd w:val="clear" w:color="auto" w:fill="auto"/>
                  <w:vAlign w:val="center"/>
                </w:tcPr>
                <w:p w14:paraId="6E820241">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DN300，PN=0.6MPa</w:t>
                  </w:r>
                </w:p>
              </w:tc>
              <w:tc>
                <w:tcPr>
                  <w:tcW w:w="947" w:type="dxa"/>
                  <w:tcBorders>
                    <w:tl2br w:val="nil"/>
                    <w:tr2bl w:val="nil"/>
                  </w:tcBorders>
                  <w:shd w:val="clear" w:color="auto" w:fill="auto"/>
                  <w:vAlign w:val="center"/>
                </w:tcPr>
                <w:p w14:paraId="533884C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C7BA26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00650D7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00A8F0F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终沉池放空管</w:t>
                  </w:r>
                </w:p>
              </w:tc>
            </w:tr>
            <w:tr w14:paraId="4660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74A9E0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19</w:t>
                  </w:r>
                </w:p>
              </w:tc>
              <w:tc>
                <w:tcPr>
                  <w:tcW w:w="1972" w:type="dxa"/>
                  <w:tcBorders>
                    <w:tl2br w:val="nil"/>
                    <w:tr2bl w:val="nil"/>
                  </w:tcBorders>
                  <w:shd w:val="clear" w:color="auto" w:fill="auto"/>
                  <w:vAlign w:val="center"/>
                </w:tcPr>
                <w:p w14:paraId="3535CB2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双法兰限位伸缩接头</w:t>
                  </w:r>
                </w:p>
              </w:tc>
              <w:tc>
                <w:tcPr>
                  <w:tcW w:w="2685" w:type="dxa"/>
                  <w:tcBorders>
                    <w:tl2br w:val="nil"/>
                    <w:tr2bl w:val="nil"/>
                  </w:tcBorders>
                  <w:shd w:val="clear" w:color="auto" w:fill="auto"/>
                  <w:vAlign w:val="center"/>
                </w:tcPr>
                <w:p w14:paraId="2F612505">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DN300，PN=0.6MPa</w:t>
                  </w:r>
                </w:p>
              </w:tc>
              <w:tc>
                <w:tcPr>
                  <w:tcW w:w="947" w:type="dxa"/>
                  <w:tcBorders>
                    <w:tl2br w:val="nil"/>
                    <w:tr2bl w:val="nil"/>
                  </w:tcBorders>
                  <w:shd w:val="clear" w:color="auto" w:fill="auto"/>
                  <w:vAlign w:val="center"/>
                </w:tcPr>
                <w:p w14:paraId="3F191EB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7DFE76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BD46D0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1468B6D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终沉池放空管</w:t>
                  </w:r>
                </w:p>
              </w:tc>
            </w:tr>
            <w:tr w14:paraId="522A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DE3A02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20</w:t>
                  </w:r>
                </w:p>
              </w:tc>
              <w:tc>
                <w:tcPr>
                  <w:tcW w:w="1972" w:type="dxa"/>
                  <w:tcBorders>
                    <w:tl2br w:val="nil"/>
                    <w:tr2bl w:val="nil"/>
                  </w:tcBorders>
                  <w:shd w:val="clear" w:color="auto" w:fill="auto"/>
                  <w:vAlign w:val="center"/>
                </w:tcPr>
                <w:p w14:paraId="118428B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单球可曲挠橡胶接头</w:t>
                  </w:r>
                </w:p>
              </w:tc>
              <w:tc>
                <w:tcPr>
                  <w:tcW w:w="2685" w:type="dxa"/>
                  <w:tcBorders>
                    <w:tl2br w:val="nil"/>
                    <w:tr2bl w:val="nil"/>
                  </w:tcBorders>
                  <w:shd w:val="clear" w:color="auto" w:fill="auto"/>
                  <w:vAlign w:val="center"/>
                </w:tcPr>
                <w:p w14:paraId="4F85A837">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DN500，PN=0.6MPa</w:t>
                  </w:r>
                </w:p>
              </w:tc>
              <w:tc>
                <w:tcPr>
                  <w:tcW w:w="947" w:type="dxa"/>
                  <w:tcBorders>
                    <w:tl2br w:val="nil"/>
                    <w:tr2bl w:val="nil"/>
                  </w:tcBorders>
                  <w:shd w:val="clear" w:color="auto" w:fill="auto"/>
                  <w:vAlign w:val="center"/>
                </w:tcPr>
                <w:p w14:paraId="3A9C5F8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2D72B6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291B4FB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788AC3B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总进水管</w:t>
                  </w:r>
                </w:p>
              </w:tc>
            </w:tr>
            <w:tr w14:paraId="78AE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7F3A45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21</w:t>
                  </w:r>
                </w:p>
              </w:tc>
              <w:tc>
                <w:tcPr>
                  <w:tcW w:w="1972" w:type="dxa"/>
                  <w:tcBorders>
                    <w:tl2br w:val="nil"/>
                    <w:tr2bl w:val="nil"/>
                  </w:tcBorders>
                  <w:shd w:val="clear" w:color="auto" w:fill="auto"/>
                  <w:vAlign w:val="center"/>
                </w:tcPr>
                <w:p w14:paraId="6DA1A21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单球可曲挠橡胶接头</w:t>
                  </w:r>
                </w:p>
              </w:tc>
              <w:tc>
                <w:tcPr>
                  <w:tcW w:w="2685" w:type="dxa"/>
                  <w:tcBorders>
                    <w:tl2br w:val="nil"/>
                    <w:tr2bl w:val="nil"/>
                  </w:tcBorders>
                  <w:shd w:val="clear" w:color="auto" w:fill="auto"/>
                  <w:vAlign w:val="center"/>
                </w:tcPr>
                <w:p w14:paraId="462CA675">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DN400，PN=0.6MPa</w:t>
                  </w:r>
                </w:p>
              </w:tc>
              <w:tc>
                <w:tcPr>
                  <w:tcW w:w="947" w:type="dxa"/>
                  <w:tcBorders>
                    <w:tl2br w:val="nil"/>
                    <w:tr2bl w:val="nil"/>
                  </w:tcBorders>
                  <w:shd w:val="clear" w:color="auto" w:fill="auto"/>
                  <w:vAlign w:val="center"/>
                </w:tcPr>
                <w:p w14:paraId="12999F7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15A632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6AD1D35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161" w:type="dxa"/>
                  <w:tcBorders>
                    <w:tl2br w:val="nil"/>
                    <w:tr2bl w:val="nil"/>
                  </w:tcBorders>
                  <w:shd w:val="clear" w:color="auto" w:fill="auto"/>
                  <w:vAlign w:val="center"/>
                </w:tcPr>
                <w:p w14:paraId="6419CB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终沉池出水管、中间提升泵房出水管</w:t>
                  </w:r>
                </w:p>
              </w:tc>
            </w:tr>
            <w:tr w14:paraId="6563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F3BFE9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22</w:t>
                  </w:r>
                </w:p>
              </w:tc>
              <w:tc>
                <w:tcPr>
                  <w:tcW w:w="1972" w:type="dxa"/>
                  <w:tcBorders>
                    <w:tl2br w:val="nil"/>
                    <w:tr2bl w:val="nil"/>
                  </w:tcBorders>
                  <w:shd w:val="clear" w:color="auto" w:fill="auto"/>
                  <w:vAlign w:val="center"/>
                </w:tcPr>
                <w:p w14:paraId="6F3030C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单球可曲挠橡胶接头</w:t>
                  </w:r>
                </w:p>
              </w:tc>
              <w:tc>
                <w:tcPr>
                  <w:tcW w:w="2685" w:type="dxa"/>
                  <w:tcBorders>
                    <w:tl2br w:val="nil"/>
                    <w:tr2bl w:val="nil"/>
                  </w:tcBorders>
                  <w:shd w:val="clear" w:color="auto" w:fill="auto"/>
                  <w:vAlign w:val="center"/>
                </w:tcPr>
                <w:p w14:paraId="0434C326">
                  <w:pP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DN300，PN=0.6MPa</w:t>
                  </w:r>
                </w:p>
              </w:tc>
              <w:tc>
                <w:tcPr>
                  <w:tcW w:w="947" w:type="dxa"/>
                  <w:tcBorders>
                    <w:tl2br w:val="nil"/>
                    <w:tr2bl w:val="nil"/>
                  </w:tcBorders>
                  <w:shd w:val="clear" w:color="auto" w:fill="auto"/>
                  <w:vAlign w:val="center"/>
                </w:tcPr>
                <w:p w14:paraId="4AAC946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564CE6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22547D4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161" w:type="dxa"/>
                  <w:tcBorders>
                    <w:tl2br w:val="nil"/>
                    <w:tr2bl w:val="nil"/>
                  </w:tcBorders>
                  <w:shd w:val="clear" w:color="auto" w:fill="auto"/>
                  <w:vAlign w:val="center"/>
                </w:tcPr>
                <w:p w14:paraId="69BEF5C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终沉池出水管、中间提升泵房出水管</w:t>
                  </w:r>
                </w:p>
              </w:tc>
            </w:tr>
            <w:tr w14:paraId="53EE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7"/>
                  <w:tcBorders>
                    <w:tl2br w:val="nil"/>
                    <w:tr2bl w:val="nil"/>
                  </w:tcBorders>
                  <w:shd w:val="clear" w:color="auto" w:fill="auto"/>
                  <w:vAlign w:val="center"/>
                </w:tcPr>
                <w:p w14:paraId="721D3DE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磁混凝沉淀间</w:t>
                  </w:r>
                </w:p>
              </w:tc>
            </w:tr>
            <w:tr w14:paraId="13B90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D3385B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972" w:type="dxa"/>
                  <w:tcBorders>
                    <w:tl2br w:val="nil"/>
                    <w:tr2bl w:val="nil"/>
                  </w:tcBorders>
                  <w:shd w:val="clear" w:color="auto" w:fill="auto"/>
                  <w:vAlign w:val="center"/>
                </w:tcPr>
                <w:p w14:paraId="2D4D436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中心传动浓缩刮泥机</w:t>
                  </w:r>
                </w:p>
              </w:tc>
              <w:tc>
                <w:tcPr>
                  <w:tcW w:w="2685" w:type="dxa"/>
                  <w:tcBorders>
                    <w:tl2br w:val="nil"/>
                    <w:tr2bl w:val="nil"/>
                  </w:tcBorders>
                  <w:shd w:val="clear" w:color="auto" w:fill="auto"/>
                  <w:vAlign w:val="center"/>
                </w:tcPr>
                <w:p w14:paraId="5C7B1C9A">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∅5m，转速0.5~5m/min，N=0.75kW</w:t>
                  </w:r>
                </w:p>
              </w:tc>
              <w:tc>
                <w:tcPr>
                  <w:tcW w:w="947" w:type="dxa"/>
                  <w:tcBorders>
                    <w:tl2br w:val="nil"/>
                    <w:tr2bl w:val="nil"/>
                  </w:tcBorders>
                  <w:shd w:val="clear" w:color="auto" w:fill="auto"/>
                  <w:vAlign w:val="center"/>
                </w:tcPr>
                <w:p w14:paraId="413A4E8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081D50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482719A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7FAB542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ABD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D4A40C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972" w:type="dxa"/>
                  <w:tcBorders>
                    <w:tl2br w:val="nil"/>
                    <w:tr2bl w:val="nil"/>
                  </w:tcBorders>
                  <w:shd w:val="clear" w:color="auto" w:fill="auto"/>
                  <w:vAlign w:val="center"/>
                </w:tcPr>
                <w:p w14:paraId="58E5E6F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快混区搅拌机</w:t>
                  </w:r>
                </w:p>
              </w:tc>
              <w:tc>
                <w:tcPr>
                  <w:tcW w:w="2685" w:type="dxa"/>
                  <w:tcBorders>
                    <w:tl2br w:val="nil"/>
                    <w:tr2bl w:val="nil"/>
                  </w:tcBorders>
                  <w:shd w:val="clear" w:color="auto" w:fill="auto"/>
                  <w:vAlign w:val="center"/>
                </w:tcPr>
                <w:p w14:paraId="2CDFD76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转速≤80r/min，N=2.2kW</w:t>
                  </w:r>
                </w:p>
              </w:tc>
              <w:tc>
                <w:tcPr>
                  <w:tcW w:w="947" w:type="dxa"/>
                  <w:tcBorders>
                    <w:tl2br w:val="nil"/>
                    <w:tr2bl w:val="nil"/>
                  </w:tcBorders>
                  <w:shd w:val="clear" w:color="auto" w:fill="auto"/>
                  <w:vAlign w:val="center"/>
                </w:tcPr>
                <w:p w14:paraId="59F689B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E1628D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27714D0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7A36E5B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5034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C3A5CA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972" w:type="dxa"/>
                  <w:tcBorders>
                    <w:tl2br w:val="nil"/>
                    <w:tr2bl w:val="nil"/>
                  </w:tcBorders>
                  <w:shd w:val="clear" w:color="auto" w:fill="auto"/>
                  <w:vAlign w:val="center"/>
                </w:tcPr>
                <w:p w14:paraId="6DA1FEC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磁粉混合区搅拌机</w:t>
                  </w:r>
                </w:p>
              </w:tc>
              <w:tc>
                <w:tcPr>
                  <w:tcW w:w="2685" w:type="dxa"/>
                  <w:tcBorders>
                    <w:tl2br w:val="nil"/>
                    <w:tr2bl w:val="nil"/>
                  </w:tcBorders>
                  <w:shd w:val="clear" w:color="auto" w:fill="auto"/>
                  <w:vAlign w:val="center"/>
                </w:tcPr>
                <w:p w14:paraId="44665D2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转速≤60r/min，N=2.2kW</w:t>
                  </w:r>
                </w:p>
              </w:tc>
              <w:tc>
                <w:tcPr>
                  <w:tcW w:w="947" w:type="dxa"/>
                  <w:tcBorders>
                    <w:tl2br w:val="nil"/>
                    <w:tr2bl w:val="nil"/>
                  </w:tcBorders>
                  <w:shd w:val="clear" w:color="auto" w:fill="auto"/>
                  <w:vAlign w:val="center"/>
                </w:tcPr>
                <w:p w14:paraId="545049F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98D6B0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21D0F76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225D954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42AB2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1902E5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972" w:type="dxa"/>
                  <w:tcBorders>
                    <w:tl2br w:val="nil"/>
                    <w:tr2bl w:val="nil"/>
                  </w:tcBorders>
                  <w:shd w:val="clear" w:color="auto" w:fill="auto"/>
                  <w:vAlign w:val="center"/>
                </w:tcPr>
                <w:p w14:paraId="39B5853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絮凝区搅拌机</w:t>
                  </w:r>
                </w:p>
              </w:tc>
              <w:tc>
                <w:tcPr>
                  <w:tcW w:w="2685" w:type="dxa"/>
                  <w:tcBorders>
                    <w:tl2br w:val="nil"/>
                    <w:tr2bl w:val="nil"/>
                  </w:tcBorders>
                  <w:shd w:val="clear" w:color="auto" w:fill="auto"/>
                  <w:vAlign w:val="center"/>
                </w:tcPr>
                <w:p w14:paraId="33EAE90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转速≤50r/min，N=1.5kW</w:t>
                  </w:r>
                </w:p>
              </w:tc>
              <w:tc>
                <w:tcPr>
                  <w:tcW w:w="947" w:type="dxa"/>
                  <w:tcBorders>
                    <w:tl2br w:val="nil"/>
                    <w:tr2bl w:val="nil"/>
                  </w:tcBorders>
                  <w:shd w:val="clear" w:color="auto" w:fill="auto"/>
                  <w:vAlign w:val="center"/>
                </w:tcPr>
                <w:p w14:paraId="647744B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D5D32A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2198639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175EA77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332E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A05500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972" w:type="dxa"/>
                  <w:tcBorders>
                    <w:tl2br w:val="nil"/>
                    <w:tr2bl w:val="nil"/>
                  </w:tcBorders>
                  <w:shd w:val="clear" w:color="auto" w:fill="auto"/>
                  <w:vAlign w:val="center"/>
                </w:tcPr>
                <w:p w14:paraId="3288130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磁剪切机</w:t>
                  </w:r>
                </w:p>
              </w:tc>
              <w:tc>
                <w:tcPr>
                  <w:tcW w:w="2685" w:type="dxa"/>
                  <w:tcBorders>
                    <w:tl2br w:val="nil"/>
                    <w:tr2bl w:val="nil"/>
                  </w:tcBorders>
                  <w:shd w:val="clear" w:color="auto" w:fill="auto"/>
                  <w:vAlign w:val="center"/>
                </w:tcPr>
                <w:p w14:paraId="79A28B9B">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Q=5m³/h，N=3kW</w:t>
                  </w:r>
                </w:p>
              </w:tc>
              <w:tc>
                <w:tcPr>
                  <w:tcW w:w="947" w:type="dxa"/>
                  <w:tcBorders>
                    <w:tl2br w:val="nil"/>
                    <w:tr2bl w:val="nil"/>
                  </w:tcBorders>
                  <w:shd w:val="clear" w:color="auto" w:fill="auto"/>
                  <w:vAlign w:val="center"/>
                </w:tcPr>
                <w:p w14:paraId="284E4BA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BE5210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1D0CAE5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4B13DDC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378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410734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1972" w:type="dxa"/>
                  <w:tcBorders>
                    <w:tl2br w:val="nil"/>
                    <w:tr2bl w:val="nil"/>
                  </w:tcBorders>
                  <w:shd w:val="clear" w:color="auto" w:fill="auto"/>
                  <w:vAlign w:val="center"/>
                </w:tcPr>
                <w:p w14:paraId="07DB227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磁分离机</w:t>
                  </w:r>
                </w:p>
              </w:tc>
              <w:tc>
                <w:tcPr>
                  <w:tcW w:w="2685" w:type="dxa"/>
                  <w:tcBorders>
                    <w:tl2br w:val="nil"/>
                    <w:tr2bl w:val="nil"/>
                  </w:tcBorders>
                  <w:shd w:val="clear" w:color="auto" w:fill="auto"/>
                  <w:vAlign w:val="center"/>
                </w:tcPr>
                <w:p w14:paraId="6A56904B">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Q=5m³/h，N=0.75kW</w:t>
                  </w:r>
                </w:p>
              </w:tc>
              <w:tc>
                <w:tcPr>
                  <w:tcW w:w="947" w:type="dxa"/>
                  <w:tcBorders>
                    <w:tl2br w:val="nil"/>
                    <w:tr2bl w:val="nil"/>
                  </w:tcBorders>
                  <w:shd w:val="clear" w:color="auto" w:fill="auto"/>
                  <w:vAlign w:val="center"/>
                </w:tcPr>
                <w:p w14:paraId="61733C3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EB6DBB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1CBCDAD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3EFEC88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6EF5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AF640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w:t>
                  </w:r>
                </w:p>
              </w:tc>
              <w:tc>
                <w:tcPr>
                  <w:tcW w:w="1972" w:type="dxa"/>
                  <w:tcBorders>
                    <w:tl2br w:val="nil"/>
                    <w:tr2bl w:val="nil"/>
                  </w:tcBorders>
                  <w:shd w:val="clear" w:color="auto" w:fill="auto"/>
                  <w:vAlign w:val="center"/>
                </w:tcPr>
                <w:p w14:paraId="4A53DFE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磁泥回流泵</w:t>
                  </w:r>
                </w:p>
              </w:tc>
              <w:tc>
                <w:tcPr>
                  <w:tcW w:w="2685" w:type="dxa"/>
                  <w:tcBorders>
                    <w:tl2br w:val="nil"/>
                    <w:tr2bl w:val="nil"/>
                  </w:tcBorders>
                  <w:shd w:val="clear" w:color="auto" w:fill="auto"/>
                  <w:vAlign w:val="center"/>
                </w:tcPr>
                <w:p w14:paraId="12418FA2">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Q=20m³/h，H=12m，N=1.2kW</w:t>
                  </w:r>
                </w:p>
              </w:tc>
              <w:tc>
                <w:tcPr>
                  <w:tcW w:w="947" w:type="dxa"/>
                  <w:tcBorders>
                    <w:tl2br w:val="nil"/>
                    <w:tr2bl w:val="nil"/>
                  </w:tcBorders>
                  <w:shd w:val="clear" w:color="auto" w:fill="auto"/>
                  <w:vAlign w:val="center"/>
                </w:tcPr>
                <w:p w14:paraId="0709073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5945E6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3508F67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4F19D27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1用1备</w:t>
                  </w:r>
                </w:p>
              </w:tc>
            </w:tr>
            <w:tr w14:paraId="6D0C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0BF3F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c>
                <w:tcPr>
                  <w:tcW w:w="1972" w:type="dxa"/>
                  <w:tcBorders>
                    <w:tl2br w:val="nil"/>
                    <w:tr2bl w:val="nil"/>
                  </w:tcBorders>
                  <w:shd w:val="clear" w:color="auto" w:fill="auto"/>
                  <w:vAlign w:val="center"/>
                </w:tcPr>
                <w:p w14:paraId="21A923F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磁泥剩余泵</w:t>
                  </w:r>
                </w:p>
              </w:tc>
              <w:tc>
                <w:tcPr>
                  <w:tcW w:w="2685" w:type="dxa"/>
                  <w:tcBorders>
                    <w:tl2br w:val="nil"/>
                    <w:tr2bl w:val="nil"/>
                  </w:tcBorders>
                  <w:shd w:val="clear" w:color="auto" w:fill="auto"/>
                  <w:vAlign w:val="center"/>
                </w:tcPr>
                <w:p w14:paraId="48B42D37">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Q=5m³/h，H=12m，N=1.0kW</w:t>
                  </w:r>
                </w:p>
              </w:tc>
              <w:tc>
                <w:tcPr>
                  <w:tcW w:w="947" w:type="dxa"/>
                  <w:tcBorders>
                    <w:tl2br w:val="nil"/>
                    <w:tr2bl w:val="nil"/>
                  </w:tcBorders>
                  <w:shd w:val="clear" w:color="auto" w:fill="auto"/>
                  <w:vAlign w:val="center"/>
                </w:tcPr>
                <w:p w14:paraId="62588DE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4A5771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21B641E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6248607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5FC0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2E62A5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w:t>
                  </w:r>
                </w:p>
              </w:tc>
              <w:tc>
                <w:tcPr>
                  <w:tcW w:w="1972" w:type="dxa"/>
                  <w:tcBorders>
                    <w:tl2br w:val="nil"/>
                    <w:tr2bl w:val="nil"/>
                  </w:tcBorders>
                  <w:shd w:val="clear" w:color="auto" w:fill="auto"/>
                  <w:vAlign w:val="center"/>
                </w:tcPr>
                <w:p w14:paraId="40F0A09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污泥排放泵</w:t>
                  </w:r>
                </w:p>
              </w:tc>
              <w:tc>
                <w:tcPr>
                  <w:tcW w:w="2685" w:type="dxa"/>
                  <w:tcBorders>
                    <w:tl2br w:val="nil"/>
                    <w:tr2bl w:val="nil"/>
                  </w:tcBorders>
                  <w:shd w:val="clear" w:color="auto" w:fill="auto"/>
                  <w:vAlign w:val="center"/>
                </w:tcPr>
                <w:p w14:paraId="3D42D390">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Q=10m³/h，H=12m，N=2.2kW</w:t>
                  </w:r>
                </w:p>
              </w:tc>
              <w:tc>
                <w:tcPr>
                  <w:tcW w:w="947" w:type="dxa"/>
                  <w:tcBorders>
                    <w:tl2br w:val="nil"/>
                    <w:tr2bl w:val="nil"/>
                  </w:tcBorders>
                  <w:shd w:val="clear" w:color="auto" w:fill="auto"/>
                  <w:vAlign w:val="center"/>
                </w:tcPr>
                <w:p w14:paraId="7F1D1D0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BEFD25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62B5F06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65631C0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1用1备</w:t>
                  </w:r>
                </w:p>
              </w:tc>
            </w:tr>
            <w:tr w14:paraId="0ED6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DD8894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w:t>
                  </w:r>
                </w:p>
              </w:tc>
              <w:tc>
                <w:tcPr>
                  <w:tcW w:w="1972" w:type="dxa"/>
                  <w:tcBorders>
                    <w:tl2br w:val="nil"/>
                    <w:tr2bl w:val="nil"/>
                  </w:tcBorders>
                  <w:shd w:val="clear" w:color="auto" w:fill="auto"/>
                  <w:vAlign w:val="center"/>
                </w:tcPr>
                <w:p w14:paraId="0AAE6FC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高压冲洗泵</w:t>
                  </w:r>
                </w:p>
              </w:tc>
              <w:tc>
                <w:tcPr>
                  <w:tcW w:w="2685" w:type="dxa"/>
                  <w:tcBorders>
                    <w:tl2br w:val="nil"/>
                    <w:tr2bl w:val="nil"/>
                  </w:tcBorders>
                  <w:shd w:val="clear" w:color="auto" w:fill="auto"/>
                  <w:vAlign w:val="center"/>
                </w:tcPr>
                <w:p w14:paraId="6439376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Q=10m³/h，H=30m，N=2.2kW</w:t>
                  </w:r>
                </w:p>
              </w:tc>
              <w:tc>
                <w:tcPr>
                  <w:tcW w:w="947" w:type="dxa"/>
                  <w:tcBorders>
                    <w:tl2br w:val="nil"/>
                    <w:tr2bl w:val="nil"/>
                  </w:tcBorders>
                  <w:shd w:val="clear" w:color="auto" w:fill="auto"/>
                  <w:vAlign w:val="center"/>
                </w:tcPr>
                <w:p w14:paraId="4C48592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21E1A5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6711AA2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487936F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1用1备</w:t>
                  </w:r>
                </w:p>
              </w:tc>
            </w:tr>
            <w:tr w14:paraId="617F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43F58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w:t>
                  </w:r>
                </w:p>
              </w:tc>
              <w:tc>
                <w:tcPr>
                  <w:tcW w:w="1972" w:type="dxa"/>
                  <w:tcBorders>
                    <w:tl2br w:val="nil"/>
                    <w:tr2bl w:val="nil"/>
                  </w:tcBorders>
                  <w:shd w:val="clear" w:color="auto" w:fill="auto"/>
                  <w:vAlign w:val="center"/>
                </w:tcPr>
                <w:p w14:paraId="77E47D3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排污泵</w:t>
                  </w:r>
                </w:p>
              </w:tc>
              <w:tc>
                <w:tcPr>
                  <w:tcW w:w="2685" w:type="dxa"/>
                  <w:tcBorders>
                    <w:tl2br w:val="nil"/>
                    <w:tr2bl w:val="nil"/>
                  </w:tcBorders>
                  <w:shd w:val="clear" w:color="auto" w:fill="auto"/>
                  <w:vAlign w:val="center"/>
                </w:tcPr>
                <w:p w14:paraId="7D7690A2">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Q=5m³/h，H=15m，N=0.75kW</w:t>
                  </w:r>
                </w:p>
              </w:tc>
              <w:tc>
                <w:tcPr>
                  <w:tcW w:w="947" w:type="dxa"/>
                  <w:tcBorders>
                    <w:tl2br w:val="nil"/>
                    <w:tr2bl w:val="nil"/>
                  </w:tcBorders>
                  <w:shd w:val="clear" w:color="auto" w:fill="auto"/>
                  <w:vAlign w:val="center"/>
                </w:tcPr>
                <w:p w14:paraId="4A8ED6A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0C9CDF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1F86C6F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157FDA6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9C76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vMerge w:val="restart"/>
                  <w:tcBorders>
                    <w:tl2br w:val="nil"/>
                    <w:tr2bl w:val="nil"/>
                  </w:tcBorders>
                  <w:shd w:val="clear" w:color="auto" w:fill="auto"/>
                  <w:vAlign w:val="center"/>
                </w:tcPr>
                <w:p w14:paraId="510AAC9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12</w:t>
                  </w:r>
                </w:p>
              </w:tc>
              <w:tc>
                <w:tcPr>
                  <w:tcW w:w="1972" w:type="dxa"/>
                  <w:vMerge w:val="restart"/>
                  <w:tcBorders>
                    <w:tl2br w:val="nil"/>
                    <w:tr2bl w:val="nil"/>
                  </w:tcBorders>
                  <w:shd w:val="clear" w:color="auto" w:fill="auto"/>
                  <w:vAlign w:val="center"/>
                </w:tcPr>
                <w:p w14:paraId="08D55F9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电动单梁悬挂起重机</w:t>
                  </w:r>
                </w:p>
              </w:tc>
              <w:tc>
                <w:tcPr>
                  <w:tcW w:w="2685" w:type="dxa"/>
                  <w:tcBorders>
                    <w:tl2br w:val="nil"/>
                    <w:tr2bl w:val="nil"/>
                  </w:tcBorders>
                  <w:shd w:val="clear" w:color="auto" w:fill="auto"/>
                  <w:vAlign w:val="center"/>
                </w:tcPr>
                <w:p w14:paraId="03092457">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Gn=3t，Sn=9.5m，</w:t>
                  </w:r>
                </w:p>
              </w:tc>
              <w:tc>
                <w:tcPr>
                  <w:tcW w:w="947" w:type="dxa"/>
                  <w:vMerge w:val="restart"/>
                  <w:tcBorders>
                    <w:tl2br w:val="nil"/>
                    <w:tr2bl w:val="nil"/>
                  </w:tcBorders>
                  <w:shd w:val="clear" w:color="auto" w:fill="auto"/>
                  <w:vAlign w:val="center"/>
                </w:tcPr>
                <w:p w14:paraId="0B59F95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vMerge w:val="restart"/>
                  <w:tcBorders>
                    <w:tl2br w:val="nil"/>
                    <w:tr2bl w:val="nil"/>
                  </w:tcBorders>
                  <w:shd w:val="clear" w:color="auto" w:fill="auto"/>
                  <w:vAlign w:val="center"/>
                </w:tcPr>
                <w:p w14:paraId="482E8B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vMerge w:val="restart"/>
                  <w:tcBorders>
                    <w:tl2br w:val="nil"/>
                    <w:tr2bl w:val="nil"/>
                  </w:tcBorders>
                  <w:shd w:val="clear" w:color="auto" w:fill="auto"/>
                  <w:vAlign w:val="center"/>
                </w:tcPr>
                <w:p w14:paraId="2F9AFF8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vMerge w:val="restart"/>
                  <w:tcBorders>
                    <w:tl2br w:val="nil"/>
                    <w:tr2bl w:val="nil"/>
                  </w:tcBorders>
                  <w:shd w:val="clear" w:color="auto" w:fill="auto"/>
                  <w:vAlign w:val="center"/>
                </w:tcPr>
                <w:p w14:paraId="6A106D1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41527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vMerge w:val="continue"/>
                  <w:tcBorders>
                    <w:tl2br w:val="nil"/>
                    <w:tr2bl w:val="nil"/>
                  </w:tcBorders>
                  <w:shd w:val="clear" w:color="auto" w:fill="auto"/>
                  <w:vAlign w:val="center"/>
                </w:tcPr>
                <w:p w14:paraId="60727647">
                  <w:pPr>
                    <w:jc w:val="center"/>
                    <w:rPr>
                      <w:rFonts w:hint="default" w:ascii="Times New Roman" w:hAnsi="Times New Roman" w:cs="Times New Roman"/>
                      <w:color w:val="auto"/>
                      <w:sz w:val="21"/>
                      <w:szCs w:val="21"/>
                    </w:rPr>
                  </w:pPr>
                </w:p>
              </w:tc>
              <w:tc>
                <w:tcPr>
                  <w:tcW w:w="1972" w:type="dxa"/>
                  <w:vMerge w:val="continue"/>
                  <w:tcBorders>
                    <w:tl2br w:val="nil"/>
                    <w:tr2bl w:val="nil"/>
                  </w:tcBorders>
                  <w:shd w:val="clear" w:color="auto" w:fill="auto"/>
                  <w:vAlign w:val="center"/>
                </w:tcPr>
                <w:p w14:paraId="20FE08CA">
                  <w:pPr>
                    <w:jc w:val="center"/>
                    <w:rPr>
                      <w:rFonts w:hint="default" w:ascii="Times New Roman" w:hAnsi="Times New Roman" w:cs="Times New Roman"/>
                      <w:color w:val="auto"/>
                      <w:sz w:val="21"/>
                      <w:szCs w:val="21"/>
                    </w:rPr>
                  </w:pPr>
                </w:p>
              </w:tc>
              <w:tc>
                <w:tcPr>
                  <w:tcW w:w="2685" w:type="dxa"/>
                  <w:tcBorders>
                    <w:tl2br w:val="nil"/>
                    <w:tr2bl w:val="nil"/>
                  </w:tcBorders>
                  <w:shd w:val="clear" w:color="auto" w:fill="auto"/>
                  <w:vAlign w:val="center"/>
                </w:tcPr>
                <w:p w14:paraId="5F20459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N=4.5+2×0.4+2×0.4kW</w:t>
                  </w:r>
                </w:p>
              </w:tc>
              <w:tc>
                <w:tcPr>
                  <w:tcW w:w="947" w:type="dxa"/>
                  <w:vMerge w:val="continue"/>
                  <w:tcBorders>
                    <w:tl2br w:val="nil"/>
                    <w:tr2bl w:val="nil"/>
                  </w:tcBorders>
                  <w:shd w:val="clear" w:color="auto" w:fill="auto"/>
                  <w:vAlign w:val="center"/>
                </w:tcPr>
                <w:p w14:paraId="5F06671E">
                  <w:pPr>
                    <w:jc w:val="center"/>
                    <w:rPr>
                      <w:rFonts w:hint="default" w:ascii="Times New Roman" w:hAnsi="Times New Roman" w:cs="Times New Roman"/>
                      <w:color w:val="auto"/>
                      <w:sz w:val="21"/>
                      <w:szCs w:val="21"/>
                    </w:rPr>
                  </w:pPr>
                </w:p>
              </w:tc>
              <w:tc>
                <w:tcPr>
                  <w:tcW w:w="517" w:type="dxa"/>
                  <w:vMerge w:val="continue"/>
                  <w:tcBorders>
                    <w:tl2br w:val="nil"/>
                    <w:tr2bl w:val="nil"/>
                  </w:tcBorders>
                  <w:shd w:val="clear" w:color="auto" w:fill="auto"/>
                  <w:vAlign w:val="center"/>
                </w:tcPr>
                <w:p w14:paraId="2ECA0821">
                  <w:pPr>
                    <w:jc w:val="center"/>
                    <w:rPr>
                      <w:rFonts w:hint="default" w:ascii="Times New Roman" w:hAnsi="Times New Roman" w:cs="Times New Roman"/>
                      <w:color w:val="auto"/>
                      <w:sz w:val="21"/>
                      <w:szCs w:val="21"/>
                    </w:rPr>
                  </w:pPr>
                </w:p>
              </w:tc>
              <w:tc>
                <w:tcPr>
                  <w:tcW w:w="486" w:type="dxa"/>
                  <w:vMerge w:val="continue"/>
                  <w:tcBorders>
                    <w:tl2br w:val="nil"/>
                    <w:tr2bl w:val="nil"/>
                  </w:tcBorders>
                  <w:shd w:val="clear" w:color="auto" w:fill="auto"/>
                  <w:vAlign w:val="center"/>
                </w:tcPr>
                <w:p w14:paraId="3D2C37B2">
                  <w:pPr>
                    <w:jc w:val="center"/>
                    <w:rPr>
                      <w:rFonts w:hint="default" w:ascii="Times New Roman" w:hAnsi="Times New Roman" w:cs="Times New Roman"/>
                      <w:color w:val="auto"/>
                      <w:sz w:val="21"/>
                      <w:szCs w:val="21"/>
                    </w:rPr>
                  </w:pPr>
                </w:p>
              </w:tc>
              <w:tc>
                <w:tcPr>
                  <w:tcW w:w="1161" w:type="dxa"/>
                  <w:vMerge w:val="continue"/>
                  <w:tcBorders>
                    <w:tl2br w:val="nil"/>
                    <w:tr2bl w:val="nil"/>
                  </w:tcBorders>
                  <w:shd w:val="clear" w:color="auto" w:fill="auto"/>
                  <w:vAlign w:val="center"/>
                </w:tcPr>
                <w:p w14:paraId="4005442D">
                  <w:pPr>
                    <w:jc w:val="center"/>
                    <w:rPr>
                      <w:rFonts w:hint="default" w:ascii="Times New Roman" w:hAnsi="Times New Roman" w:cs="Times New Roman"/>
                      <w:color w:val="auto"/>
                      <w:sz w:val="21"/>
                      <w:szCs w:val="21"/>
                    </w:rPr>
                  </w:pPr>
                </w:p>
              </w:tc>
            </w:tr>
            <w:tr w14:paraId="2A84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CA59A5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13</w:t>
                  </w:r>
                </w:p>
              </w:tc>
              <w:tc>
                <w:tcPr>
                  <w:tcW w:w="1972" w:type="dxa"/>
                  <w:tcBorders>
                    <w:tl2br w:val="nil"/>
                    <w:tr2bl w:val="nil"/>
                  </w:tcBorders>
                  <w:shd w:val="clear" w:color="auto" w:fill="auto"/>
                  <w:vAlign w:val="center"/>
                </w:tcPr>
                <w:p w14:paraId="74B840E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手动铸铁镶铜圆闸门</w:t>
                  </w:r>
                </w:p>
              </w:tc>
              <w:tc>
                <w:tcPr>
                  <w:tcW w:w="2685" w:type="dxa"/>
                  <w:tcBorders>
                    <w:tl2br w:val="nil"/>
                    <w:tr2bl w:val="nil"/>
                  </w:tcBorders>
                  <w:shd w:val="clear" w:color="auto" w:fill="auto"/>
                  <w:vAlign w:val="center"/>
                </w:tcPr>
                <w:p w14:paraId="0E6DBB73">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∅400</w:t>
                  </w:r>
                </w:p>
              </w:tc>
              <w:tc>
                <w:tcPr>
                  <w:tcW w:w="947" w:type="dxa"/>
                  <w:tcBorders>
                    <w:tl2br w:val="nil"/>
                    <w:tr2bl w:val="nil"/>
                  </w:tcBorders>
                  <w:shd w:val="clear" w:color="auto" w:fill="auto"/>
                  <w:vAlign w:val="center"/>
                </w:tcPr>
                <w:p w14:paraId="3F93960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1C86D4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54B1882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08FA60B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配套启闭机</w:t>
                  </w:r>
                </w:p>
              </w:tc>
            </w:tr>
            <w:tr w14:paraId="0F733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25D053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14</w:t>
                  </w:r>
                </w:p>
              </w:tc>
              <w:tc>
                <w:tcPr>
                  <w:tcW w:w="1972" w:type="dxa"/>
                  <w:tcBorders>
                    <w:tl2br w:val="nil"/>
                    <w:tr2bl w:val="nil"/>
                  </w:tcBorders>
                  <w:shd w:val="clear" w:color="auto" w:fill="auto"/>
                  <w:vAlign w:val="center"/>
                </w:tcPr>
                <w:p w14:paraId="7CF65E6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手动蝶阀</w:t>
                  </w:r>
                </w:p>
              </w:tc>
              <w:tc>
                <w:tcPr>
                  <w:tcW w:w="2685" w:type="dxa"/>
                  <w:tcBorders>
                    <w:tl2br w:val="nil"/>
                    <w:tr2bl w:val="nil"/>
                  </w:tcBorders>
                  <w:shd w:val="clear" w:color="auto" w:fill="auto"/>
                  <w:vAlign w:val="center"/>
                </w:tcPr>
                <w:p w14:paraId="32BDE45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DN400，PN=1.0MPa</w:t>
                  </w:r>
                </w:p>
              </w:tc>
              <w:tc>
                <w:tcPr>
                  <w:tcW w:w="947" w:type="dxa"/>
                  <w:tcBorders>
                    <w:tl2br w:val="nil"/>
                    <w:tr2bl w:val="nil"/>
                  </w:tcBorders>
                  <w:shd w:val="clear" w:color="auto" w:fill="auto"/>
                  <w:vAlign w:val="center"/>
                </w:tcPr>
                <w:p w14:paraId="4A50FDF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66BCEE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5CA2ED2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1BEACCC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137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AE5CF1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p>
              </w:tc>
              <w:tc>
                <w:tcPr>
                  <w:tcW w:w="1972" w:type="dxa"/>
                  <w:tcBorders>
                    <w:tl2br w:val="nil"/>
                    <w:tr2bl w:val="nil"/>
                  </w:tcBorders>
                  <w:shd w:val="clear" w:color="auto" w:fill="auto"/>
                  <w:vAlign w:val="center"/>
                </w:tcPr>
                <w:p w14:paraId="2D0E069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手动蝶阀</w:t>
                  </w:r>
                </w:p>
              </w:tc>
              <w:tc>
                <w:tcPr>
                  <w:tcW w:w="2685" w:type="dxa"/>
                  <w:tcBorders>
                    <w:tl2br w:val="nil"/>
                    <w:tr2bl w:val="nil"/>
                  </w:tcBorders>
                  <w:shd w:val="clear" w:color="auto" w:fill="auto"/>
                  <w:vAlign w:val="center"/>
                </w:tcPr>
                <w:p w14:paraId="3BFA982E">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DN150，PN=1.0MPa</w:t>
                  </w:r>
                </w:p>
              </w:tc>
              <w:tc>
                <w:tcPr>
                  <w:tcW w:w="947" w:type="dxa"/>
                  <w:tcBorders>
                    <w:tl2br w:val="nil"/>
                    <w:tr2bl w:val="nil"/>
                  </w:tcBorders>
                  <w:shd w:val="clear" w:color="auto" w:fill="auto"/>
                  <w:vAlign w:val="center"/>
                </w:tcPr>
                <w:p w14:paraId="17D8573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8F40CA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6A1C5DE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161" w:type="dxa"/>
                  <w:tcBorders>
                    <w:tl2br w:val="nil"/>
                    <w:tr2bl w:val="nil"/>
                  </w:tcBorders>
                  <w:shd w:val="clear" w:color="auto" w:fill="auto"/>
                  <w:vAlign w:val="center"/>
                </w:tcPr>
                <w:p w14:paraId="08B4163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580A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3062A8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16</w:t>
                  </w:r>
                </w:p>
              </w:tc>
              <w:tc>
                <w:tcPr>
                  <w:tcW w:w="1972" w:type="dxa"/>
                  <w:tcBorders>
                    <w:tl2br w:val="nil"/>
                    <w:tr2bl w:val="nil"/>
                  </w:tcBorders>
                  <w:shd w:val="clear" w:color="auto" w:fill="auto"/>
                  <w:vAlign w:val="center"/>
                </w:tcPr>
                <w:p w14:paraId="35701C7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手动蝶阀</w:t>
                  </w:r>
                </w:p>
              </w:tc>
              <w:tc>
                <w:tcPr>
                  <w:tcW w:w="2685" w:type="dxa"/>
                  <w:tcBorders>
                    <w:tl2br w:val="nil"/>
                    <w:tr2bl w:val="nil"/>
                  </w:tcBorders>
                  <w:shd w:val="clear" w:color="auto" w:fill="auto"/>
                  <w:vAlign w:val="center"/>
                </w:tcPr>
                <w:p w14:paraId="5B035192">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DN100，PN=1.0MPa</w:t>
                  </w:r>
                </w:p>
              </w:tc>
              <w:tc>
                <w:tcPr>
                  <w:tcW w:w="947" w:type="dxa"/>
                  <w:tcBorders>
                    <w:tl2br w:val="nil"/>
                    <w:tr2bl w:val="nil"/>
                  </w:tcBorders>
                  <w:shd w:val="clear" w:color="auto" w:fill="auto"/>
                  <w:vAlign w:val="center"/>
                </w:tcPr>
                <w:p w14:paraId="59A37B7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6B4AF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5A747C3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161" w:type="dxa"/>
                  <w:tcBorders>
                    <w:tl2br w:val="nil"/>
                    <w:tr2bl w:val="nil"/>
                  </w:tcBorders>
                  <w:shd w:val="clear" w:color="auto" w:fill="auto"/>
                  <w:vAlign w:val="center"/>
                </w:tcPr>
                <w:p w14:paraId="7872245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FEB1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6ED095D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17</w:t>
                  </w:r>
                </w:p>
              </w:tc>
              <w:tc>
                <w:tcPr>
                  <w:tcW w:w="1972" w:type="dxa"/>
                  <w:tcBorders>
                    <w:tl2br w:val="nil"/>
                    <w:tr2bl w:val="nil"/>
                  </w:tcBorders>
                  <w:shd w:val="clear" w:color="auto" w:fill="auto"/>
                  <w:vAlign w:val="center"/>
                </w:tcPr>
                <w:p w14:paraId="7CBF35A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手动蝶阀</w:t>
                  </w:r>
                </w:p>
              </w:tc>
              <w:tc>
                <w:tcPr>
                  <w:tcW w:w="2685" w:type="dxa"/>
                  <w:tcBorders>
                    <w:tl2br w:val="nil"/>
                    <w:tr2bl w:val="nil"/>
                  </w:tcBorders>
                  <w:shd w:val="clear" w:color="auto" w:fill="auto"/>
                  <w:vAlign w:val="center"/>
                </w:tcPr>
                <w:p w14:paraId="43F75B2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DN80，PN=1.0MPa</w:t>
                  </w:r>
                </w:p>
              </w:tc>
              <w:tc>
                <w:tcPr>
                  <w:tcW w:w="947" w:type="dxa"/>
                  <w:tcBorders>
                    <w:tl2br w:val="nil"/>
                    <w:tr2bl w:val="nil"/>
                  </w:tcBorders>
                  <w:shd w:val="clear" w:color="auto" w:fill="auto"/>
                  <w:vAlign w:val="center"/>
                </w:tcPr>
                <w:p w14:paraId="1CE88E4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3130D6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435A27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6121242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34D5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811A2F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18</w:t>
                  </w:r>
                </w:p>
              </w:tc>
              <w:tc>
                <w:tcPr>
                  <w:tcW w:w="1972" w:type="dxa"/>
                  <w:tcBorders>
                    <w:tl2br w:val="nil"/>
                    <w:tr2bl w:val="nil"/>
                  </w:tcBorders>
                  <w:shd w:val="clear" w:color="auto" w:fill="auto"/>
                  <w:vAlign w:val="center"/>
                </w:tcPr>
                <w:p w14:paraId="598C871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手动蝶阀</w:t>
                  </w:r>
                </w:p>
              </w:tc>
              <w:tc>
                <w:tcPr>
                  <w:tcW w:w="2685" w:type="dxa"/>
                  <w:tcBorders>
                    <w:tl2br w:val="nil"/>
                    <w:tr2bl w:val="nil"/>
                  </w:tcBorders>
                  <w:shd w:val="clear" w:color="auto" w:fill="auto"/>
                  <w:vAlign w:val="center"/>
                </w:tcPr>
                <w:p w14:paraId="23CB7887">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DN50，PN=1.0MPa</w:t>
                  </w:r>
                </w:p>
              </w:tc>
              <w:tc>
                <w:tcPr>
                  <w:tcW w:w="947" w:type="dxa"/>
                  <w:tcBorders>
                    <w:tl2br w:val="nil"/>
                    <w:tr2bl w:val="nil"/>
                  </w:tcBorders>
                  <w:shd w:val="clear" w:color="auto" w:fill="auto"/>
                  <w:vAlign w:val="center"/>
                </w:tcPr>
                <w:p w14:paraId="56119A5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5FB79F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0F39EA8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w:t>
                  </w:r>
                </w:p>
              </w:tc>
              <w:tc>
                <w:tcPr>
                  <w:tcW w:w="1161" w:type="dxa"/>
                  <w:tcBorders>
                    <w:tl2br w:val="nil"/>
                    <w:tr2bl w:val="nil"/>
                  </w:tcBorders>
                  <w:shd w:val="clear" w:color="auto" w:fill="auto"/>
                  <w:vAlign w:val="center"/>
                </w:tcPr>
                <w:p w14:paraId="7BBAB6F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41D1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C61F3B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19</w:t>
                  </w:r>
                </w:p>
              </w:tc>
              <w:tc>
                <w:tcPr>
                  <w:tcW w:w="1972" w:type="dxa"/>
                  <w:tcBorders>
                    <w:tl2br w:val="nil"/>
                    <w:tr2bl w:val="nil"/>
                  </w:tcBorders>
                  <w:shd w:val="clear" w:color="auto" w:fill="auto"/>
                  <w:vAlign w:val="center"/>
                </w:tcPr>
                <w:p w14:paraId="60EE088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手动闸阀</w:t>
                  </w:r>
                </w:p>
              </w:tc>
              <w:tc>
                <w:tcPr>
                  <w:tcW w:w="2685" w:type="dxa"/>
                  <w:tcBorders>
                    <w:tl2br w:val="nil"/>
                    <w:tr2bl w:val="nil"/>
                  </w:tcBorders>
                  <w:shd w:val="clear" w:color="auto" w:fill="auto"/>
                  <w:vAlign w:val="center"/>
                </w:tcPr>
                <w:p w14:paraId="50982B29">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DN50，PN=1.0MPa</w:t>
                  </w:r>
                </w:p>
              </w:tc>
              <w:tc>
                <w:tcPr>
                  <w:tcW w:w="947" w:type="dxa"/>
                  <w:tcBorders>
                    <w:tl2br w:val="nil"/>
                    <w:tr2bl w:val="nil"/>
                  </w:tcBorders>
                  <w:shd w:val="clear" w:color="auto" w:fill="auto"/>
                  <w:vAlign w:val="center"/>
                </w:tcPr>
                <w:p w14:paraId="3894E40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090BF8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29AF15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47216DB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9156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63312F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20</w:t>
                  </w:r>
                </w:p>
              </w:tc>
              <w:tc>
                <w:tcPr>
                  <w:tcW w:w="1972" w:type="dxa"/>
                  <w:tcBorders>
                    <w:tl2br w:val="nil"/>
                    <w:tr2bl w:val="nil"/>
                  </w:tcBorders>
                  <w:shd w:val="clear" w:color="auto" w:fill="auto"/>
                  <w:vAlign w:val="center"/>
                </w:tcPr>
                <w:p w14:paraId="030176B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止回阀</w:t>
                  </w:r>
                </w:p>
              </w:tc>
              <w:tc>
                <w:tcPr>
                  <w:tcW w:w="2685" w:type="dxa"/>
                  <w:tcBorders>
                    <w:tl2br w:val="nil"/>
                    <w:tr2bl w:val="nil"/>
                  </w:tcBorders>
                  <w:shd w:val="clear" w:color="auto" w:fill="auto"/>
                  <w:vAlign w:val="center"/>
                </w:tcPr>
                <w:p w14:paraId="3D8050C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DN100，PN=1.0MPa</w:t>
                  </w:r>
                </w:p>
              </w:tc>
              <w:tc>
                <w:tcPr>
                  <w:tcW w:w="947" w:type="dxa"/>
                  <w:tcBorders>
                    <w:tl2br w:val="nil"/>
                    <w:tr2bl w:val="nil"/>
                  </w:tcBorders>
                  <w:shd w:val="clear" w:color="auto" w:fill="auto"/>
                  <w:vAlign w:val="center"/>
                </w:tcPr>
                <w:p w14:paraId="58803DE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5EFC88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7EF821D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161" w:type="dxa"/>
                  <w:tcBorders>
                    <w:tl2br w:val="nil"/>
                    <w:tr2bl w:val="nil"/>
                  </w:tcBorders>
                  <w:shd w:val="clear" w:color="auto" w:fill="auto"/>
                  <w:vAlign w:val="center"/>
                </w:tcPr>
                <w:p w14:paraId="24A2091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A605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1E24E1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21</w:t>
                  </w:r>
                </w:p>
              </w:tc>
              <w:tc>
                <w:tcPr>
                  <w:tcW w:w="1972" w:type="dxa"/>
                  <w:tcBorders>
                    <w:tl2br w:val="nil"/>
                    <w:tr2bl w:val="nil"/>
                  </w:tcBorders>
                  <w:shd w:val="clear" w:color="auto" w:fill="auto"/>
                  <w:vAlign w:val="center"/>
                </w:tcPr>
                <w:p w14:paraId="620BE56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止回阀</w:t>
                  </w:r>
                </w:p>
              </w:tc>
              <w:tc>
                <w:tcPr>
                  <w:tcW w:w="2685" w:type="dxa"/>
                  <w:tcBorders>
                    <w:tl2br w:val="nil"/>
                    <w:tr2bl w:val="nil"/>
                  </w:tcBorders>
                  <w:shd w:val="clear" w:color="auto" w:fill="auto"/>
                  <w:vAlign w:val="center"/>
                </w:tcPr>
                <w:p w14:paraId="11342B13">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DN50，PN=1.0MPa</w:t>
                  </w:r>
                </w:p>
              </w:tc>
              <w:tc>
                <w:tcPr>
                  <w:tcW w:w="947" w:type="dxa"/>
                  <w:tcBorders>
                    <w:tl2br w:val="nil"/>
                    <w:tr2bl w:val="nil"/>
                  </w:tcBorders>
                  <w:shd w:val="clear" w:color="auto" w:fill="auto"/>
                  <w:vAlign w:val="center"/>
                </w:tcPr>
                <w:p w14:paraId="6CECAFA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A6171B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3AAB243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161" w:type="dxa"/>
                  <w:tcBorders>
                    <w:tl2br w:val="nil"/>
                    <w:tr2bl w:val="nil"/>
                  </w:tcBorders>
                  <w:shd w:val="clear" w:color="auto" w:fill="auto"/>
                  <w:vAlign w:val="center"/>
                </w:tcPr>
                <w:p w14:paraId="3F43E7F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4BB1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6C772EC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22</w:t>
                  </w:r>
                </w:p>
              </w:tc>
              <w:tc>
                <w:tcPr>
                  <w:tcW w:w="1972" w:type="dxa"/>
                  <w:tcBorders>
                    <w:tl2br w:val="nil"/>
                    <w:tr2bl w:val="nil"/>
                  </w:tcBorders>
                  <w:shd w:val="clear" w:color="auto" w:fill="auto"/>
                  <w:vAlign w:val="center"/>
                </w:tcPr>
                <w:p w14:paraId="2A536D5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可曲挠橡胶管接头</w:t>
                  </w:r>
                </w:p>
              </w:tc>
              <w:tc>
                <w:tcPr>
                  <w:tcW w:w="2685" w:type="dxa"/>
                  <w:tcBorders>
                    <w:tl2br w:val="nil"/>
                    <w:tr2bl w:val="nil"/>
                  </w:tcBorders>
                  <w:shd w:val="clear" w:color="auto" w:fill="auto"/>
                  <w:vAlign w:val="center"/>
                </w:tcPr>
                <w:p w14:paraId="63FE3ED0">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DN400，PN=1.0MPa</w:t>
                  </w:r>
                </w:p>
              </w:tc>
              <w:tc>
                <w:tcPr>
                  <w:tcW w:w="947" w:type="dxa"/>
                  <w:tcBorders>
                    <w:tl2br w:val="nil"/>
                    <w:tr2bl w:val="nil"/>
                  </w:tcBorders>
                  <w:shd w:val="clear" w:color="auto" w:fill="auto"/>
                  <w:vAlign w:val="center"/>
                </w:tcPr>
                <w:p w14:paraId="2E6A2F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B78248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7D5DAF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noWrap/>
                  <w:vAlign w:val="center"/>
                </w:tcPr>
                <w:p w14:paraId="0FBA9A3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5DCE3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A26ABA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23</w:t>
                  </w:r>
                </w:p>
              </w:tc>
              <w:tc>
                <w:tcPr>
                  <w:tcW w:w="1972" w:type="dxa"/>
                  <w:tcBorders>
                    <w:tl2br w:val="nil"/>
                    <w:tr2bl w:val="nil"/>
                  </w:tcBorders>
                  <w:shd w:val="clear" w:color="auto" w:fill="auto"/>
                  <w:vAlign w:val="center"/>
                </w:tcPr>
                <w:p w14:paraId="78408FB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可曲挠橡胶管接头</w:t>
                  </w:r>
                </w:p>
              </w:tc>
              <w:tc>
                <w:tcPr>
                  <w:tcW w:w="2685" w:type="dxa"/>
                  <w:tcBorders>
                    <w:tl2br w:val="nil"/>
                    <w:tr2bl w:val="nil"/>
                  </w:tcBorders>
                  <w:shd w:val="clear" w:color="auto" w:fill="auto"/>
                  <w:vAlign w:val="center"/>
                </w:tcPr>
                <w:p w14:paraId="3F58D9E1">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DN150，PN=1.0MPa</w:t>
                  </w:r>
                </w:p>
              </w:tc>
              <w:tc>
                <w:tcPr>
                  <w:tcW w:w="947" w:type="dxa"/>
                  <w:tcBorders>
                    <w:tl2br w:val="nil"/>
                    <w:tr2bl w:val="nil"/>
                  </w:tcBorders>
                  <w:shd w:val="clear" w:color="auto" w:fill="auto"/>
                  <w:vAlign w:val="center"/>
                </w:tcPr>
                <w:p w14:paraId="02B3B37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0B7229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D1B8BE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161" w:type="dxa"/>
                  <w:tcBorders>
                    <w:tl2br w:val="nil"/>
                    <w:tr2bl w:val="nil"/>
                  </w:tcBorders>
                  <w:shd w:val="clear" w:color="auto" w:fill="auto"/>
                  <w:vAlign w:val="center"/>
                </w:tcPr>
                <w:p w14:paraId="0CD9756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0FA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E381CA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24</w:t>
                  </w:r>
                </w:p>
              </w:tc>
              <w:tc>
                <w:tcPr>
                  <w:tcW w:w="1972" w:type="dxa"/>
                  <w:tcBorders>
                    <w:tl2br w:val="nil"/>
                    <w:tr2bl w:val="nil"/>
                  </w:tcBorders>
                  <w:shd w:val="clear" w:color="auto" w:fill="auto"/>
                  <w:vAlign w:val="center"/>
                </w:tcPr>
                <w:p w14:paraId="57A5A1C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可曲挠橡胶管接头</w:t>
                  </w:r>
                </w:p>
              </w:tc>
              <w:tc>
                <w:tcPr>
                  <w:tcW w:w="2685" w:type="dxa"/>
                  <w:tcBorders>
                    <w:tl2br w:val="nil"/>
                    <w:tr2bl w:val="nil"/>
                  </w:tcBorders>
                  <w:shd w:val="clear" w:color="auto" w:fill="auto"/>
                  <w:vAlign w:val="center"/>
                </w:tcPr>
                <w:p w14:paraId="1EB03AC9">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DN100，PN=1.0MPa</w:t>
                  </w:r>
                </w:p>
              </w:tc>
              <w:tc>
                <w:tcPr>
                  <w:tcW w:w="947" w:type="dxa"/>
                  <w:tcBorders>
                    <w:tl2br w:val="nil"/>
                    <w:tr2bl w:val="nil"/>
                  </w:tcBorders>
                  <w:shd w:val="clear" w:color="auto" w:fill="auto"/>
                  <w:vAlign w:val="center"/>
                </w:tcPr>
                <w:p w14:paraId="434379D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3B784C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027C6FF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161" w:type="dxa"/>
                  <w:tcBorders>
                    <w:tl2br w:val="nil"/>
                    <w:tr2bl w:val="nil"/>
                  </w:tcBorders>
                  <w:shd w:val="clear" w:color="auto" w:fill="auto"/>
                  <w:vAlign w:val="center"/>
                </w:tcPr>
                <w:p w14:paraId="2949BA0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D80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B69636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25</w:t>
                  </w:r>
                </w:p>
              </w:tc>
              <w:tc>
                <w:tcPr>
                  <w:tcW w:w="1972" w:type="dxa"/>
                  <w:tcBorders>
                    <w:tl2br w:val="nil"/>
                    <w:tr2bl w:val="nil"/>
                  </w:tcBorders>
                  <w:shd w:val="clear" w:color="auto" w:fill="auto"/>
                  <w:vAlign w:val="center"/>
                </w:tcPr>
                <w:p w14:paraId="33C246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可曲挠橡胶管接头</w:t>
                  </w:r>
                </w:p>
              </w:tc>
              <w:tc>
                <w:tcPr>
                  <w:tcW w:w="2685" w:type="dxa"/>
                  <w:tcBorders>
                    <w:tl2br w:val="nil"/>
                    <w:tr2bl w:val="nil"/>
                  </w:tcBorders>
                  <w:shd w:val="clear" w:color="auto" w:fill="auto"/>
                  <w:vAlign w:val="center"/>
                </w:tcPr>
                <w:p w14:paraId="509ACFBA">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DN80，PN=1.0MPa</w:t>
                  </w:r>
                </w:p>
              </w:tc>
              <w:tc>
                <w:tcPr>
                  <w:tcW w:w="947" w:type="dxa"/>
                  <w:tcBorders>
                    <w:tl2br w:val="nil"/>
                    <w:tr2bl w:val="nil"/>
                  </w:tcBorders>
                  <w:shd w:val="clear" w:color="auto" w:fill="auto"/>
                  <w:vAlign w:val="center"/>
                </w:tcPr>
                <w:p w14:paraId="14DDFF0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A7DC01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0ED3063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167FAD7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53D8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E7F467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26</w:t>
                  </w:r>
                </w:p>
              </w:tc>
              <w:tc>
                <w:tcPr>
                  <w:tcW w:w="1972" w:type="dxa"/>
                  <w:tcBorders>
                    <w:tl2br w:val="nil"/>
                    <w:tr2bl w:val="nil"/>
                  </w:tcBorders>
                  <w:shd w:val="clear" w:color="auto" w:fill="auto"/>
                  <w:vAlign w:val="center"/>
                </w:tcPr>
                <w:p w14:paraId="545BD87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可曲挠橡胶管接头</w:t>
                  </w:r>
                </w:p>
              </w:tc>
              <w:tc>
                <w:tcPr>
                  <w:tcW w:w="2685" w:type="dxa"/>
                  <w:tcBorders>
                    <w:tl2br w:val="nil"/>
                    <w:tr2bl w:val="nil"/>
                  </w:tcBorders>
                  <w:shd w:val="clear" w:color="auto" w:fill="auto"/>
                  <w:vAlign w:val="center"/>
                </w:tcPr>
                <w:p w14:paraId="194CDD5A">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DN50，PN=1.0MPa</w:t>
                  </w:r>
                </w:p>
              </w:tc>
              <w:tc>
                <w:tcPr>
                  <w:tcW w:w="947" w:type="dxa"/>
                  <w:tcBorders>
                    <w:tl2br w:val="nil"/>
                    <w:tr2bl w:val="nil"/>
                  </w:tcBorders>
                  <w:shd w:val="clear" w:color="auto" w:fill="auto"/>
                  <w:vAlign w:val="center"/>
                </w:tcPr>
                <w:p w14:paraId="23E4EA3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86C40E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431723E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1161" w:type="dxa"/>
                  <w:tcBorders>
                    <w:tl2br w:val="nil"/>
                    <w:tr2bl w:val="nil"/>
                  </w:tcBorders>
                  <w:shd w:val="clear" w:color="auto" w:fill="auto"/>
                  <w:vAlign w:val="center"/>
                </w:tcPr>
                <w:p w14:paraId="1F75DE5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589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7"/>
                  <w:tcBorders>
                    <w:tl2br w:val="nil"/>
                    <w:tr2bl w:val="nil"/>
                  </w:tcBorders>
                  <w:shd w:val="clear" w:color="auto" w:fill="auto"/>
                  <w:vAlign w:val="center"/>
                </w:tcPr>
                <w:p w14:paraId="76D26AE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V型滤池间</w:t>
                  </w:r>
                </w:p>
              </w:tc>
            </w:tr>
            <w:tr w14:paraId="278B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30A2ED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972" w:type="dxa"/>
                  <w:tcBorders>
                    <w:tl2br w:val="nil"/>
                    <w:tr2bl w:val="nil"/>
                  </w:tcBorders>
                  <w:shd w:val="clear" w:color="auto" w:fill="auto"/>
                  <w:vAlign w:val="center"/>
                </w:tcPr>
                <w:p w14:paraId="18E2022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电动葫芦</w:t>
                  </w:r>
                </w:p>
              </w:tc>
              <w:tc>
                <w:tcPr>
                  <w:tcW w:w="2685" w:type="dxa"/>
                  <w:tcBorders>
                    <w:tl2br w:val="nil"/>
                    <w:tr2bl w:val="nil"/>
                  </w:tcBorders>
                  <w:shd w:val="clear" w:color="auto" w:fill="auto"/>
                  <w:vAlign w:val="center"/>
                </w:tcPr>
                <w:p w14:paraId="01A84550">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T=1.0t，H=9m，N=1.5+0.2kW</w:t>
                  </w:r>
                </w:p>
              </w:tc>
              <w:tc>
                <w:tcPr>
                  <w:tcW w:w="947" w:type="dxa"/>
                  <w:tcBorders>
                    <w:tl2br w:val="nil"/>
                    <w:tr2bl w:val="nil"/>
                  </w:tcBorders>
                  <w:shd w:val="clear" w:color="auto" w:fill="auto"/>
                  <w:vAlign w:val="center"/>
                </w:tcPr>
                <w:p w14:paraId="72A9D13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E3DDEB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1532043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512B487D">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0A6E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07D944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972" w:type="dxa"/>
                  <w:tcBorders>
                    <w:tl2br w:val="nil"/>
                    <w:tr2bl w:val="nil"/>
                  </w:tcBorders>
                  <w:shd w:val="clear" w:color="auto" w:fill="auto"/>
                  <w:vAlign w:val="center"/>
                </w:tcPr>
                <w:p w14:paraId="63BDF8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潜污泵</w:t>
                  </w:r>
                </w:p>
              </w:tc>
              <w:tc>
                <w:tcPr>
                  <w:tcW w:w="2685" w:type="dxa"/>
                  <w:tcBorders>
                    <w:tl2br w:val="nil"/>
                    <w:tr2bl w:val="nil"/>
                  </w:tcBorders>
                  <w:shd w:val="clear" w:color="auto" w:fill="auto"/>
                  <w:vAlign w:val="center"/>
                </w:tcPr>
                <w:p w14:paraId="79F07D3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Q=7m³/h，H=12m，N=0.75kW</w:t>
                  </w:r>
                </w:p>
              </w:tc>
              <w:tc>
                <w:tcPr>
                  <w:tcW w:w="947" w:type="dxa"/>
                  <w:tcBorders>
                    <w:tl2br w:val="nil"/>
                    <w:tr2bl w:val="nil"/>
                  </w:tcBorders>
                  <w:shd w:val="clear" w:color="auto" w:fill="auto"/>
                  <w:vAlign w:val="center"/>
                </w:tcPr>
                <w:p w14:paraId="5CE39C4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9FBD35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12B50A0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69026A0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可移动式</w:t>
                  </w:r>
                </w:p>
              </w:tc>
            </w:tr>
            <w:tr w14:paraId="15B9C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E861B5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972" w:type="dxa"/>
                  <w:tcBorders>
                    <w:tl2br w:val="nil"/>
                    <w:tr2bl w:val="nil"/>
                  </w:tcBorders>
                  <w:shd w:val="clear" w:color="auto" w:fill="auto"/>
                  <w:vAlign w:val="center"/>
                </w:tcPr>
                <w:p w14:paraId="3F37689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单级立式离心泵</w:t>
                  </w:r>
                </w:p>
              </w:tc>
              <w:tc>
                <w:tcPr>
                  <w:tcW w:w="2685" w:type="dxa"/>
                  <w:tcBorders>
                    <w:tl2br w:val="nil"/>
                    <w:tr2bl w:val="nil"/>
                  </w:tcBorders>
                  <w:shd w:val="clear" w:color="auto" w:fill="auto"/>
                  <w:vAlign w:val="center"/>
                </w:tcPr>
                <w:p w14:paraId="7893B883">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Q=300m³/h，H=11m，N=18.5kW</w:t>
                  </w:r>
                </w:p>
              </w:tc>
              <w:tc>
                <w:tcPr>
                  <w:tcW w:w="947" w:type="dxa"/>
                  <w:tcBorders>
                    <w:tl2br w:val="nil"/>
                    <w:tr2bl w:val="nil"/>
                  </w:tcBorders>
                  <w:shd w:val="clear" w:color="auto" w:fill="auto"/>
                  <w:vAlign w:val="center"/>
                </w:tcPr>
                <w:p w14:paraId="595D66D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A7099B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0CA6D3C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161" w:type="dxa"/>
                  <w:tcBorders>
                    <w:tl2br w:val="nil"/>
                    <w:tr2bl w:val="nil"/>
                  </w:tcBorders>
                  <w:shd w:val="clear" w:color="auto" w:fill="auto"/>
                  <w:vAlign w:val="center"/>
                </w:tcPr>
                <w:p w14:paraId="5105A28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2用1备，1台变频</w:t>
                  </w:r>
                </w:p>
              </w:tc>
            </w:tr>
            <w:tr w14:paraId="6FCA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vMerge w:val="restart"/>
                  <w:tcBorders>
                    <w:tl2br w:val="nil"/>
                    <w:tr2bl w:val="nil"/>
                  </w:tcBorders>
                  <w:shd w:val="clear" w:color="auto" w:fill="auto"/>
                  <w:vAlign w:val="center"/>
                </w:tcPr>
                <w:p w14:paraId="75207AC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972" w:type="dxa"/>
                  <w:vMerge w:val="restart"/>
                  <w:tcBorders>
                    <w:tl2br w:val="nil"/>
                    <w:tr2bl w:val="nil"/>
                  </w:tcBorders>
                  <w:shd w:val="clear" w:color="auto" w:fill="auto"/>
                  <w:vAlign w:val="center"/>
                </w:tcPr>
                <w:p w14:paraId="0A71E37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三叶罗茨鼓风机</w:t>
                  </w:r>
                </w:p>
              </w:tc>
              <w:tc>
                <w:tcPr>
                  <w:tcW w:w="2685" w:type="dxa"/>
                  <w:tcBorders>
                    <w:tl2br w:val="nil"/>
                    <w:tr2bl w:val="nil"/>
                  </w:tcBorders>
                  <w:shd w:val="clear" w:color="auto" w:fill="auto"/>
                  <w:vAlign w:val="center"/>
                </w:tcPr>
                <w:p w14:paraId="4A68BA08">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Q=34m³/min，P=58.8kPa，</w:t>
                  </w:r>
                </w:p>
              </w:tc>
              <w:tc>
                <w:tcPr>
                  <w:tcW w:w="947" w:type="dxa"/>
                  <w:vMerge w:val="restart"/>
                  <w:tcBorders>
                    <w:tl2br w:val="nil"/>
                    <w:tr2bl w:val="nil"/>
                  </w:tcBorders>
                  <w:shd w:val="clear" w:color="auto" w:fill="auto"/>
                  <w:vAlign w:val="center"/>
                </w:tcPr>
                <w:p w14:paraId="3AC2EFC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vMerge w:val="restart"/>
                  <w:tcBorders>
                    <w:tl2br w:val="nil"/>
                    <w:tr2bl w:val="nil"/>
                  </w:tcBorders>
                  <w:shd w:val="clear" w:color="auto" w:fill="auto"/>
                  <w:vAlign w:val="center"/>
                </w:tcPr>
                <w:p w14:paraId="4232CAA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vMerge w:val="restart"/>
                  <w:tcBorders>
                    <w:tl2br w:val="nil"/>
                    <w:tr2bl w:val="nil"/>
                  </w:tcBorders>
                  <w:shd w:val="clear" w:color="auto" w:fill="auto"/>
                  <w:vAlign w:val="center"/>
                </w:tcPr>
                <w:p w14:paraId="316CF16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vMerge w:val="restart"/>
                  <w:tcBorders>
                    <w:tl2br w:val="nil"/>
                    <w:tr2bl w:val="nil"/>
                  </w:tcBorders>
                  <w:shd w:val="clear" w:color="auto" w:fill="auto"/>
                  <w:vAlign w:val="center"/>
                </w:tcPr>
                <w:p w14:paraId="0C268F7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1用1备，1台变频</w:t>
                  </w:r>
                </w:p>
              </w:tc>
            </w:tr>
            <w:tr w14:paraId="6089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vMerge w:val="continue"/>
                  <w:tcBorders>
                    <w:tl2br w:val="nil"/>
                    <w:tr2bl w:val="nil"/>
                  </w:tcBorders>
                  <w:shd w:val="clear" w:color="auto" w:fill="auto"/>
                  <w:vAlign w:val="center"/>
                </w:tcPr>
                <w:p w14:paraId="5056FE8E">
                  <w:pPr>
                    <w:jc w:val="center"/>
                    <w:rPr>
                      <w:rFonts w:hint="default" w:ascii="Times New Roman" w:hAnsi="Times New Roman" w:cs="Times New Roman"/>
                      <w:color w:val="auto"/>
                      <w:sz w:val="21"/>
                      <w:szCs w:val="21"/>
                    </w:rPr>
                  </w:pPr>
                </w:p>
              </w:tc>
              <w:tc>
                <w:tcPr>
                  <w:tcW w:w="1972" w:type="dxa"/>
                  <w:vMerge w:val="continue"/>
                  <w:tcBorders>
                    <w:tl2br w:val="nil"/>
                    <w:tr2bl w:val="nil"/>
                  </w:tcBorders>
                  <w:shd w:val="clear" w:color="auto" w:fill="auto"/>
                  <w:vAlign w:val="center"/>
                </w:tcPr>
                <w:p w14:paraId="2B702EC3">
                  <w:pPr>
                    <w:jc w:val="center"/>
                    <w:rPr>
                      <w:rFonts w:hint="default" w:ascii="Times New Roman" w:hAnsi="Times New Roman" w:cs="Times New Roman"/>
                      <w:color w:val="auto"/>
                      <w:sz w:val="21"/>
                      <w:szCs w:val="21"/>
                    </w:rPr>
                  </w:pPr>
                </w:p>
              </w:tc>
              <w:tc>
                <w:tcPr>
                  <w:tcW w:w="2685" w:type="dxa"/>
                  <w:tcBorders>
                    <w:tl2br w:val="nil"/>
                    <w:tr2bl w:val="nil"/>
                  </w:tcBorders>
                  <w:shd w:val="clear" w:color="auto" w:fill="auto"/>
                  <w:vAlign w:val="center"/>
                </w:tcPr>
                <w:p w14:paraId="612CD54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N=55kW</w:t>
                  </w:r>
                </w:p>
              </w:tc>
              <w:tc>
                <w:tcPr>
                  <w:tcW w:w="947" w:type="dxa"/>
                  <w:vMerge w:val="continue"/>
                  <w:tcBorders>
                    <w:tl2br w:val="nil"/>
                    <w:tr2bl w:val="nil"/>
                  </w:tcBorders>
                  <w:shd w:val="clear" w:color="auto" w:fill="auto"/>
                  <w:vAlign w:val="center"/>
                </w:tcPr>
                <w:p w14:paraId="50A1FD5B">
                  <w:pPr>
                    <w:jc w:val="center"/>
                    <w:rPr>
                      <w:rFonts w:hint="default" w:ascii="Times New Roman" w:hAnsi="Times New Roman" w:cs="Times New Roman"/>
                      <w:color w:val="auto"/>
                      <w:sz w:val="21"/>
                      <w:szCs w:val="21"/>
                    </w:rPr>
                  </w:pPr>
                </w:p>
              </w:tc>
              <w:tc>
                <w:tcPr>
                  <w:tcW w:w="517" w:type="dxa"/>
                  <w:vMerge w:val="continue"/>
                  <w:tcBorders>
                    <w:tl2br w:val="nil"/>
                    <w:tr2bl w:val="nil"/>
                  </w:tcBorders>
                  <w:shd w:val="clear" w:color="auto" w:fill="auto"/>
                  <w:vAlign w:val="center"/>
                </w:tcPr>
                <w:p w14:paraId="6653006F">
                  <w:pPr>
                    <w:jc w:val="center"/>
                    <w:rPr>
                      <w:rFonts w:hint="default" w:ascii="Times New Roman" w:hAnsi="Times New Roman" w:cs="Times New Roman"/>
                      <w:color w:val="auto"/>
                      <w:sz w:val="21"/>
                      <w:szCs w:val="21"/>
                    </w:rPr>
                  </w:pPr>
                </w:p>
              </w:tc>
              <w:tc>
                <w:tcPr>
                  <w:tcW w:w="486" w:type="dxa"/>
                  <w:vMerge w:val="continue"/>
                  <w:tcBorders>
                    <w:tl2br w:val="nil"/>
                    <w:tr2bl w:val="nil"/>
                  </w:tcBorders>
                  <w:shd w:val="clear" w:color="auto" w:fill="auto"/>
                  <w:vAlign w:val="center"/>
                </w:tcPr>
                <w:p w14:paraId="3012FFD4">
                  <w:pPr>
                    <w:jc w:val="center"/>
                    <w:rPr>
                      <w:rFonts w:hint="default" w:ascii="Times New Roman" w:hAnsi="Times New Roman" w:cs="Times New Roman"/>
                      <w:color w:val="auto"/>
                      <w:sz w:val="21"/>
                      <w:szCs w:val="21"/>
                    </w:rPr>
                  </w:pPr>
                </w:p>
              </w:tc>
              <w:tc>
                <w:tcPr>
                  <w:tcW w:w="1161" w:type="dxa"/>
                  <w:vMerge w:val="continue"/>
                  <w:tcBorders>
                    <w:tl2br w:val="nil"/>
                    <w:tr2bl w:val="nil"/>
                  </w:tcBorders>
                  <w:shd w:val="clear" w:color="auto" w:fill="auto"/>
                  <w:vAlign w:val="center"/>
                </w:tcPr>
                <w:p w14:paraId="50FEDEF5">
                  <w:pPr>
                    <w:jc w:val="center"/>
                    <w:rPr>
                      <w:rFonts w:hint="default" w:ascii="Times New Roman" w:hAnsi="Times New Roman" w:cs="Times New Roman"/>
                      <w:color w:val="auto"/>
                      <w:sz w:val="21"/>
                      <w:szCs w:val="21"/>
                    </w:rPr>
                  </w:pPr>
                </w:p>
              </w:tc>
            </w:tr>
            <w:tr w14:paraId="544C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98BB69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972" w:type="dxa"/>
                  <w:tcBorders>
                    <w:tl2br w:val="nil"/>
                    <w:tr2bl w:val="nil"/>
                  </w:tcBorders>
                  <w:shd w:val="clear" w:color="auto" w:fill="auto"/>
                  <w:vAlign w:val="center"/>
                </w:tcPr>
                <w:p w14:paraId="7EEECDD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电动闸板阀</w:t>
                  </w:r>
                </w:p>
              </w:tc>
              <w:tc>
                <w:tcPr>
                  <w:tcW w:w="2685" w:type="dxa"/>
                  <w:tcBorders>
                    <w:tl2br w:val="nil"/>
                    <w:tr2bl w:val="nil"/>
                  </w:tcBorders>
                  <w:shd w:val="clear" w:color="auto" w:fill="auto"/>
                  <w:vAlign w:val="center"/>
                </w:tcPr>
                <w:p w14:paraId="677A050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200×200，N=0.37 kW</w:t>
                  </w:r>
                </w:p>
              </w:tc>
              <w:tc>
                <w:tcPr>
                  <w:tcW w:w="947" w:type="dxa"/>
                  <w:tcBorders>
                    <w:tl2br w:val="nil"/>
                    <w:tr2bl w:val="nil"/>
                  </w:tcBorders>
                  <w:shd w:val="clear" w:color="auto" w:fill="auto"/>
                  <w:vAlign w:val="center"/>
                </w:tcPr>
                <w:p w14:paraId="78C432E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7C529C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41359AF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3D7D5BB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配套手电两用启闭机</w:t>
                  </w:r>
                </w:p>
              </w:tc>
            </w:tr>
            <w:tr w14:paraId="72B58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C45ADD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1972" w:type="dxa"/>
                  <w:tcBorders>
                    <w:tl2br w:val="nil"/>
                    <w:tr2bl w:val="nil"/>
                  </w:tcBorders>
                  <w:shd w:val="clear" w:color="auto" w:fill="auto"/>
                  <w:vAlign w:val="center"/>
                </w:tcPr>
                <w:p w14:paraId="569DB9C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闸板阀</w:t>
                  </w:r>
                </w:p>
              </w:tc>
              <w:tc>
                <w:tcPr>
                  <w:tcW w:w="2685" w:type="dxa"/>
                  <w:tcBorders>
                    <w:tl2br w:val="nil"/>
                    <w:tr2bl w:val="nil"/>
                  </w:tcBorders>
                  <w:shd w:val="clear" w:color="auto" w:fill="auto"/>
                  <w:vAlign w:val="center"/>
                </w:tcPr>
                <w:p w14:paraId="78032448">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200×200</w:t>
                  </w:r>
                </w:p>
              </w:tc>
              <w:tc>
                <w:tcPr>
                  <w:tcW w:w="947" w:type="dxa"/>
                  <w:tcBorders>
                    <w:tl2br w:val="nil"/>
                    <w:tr2bl w:val="nil"/>
                  </w:tcBorders>
                  <w:shd w:val="clear" w:color="auto" w:fill="auto"/>
                  <w:vAlign w:val="center"/>
                </w:tcPr>
                <w:p w14:paraId="50031A7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E84AE9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645F57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c>
                <w:tcPr>
                  <w:tcW w:w="1161" w:type="dxa"/>
                  <w:tcBorders>
                    <w:tl2br w:val="nil"/>
                    <w:tr2bl w:val="nil"/>
                  </w:tcBorders>
                  <w:shd w:val="clear" w:color="auto" w:fill="auto"/>
                  <w:vAlign w:val="center"/>
                </w:tcPr>
                <w:p w14:paraId="744E676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配套启闭机</w:t>
                  </w:r>
                </w:p>
              </w:tc>
            </w:tr>
            <w:tr w14:paraId="1D33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51D7C1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w:t>
                  </w:r>
                </w:p>
              </w:tc>
              <w:tc>
                <w:tcPr>
                  <w:tcW w:w="1972" w:type="dxa"/>
                  <w:tcBorders>
                    <w:tl2br w:val="nil"/>
                    <w:tr2bl w:val="nil"/>
                  </w:tcBorders>
                  <w:shd w:val="clear" w:color="auto" w:fill="auto"/>
                  <w:vAlign w:val="center"/>
                </w:tcPr>
                <w:p w14:paraId="66563A6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闸板阀</w:t>
                  </w:r>
                </w:p>
              </w:tc>
              <w:tc>
                <w:tcPr>
                  <w:tcW w:w="2685" w:type="dxa"/>
                  <w:tcBorders>
                    <w:tl2br w:val="nil"/>
                    <w:tr2bl w:val="nil"/>
                  </w:tcBorders>
                  <w:shd w:val="clear" w:color="auto" w:fill="auto"/>
                  <w:vAlign w:val="center"/>
                </w:tcPr>
                <w:p w14:paraId="76821691">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300×300</w:t>
                  </w:r>
                </w:p>
              </w:tc>
              <w:tc>
                <w:tcPr>
                  <w:tcW w:w="947" w:type="dxa"/>
                  <w:tcBorders>
                    <w:tl2br w:val="nil"/>
                    <w:tr2bl w:val="nil"/>
                  </w:tcBorders>
                  <w:shd w:val="clear" w:color="auto" w:fill="auto"/>
                  <w:vAlign w:val="center"/>
                </w:tcPr>
                <w:p w14:paraId="43498E3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57FC77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68A074D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574ABB4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配套启闭机</w:t>
                  </w:r>
                </w:p>
              </w:tc>
            </w:tr>
            <w:tr w14:paraId="62DD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9B1DE4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c>
                <w:tcPr>
                  <w:tcW w:w="1972" w:type="dxa"/>
                  <w:tcBorders>
                    <w:tl2br w:val="nil"/>
                    <w:tr2bl w:val="nil"/>
                  </w:tcBorders>
                  <w:shd w:val="clear" w:color="auto" w:fill="auto"/>
                  <w:vAlign w:val="center"/>
                </w:tcPr>
                <w:p w14:paraId="425E49A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石英砂</w:t>
                  </w:r>
                </w:p>
              </w:tc>
              <w:tc>
                <w:tcPr>
                  <w:tcW w:w="2685" w:type="dxa"/>
                  <w:tcBorders>
                    <w:tl2br w:val="nil"/>
                    <w:tr2bl w:val="nil"/>
                  </w:tcBorders>
                  <w:shd w:val="clear" w:color="auto" w:fill="auto"/>
                  <w:vAlign w:val="center"/>
                </w:tcPr>
                <w:p w14:paraId="2E13BD3D">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H=1500mm，d=1.2-1.5mm</w:t>
                  </w:r>
                </w:p>
              </w:tc>
              <w:tc>
                <w:tcPr>
                  <w:tcW w:w="947" w:type="dxa"/>
                  <w:tcBorders>
                    <w:tl2br w:val="nil"/>
                    <w:tr2bl w:val="nil"/>
                  </w:tcBorders>
                  <w:shd w:val="clear" w:color="auto" w:fill="auto"/>
                  <w:vAlign w:val="center"/>
                </w:tcPr>
                <w:p w14:paraId="4E66336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AFC321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3</w:t>
                  </w:r>
                </w:p>
              </w:tc>
              <w:tc>
                <w:tcPr>
                  <w:tcW w:w="486" w:type="dxa"/>
                  <w:tcBorders>
                    <w:tl2br w:val="nil"/>
                    <w:tr2bl w:val="nil"/>
                  </w:tcBorders>
                  <w:shd w:val="clear" w:color="auto" w:fill="auto"/>
                  <w:vAlign w:val="center"/>
                </w:tcPr>
                <w:p w14:paraId="544D1C6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210</w:t>
                  </w:r>
                </w:p>
              </w:tc>
              <w:tc>
                <w:tcPr>
                  <w:tcW w:w="1161" w:type="dxa"/>
                  <w:tcBorders>
                    <w:tl2br w:val="nil"/>
                    <w:tr2bl w:val="nil"/>
                  </w:tcBorders>
                  <w:shd w:val="clear" w:color="auto" w:fill="auto"/>
                  <w:vAlign w:val="center"/>
                </w:tcPr>
                <w:p w14:paraId="4842AF9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FE46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962C9A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w:t>
                  </w:r>
                </w:p>
              </w:tc>
              <w:tc>
                <w:tcPr>
                  <w:tcW w:w="1972" w:type="dxa"/>
                  <w:tcBorders>
                    <w:tl2br w:val="nil"/>
                    <w:tr2bl w:val="nil"/>
                  </w:tcBorders>
                  <w:shd w:val="clear" w:color="auto" w:fill="auto"/>
                  <w:vAlign w:val="center"/>
                </w:tcPr>
                <w:p w14:paraId="446AB0D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V型滤池专用滤头</w:t>
                  </w:r>
                </w:p>
              </w:tc>
              <w:tc>
                <w:tcPr>
                  <w:tcW w:w="2685" w:type="dxa"/>
                  <w:tcBorders>
                    <w:tl2br w:val="nil"/>
                    <w:tr2bl w:val="nil"/>
                  </w:tcBorders>
                  <w:shd w:val="clear" w:color="auto" w:fill="auto"/>
                  <w:vAlign w:val="center"/>
                </w:tcPr>
                <w:p w14:paraId="14A9000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材质：ABS，D25，230mm</w:t>
                  </w:r>
                </w:p>
              </w:tc>
              <w:tc>
                <w:tcPr>
                  <w:tcW w:w="947" w:type="dxa"/>
                  <w:tcBorders>
                    <w:tl2br w:val="nil"/>
                    <w:tr2bl w:val="nil"/>
                  </w:tcBorders>
                  <w:shd w:val="clear" w:color="auto" w:fill="auto"/>
                  <w:vAlign w:val="center"/>
                </w:tcPr>
                <w:p w14:paraId="796D0A9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50C847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32E76E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7448</w:t>
                  </w:r>
                </w:p>
              </w:tc>
              <w:tc>
                <w:tcPr>
                  <w:tcW w:w="1161" w:type="dxa"/>
                  <w:tcBorders>
                    <w:tl2br w:val="nil"/>
                    <w:tr2bl w:val="nil"/>
                  </w:tcBorders>
                  <w:shd w:val="clear" w:color="auto" w:fill="auto"/>
                  <w:vAlign w:val="center"/>
                </w:tcPr>
                <w:p w14:paraId="62BC97A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78C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135BFE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w:t>
                  </w:r>
                </w:p>
              </w:tc>
              <w:tc>
                <w:tcPr>
                  <w:tcW w:w="1972" w:type="dxa"/>
                  <w:tcBorders>
                    <w:tl2br w:val="nil"/>
                    <w:tr2bl w:val="nil"/>
                  </w:tcBorders>
                  <w:shd w:val="clear" w:color="auto" w:fill="auto"/>
                  <w:vAlign w:val="center"/>
                </w:tcPr>
                <w:p w14:paraId="7E4A573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承托层</w:t>
                  </w:r>
                </w:p>
              </w:tc>
              <w:tc>
                <w:tcPr>
                  <w:tcW w:w="2685" w:type="dxa"/>
                  <w:tcBorders>
                    <w:tl2br w:val="nil"/>
                    <w:tr2bl w:val="nil"/>
                  </w:tcBorders>
                  <w:shd w:val="clear" w:color="auto" w:fill="auto"/>
                  <w:vAlign w:val="center"/>
                </w:tcPr>
                <w:p w14:paraId="1DF2870F">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H=100mm，d=2-4mm</w:t>
                  </w:r>
                </w:p>
              </w:tc>
              <w:tc>
                <w:tcPr>
                  <w:tcW w:w="947" w:type="dxa"/>
                  <w:tcBorders>
                    <w:tl2br w:val="nil"/>
                    <w:tr2bl w:val="nil"/>
                  </w:tcBorders>
                  <w:shd w:val="clear" w:color="auto" w:fill="auto"/>
                  <w:vAlign w:val="center"/>
                </w:tcPr>
                <w:p w14:paraId="24BC0C3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901745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3</w:t>
                  </w:r>
                </w:p>
              </w:tc>
              <w:tc>
                <w:tcPr>
                  <w:tcW w:w="486" w:type="dxa"/>
                  <w:tcBorders>
                    <w:tl2br w:val="nil"/>
                    <w:tr2bl w:val="nil"/>
                  </w:tcBorders>
                  <w:shd w:val="clear" w:color="auto" w:fill="auto"/>
                  <w:vAlign w:val="center"/>
                </w:tcPr>
                <w:p w14:paraId="03F60BA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14</w:t>
                  </w:r>
                </w:p>
              </w:tc>
              <w:tc>
                <w:tcPr>
                  <w:tcW w:w="1161" w:type="dxa"/>
                  <w:tcBorders>
                    <w:tl2br w:val="nil"/>
                    <w:tr2bl w:val="nil"/>
                  </w:tcBorders>
                  <w:shd w:val="clear" w:color="auto" w:fill="auto"/>
                  <w:vAlign w:val="center"/>
                </w:tcPr>
                <w:p w14:paraId="5774217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CD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F3E5BD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w:t>
                  </w:r>
                </w:p>
              </w:tc>
              <w:tc>
                <w:tcPr>
                  <w:tcW w:w="1972" w:type="dxa"/>
                  <w:tcBorders>
                    <w:tl2br w:val="nil"/>
                    <w:tr2bl w:val="nil"/>
                  </w:tcBorders>
                  <w:shd w:val="clear" w:color="auto" w:fill="auto"/>
                  <w:vAlign w:val="center"/>
                </w:tcPr>
                <w:p w14:paraId="05520C3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混凝土滤板</w:t>
                  </w:r>
                </w:p>
              </w:tc>
              <w:tc>
                <w:tcPr>
                  <w:tcW w:w="2685" w:type="dxa"/>
                  <w:tcBorders>
                    <w:tl2br w:val="nil"/>
                    <w:tr2bl w:val="nil"/>
                  </w:tcBorders>
                  <w:shd w:val="clear" w:color="auto" w:fill="auto"/>
                  <w:vAlign w:val="center"/>
                </w:tcPr>
                <w:p w14:paraId="226E271D">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980×980×100</w:t>
                  </w:r>
                </w:p>
              </w:tc>
              <w:tc>
                <w:tcPr>
                  <w:tcW w:w="947" w:type="dxa"/>
                  <w:tcBorders>
                    <w:tl2br w:val="nil"/>
                    <w:tr2bl w:val="nil"/>
                  </w:tcBorders>
                  <w:shd w:val="clear" w:color="auto" w:fill="auto"/>
                  <w:vAlign w:val="center"/>
                </w:tcPr>
                <w:p w14:paraId="6CDB9FE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0465B9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块</w:t>
                  </w:r>
                </w:p>
              </w:tc>
              <w:tc>
                <w:tcPr>
                  <w:tcW w:w="486" w:type="dxa"/>
                  <w:tcBorders>
                    <w:tl2br w:val="nil"/>
                    <w:tr2bl w:val="nil"/>
                  </w:tcBorders>
                  <w:shd w:val="clear" w:color="auto" w:fill="auto"/>
                  <w:vAlign w:val="center"/>
                </w:tcPr>
                <w:p w14:paraId="0476E15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112</w:t>
                  </w:r>
                </w:p>
              </w:tc>
              <w:tc>
                <w:tcPr>
                  <w:tcW w:w="1161" w:type="dxa"/>
                  <w:tcBorders>
                    <w:tl2br w:val="nil"/>
                    <w:tr2bl w:val="nil"/>
                  </w:tcBorders>
                  <w:shd w:val="clear" w:color="auto" w:fill="auto"/>
                  <w:vAlign w:val="center"/>
                </w:tcPr>
                <w:p w14:paraId="665B39E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6B1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F29940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12</w:t>
                  </w:r>
                </w:p>
              </w:tc>
              <w:tc>
                <w:tcPr>
                  <w:tcW w:w="1972" w:type="dxa"/>
                  <w:tcBorders>
                    <w:tl2br w:val="nil"/>
                    <w:tr2bl w:val="nil"/>
                  </w:tcBorders>
                  <w:shd w:val="clear" w:color="auto" w:fill="auto"/>
                  <w:vAlign w:val="center"/>
                </w:tcPr>
                <w:p w14:paraId="4D79CBB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混凝土滤板</w:t>
                  </w:r>
                </w:p>
              </w:tc>
              <w:tc>
                <w:tcPr>
                  <w:tcW w:w="2685" w:type="dxa"/>
                  <w:tcBorders>
                    <w:tl2br w:val="nil"/>
                    <w:tr2bl w:val="nil"/>
                  </w:tcBorders>
                  <w:shd w:val="clear" w:color="auto" w:fill="auto"/>
                  <w:vAlign w:val="center"/>
                </w:tcPr>
                <w:p w14:paraId="7C8DB7A9">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980×480×100</w:t>
                  </w:r>
                </w:p>
              </w:tc>
              <w:tc>
                <w:tcPr>
                  <w:tcW w:w="947" w:type="dxa"/>
                  <w:tcBorders>
                    <w:tl2br w:val="nil"/>
                    <w:tr2bl w:val="nil"/>
                  </w:tcBorders>
                  <w:shd w:val="clear" w:color="auto" w:fill="auto"/>
                  <w:vAlign w:val="center"/>
                </w:tcPr>
                <w:p w14:paraId="0708733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4D8C78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块</w:t>
                  </w:r>
                </w:p>
              </w:tc>
              <w:tc>
                <w:tcPr>
                  <w:tcW w:w="486" w:type="dxa"/>
                  <w:tcBorders>
                    <w:tl2br w:val="nil"/>
                    <w:tr2bl w:val="nil"/>
                  </w:tcBorders>
                  <w:shd w:val="clear" w:color="auto" w:fill="auto"/>
                  <w:vAlign w:val="center"/>
                </w:tcPr>
                <w:p w14:paraId="60AFC10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56</w:t>
                  </w:r>
                </w:p>
              </w:tc>
              <w:tc>
                <w:tcPr>
                  <w:tcW w:w="1161" w:type="dxa"/>
                  <w:tcBorders>
                    <w:tl2br w:val="nil"/>
                    <w:tr2bl w:val="nil"/>
                  </w:tcBorders>
                  <w:shd w:val="clear" w:color="auto" w:fill="auto"/>
                  <w:vAlign w:val="center"/>
                </w:tcPr>
                <w:p w14:paraId="388E2B3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57EE9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7"/>
                  <w:tcBorders>
                    <w:tl2br w:val="nil"/>
                    <w:tr2bl w:val="nil"/>
                  </w:tcBorders>
                  <w:shd w:val="clear" w:color="auto" w:fill="auto"/>
                  <w:vAlign w:val="center"/>
                </w:tcPr>
                <w:p w14:paraId="5B30FE1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清水池</w:t>
                  </w:r>
                </w:p>
              </w:tc>
            </w:tr>
            <w:tr w14:paraId="72C8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48A1C3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972" w:type="dxa"/>
                  <w:tcBorders>
                    <w:tl2br w:val="nil"/>
                    <w:tr2bl w:val="nil"/>
                  </w:tcBorders>
                  <w:shd w:val="clear" w:color="auto" w:fill="auto"/>
                  <w:vAlign w:val="center"/>
                </w:tcPr>
                <w:p w14:paraId="10D26E5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手动蝶阀</w:t>
                  </w:r>
                </w:p>
              </w:tc>
              <w:tc>
                <w:tcPr>
                  <w:tcW w:w="2685" w:type="dxa"/>
                  <w:tcBorders>
                    <w:tl2br w:val="nil"/>
                    <w:tr2bl w:val="nil"/>
                  </w:tcBorders>
                  <w:shd w:val="clear" w:color="auto" w:fill="auto"/>
                  <w:vAlign w:val="center"/>
                </w:tcPr>
                <w:p w14:paraId="0532EB23">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DN400，PN=0.6MPa</w:t>
                  </w:r>
                </w:p>
              </w:tc>
              <w:tc>
                <w:tcPr>
                  <w:tcW w:w="947" w:type="dxa"/>
                  <w:tcBorders>
                    <w:tl2br w:val="nil"/>
                    <w:tr2bl w:val="nil"/>
                  </w:tcBorders>
                  <w:shd w:val="clear" w:color="auto" w:fill="auto"/>
                  <w:vAlign w:val="center"/>
                </w:tcPr>
                <w:p w14:paraId="7F2946A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EFEB19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7E2D3D8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57740AA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5A3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B792C7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972" w:type="dxa"/>
                  <w:tcBorders>
                    <w:tl2br w:val="nil"/>
                    <w:tr2bl w:val="nil"/>
                  </w:tcBorders>
                  <w:shd w:val="clear" w:color="auto" w:fill="auto"/>
                  <w:vAlign w:val="center"/>
                </w:tcPr>
                <w:p w14:paraId="6B3213CB">
                  <w:pPr>
                    <w:jc w:val="center"/>
                    <w:rPr>
                      <w:rFonts w:hint="default" w:ascii="Times New Roman" w:hAnsi="Times New Roman" w:cs="Times New Roman"/>
                      <w:color w:val="auto"/>
                      <w:sz w:val="21"/>
                      <w:szCs w:val="21"/>
                      <w:lang w:val="en-US"/>
                    </w:rPr>
                  </w:pPr>
                  <w:r>
                    <w:rPr>
                      <w:rFonts w:hint="default" w:ascii="Times New Roman" w:hAnsi="Times New Roman" w:cs="Times New Roman"/>
                      <w:color w:val="auto"/>
                      <w:sz w:val="21"/>
                      <w:szCs w:val="21"/>
                      <w:lang w:val="en-US" w:eastAsia="zh-CN"/>
                    </w:rPr>
                    <w:t>双法兰限位伸缩接头/</w:t>
                  </w:r>
                </w:p>
              </w:tc>
              <w:tc>
                <w:tcPr>
                  <w:tcW w:w="2685" w:type="dxa"/>
                  <w:tcBorders>
                    <w:tl2br w:val="nil"/>
                    <w:tr2bl w:val="nil"/>
                  </w:tcBorders>
                  <w:shd w:val="clear" w:color="auto" w:fill="auto"/>
                  <w:vAlign w:val="center"/>
                </w:tcPr>
                <w:p w14:paraId="07C10FE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DN400</w:t>
                  </w:r>
                </w:p>
              </w:tc>
              <w:tc>
                <w:tcPr>
                  <w:tcW w:w="947" w:type="dxa"/>
                  <w:tcBorders>
                    <w:tl2br w:val="nil"/>
                    <w:tr2bl w:val="nil"/>
                  </w:tcBorders>
                  <w:shd w:val="clear" w:color="auto" w:fill="auto"/>
                  <w:vAlign w:val="center"/>
                </w:tcPr>
                <w:p w14:paraId="7580350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23B022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049A809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4186A08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6E2C6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7"/>
                  <w:tcBorders>
                    <w:tl2br w:val="nil"/>
                    <w:tr2bl w:val="nil"/>
                  </w:tcBorders>
                  <w:shd w:val="clear" w:color="auto" w:fill="auto"/>
                  <w:vAlign w:val="center"/>
                </w:tcPr>
                <w:p w14:paraId="31E58E1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送水泵房</w:t>
                  </w:r>
                </w:p>
              </w:tc>
            </w:tr>
            <w:tr w14:paraId="7D05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319115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972" w:type="dxa"/>
                  <w:tcBorders>
                    <w:tl2br w:val="nil"/>
                    <w:tr2bl w:val="nil"/>
                  </w:tcBorders>
                  <w:shd w:val="clear" w:color="auto" w:fill="auto"/>
                  <w:vAlign w:val="center"/>
                </w:tcPr>
                <w:p w14:paraId="6F65510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单级双吸卧式离心泵</w:t>
                  </w:r>
                </w:p>
              </w:tc>
              <w:tc>
                <w:tcPr>
                  <w:tcW w:w="2685" w:type="dxa"/>
                  <w:tcBorders>
                    <w:tl2br w:val="nil"/>
                    <w:tr2bl w:val="nil"/>
                  </w:tcBorders>
                  <w:shd w:val="clear" w:color="auto" w:fill="auto"/>
                  <w:vAlign w:val="center"/>
                </w:tcPr>
                <w:p w14:paraId="44F914B8">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Q=120m³/h，H=60m，N=45kW</w:t>
                  </w:r>
                </w:p>
              </w:tc>
              <w:tc>
                <w:tcPr>
                  <w:tcW w:w="947" w:type="dxa"/>
                  <w:tcBorders>
                    <w:tl2br w:val="nil"/>
                    <w:tr2bl w:val="nil"/>
                  </w:tcBorders>
                  <w:shd w:val="clear" w:color="auto" w:fill="auto"/>
                  <w:vAlign w:val="center"/>
                </w:tcPr>
                <w:p w14:paraId="419499F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579500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4BC6441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161" w:type="dxa"/>
                  <w:tcBorders>
                    <w:tl2br w:val="nil"/>
                    <w:tr2bl w:val="nil"/>
                  </w:tcBorders>
                  <w:shd w:val="clear" w:color="auto" w:fill="auto"/>
                  <w:vAlign w:val="center"/>
                </w:tcPr>
                <w:p w14:paraId="19F82AF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4用1备，变频</w:t>
                  </w:r>
                </w:p>
              </w:tc>
            </w:tr>
            <w:tr w14:paraId="46905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0CE2A7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972" w:type="dxa"/>
                  <w:tcBorders>
                    <w:tl2br w:val="nil"/>
                    <w:tr2bl w:val="nil"/>
                  </w:tcBorders>
                  <w:shd w:val="clear" w:color="auto" w:fill="auto"/>
                  <w:vAlign w:val="center"/>
                </w:tcPr>
                <w:p w14:paraId="00C8026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移动式潜水排污泵</w:t>
                  </w:r>
                </w:p>
              </w:tc>
              <w:tc>
                <w:tcPr>
                  <w:tcW w:w="2685" w:type="dxa"/>
                  <w:tcBorders>
                    <w:tl2br w:val="nil"/>
                    <w:tr2bl w:val="nil"/>
                  </w:tcBorders>
                  <w:shd w:val="clear" w:color="auto" w:fill="auto"/>
                  <w:vAlign w:val="center"/>
                </w:tcPr>
                <w:p w14:paraId="7444F739">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Q=8.0m³/h，H=12m，N=0.75kW</w:t>
                  </w:r>
                </w:p>
              </w:tc>
              <w:tc>
                <w:tcPr>
                  <w:tcW w:w="947" w:type="dxa"/>
                  <w:tcBorders>
                    <w:tl2br w:val="nil"/>
                    <w:tr2bl w:val="nil"/>
                  </w:tcBorders>
                  <w:shd w:val="clear" w:color="auto" w:fill="auto"/>
                  <w:vAlign w:val="center"/>
                </w:tcPr>
                <w:p w14:paraId="541F5C7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B1D94F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664EA80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023907A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泵房排水</w:t>
                  </w:r>
                </w:p>
              </w:tc>
            </w:tr>
            <w:tr w14:paraId="2D80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1259A1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972" w:type="dxa"/>
                  <w:tcBorders>
                    <w:tl2br w:val="nil"/>
                    <w:tr2bl w:val="nil"/>
                  </w:tcBorders>
                  <w:shd w:val="clear" w:color="auto" w:fill="auto"/>
                  <w:vAlign w:val="center"/>
                </w:tcPr>
                <w:p w14:paraId="29C0C0F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单级单吸立式离心泵</w:t>
                  </w:r>
                </w:p>
              </w:tc>
              <w:tc>
                <w:tcPr>
                  <w:tcW w:w="2685" w:type="dxa"/>
                  <w:tcBorders>
                    <w:tl2br w:val="nil"/>
                    <w:tr2bl w:val="nil"/>
                  </w:tcBorders>
                  <w:shd w:val="clear" w:color="auto" w:fill="auto"/>
                  <w:vAlign w:val="center"/>
                </w:tcPr>
                <w:p w14:paraId="69929E0B">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Q=20m³/h，H=68m，N=7.5kW</w:t>
                  </w:r>
                </w:p>
              </w:tc>
              <w:tc>
                <w:tcPr>
                  <w:tcW w:w="947" w:type="dxa"/>
                  <w:tcBorders>
                    <w:tl2br w:val="nil"/>
                    <w:tr2bl w:val="nil"/>
                  </w:tcBorders>
                  <w:shd w:val="clear" w:color="auto" w:fill="auto"/>
                  <w:vAlign w:val="center"/>
                </w:tcPr>
                <w:p w14:paraId="14EEE09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E95CFF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215B38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1A6D310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1用1备，细格栅冲洗</w:t>
                  </w:r>
                </w:p>
              </w:tc>
            </w:tr>
            <w:tr w14:paraId="7D23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53F6AF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972" w:type="dxa"/>
                  <w:tcBorders>
                    <w:tl2br w:val="nil"/>
                    <w:tr2bl w:val="nil"/>
                  </w:tcBorders>
                  <w:shd w:val="clear" w:color="auto" w:fill="auto"/>
                  <w:vAlign w:val="center"/>
                </w:tcPr>
                <w:p w14:paraId="2FF4652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单级单吸立式离心泵</w:t>
                  </w:r>
                </w:p>
              </w:tc>
              <w:tc>
                <w:tcPr>
                  <w:tcW w:w="2685" w:type="dxa"/>
                  <w:tcBorders>
                    <w:tl2br w:val="nil"/>
                    <w:tr2bl w:val="nil"/>
                  </w:tcBorders>
                  <w:shd w:val="clear" w:color="auto" w:fill="auto"/>
                  <w:vAlign w:val="center"/>
                </w:tcPr>
                <w:p w14:paraId="2F54EEA9">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Q=15m³/h，H=50m，N=7.5kW</w:t>
                  </w:r>
                </w:p>
              </w:tc>
              <w:tc>
                <w:tcPr>
                  <w:tcW w:w="947" w:type="dxa"/>
                  <w:tcBorders>
                    <w:tl2br w:val="nil"/>
                    <w:tr2bl w:val="nil"/>
                  </w:tcBorders>
                  <w:shd w:val="clear" w:color="auto" w:fill="auto"/>
                  <w:vAlign w:val="center"/>
                </w:tcPr>
                <w:p w14:paraId="375D0C6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9E98F2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32C2E8C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57ABC20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绿化、污泥脱水间各1台，互为备用</w:t>
                  </w:r>
                </w:p>
              </w:tc>
            </w:tr>
            <w:tr w14:paraId="28CE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0D0696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972" w:type="dxa"/>
                  <w:tcBorders>
                    <w:tl2br w:val="nil"/>
                    <w:tr2bl w:val="nil"/>
                  </w:tcBorders>
                  <w:shd w:val="clear" w:color="auto" w:fill="auto"/>
                  <w:vAlign w:val="center"/>
                </w:tcPr>
                <w:p w14:paraId="32B60F0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单级单吸立式离心泵</w:t>
                  </w:r>
                </w:p>
              </w:tc>
              <w:tc>
                <w:tcPr>
                  <w:tcW w:w="2685" w:type="dxa"/>
                  <w:tcBorders>
                    <w:tl2br w:val="nil"/>
                    <w:tr2bl w:val="nil"/>
                  </w:tcBorders>
                  <w:shd w:val="clear" w:color="auto" w:fill="auto"/>
                  <w:vAlign w:val="center"/>
                </w:tcPr>
                <w:p w14:paraId="3D7461B7">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Q=8m³/h，H=30m，N=2.2kW</w:t>
                  </w:r>
                </w:p>
              </w:tc>
              <w:tc>
                <w:tcPr>
                  <w:tcW w:w="947" w:type="dxa"/>
                  <w:tcBorders>
                    <w:tl2br w:val="nil"/>
                    <w:tr2bl w:val="nil"/>
                  </w:tcBorders>
                  <w:shd w:val="clear" w:color="auto" w:fill="auto"/>
                  <w:vAlign w:val="center"/>
                </w:tcPr>
                <w:p w14:paraId="1774300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AEC448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553EA0C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noWrap/>
                  <w:vAlign w:val="center"/>
                </w:tcPr>
                <w:p w14:paraId="29A071B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59E3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637313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1972" w:type="dxa"/>
                  <w:tcBorders>
                    <w:tl2br w:val="nil"/>
                    <w:tr2bl w:val="nil"/>
                  </w:tcBorders>
                  <w:shd w:val="clear" w:color="auto" w:fill="auto"/>
                  <w:vAlign w:val="center"/>
                </w:tcPr>
                <w:p w14:paraId="52E339B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电动葫芦</w:t>
                  </w:r>
                </w:p>
              </w:tc>
              <w:tc>
                <w:tcPr>
                  <w:tcW w:w="2685" w:type="dxa"/>
                  <w:tcBorders>
                    <w:tl2br w:val="nil"/>
                    <w:tr2bl w:val="nil"/>
                  </w:tcBorders>
                  <w:shd w:val="clear" w:color="auto" w:fill="auto"/>
                  <w:vAlign w:val="center"/>
                </w:tcPr>
                <w:p w14:paraId="60B9CAAD">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T=1t，H=6.0m，N=1.5+0.2kW</w:t>
                  </w:r>
                </w:p>
              </w:tc>
              <w:tc>
                <w:tcPr>
                  <w:tcW w:w="947" w:type="dxa"/>
                  <w:tcBorders>
                    <w:tl2br w:val="nil"/>
                    <w:tr2bl w:val="nil"/>
                  </w:tcBorders>
                  <w:shd w:val="clear" w:color="auto" w:fill="auto"/>
                  <w:vAlign w:val="center"/>
                </w:tcPr>
                <w:p w14:paraId="214FC16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7C1756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3AED993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5B8715A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64FD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F3021D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w:t>
                  </w:r>
                </w:p>
              </w:tc>
              <w:tc>
                <w:tcPr>
                  <w:tcW w:w="1972" w:type="dxa"/>
                  <w:tcBorders>
                    <w:tl2br w:val="nil"/>
                    <w:tr2bl w:val="nil"/>
                  </w:tcBorders>
                  <w:shd w:val="clear" w:color="auto" w:fill="auto"/>
                  <w:vAlign w:val="center"/>
                </w:tcPr>
                <w:p w14:paraId="22D8614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手动蝶阀</w:t>
                  </w:r>
                </w:p>
              </w:tc>
              <w:tc>
                <w:tcPr>
                  <w:tcW w:w="2685" w:type="dxa"/>
                  <w:tcBorders>
                    <w:tl2br w:val="nil"/>
                    <w:tr2bl w:val="nil"/>
                  </w:tcBorders>
                  <w:shd w:val="clear" w:color="auto" w:fill="auto"/>
                  <w:vAlign w:val="center"/>
                </w:tcPr>
                <w:p w14:paraId="7EC870D3">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DN200，PN1.0MPa</w:t>
                  </w:r>
                </w:p>
              </w:tc>
              <w:tc>
                <w:tcPr>
                  <w:tcW w:w="947" w:type="dxa"/>
                  <w:tcBorders>
                    <w:tl2br w:val="nil"/>
                    <w:tr2bl w:val="nil"/>
                  </w:tcBorders>
                  <w:shd w:val="clear" w:color="auto" w:fill="auto"/>
                  <w:vAlign w:val="center"/>
                </w:tcPr>
                <w:p w14:paraId="5023105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D6EEB1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5BD2E33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161" w:type="dxa"/>
                  <w:tcBorders>
                    <w:tl2br w:val="nil"/>
                    <w:tr2bl w:val="nil"/>
                  </w:tcBorders>
                  <w:shd w:val="clear" w:color="auto" w:fill="auto"/>
                  <w:vAlign w:val="center"/>
                </w:tcPr>
                <w:p w14:paraId="1274D47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吸水管路</w:t>
                  </w:r>
                </w:p>
              </w:tc>
            </w:tr>
            <w:tr w14:paraId="5439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0DD20E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c>
                <w:tcPr>
                  <w:tcW w:w="1972" w:type="dxa"/>
                  <w:tcBorders>
                    <w:tl2br w:val="nil"/>
                    <w:tr2bl w:val="nil"/>
                  </w:tcBorders>
                  <w:shd w:val="clear" w:color="auto" w:fill="auto"/>
                  <w:vAlign w:val="center"/>
                </w:tcPr>
                <w:p w14:paraId="1B5F532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手动蝶阀</w:t>
                  </w:r>
                </w:p>
              </w:tc>
              <w:tc>
                <w:tcPr>
                  <w:tcW w:w="2685" w:type="dxa"/>
                  <w:tcBorders>
                    <w:tl2br w:val="nil"/>
                    <w:tr2bl w:val="nil"/>
                  </w:tcBorders>
                  <w:shd w:val="clear" w:color="auto" w:fill="auto"/>
                  <w:vAlign w:val="center"/>
                </w:tcPr>
                <w:p w14:paraId="119F6EDD">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DN150，PN1.0MPa</w:t>
                  </w:r>
                </w:p>
              </w:tc>
              <w:tc>
                <w:tcPr>
                  <w:tcW w:w="947" w:type="dxa"/>
                  <w:tcBorders>
                    <w:tl2br w:val="nil"/>
                    <w:tr2bl w:val="nil"/>
                  </w:tcBorders>
                  <w:shd w:val="clear" w:color="auto" w:fill="auto"/>
                  <w:vAlign w:val="center"/>
                </w:tcPr>
                <w:p w14:paraId="520D65A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74A394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3B4B004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161" w:type="dxa"/>
                  <w:tcBorders>
                    <w:tl2br w:val="nil"/>
                    <w:tr2bl w:val="nil"/>
                  </w:tcBorders>
                  <w:shd w:val="clear" w:color="auto" w:fill="auto"/>
                  <w:vAlign w:val="center"/>
                </w:tcPr>
                <w:p w14:paraId="5B75EA5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出水管路</w:t>
                  </w:r>
                </w:p>
              </w:tc>
            </w:tr>
            <w:tr w14:paraId="3F41A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D205F1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w:t>
                  </w:r>
                </w:p>
              </w:tc>
              <w:tc>
                <w:tcPr>
                  <w:tcW w:w="1972" w:type="dxa"/>
                  <w:tcBorders>
                    <w:tl2br w:val="nil"/>
                    <w:tr2bl w:val="nil"/>
                  </w:tcBorders>
                  <w:shd w:val="clear" w:color="auto" w:fill="auto"/>
                  <w:vAlign w:val="center"/>
                </w:tcPr>
                <w:p w14:paraId="6EB9F5B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闸阀</w:t>
                  </w:r>
                </w:p>
              </w:tc>
              <w:tc>
                <w:tcPr>
                  <w:tcW w:w="2685" w:type="dxa"/>
                  <w:tcBorders>
                    <w:tl2br w:val="nil"/>
                    <w:tr2bl w:val="nil"/>
                  </w:tcBorders>
                  <w:shd w:val="clear" w:color="auto" w:fill="auto"/>
                  <w:vAlign w:val="center"/>
                </w:tcPr>
                <w:p w14:paraId="1CD9210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DN50，PN1.0MPa</w:t>
                  </w:r>
                </w:p>
              </w:tc>
              <w:tc>
                <w:tcPr>
                  <w:tcW w:w="947" w:type="dxa"/>
                  <w:tcBorders>
                    <w:tl2br w:val="nil"/>
                    <w:tr2bl w:val="nil"/>
                  </w:tcBorders>
                  <w:shd w:val="clear" w:color="auto" w:fill="auto"/>
                  <w:vAlign w:val="center"/>
                </w:tcPr>
                <w:p w14:paraId="0CCA680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231257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2196F3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7BB11C9D">
                  <w:pPr>
                    <w:jc w:val="center"/>
                    <w:rPr>
                      <w:rFonts w:hint="default" w:ascii="Times New Roman" w:hAnsi="Times New Roman" w:cs="Times New Roman"/>
                      <w:color w:val="auto"/>
                      <w:sz w:val="21"/>
                      <w:szCs w:val="21"/>
                    </w:rPr>
                  </w:pPr>
                </w:p>
              </w:tc>
            </w:tr>
            <w:tr w14:paraId="007B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082739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w:t>
                  </w:r>
                </w:p>
              </w:tc>
              <w:tc>
                <w:tcPr>
                  <w:tcW w:w="1972" w:type="dxa"/>
                  <w:tcBorders>
                    <w:tl2br w:val="nil"/>
                    <w:tr2bl w:val="nil"/>
                  </w:tcBorders>
                  <w:shd w:val="clear" w:color="auto" w:fill="auto"/>
                  <w:vAlign w:val="center"/>
                </w:tcPr>
                <w:p w14:paraId="22C78AB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闸阀</w:t>
                  </w:r>
                </w:p>
              </w:tc>
              <w:tc>
                <w:tcPr>
                  <w:tcW w:w="2685" w:type="dxa"/>
                  <w:tcBorders>
                    <w:tl2br w:val="nil"/>
                    <w:tr2bl w:val="nil"/>
                  </w:tcBorders>
                  <w:shd w:val="clear" w:color="auto" w:fill="auto"/>
                  <w:vAlign w:val="center"/>
                </w:tcPr>
                <w:p w14:paraId="0A432A8F">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DN80，PN1.0MPa</w:t>
                  </w:r>
                </w:p>
              </w:tc>
              <w:tc>
                <w:tcPr>
                  <w:tcW w:w="947" w:type="dxa"/>
                  <w:tcBorders>
                    <w:tl2br w:val="nil"/>
                    <w:tr2bl w:val="nil"/>
                  </w:tcBorders>
                  <w:shd w:val="clear" w:color="auto" w:fill="auto"/>
                  <w:vAlign w:val="center"/>
                </w:tcPr>
                <w:p w14:paraId="4BF47E1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2F88AC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4FB6B5E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0AF00ED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用于潜水排污泵</w:t>
                  </w:r>
                </w:p>
              </w:tc>
            </w:tr>
            <w:tr w14:paraId="69495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1A0AF2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w:t>
                  </w:r>
                </w:p>
              </w:tc>
              <w:tc>
                <w:tcPr>
                  <w:tcW w:w="1972" w:type="dxa"/>
                  <w:tcBorders>
                    <w:tl2br w:val="nil"/>
                    <w:tr2bl w:val="nil"/>
                  </w:tcBorders>
                  <w:shd w:val="clear" w:color="auto" w:fill="auto"/>
                  <w:vAlign w:val="center"/>
                </w:tcPr>
                <w:p w14:paraId="351DCF4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闸阀</w:t>
                  </w:r>
                </w:p>
              </w:tc>
              <w:tc>
                <w:tcPr>
                  <w:tcW w:w="2685" w:type="dxa"/>
                  <w:tcBorders>
                    <w:tl2br w:val="nil"/>
                    <w:tr2bl w:val="nil"/>
                  </w:tcBorders>
                  <w:shd w:val="clear" w:color="auto" w:fill="auto"/>
                  <w:vAlign w:val="center"/>
                </w:tcPr>
                <w:p w14:paraId="672F49C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DN100，PN1.0MPa</w:t>
                  </w:r>
                </w:p>
              </w:tc>
              <w:tc>
                <w:tcPr>
                  <w:tcW w:w="947" w:type="dxa"/>
                  <w:tcBorders>
                    <w:tl2br w:val="nil"/>
                    <w:tr2bl w:val="nil"/>
                  </w:tcBorders>
                  <w:shd w:val="clear" w:color="auto" w:fill="auto"/>
                  <w:vAlign w:val="center"/>
                </w:tcPr>
                <w:p w14:paraId="601EAE2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A91EB6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546DDCF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w:t>
                  </w:r>
                </w:p>
              </w:tc>
              <w:tc>
                <w:tcPr>
                  <w:tcW w:w="1161" w:type="dxa"/>
                  <w:tcBorders>
                    <w:tl2br w:val="nil"/>
                    <w:tr2bl w:val="nil"/>
                  </w:tcBorders>
                  <w:shd w:val="clear" w:color="auto" w:fill="auto"/>
                  <w:vAlign w:val="center"/>
                </w:tcPr>
                <w:p w14:paraId="372E88B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633A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36CEE7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12</w:t>
                  </w:r>
                </w:p>
              </w:tc>
              <w:tc>
                <w:tcPr>
                  <w:tcW w:w="1972" w:type="dxa"/>
                  <w:tcBorders>
                    <w:tl2br w:val="nil"/>
                    <w:tr2bl w:val="nil"/>
                  </w:tcBorders>
                  <w:shd w:val="clear" w:color="auto" w:fill="auto"/>
                  <w:vAlign w:val="center"/>
                </w:tcPr>
                <w:p w14:paraId="45109ED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电动闸阀</w:t>
                  </w:r>
                </w:p>
              </w:tc>
              <w:tc>
                <w:tcPr>
                  <w:tcW w:w="2685" w:type="dxa"/>
                  <w:tcBorders>
                    <w:tl2br w:val="nil"/>
                    <w:tr2bl w:val="nil"/>
                  </w:tcBorders>
                  <w:shd w:val="clear" w:color="auto" w:fill="auto"/>
                  <w:vAlign w:val="center"/>
                </w:tcPr>
                <w:p w14:paraId="65EFAA30">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DN50，PN1.6MPa，N=0.1kW</w:t>
                  </w:r>
                </w:p>
              </w:tc>
              <w:tc>
                <w:tcPr>
                  <w:tcW w:w="947" w:type="dxa"/>
                  <w:tcBorders>
                    <w:tl2br w:val="nil"/>
                    <w:tr2bl w:val="nil"/>
                  </w:tcBorders>
                  <w:shd w:val="clear" w:color="auto" w:fill="auto"/>
                  <w:vAlign w:val="center"/>
                </w:tcPr>
                <w:p w14:paraId="414CE78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DE9511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2FCADB8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25D0895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7084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4C21A8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13</w:t>
                  </w:r>
                </w:p>
              </w:tc>
              <w:tc>
                <w:tcPr>
                  <w:tcW w:w="1972" w:type="dxa"/>
                  <w:tcBorders>
                    <w:tl2br w:val="nil"/>
                    <w:tr2bl w:val="nil"/>
                  </w:tcBorders>
                  <w:shd w:val="clear" w:color="auto" w:fill="auto"/>
                  <w:vAlign w:val="center"/>
                </w:tcPr>
                <w:p w14:paraId="035AED2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止回阀</w:t>
                  </w:r>
                </w:p>
              </w:tc>
              <w:tc>
                <w:tcPr>
                  <w:tcW w:w="2685" w:type="dxa"/>
                  <w:tcBorders>
                    <w:tl2br w:val="nil"/>
                    <w:tr2bl w:val="nil"/>
                  </w:tcBorders>
                  <w:shd w:val="clear" w:color="auto" w:fill="auto"/>
                  <w:vAlign w:val="center"/>
                </w:tcPr>
                <w:p w14:paraId="0A0C5425">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DN100，PN1.0MPa</w:t>
                  </w:r>
                </w:p>
              </w:tc>
              <w:tc>
                <w:tcPr>
                  <w:tcW w:w="947" w:type="dxa"/>
                  <w:tcBorders>
                    <w:tl2br w:val="nil"/>
                    <w:tr2bl w:val="nil"/>
                  </w:tcBorders>
                  <w:shd w:val="clear" w:color="auto" w:fill="auto"/>
                  <w:vAlign w:val="center"/>
                </w:tcPr>
                <w:p w14:paraId="49A0FF6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6FDDFD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6A4BC45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28A2474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67DE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823748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14</w:t>
                  </w:r>
                </w:p>
              </w:tc>
              <w:tc>
                <w:tcPr>
                  <w:tcW w:w="1972" w:type="dxa"/>
                  <w:tcBorders>
                    <w:tl2br w:val="nil"/>
                    <w:tr2bl w:val="nil"/>
                  </w:tcBorders>
                  <w:shd w:val="clear" w:color="auto" w:fill="auto"/>
                  <w:vAlign w:val="center"/>
                </w:tcPr>
                <w:p w14:paraId="4632793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止回阀</w:t>
                  </w:r>
                </w:p>
              </w:tc>
              <w:tc>
                <w:tcPr>
                  <w:tcW w:w="2685" w:type="dxa"/>
                  <w:tcBorders>
                    <w:tl2br w:val="nil"/>
                    <w:tr2bl w:val="nil"/>
                  </w:tcBorders>
                  <w:shd w:val="clear" w:color="auto" w:fill="auto"/>
                  <w:vAlign w:val="center"/>
                </w:tcPr>
                <w:p w14:paraId="43C0B1A2">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DN50，PN1.0MPa</w:t>
                  </w:r>
                </w:p>
              </w:tc>
              <w:tc>
                <w:tcPr>
                  <w:tcW w:w="947" w:type="dxa"/>
                  <w:tcBorders>
                    <w:tl2br w:val="nil"/>
                    <w:tr2bl w:val="nil"/>
                  </w:tcBorders>
                  <w:shd w:val="clear" w:color="auto" w:fill="auto"/>
                  <w:vAlign w:val="center"/>
                </w:tcPr>
                <w:p w14:paraId="7DE7A70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B82FF6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2391F61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6882094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632E2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766E1F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p>
              </w:tc>
              <w:tc>
                <w:tcPr>
                  <w:tcW w:w="1972" w:type="dxa"/>
                  <w:tcBorders>
                    <w:tl2br w:val="nil"/>
                    <w:tr2bl w:val="nil"/>
                  </w:tcBorders>
                  <w:shd w:val="clear" w:color="auto" w:fill="auto"/>
                  <w:vAlign w:val="center"/>
                </w:tcPr>
                <w:p w14:paraId="68C4067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多功能水泵控制阀</w:t>
                  </w:r>
                </w:p>
              </w:tc>
              <w:tc>
                <w:tcPr>
                  <w:tcW w:w="2685" w:type="dxa"/>
                  <w:tcBorders>
                    <w:tl2br w:val="nil"/>
                    <w:tr2bl w:val="nil"/>
                  </w:tcBorders>
                  <w:shd w:val="clear" w:color="auto" w:fill="auto"/>
                  <w:vAlign w:val="center"/>
                </w:tcPr>
                <w:p w14:paraId="64678DE7">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DN200，PN1.0MPa</w:t>
                  </w:r>
                </w:p>
              </w:tc>
              <w:tc>
                <w:tcPr>
                  <w:tcW w:w="947" w:type="dxa"/>
                  <w:tcBorders>
                    <w:tl2br w:val="nil"/>
                    <w:tr2bl w:val="nil"/>
                  </w:tcBorders>
                  <w:shd w:val="clear" w:color="auto" w:fill="auto"/>
                  <w:vAlign w:val="center"/>
                </w:tcPr>
                <w:p w14:paraId="7AD3498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472E37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4EA8A57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161" w:type="dxa"/>
                  <w:tcBorders>
                    <w:tl2br w:val="nil"/>
                    <w:tr2bl w:val="nil"/>
                  </w:tcBorders>
                  <w:shd w:val="clear" w:color="auto" w:fill="auto"/>
                  <w:vAlign w:val="center"/>
                </w:tcPr>
                <w:p w14:paraId="2CBCCAF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09E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DBBFAE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16</w:t>
                  </w:r>
                </w:p>
              </w:tc>
              <w:tc>
                <w:tcPr>
                  <w:tcW w:w="1972" w:type="dxa"/>
                  <w:tcBorders>
                    <w:tl2br w:val="nil"/>
                    <w:tr2bl w:val="nil"/>
                  </w:tcBorders>
                  <w:shd w:val="clear" w:color="auto" w:fill="auto"/>
                  <w:vAlign w:val="center"/>
                </w:tcPr>
                <w:p w14:paraId="22AD28D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污水用球形止回阀</w:t>
                  </w:r>
                </w:p>
              </w:tc>
              <w:tc>
                <w:tcPr>
                  <w:tcW w:w="2685" w:type="dxa"/>
                  <w:tcBorders>
                    <w:tl2br w:val="nil"/>
                    <w:tr2bl w:val="nil"/>
                  </w:tcBorders>
                  <w:shd w:val="clear" w:color="auto" w:fill="auto"/>
                  <w:vAlign w:val="center"/>
                </w:tcPr>
                <w:p w14:paraId="001778D9">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DN80，PN1.0MPa</w:t>
                  </w:r>
                </w:p>
              </w:tc>
              <w:tc>
                <w:tcPr>
                  <w:tcW w:w="947" w:type="dxa"/>
                  <w:tcBorders>
                    <w:tl2br w:val="nil"/>
                    <w:tr2bl w:val="nil"/>
                  </w:tcBorders>
                  <w:shd w:val="clear" w:color="auto" w:fill="auto"/>
                  <w:vAlign w:val="center"/>
                </w:tcPr>
                <w:p w14:paraId="0B7AF84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DFAFB5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3774F52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2DFB0F5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用于潜水排污泵</w:t>
                  </w:r>
                </w:p>
              </w:tc>
            </w:tr>
            <w:tr w14:paraId="121B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BC2041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17</w:t>
                  </w:r>
                </w:p>
              </w:tc>
              <w:tc>
                <w:tcPr>
                  <w:tcW w:w="1972" w:type="dxa"/>
                  <w:tcBorders>
                    <w:tl2br w:val="nil"/>
                    <w:tr2bl w:val="nil"/>
                  </w:tcBorders>
                  <w:shd w:val="clear" w:color="auto" w:fill="auto"/>
                  <w:vAlign w:val="center"/>
                </w:tcPr>
                <w:p w14:paraId="0B26385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双法兰式传力伸缩接头</w:t>
                  </w:r>
                </w:p>
              </w:tc>
              <w:tc>
                <w:tcPr>
                  <w:tcW w:w="2685" w:type="dxa"/>
                  <w:tcBorders>
                    <w:tl2br w:val="nil"/>
                    <w:tr2bl w:val="nil"/>
                  </w:tcBorders>
                  <w:shd w:val="clear" w:color="auto" w:fill="auto"/>
                  <w:vAlign w:val="center"/>
                </w:tcPr>
                <w:p w14:paraId="4EC49DC1">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DN200</w:t>
                  </w:r>
                </w:p>
              </w:tc>
              <w:tc>
                <w:tcPr>
                  <w:tcW w:w="947" w:type="dxa"/>
                  <w:tcBorders>
                    <w:tl2br w:val="nil"/>
                    <w:tr2bl w:val="nil"/>
                  </w:tcBorders>
                  <w:shd w:val="clear" w:color="auto" w:fill="auto"/>
                  <w:vAlign w:val="center"/>
                </w:tcPr>
                <w:p w14:paraId="2335EF4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B9D2A1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006E854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161" w:type="dxa"/>
                  <w:tcBorders>
                    <w:tl2br w:val="nil"/>
                    <w:tr2bl w:val="nil"/>
                  </w:tcBorders>
                  <w:shd w:val="clear" w:color="auto" w:fill="auto"/>
                  <w:vAlign w:val="center"/>
                </w:tcPr>
                <w:p w14:paraId="3A94173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吸水管路</w:t>
                  </w:r>
                </w:p>
              </w:tc>
            </w:tr>
            <w:tr w14:paraId="34CC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E5CD28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18</w:t>
                  </w:r>
                </w:p>
              </w:tc>
              <w:tc>
                <w:tcPr>
                  <w:tcW w:w="1972" w:type="dxa"/>
                  <w:tcBorders>
                    <w:tl2br w:val="nil"/>
                    <w:tr2bl w:val="nil"/>
                  </w:tcBorders>
                  <w:shd w:val="clear" w:color="auto" w:fill="auto"/>
                  <w:vAlign w:val="center"/>
                </w:tcPr>
                <w:p w14:paraId="29E140F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双法兰式传力伸缩接头</w:t>
                  </w:r>
                </w:p>
              </w:tc>
              <w:tc>
                <w:tcPr>
                  <w:tcW w:w="2685" w:type="dxa"/>
                  <w:tcBorders>
                    <w:tl2br w:val="nil"/>
                    <w:tr2bl w:val="nil"/>
                  </w:tcBorders>
                  <w:shd w:val="clear" w:color="auto" w:fill="auto"/>
                  <w:vAlign w:val="center"/>
                </w:tcPr>
                <w:p w14:paraId="0C4FD5FD">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DN150</w:t>
                  </w:r>
                </w:p>
              </w:tc>
              <w:tc>
                <w:tcPr>
                  <w:tcW w:w="947" w:type="dxa"/>
                  <w:tcBorders>
                    <w:tl2br w:val="nil"/>
                    <w:tr2bl w:val="nil"/>
                  </w:tcBorders>
                  <w:shd w:val="clear" w:color="auto" w:fill="auto"/>
                  <w:vAlign w:val="center"/>
                </w:tcPr>
                <w:p w14:paraId="28B0EDE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49177D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00FEF47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161" w:type="dxa"/>
                  <w:tcBorders>
                    <w:tl2br w:val="nil"/>
                    <w:tr2bl w:val="nil"/>
                  </w:tcBorders>
                  <w:shd w:val="clear" w:color="auto" w:fill="auto"/>
                  <w:vAlign w:val="center"/>
                </w:tcPr>
                <w:p w14:paraId="12DDBEC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出水管路</w:t>
                  </w:r>
                </w:p>
              </w:tc>
            </w:tr>
            <w:tr w14:paraId="2F54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16C348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19</w:t>
                  </w:r>
                </w:p>
              </w:tc>
              <w:tc>
                <w:tcPr>
                  <w:tcW w:w="1972" w:type="dxa"/>
                  <w:tcBorders>
                    <w:tl2br w:val="nil"/>
                    <w:tr2bl w:val="nil"/>
                  </w:tcBorders>
                  <w:shd w:val="clear" w:color="auto" w:fill="auto"/>
                  <w:vAlign w:val="center"/>
                </w:tcPr>
                <w:p w14:paraId="2E5F431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柔性橡胶接头</w:t>
                  </w:r>
                </w:p>
              </w:tc>
              <w:tc>
                <w:tcPr>
                  <w:tcW w:w="2685" w:type="dxa"/>
                  <w:tcBorders>
                    <w:tl2br w:val="nil"/>
                    <w:tr2bl w:val="nil"/>
                  </w:tcBorders>
                  <w:shd w:val="clear" w:color="auto" w:fill="auto"/>
                  <w:vAlign w:val="center"/>
                </w:tcPr>
                <w:p w14:paraId="2BF01B20">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DN80</w:t>
                  </w:r>
                </w:p>
              </w:tc>
              <w:tc>
                <w:tcPr>
                  <w:tcW w:w="947" w:type="dxa"/>
                  <w:tcBorders>
                    <w:tl2br w:val="nil"/>
                    <w:tr2bl w:val="nil"/>
                  </w:tcBorders>
                  <w:shd w:val="clear" w:color="auto" w:fill="auto"/>
                  <w:vAlign w:val="center"/>
                </w:tcPr>
                <w:p w14:paraId="311FF2E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409A08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0DD5813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0621F0E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733D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F99A6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20</w:t>
                  </w:r>
                </w:p>
              </w:tc>
              <w:tc>
                <w:tcPr>
                  <w:tcW w:w="1972" w:type="dxa"/>
                  <w:tcBorders>
                    <w:tl2br w:val="nil"/>
                    <w:tr2bl w:val="nil"/>
                  </w:tcBorders>
                  <w:shd w:val="clear" w:color="auto" w:fill="auto"/>
                  <w:vAlign w:val="center"/>
                </w:tcPr>
                <w:p w14:paraId="124AFBA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柔性橡胶接头</w:t>
                  </w:r>
                </w:p>
              </w:tc>
              <w:tc>
                <w:tcPr>
                  <w:tcW w:w="2685" w:type="dxa"/>
                  <w:tcBorders>
                    <w:tl2br w:val="nil"/>
                    <w:tr2bl w:val="nil"/>
                  </w:tcBorders>
                  <w:shd w:val="clear" w:color="auto" w:fill="auto"/>
                  <w:vAlign w:val="center"/>
                </w:tcPr>
                <w:p w14:paraId="7F7809FA">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DN50</w:t>
                  </w:r>
                </w:p>
              </w:tc>
              <w:tc>
                <w:tcPr>
                  <w:tcW w:w="947" w:type="dxa"/>
                  <w:tcBorders>
                    <w:tl2br w:val="nil"/>
                    <w:tr2bl w:val="nil"/>
                  </w:tcBorders>
                  <w:shd w:val="clear" w:color="auto" w:fill="auto"/>
                  <w:vAlign w:val="center"/>
                </w:tcPr>
                <w:p w14:paraId="59DE3BC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25BDD3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58C31C8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6FF54CE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E8D6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7"/>
                  <w:tcBorders>
                    <w:tl2br w:val="nil"/>
                    <w:tr2bl w:val="nil"/>
                  </w:tcBorders>
                  <w:shd w:val="clear" w:color="auto" w:fill="auto"/>
                  <w:vAlign w:val="center"/>
                </w:tcPr>
                <w:p w14:paraId="401D1E0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加氯加药间</w:t>
                  </w:r>
                </w:p>
              </w:tc>
            </w:tr>
            <w:tr w14:paraId="6E77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4777B4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972" w:type="dxa"/>
                  <w:tcBorders>
                    <w:tl2br w:val="nil"/>
                    <w:tr2bl w:val="nil"/>
                  </w:tcBorders>
                  <w:shd w:val="clear" w:color="auto" w:fill="auto"/>
                  <w:vAlign w:val="center"/>
                </w:tcPr>
                <w:p w14:paraId="7AED745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成品次氯酸钠储罐</w:t>
                  </w:r>
                </w:p>
              </w:tc>
              <w:tc>
                <w:tcPr>
                  <w:tcW w:w="2685" w:type="dxa"/>
                  <w:tcBorders>
                    <w:tl2br w:val="nil"/>
                    <w:tr2bl w:val="nil"/>
                  </w:tcBorders>
                  <w:shd w:val="clear" w:color="auto" w:fill="auto"/>
                  <w:vAlign w:val="center"/>
                </w:tcPr>
                <w:p w14:paraId="6931D7EF">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10m³，∅1800×L4000</w:t>
                  </w:r>
                </w:p>
              </w:tc>
              <w:tc>
                <w:tcPr>
                  <w:tcW w:w="947" w:type="dxa"/>
                  <w:tcBorders>
                    <w:tl2br w:val="nil"/>
                    <w:tr2bl w:val="nil"/>
                  </w:tcBorders>
                  <w:shd w:val="clear" w:color="auto" w:fill="auto"/>
                  <w:vAlign w:val="center"/>
                </w:tcPr>
                <w:p w14:paraId="4123883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5690FD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541DF98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1E63C88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7AE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B4038A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972" w:type="dxa"/>
                  <w:tcBorders>
                    <w:tl2br w:val="nil"/>
                    <w:tr2bl w:val="nil"/>
                  </w:tcBorders>
                  <w:shd w:val="clear" w:color="auto" w:fill="auto"/>
                  <w:vAlign w:val="center"/>
                </w:tcPr>
                <w:p w14:paraId="2612193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NaClO加药化工泵</w:t>
                  </w:r>
                </w:p>
              </w:tc>
              <w:tc>
                <w:tcPr>
                  <w:tcW w:w="2685" w:type="dxa"/>
                  <w:tcBorders>
                    <w:tl2br w:val="nil"/>
                    <w:tr2bl w:val="nil"/>
                  </w:tcBorders>
                  <w:shd w:val="clear" w:color="auto" w:fill="auto"/>
                  <w:vAlign w:val="center"/>
                </w:tcPr>
                <w:p w14:paraId="70EBEDB2">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Q=40L/h，H=55m，N=0.25kW</w:t>
                  </w:r>
                </w:p>
              </w:tc>
              <w:tc>
                <w:tcPr>
                  <w:tcW w:w="947" w:type="dxa"/>
                  <w:tcBorders>
                    <w:tl2br w:val="nil"/>
                    <w:tr2bl w:val="nil"/>
                  </w:tcBorders>
                  <w:shd w:val="clear" w:color="auto" w:fill="auto"/>
                  <w:vAlign w:val="center"/>
                </w:tcPr>
                <w:p w14:paraId="1BD2997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590E72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42CAFCF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3AB4792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1用1备，变频调节，成套提供</w:t>
                  </w:r>
                </w:p>
              </w:tc>
            </w:tr>
            <w:tr w14:paraId="3221A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245522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972" w:type="dxa"/>
                  <w:tcBorders>
                    <w:tl2br w:val="nil"/>
                    <w:tr2bl w:val="nil"/>
                  </w:tcBorders>
                  <w:shd w:val="clear" w:color="auto" w:fill="auto"/>
                  <w:vAlign w:val="center"/>
                </w:tcPr>
                <w:p w14:paraId="6E9E9D5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折桨式搅拌机</w:t>
                  </w:r>
                </w:p>
              </w:tc>
              <w:tc>
                <w:tcPr>
                  <w:tcW w:w="2685" w:type="dxa"/>
                  <w:tcBorders>
                    <w:tl2br w:val="nil"/>
                    <w:tr2bl w:val="nil"/>
                  </w:tcBorders>
                  <w:shd w:val="clear" w:color="auto" w:fill="auto"/>
                  <w:vAlign w:val="center"/>
                </w:tcPr>
                <w:p w14:paraId="1961A52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桨叶直径D=750mm，N=4kW</w:t>
                  </w:r>
                </w:p>
              </w:tc>
              <w:tc>
                <w:tcPr>
                  <w:tcW w:w="947" w:type="dxa"/>
                  <w:tcBorders>
                    <w:tl2br w:val="nil"/>
                    <w:tr2bl w:val="nil"/>
                  </w:tcBorders>
                  <w:shd w:val="clear" w:color="auto" w:fill="auto"/>
                  <w:vAlign w:val="center"/>
                </w:tcPr>
                <w:p w14:paraId="1DDB89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SS316</w:t>
                  </w:r>
                </w:p>
              </w:tc>
              <w:tc>
                <w:tcPr>
                  <w:tcW w:w="517" w:type="dxa"/>
                  <w:tcBorders>
                    <w:tl2br w:val="nil"/>
                    <w:tr2bl w:val="nil"/>
                  </w:tcBorders>
                  <w:shd w:val="clear" w:color="auto" w:fill="auto"/>
                  <w:vAlign w:val="center"/>
                </w:tcPr>
                <w:p w14:paraId="0FFD9D9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79968C9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7AA03D0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18FB5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7010ED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972" w:type="dxa"/>
                  <w:tcBorders>
                    <w:tl2br w:val="nil"/>
                    <w:tr2bl w:val="nil"/>
                  </w:tcBorders>
                  <w:shd w:val="clear" w:color="auto" w:fill="auto"/>
                  <w:vAlign w:val="center"/>
                </w:tcPr>
                <w:p w14:paraId="042A79E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乙酸钠变频隔膜计量泵</w:t>
                  </w:r>
                </w:p>
              </w:tc>
              <w:tc>
                <w:tcPr>
                  <w:tcW w:w="2685" w:type="dxa"/>
                  <w:tcBorders>
                    <w:tl2br w:val="nil"/>
                    <w:tr2bl w:val="nil"/>
                  </w:tcBorders>
                  <w:shd w:val="clear" w:color="auto" w:fill="auto"/>
                  <w:vAlign w:val="center"/>
                </w:tcPr>
                <w:p w14:paraId="6F27F3EB">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Q=500L/h，H=50m，N=0.75kW</w:t>
                  </w:r>
                </w:p>
              </w:tc>
              <w:tc>
                <w:tcPr>
                  <w:tcW w:w="947" w:type="dxa"/>
                  <w:tcBorders>
                    <w:tl2br w:val="nil"/>
                    <w:tr2bl w:val="nil"/>
                  </w:tcBorders>
                  <w:shd w:val="clear" w:color="auto" w:fill="auto"/>
                  <w:vAlign w:val="center"/>
                </w:tcPr>
                <w:p w14:paraId="62438E7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64DCDB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0B75767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161" w:type="dxa"/>
                  <w:tcBorders>
                    <w:tl2br w:val="nil"/>
                    <w:tr2bl w:val="nil"/>
                  </w:tcBorders>
                  <w:shd w:val="clear" w:color="auto" w:fill="auto"/>
                  <w:vAlign w:val="center"/>
                </w:tcPr>
                <w:p w14:paraId="07575B7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2用1备，成套提供</w:t>
                  </w:r>
                </w:p>
              </w:tc>
            </w:tr>
            <w:tr w14:paraId="3779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98825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972" w:type="dxa"/>
                  <w:tcBorders>
                    <w:tl2br w:val="nil"/>
                    <w:tr2bl w:val="nil"/>
                  </w:tcBorders>
                  <w:shd w:val="clear" w:color="auto" w:fill="auto"/>
                  <w:vAlign w:val="center"/>
                </w:tcPr>
                <w:p w14:paraId="45695E2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一体化自动溶药设备（聚合硫酸铁）</w:t>
                  </w:r>
                </w:p>
              </w:tc>
              <w:tc>
                <w:tcPr>
                  <w:tcW w:w="2685" w:type="dxa"/>
                  <w:tcBorders>
                    <w:tl2br w:val="nil"/>
                    <w:tr2bl w:val="nil"/>
                  </w:tcBorders>
                  <w:shd w:val="clear" w:color="auto" w:fill="auto"/>
                  <w:vAlign w:val="center"/>
                </w:tcPr>
                <w:p w14:paraId="78E7EB8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10kg/h，N=1.5kW</w:t>
                  </w:r>
                </w:p>
              </w:tc>
              <w:tc>
                <w:tcPr>
                  <w:tcW w:w="947" w:type="dxa"/>
                  <w:tcBorders>
                    <w:tl2br w:val="nil"/>
                    <w:tr2bl w:val="nil"/>
                  </w:tcBorders>
                  <w:shd w:val="clear" w:color="auto" w:fill="auto"/>
                  <w:vAlign w:val="center"/>
                </w:tcPr>
                <w:p w14:paraId="0A8BAA1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37F54F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55F22D8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4DCEFB2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配套钢制扶梯</w:t>
                  </w:r>
                </w:p>
              </w:tc>
            </w:tr>
            <w:tr w14:paraId="64281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924E71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1972" w:type="dxa"/>
                  <w:tcBorders>
                    <w:tl2br w:val="nil"/>
                    <w:tr2bl w:val="nil"/>
                  </w:tcBorders>
                  <w:shd w:val="clear" w:color="auto" w:fill="auto"/>
                  <w:vAlign w:val="center"/>
                </w:tcPr>
                <w:p w14:paraId="7B347FB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聚合硫酸铁变频隔膜计量泵</w:t>
                  </w:r>
                </w:p>
              </w:tc>
              <w:tc>
                <w:tcPr>
                  <w:tcW w:w="2685" w:type="dxa"/>
                  <w:tcBorders>
                    <w:tl2br w:val="nil"/>
                    <w:tr2bl w:val="nil"/>
                  </w:tcBorders>
                  <w:shd w:val="clear" w:color="auto" w:fill="auto"/>
                  <w:vAlign w:val="center"/>
                </w:tcPr>
                <w:p w14:paraId="2B7FB0A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Q=180L/h，H=50m，N=0.55kW</w:t>
                  </w:r>
                </w:p>
              </w:tc>
              <w:tc>
                <w:tcPr>
                  <w:tcW w:w="947" w:type="dxa"/>
                  <w:tcBorders>
                    <w:tl2br w:val="nil"/>
                    <w:tr2bl w:val="nil"/>
                  </w:tcBorders>
                  <w:shd w:val="clear" w:color="auto" w:fill="auto"/>
                  <w:vAlign w:val="center"/>
                </w:tcPr>
                <w:p w14:paraId="233D0C3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C475BC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7348AC7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0905F21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1用1备，成套提供</w:t>
                  </w:r>
                </w:p>
              </w:tc>
            </w:tr>
            <w:tr w14:paraId="2563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46DACA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w:t>
                  </w:r>
                </w:p>
              </w:tc>
              <w:tc>
                <w:tcPr>
                  <w:tcW w:w="1972" w:type="dxa"/>
                  <w:tcBorders>
                    <w:tl2br w:val="nil"/>
                    <w:tr2bl w:val="nil"/>
                  </w:tcBorders>
                  <w:shd w:val="clear" w:color="auto" w:fill="auto"/>
                  <w:vAlign w:val="center"/>
                </w:tcPr>
                <w:p w14:paraId="71B4486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一体化自动溶药设备（PAM）</w:t>
                  </w:r>
                </w:p>
              </w:tc>
              <w:tc>
                <w:tcPr>
                  <w:tcW w:w="2685" w:type="dxa"/>
                  <w:tcBorders>
                    <w:tl2br w:val="nil"/>
                    <w:tr2bl w:val="nil"/>
                  </w:tcBorders>
                  <w:shd w:val="clear" w:color="auto" w:fill="auto"/>
                  <w:vAlign w:val="center"/>
                </w:tcPr>
                <w:p w14:paraId="5072945F">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2kg/h，N=3.7kW</w:t>
                  </w:r>
                </w:p>
              </w:tc>
              <w:tc>
                <w:tcPr>
                  <w:tcW w:w="947" w:type="dxa"/>
                  <w:tcBorders>
                    <w:tl2br w:val="nil"/>
                    <w:tr2bl w:val="nil"/>
                  </w:tcBorders>
                  <w:shd w:val="clear" w:color="auto" w:fill="auto"/>
                  <w:vAlign w:val="center"/>
                </w:tcPr>
                <w:p w14:paraId="7A5C50C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74285C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41D3D6F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6E35E22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配套钢制扶梯</w:t>
                  </w:r>
                </w:p>
              </w:tc>
            </w:tr>
            <w:tr w14:paraId="1AB4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E30F42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c>
                <w:tcPr>
                  <w:tcW w:w="1972" w:type="dxa"/>
                  <w:tcBorders>
                    <w:tl2br w:val="nil"/>
                    <w:tr2bl w:val="nil"/>
                  </w:tcBorders>
                  <w:shd w:val="clear" w:color="auto" w:fill="auto"/>
                  <w:vAlign w:val="center"/>
                </w:tcPr>
                <w:p w14:paraId="1F11560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PAM加药泵</w:t>
                  </w:r>
                </w:p>
              </w:tc>
              <w:tc>
                <w:tcPr>
                  <w:tcW w:w="2685" w:type="dxa"/>
                  <w:tcBorders>
                    <w:tl2br w:val="nil"/>
                    <w:tr2bl w:val="nil"/>
                  </w:tcBorders>
                  <w:shd w:val="clear" w:color="auto" w:fill="auto"/>
                  <w:vAlign w:val="center"/>
                </w:tcPr>
                <w:p w14:paraId="33F1905E">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Q=180L/h，H=50m，N=0.55kW</w:t>
                  </w:r>
                </w:p>
              </w:tc>
              <w:tc>
                <w:tcPr>
                  <w:tcW w:w="947" w:type="dxa"/>
                  <w:tcBorders>
                    <w:tl2br w:val="nil"/>
                    <w:tr2bl w:val="nil"/>
                  </w:tcBorders>
                  <w:shd w:val="clear" w:color="auto" w:fill="auto"/>
                  <w:vAlign w:val="center"/>
                </w:tcPr>
                <w:p w14:paraId="7FA5D4E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A81E37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14B7F7A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59439B2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1用1备，成套提供</w:t>
                  </w:r>
                </w:p>
              </w:tc>
            </w:tr>
            <w:tr w14:paraId="1387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6C52E89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w:t>
                  </w:r>
                </w:p>
              </w:tc>
              <w:tc>
                <w:tcPr>
                  <w:tcW w:w="1972" w:type="dxa"/>
                  <w:tcBorders>
                    <w:tl2br w:val="nil"/>
                    <w:tr2bl w:val="nil"/>
                  </w:tcBorders>
                  <w:shd w:val="clear" w:color="auto" w:fill="auto"/>
                  <w:vAlign w:val="center"/>
                </w:tcPr>
                <w:p w14:paraId="1EF0B48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电动葫芦</w:t>
                  </w:r>
                </w:p>
              </w:tc>
              <w:tc>
                <w:tcPr>
                  <w:tcW w:w="2685" w:type="dxa"/>
                  <w:tcBorders>
                    <w:tl2br w:val="nil"/>
                    <w:tr2bl w:val="nil"/>
                  </w:tcBorders>
                  <w:shd w:val="clear" w:color="auto" w:fill="auto"/>
                  <w:vAlign w:val="center"/>
                </w:tcPr>
                <w:p w14:paraId="4B1E7271">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T=1t，H=6m，N=0.8+0.2kW</w:t>
                  </w:r>
                </w:p>
              </w:tc>
              <w:tc>
                <w:tcPr>
                  <w:tcW w:w="947" w:type="dxa"/>
                  <w:tcBorders>
                    <w:tl2br w:val="nil"/>
                    <w:tr2bl w:val="nil"/>
                  </w:tcBorders>
                  <w:shd w:val="clear" w:color="auto" w:fill="auto"/>
                  <w:vAlign w:val="center"/>
                </w:tcPr>
                <w:p w14:paraId="789C067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E3439E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1A86EE7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noWrap/>
                  <w:vAlign w:val="center"/>
                </w:tcPr>
                <w:p w14:paraId="318F21E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56DC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7"/>
                  <w:tcBorders>
                    <w:tl2br w:val="nil"/>
                    <w:tr2bl w:val="nil"/>
                  </w:tcBorders>
                  <w:shd w:val="clear" w:color="auto" w:fill="auto"/>
                  <w:vAlign w:val="center"/>
                </w:tcPr>
                <w:p w14:paraId="3B04E8A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鼓风机房</w:t>
                  </w:r>
                </w:p>
              </w:tc>
            </w:tr>
            <w:tr w14:paraId="5ACD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D4B7A3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972" w:type="dxa"/>
                  <w:tcBorders>
                    <w:tl2br w:val="nil"/>
                    <w:tr2bl w:val="nil"/>
                  </w:tcBorders>
                  <w:shd w:val="clear" w:color="auto" w:fill="auto"/>
                  <w:vAlign w:val="center"/>
                </w:tcPr>
                <w:p w14:paraId="54D5196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自动卷帘式过滤器</w:t>
                  </w:r>
                </w:p>
              </w:tc>
              <w:tc>
                <w:tcPr>
                  <w:tcW w:w="2685" w:type="dxa"/>
                  <w:tcBorders>
                    <w:tl2br w:val="nil"/>
                    <w:tr2bl w:val="nil"/>
                  </w:tcBorders>
                  <w:shd w:val="clear" w:color="auto" w:fill="auto"/>
                  <w:vAlign w:val="center"/>
                </w:tcPr>
                <w:p w14:paraId="2D0A9F8C">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B×H=1200×1400mm，N=0.55kW</w:t>
                  </w:r>
                </w:p>
              </w:tc>
              <w:tc>
                <w:tcPr>
                  <w:tcW w:w="947" w:type="dxa"/>
                  <w:tcBorders>
                    <w:tl2br w:val="nil"/>
                    <w:tr2bl w:val="nil"/>
                  </w:tcBorders>
                  <w:shd w:val="clear" w:color="auto" w:fill="auto"/>
                  <w:vAlign w:val="center"/>
                </w:tcPr>
                <w:p w14:paraId="080C103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0D96E0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3E76C5B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789DB8F1">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6EA6A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DF051B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972" w:type="dxa"/>
                  <w:tcBorders>
                    <w:tl2br w:val="nil"/>
                    <w:tr2bl w:val="nil"/>
                  </w:tcBorders>
                  <w:shd w:val="clear" w:color="auto" w:fill="auto"/>
                  <w:vAlign w:val="center"/>
                </w:tcPr>
                <w:p w14:paraId="2641D2E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罗茨鼓风机</w:t>
                  </w:r>
                </w:p>
              </w:tc>
              <w:tc>
                <w:tcPr>
                  <w:tcW w:w="2685" w:type="dxa"/>
                  <w:tcBorders>
                    <w:tl2br w:val="nil"/>
                    <w:tr2bl w:val="nil"/>
                  </w:tcBorders>
                  <w:shd w:val="clear" w:color="auto" w:fill="auto"/>
                  <w:vAlign w:val="center"/>
                </w:tcPr>
                <w:p w14:paraId="428A3415">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Qs=30m³/min，P=68.6kPa，N=55kW</w:t>
                  </w:r>
                </w:p>
              </w:tc>
              <w:tc>
                <w:tcPr>
                  <w:tcW w:w="947" w:type="dxa"/>
                  <w:tcBorders>
                    <w:tl2br w:val="nil"/>
                    <w:tr2bl w:val="nil"/>
                  </w:tcBorders>
                  <w:shd w:val="clear" w:color="auto" w:fill="auto"/>
                  <w:vAlign w:val="center"/>
                </w:tcPr>
                <w:p w14:paraId="386E0EB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C76F6A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2DA5255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76F0995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3用1备，4台变频，带隔音罩及进、出口消音器</w:t>
                  </w:r>
                </w:p>
              </w:tc>
            </w:tr>
            <w:tr w14:paraId="365C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DBD578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972" w:type="dxa"/>
                  <w:tcBorders>
                    <w:tl2br w:val="nil"/>
                    <w:tr2bl w:val="nil"/>
                  </w:tcBorders>
                  <w:shd w:val="clear" w:color="auto" w:fill="auto"/>
                  <w:vAlign w:val="center"/>
                </w:tcPr>
                <w:p w14:paraId="7034FDD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出风管可曲挠接头</w:t>
                  </w:r>
                </w:p>
              </w:tc>
              <w:tc>
                <w:tcPr>
                  <w:tcW w:w="2685" w:type="dxa"/>
                  <w:tcBorders>
                    <w:tl2br w:val="nil"/>
                    <w:tr2bl w:val="nil"/>
                  </w:tcBorders>
                  <w:shd w:val="clear" w:color="auto" w:fill="auto"/>
                  <w:vAlign w:val="center"/>
                </w:tcPr>
                <w:p w14:paraId="75A11CA9">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DN200，PN1.0MPa</w:t>
                  </w:r>
                </w:p>
              </w:tc>
              <w:tc>
                <w:tcPr>
                  <w:tcW w:w="947" w:type="dxa"/>
                  <w:tcBorders>
                    <w:tl2br w:val="nil"/>
                    <w:tr2bl w:val="nil"/>
                  </w:tcBorders>
                  <w:shd w:val="clear" w:color="auto" w:fill="auto"/>
                  <w:vAlign w:val="center"/>
                </w:tcPr>
                <w:p w14:paraId="4865D8A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CE2DC4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5EFCF05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2562582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鼓风机配套</w:t>
                  </w:r>
                </w:p>
              </w:tc>
            </w:tr>
            <w:tr w14:paraId="513B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5AF5913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4</w:t>
                  </w:r>
                </w:p>
              </w:tc>
              <w:tc>
                <w:tcPr>
                  <w:tcW w:w="1972" w:type="dxa"/>
                  <w:tcBorders>
                    <w:tl2br w:val="nil"/>
                    <w:tr2bl w:val="nil"/>
                  </w:tcBorders>
                  <w:shd w:val="clear" w:color="auto" w:fill="auto"/>
                  <w:vAlign w:val="center"/>
                </w:tcPr>
                <w:p w14:paraId="0AC84EA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安全阀</w:t>
                  </w:r>
                </w:p>
              </w:tc>
              <w:tc>
                <w:tcPr>
                  <w:tcW w:w="2685" w:type="dxa"/>
                  <w:tcBorders>
                    <w:tl2br w:val="nil"/>
                    <w:tr2bl w:val="nil"/>
                  </w:tcBorders>
                  <w:shd w:val="clear" w:color="auto" w:fill="auto"/>
                  <w:vAlign w:val="center"/>
                </w:tcPr>
                <w:p w14:paraId="29AFA381">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DN200，PN1.0MPa</w:t>
                  </w:r>
                </w:p>
              </w:tc>
              <w:tc>
                <w:tcPr>
                  <w:tcW w:w="947" w:type="dxa"/>
                  <w:tcBorders>
                    <w:tl2br w:val="nil"/>
                    <w:tr2bl w:val="nil"/>
                  </w:tcBorders>
                  <w:shd w:val="clear" w:color="auto" w:fill="auto"/>
                  <w:vAlign w:val="center"/>
                </w:tcPr>
                <w:p w14:paraId="16C7149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FE7084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12BB55E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0458529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鼓风机配套</w:t>
                  </w:r>
                </w:p>
              </w:tc>
            </w:tr>
            <w:tr w14:paraId="116B2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67F1049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w:t>
                  </w:r>
                </w:p>
              </w:tc>
              <w:tc>
                <w:tcPr>
                  <w:tcW w:w="1972" w:type="dxa"/>
                  <w:tcBorders>
                    <w:tl2br w:val="nil"/>
                    <w:tr2bl w:val="nil"/>
                  </w:tcBorders>
                  <w:shd w:val="clear" w:color="auto" w:fill="auto"/>
                  <w:vAlign w:val="center"/>
                </w:tcPr>
                <w:p w14:paraId="201A872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止回阀</w:t>
                  </w:r>
                </w:p>
              </w:tc>
              <w:tc>
                <w:tcPr>
                  <w:tcW w:w="2685" w:type="dxa"/>
                  <w:tcBorders>
                    <w:tl2br w:val="nil"/>
                    <w:tr2bl w:val="nil"/>
                  </w:tcBorders>
                  <w:shd w:val="clear" w:color="auto" w:fill="auto"/>
                  <w:vAlign w:val="center"/>
                </w:tcPr>
                <w:p w14:paraId="201739AE">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DN200，PN1.0MPa</w:t>
                  </w:r>
                </w:p>
              </w:tc>
              <w:tc>
                <w:tcPr>
                  <w:tcW w:w="947" w:type="dxa"/>
                  <w:tcBorders>
                    <w:tl2br w:val="nil"/>
                    <w:tr2bl w:val="nil"/>
                  </w:tcBorders>
                  <w:shd w:val="clear" w:color="auto" w:fill="auto"/>
                  <w:vAlign w:val="center"/>
                </w:tcPr>
                <w:p w14:paraId="3CE9963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D16BBC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6B5DE60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7A3E3A4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鼓风机配套</w:t>
                  </w:r>
                </w:p>
              </w:tc>
            </w:tr>
            <w:tr w14:paraId="1771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1DB0971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6</w:t>
                  </w:r>
                </w:p>
              </w:tc>
              <w:tc>
                <w:tcPr>
                  <w:tcW w:w="1972" w:type="dxa"/>
                  <w:tcBorders>
                    <w:tl2br w:val="nil"/>
                    <w:tr2bl w:val="nil"/>
                  </w:tcBorders>
                  <w:shd w:val="clear" w:color="auto" w:fill="auto"/>
                  <w:vAlign w:val="center"/>
                </w:tcPr>
                <w:p w14:paraId="7FCF153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卸载式启动阀</w:t>
                  </w:r>
                </w:p>
              </w:tc>
              <w:tc>
                <w:tcPr>
                  <w:tcW w:w="2685" w:type="dxa"/>
                  <w:tcBorders>
                    <w:tl2br w:val="nil"/>
                    <w:tr2bl w:val="nil"/>
                  </w:tcBorders>
                  <w:shd w:val="clear" w:color="auto" w:fill="auto"/>
                  <w:vAlign w:val="center"/>
                </w:tcPr>
                <w:p w14:paraId="00587D79">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DN100，PN1.0MPa</w:t>
                  </w:r>
                </w:p>
              </w:tc>
              <w:tc>
                <w:tcPr>
                  <w:tcW w:w="947" w:type="dxa"/>
                  <w:tcBorders>
                    <w:tl2br w:val="nil"/>
                    <w:tr2bl w:val="nil"/>
                  </w:tcBorders>
                  <w:shd w:val="clear" w:color="auto" w:fill="auto"/>
                  <w:vAlign w:val="center"/>
                </w:tcPr>
                <w:p w14:paraId="272E2BF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79D2160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6083688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457868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鼓风机配套</w:t>
                  </w:r>
                </w:p>
              </w:tc>
            </w:tr>
            <w:tr w14:paraId="17EF4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2E9C41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w:t>
                  </w:r>
                </w:p>
              </w:tc>
              <w:tc>
                <w:tcPr>
                  <w:tcW w:w="1972" w:type="dxa"/>
                  <w:tcBorders>
                    <w:tl2br w:val="nil"/>
                    <w:tr2bl w:val="nil"/>
                  </w:tcBorders>
                  <w:shd w:val="clear" w:color="auto" w:fill="auto"/>
                  <w:vAlign w:val="center"/>
                </w:tcPr>
                <w:p w14:paraId="2C6CBFF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电动蝶阀</w:t>
                  </w:r>
                </w:p>
              </w:tc>
              <w:tc>
                <w:tcPr>
                  <w:tcW w:w="2685" w:type="dxa"/>
                  <w:tcBorders>
                    <w:tl2br w:val="nil"/>
                    <w:tr2bl w:val="nil"/>
                  </w:tcBorders>
                  <w:shd w:val="clear" w:color="auto" w:fill="auto"/>
                  <w:vAlign w:val="center"/>
                </w:tcPr>
                <w:p w14:paraId="55CD8241">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DN200，PN1.0MPa，N=0.37kW</w:t>
                  </w:r>
                </w:p>
              </w:tc>
              <w:tc>
                <w:tcPr>
                  <w:tcW w:w="947" w:type="dxa"/>
                  <w:tcBorders>
                    <w:tl2br w:val="nil"/>
                    <w:tr2bl w:val="nil"/>
                  </w:tcBorders>
                  <w:shd w:val="clear" w:color="auto" w:fill="auto"/>
                  <w:vAlign w:val="center"/>
                </w:tcPr>
                <w:p w14:paraId="186DB5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F9B739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0A5FB46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71302B7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鼓风机配套</w:t>
                  </w:r>
                </w:p>
              </w:tc>
            </w:tr>
            <w:tr w14:paraId="15AF5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1148BE5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8</w:t>
                  </w:r>
                </w:p>
              </w:tc>
              <w:tc>
                <w:tcPr>
                  <w:tcW w:w="1972" w:type="dxa"/>
                  <w:tcBorders>
                    <w:tl2br w:val="nil"/>
                    <w:tr2bl w:val="nil"/>
                  </w:tcBorders>
                  <w:shd w:val="clear" w:color="auto" w:fill="auto"/>
                  <w:vAlign w:val="center"/>
                </w:tcPr>
                <w:p w14:paraId="11922FE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可曲挠伸缩接头</w:t>
                  </w:r>
                </w:p>
              </w:tc>
              <w:tc>
                <w:tcPr>
                  <w:tcW w:w="2685" w:type="dxa"/>
                  <w:tcBorders>
                    <w:tl2br w:val="nil"/>
                    <w:tr2bl w:val="nil"/>
                  </w:tcBorders>
                  <w:shd w:val="clear" w:color="auto" w:fill="auto"/>
                  <w:vAlign w:val="center"/>
                </w:tcPr>
                <w:p w14:paraId="2131E2BF">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DN200，PN1.0MPa</w:t>
                  </w:r>
                </w:p>
              </w:tc>
              <w:tc>
                <w:tcPr>
                  <w:tcW w:w="947" w:type="dxa"/>
                  <w:tcBorders>
                    <w:tl2br w:val="nil"/>
                    <w:tr2bl w:val="nil"/>
                  </w:tcBorders>
                  <w:shd w:val="clear" w:color="auto" w:fill="auto"/>
                  <w:vAlign w:val="center"/>
                </w:tcPr>
                <w:p w14:paraId="5FF01F3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CCBAD4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48472B5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53FB480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鼓风机配套</w:t>
                  </w:r>
                </w:p>
              </w:tc>
            </w:tr>
            <w:tr w14:paraId="3EB8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2DDA4C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9</w:t>
                  </w:r>
                </w:p>
              </w:tc>
              <w:tc>
                <w:tcPr>
                  <w:tcW w:w="1972" w:type="dxa"/>
                  <w:tcBorders>
                    <w:tl2br w:val="nil"/>
                    <w:tr2bl w:val="nil"/>
                  </w:tcBorders>
                  <w:shd w:val="clear" w:color="auto" w:fill="auto"/>
                  <w:vAlign w:val="center"/>
                </w:tcPr>
                <w:p w14:paraId="61635F6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手动蝶阀</w:t>
                  </w:r>
                </w:p>
              </w:tc>
              <w:tc>
                <w:tcPr>
                  <w:tcW w:w="2685" w:type="dxa"/>
                  <w:tcBorders>
                    <w:tl2br w:val="nil"/>
                    <w:tr2bl w:val="nil"/>
                  </w:tcBorders>
                  <w:shd w:val="clear" w:color="auto" w:fill="auto"/>
                  <w:vAlign w:val="center"/>
                </w:tcPr>
                <w:p w14:paraId="2499586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DN200，PN1.0MPa</w:t>
                  </w:r>
                </w:p>
              </w:tc>
              <w:tc>
                <w:tcPr>
                  <w:tcW w:w="947" w:type="dxa"/>
                  <w:tcBorders>
                    <w:tl2br w:val="nil"/>
                    <w:tr2bl w:val="nil"/>
                  </w:tcBorders>
                  <w:shd w:val="clear" w:color="auto" w:fill="auto"/>
                  <w:vAlign w:val="center"/>
                </w:tcPr>
                <w:p w14:paraId="1760366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88C96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6F8AE88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288790E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鼓风机配套</w:t>
                  </w:r>
                </w:p>
              </w:tc>
            </w:tr>
            <w:tr w14:paraId="7E74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7"/>
                  <w:tcBorders>
                    <w:tl2br w:val="nil"/>
                    <w:tr2bl w:val="nil"/>
                  </w:tcBorders>
                  <w:shd w:val="clear" w:color="auto" w:fill="auto"/>
                  <w:vAlign w:val="center"/>
                </w:tcPr>
                <w:p w14:paraId="5B4A840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贮泥池</w:t>
                  </w:r>
                </w:p>
              </w:tc>
            </w:tr>
            <w:tr w14:paraId="3C2B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D25A22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972" w:type="dxa"/>
                  <w:tcBorders>
                    <w:tl2br w:val="nil"/>
                    <w:tr2bl w:val="nil"/>
                  </w:tcBorders>
                  <w:shd w:val="clear" w:color="auto" w:fill="auto"/>
                  <w:vAlign w:val="center"/>
                </w:tcPr>
                <w:p w14:paraId="698F285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潜水搅拌器</w:t>
                  </w:r>
                </w:p>
              </w:tc>
              <w:tc>
                <w:tcPr>
                  <w:tcW w:w="2685" w:type="dxa"/>
                  <w:tcBorders>
                    <w:tl2br w:val="nil"/>
                    <w:tr2bl w:val="nil"/>
                  </w:tcBorders>
                  <w:shd w:val="clear" w:color="auto" w:fill="auto"/>
                  <w:vAlign w:val="center"/>
                </w:tcPr>
                <w:p w14:paraId="2DD28B7C">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叶轮直径400mm，N=1.1kW</w:t>
                  </w:r>
                </w:p>
              </w:tc>
              <w:tc>
                <w:tcPr>
                  <w:tcW w:w="947" w:type="dxa"/>
                  <w:tcBorders>
                    <w:tl2br w:val="nil"/>
                    <w:tr2bl w:val="nil"/>
                  </w:tcBorders>
                  <w:shd w:val="clear" w:color="auto" w:fill="auto"/>
                  <w:vAlign w:val="center"/>
                </w:tcPr>
                <w:p w14:paraId="37FDA8B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9A8613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6E8B096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4217538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成套供应</w:t>
                  </w:r>
                </w:p>
              </w:tc>
            </w:tr>
            <w:tr w14:paraId="2CEB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182D692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972" w:type="dxa"/>
                  <w:tcBorders>
                    <w:tl2br w:val="nil"/>
                    <w:tr2bl w:val="nil"/>
                  </w:tcBorders>
                  <w:shd w:val="clear" w:color="auto" w:fill="auto"/>
                  <w:vAlign w:val="center"/>
                </w:tcPr>
                <w:p w14:paraId="7D88EA3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闸阀</w:t>
                  </w:r>
                </w:p>
              </w:tc>
              <w:tc>
                <w:tcPr>
                  <w:tcW w:w="2685" w:type="dxa"/>
                  <w:tcBorders>
                    <w:tl2br w:val="nil"/>
                    <w:tr2bl w:val="nil"/>
                  </w:tcBorders>
                  <w:shd w:val="clear" w:color="auto" w:fill="auto"/>
                  <w:vAlign w:val="center"/>
                </w:tcPr>
                <w:p w14:paraId="25E73CA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DN150，PN1.0MPa</w:t>
                  </w:r>
                </w:p>
              </w:tc>
              <w:tc>
                <w:tcPr>
                  <w:tcW w:w="947" w:type="dxa"/>
                  <w:tcBorders>
                    <w:tl2br w:val="nil"/>
                    <w:tr2bl w:val="nil"/>
                  </w:tcBorders>
                  <w:shd w:val="clear" w:color="auto" w:fill="auto"/>
                  <w:vAlign w:val="center"/>
                </w:tcPr>
                <w:p w14:paraId="28440B2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985C2B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754564C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0682668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433F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3F312C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972" w:type="dxa"/>
                  <w:tcBorders>
                    <w:tl2br w:val="nil"/>
                    <w:tr2bl w:val="nil"/>
                  </w:tcBorders>
                  <w:shd w:val="clear" w:color="auto" w:fill="auto"/>
                  <w:vAlign w:val="center"/>
                </w:tcPr>
                <w:p w14:paraId="4DB97B8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闸阀</w:t>
                  </w:r>
                </w:p>
              </w:tc>
              <w:tc>
                <w:tcPr>
                  <w:tcW w:w="2685" w:type="dxa"/>
                  <w:tcBorders>
                    <w:tl2br w:val="nil"/>
                    <w:tr2bl w:val="nil"/>
                  </w:tcBorders>
                  <w:shd w:val="clear" w:color="auto" w:fill="auto"/>
                  <w:vAlign w:val="center"/>
                </w:tcPr>
                <w:p w14:paraId="49C58422">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DN200，PN1.0MPa</w:t>
                  </w:r>
                </w:p>
              </w:tc>
              <w:tc>
                <w:tcPr>
                  <w:tcW w:w="947" w:type="dxa"/>
                  <w:tcBorders>
                    <w:tl2br w:val="nil"/>
                    <w:tr2bl w:val="nil"/>
                  </w:tcBorders>
                  <w:shd w:val="clear" w:color="auto" w:fill="auto"/>
                  <w:vAlign w:val="center"/>
                </w:tcPr>
                <w:p w14:paraId="5CD1AF5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3D01FE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个</w:t>
                  </w:r>
                </w:p>
              </w:tc>
              <w:tc>
                <w:tcPr>
                  <w:tcW w:w="486" w:type="dxa"/>
                  <w:tcBorders>
                    <w:tl2br w:val="nil"/>
                    <w:tr2bl w:val="nil"/>
                  </w:tcBorders>
                  <w:shd w:val="clear" w:color="auto" w:fill="auto"/>
                  <w:vAlign w:val="center"/>
                </w:tcPr>
                <w:p w14:paraId="7679B30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3ADC2D8C">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CB1A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7"/>
                  <w:tcBorders>
                    <w:tl2br w:val="nil"/>
                    <w:tr2bl w:val="nil"/>
                  </w:tcBorders>
                  <w:shd w:val="clear" w:color="auto" w:fill="auto"/>
                  <w:vAlign w:val="center"/>
                </w:tcPr>
                <w:p w14:paraId="595329C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污泥脱水机房</w:t>
                  </w:r>
                </w:p>
              </w:tc>
            </w:tr>
            <w:tr w14:paraId="1145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1D14EA2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972" w:type="dxa"/>
                  <w:tcBorders>
                    <w:tl2br w:val="nil"/>
                    <w:tr2bl w:val="nil"/>
                  </w:tcBorders>
                  <w:shd w:val="clear" w:color="auto" w:fill="auto"/>
                  <w:vAlign w:val="center"/>
                </w:tcPr>
                <w:p w14:paraId="01BFBD1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浓缩机进料泵</w:t>
                  </w:r>
                </w:p>
              </w:tc>
              <w:tc>
                <w:tcPr>
                  <w:tcW w:w="2685" w:type="dxa"/>
                  <w:tcBorders>
                    <w:tl2br w:val="nil"/>
                    <w:tr2bl w:val="nil"/>
                  </w:tcBorders>
                  <w:shd w:val="clear" w:color="auto" w:fill="auto"/>
                  <w:vAlign w:val="center"/>
                </w:tcPr>
                <w:p w14:paraId="088B9293">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60~145m³/h，0.3MPa，N=30kW</w:t>
                  </w:r>
                </w:p>
              </w:tc>
              <w:tc>
                <w:tcPr>
                  <w:tcW w:w="947" w:type="dxa"/>
                  <w:tcBorders>
                    <w:tl2br w:val="nil"/>
                    <w:tr2bl w:val="nil"/>
                  </w:tcBorders>
                  <w:shd w:val="clear" w:color="auto" w:fill="auto"/>
                  <w:vAlign w:val="center"/>
                </w:tcPr>
                <w:p w14:paraId="0C41E49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B66644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222C125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0ECF276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1用1备，变频</w:t>
                  </w:r>
                </w:p>
              </w:tc>
            </w:tr>
            <w:tr w14:paraId="28D4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E274A4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972" w:type="dxa"/>
                  <w:tcBorders>
                    <w:tl2br w:val="nil"/>
                    <w:tr2bl w:val="nil"/>
                  </w:tcBorders>
                  <w:shd w:val="clear" w:color="auto" w:fill="auto"/>
                  <w:vAlign w:val="center"/>
                </w:tcPr>
                <w:p w14:paraId="1AE8C20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叠螺式污泥浓缩机</w:t>
                  </w:r>
                </w:p>
              </w:tc>
              <w:tc>
                <w:tcPr>
                  <w:tcW w:w="2685" w:type="dxa"/>
                  <w:tcBorders>
                    <w:tl2br w:val="nil"/>
                    <w:tr2bl w:val="nil"/>
                  </w:tcBorders>
                  <w:shd w:val="clear" w:color="auto" w:fill="auto"/>
                  <w:vAlign w:val="center"/>
                </w:tcPr>
                <w:p w14:paraId="04E5A11D">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720~1200kgDS/h，N=5.23kW</w:t>
                  </w:r>
                </w:p>
              </w:tc>
              <w:tc>
                <w:tcPr>
                  <w:tcW w:w="947" w:type="dxa"/>
                  <w:tcBorders>
                    <w:tl2br w:val="nil"/>
                    <w:tr2bl w:val="nil"/>
                  </w:tcBorders>
                  <w:shd w:val="clear" w:color="auto" w:fill="auto"/>
                  <w:vAlign w:val="center"/>
                </w:tcPr>
                <w:p w14:paraId="31D4B0F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D35300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6243AB2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517B659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成套供应</w:t>
                  </w:r>
                </w:p>
              </w:tc>
            </w:tr>
            <w:tr w14:paraId="6742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1D73EE4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972" w:type="dxa"/>
                  <w:tcBorders>
                    <w:tl2br w:val="nil"/>
                    <w:tr2bl w:val="nil"/>
                  </w:tcBorders>
                  <w:shd w:val="clear" w:color="auto" w:fill="auto"/>
                  <w:vAlign w:val="center"/>
                </w:tcPr>
                <w:p w14:paraId="54FBDD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调理池搅拌机</w:t>
                  </w:r>
                </w:p>
              </w:tc>
              <w:tc>
                <w:tcPr>
                  <w:tcW w:w="2685" w:type="dxa"/>
                  <w:tcBorders>
                    <w:tl2br w:val="nil"/>
                    <w:tr2bl w:val="nil"/>
                  </w:tcBorders>
                  <w:shd w:val="clear" w:color="auto" w:fill="auto"/>
                  <w:vAlign w:val="center"/>
                </w:tcPr>
                <w:p w14:paraId="39C2C1B0">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搅拌直径∅1200，N=15.0kW</w:t>
                  </w:r>
                </w:p>
              </w:tc>
              <w:tc>
                <w:tcPr>
                  <w:tcW w:w="947" w:type="dxa"/>
                  <w:tcBorders>
                    <w:tl2br w:val="nil"/>
                    <w:tr2bl w:val="nil"/>
                  </w:tcBorders>
                  <w:shd w:val="clear" w:color="auto" w:fill="auto"/>
                  <w:vAlign w:val="center"/>
                </w:tcPr>
                <w:p w14:paraId="7489A7D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876ED7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1B9CB88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7A85239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双层桨叶搅拌机，变频</w:t>
                  </w:r>
                </w:p>
              </w:tc>
            </w:tr>
            <w:tr w14:paraId="0769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ADBEE4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p>
              </w:tc>
              <w:tc>
                <w:tcPr>
                  <w:tcW w:w="1972" w:type="dxa"/>
                  <w:tcBorders>
                    <w:tl2br w:val="nil"/>
                    <w:tr2bl w:val="nil"/>
                  </w:tcBorders>
                  <w:shd w:val="clear" w:color="auto" w:fill="auto"/>
                  <w:vAlign w:val="center"/>
                </w:tcPr>
                <w:p w14:paraId="5FB4CBB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PAM制备装置</w:t>
                  </w:r>
                </w:p>
              </w:tc>
              <w:tc>
                <w:tcPr>
                  <w:tcW w:w="2685" w:type="dxa"/>
                  <w:tcBorders>
                    <w:tl2br w:val="nil"/>
                    <w:tr2bl w:val="nil"/>
                  </w:tcBorders>
                  <w:shd w:val="clear" w:color="auto" w:fill="auto"/>
                  <w:vAlign w:val="center"/>
                </w:tcPr>
                <w:p w14:paraId="071F4EDB">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粉剂投加量为4-8kg/h，N=2.7kW</w:t>
                  </w:r>
                </w:p>
              </w:tc>
              <w:tc>
                <w:tcPr>
                  <w:tcW w:w="947" w:type="dxa"/>
                  <w:tcBorders>
                    <w:tl2br w:val="nil"/>
                    <w:tr2bl w:val="nil"/>
                  </w:tcBorders>
                  <w:shd w:val="clear" w:color="auto" w:fill="auto"/>
                  <w:vAlign w:val="center"/>
                </w:tcPr>
                <w:p w14:paraId="0843739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E1B0EB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69DA67A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1D1D6CC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成套供应</w:t>
                  </w:r>
                </w:p>
              </w:tc>
            </w:tr>
            <w:tr w14:paraId="1BAB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4F26E11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w:t>
                  </w:r>
                </w:p>
              </w:tc>
              <w:tc>
                <w:tcPr>
                  <w:tcW w:w="1972" w:type="dxa"/>
                  <w:tcBorders>
                    <w:tl2br w:val="nil"/>
                    <w:tr2bl w:val="nil"/>
                  </w:tcBorders>
                  <w:shd w:val="clear" w:color="auto" w:fill="auto"/>
                  <w:vAlign w:val="center"/>
                </w:tcPr>
                <w:p w14:paraId="1B74CED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PAM投加泵</w:t>
                  </w:r>
                </w:p>
              </w:tc>
              <w:tc>
                <w:tcPr>
                  <w:tcW w:w="2685" w:type="dxa"/>
                  <w:tcBorders>
                    <w:tl2br w:val="nil"/>
                    <w:tr2bl w:val="nil"/>
                  </w:tcBorders>
                  <w:shd w:val="clear" w:color="auto" w:fill="auto"/>
                  <w:vAlign w:val="center"/>
                </w:tcPr>
                <w:p w14:paraId="0BF3C4ED">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0.8-2.5m³/h，0.3MPa，N=1.5kW</w:t>
                  </w:r>
                </w:p>
              </w:tc>
              <w:tc>
                <w:tcPr>
                  <w:tcW w:w="947" w:type="dxa"/>
                  <w:tcBorders>
                    <w:tl2br w:val="nil"/>
                    <w:tr2bl w:val="nil"/>
                  </w:tcBorders>
                  <w:shd w:val="clear" w:color="auto" w:fill="auto"/>
                  <w:vAlign w:val="center"/>
                </w:tcPr>
                <w:p w14:paraId="6F4A866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4A6BD4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60CD8A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161" w:type="dxa"/>
                  <w:tcBorders>
                    <w:tl2br w:val="nil"/>
                    <w:tr2bl w:val="nil"/>
                  </w:tcBorders>
                  <w:shd w:val="clear" w:color="auto" w:fill="auto"/>
                  <w:vAlign w:val="center"/>
                </w:tcPr>
                <w:p w14:paraId="0726ED3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2用1备，变频</w:t>
                  </w:r>
                </w:p>
              </w:tc>
            </w:tr>
            <w:tr w14:paraId="7170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11EB5AE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p>
              </w:tc>
              <w:tc>
                <w:tcPr>
                  <w:tcW w:w="1972" w:type="dxa"/>
                  <w:tcBorders>
                    <w:tl2br w:val="nil"/>
                    <w:tr2bl w:val="nil"/>
                  </w:tcBorders>
                  <w:shd w:val="clear" w:color="auto" w:fill="auto"/>
                  <w:vAlign w:val="center"/>
                </w:tcPr>
                <w:p w14:paraId="011475C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铁盐储罐</w:t>
                  </w:r>
                </w:p>
              </w:tc>
              <w:tc>
                <w:tcPr>
                  <w:tcW w:w="2685" w:type="dxa"/>
                  <w:tcBorders>
                    <w:tl2br w:val="nil"/>
                    <w:tr2bl w:val="nil"/>
                  </w:tcBorders>
                  <w:shd w:val="clear" w:color="auto" w:fill="auto"/>
                  <w:vAlign w:val="center"/>
                </w:tcPr>
                <w:p w14:paraId="36CE17E4">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5m³，∅1880×2140mm</w:t>
                  </w:r>
                </w:p>
              </w:tc>
              <w:tc>
                <w:tcPr>
                  <w:tcW w:w="947" w:type="dxa"/>
                  <w:tcBorders>
                    <w:tl2br w:val="nil"/>
                    <w:tr2bl w:val="nil"/>
                  </w:tcBorders>
                  <w:shd w:val="clear" w:color="auto" w:fill="auto"/>
                  <w:vAlign w:val="center"/>
                </w:tcPr>
                <w:p w14:paraId="0551432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PE</w:t>
                  </w:r>
                </w:p>
              </w:tc>
              <w:tc>
                <w:tcPr>
                  <w:tcW w:w="517" w:type="dxa"/>
                  <w:tcBorders>
                    <w:tl2br w:val="nil"/>
                    <w:tr2bl w:val="nil"/>
                  </w:tcBorders>
                  <w:shd w:val="clear" w:color="auto" w:fill="auto"/>
                  <w:vAlign w:val="center"/>
                </w:tcPr>
                <w:p w14:paraId="568AD88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1E5DEC4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5CE9F1D2">
                  <w:pPr>
                    <w:jc w:val="center"/>
                    <w:rPr>
                      <w:rFonts w:hint="default" w:ascii="Times New Roman" w:hAnsi="Times New Roman" w:cs="Times New Roman"/>
                      <w:color w:val="auto"/>
                      <w:sz w:val="21"/>
                      <w:szCs w:val="21"/>
                    </w:rPr>
                  </w:pPr>
                </w:p>
              </w:tc>
            </w:tr>
            <w:tr w14:paraId="2A51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B0518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7</w:t>
                  </w:r>
                </w:p>
              </w:tc>
              <w:tc>
                <w:tcPr>
                  <w:tcW w:w="1972" w:type="dxa"/>
                  <w:tcBorders>
                    <w:tl2br w:val="nil"/>
                    <w:tr2bl w:val="nil"/>
                  </w:tcBorders>
                  <w:shd w:val="clear" w:color="auto" w:fill="auto"/>
                  <w:vAlign w:val="center"/>
                </w:tcPr>
                <w:p w14:paraId="3AEC04F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铁盐加药泵</w:t>
                  </w:r>
                </w:p>
              </w:tc>
              <w:tc>
                <w:tcPr>
                  <w:tcW w:w="2685" w:type="dxa"/>
                  <w:tcBorders>
                    <w:tl2br w:val="nil"/>
                    <w:tr2bl w:val="nil"/>
                  </w:tcBorders>
                  <w:shd w:val="clear" w:color="auto" w:fill="auto"/>
                  <w:vAlign w:val="center"/>
                </w:tcPr>
                <w:p w14:paraId="033C648E">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1200L/h，0.35MPa，N=0.75kW</w:t>
                  </w:r>
                </w:p>
              </w:tc>
              <w:tc>
                <w:tcPr>
                  <w:tcW w:w="947" w:type="dxa"/>
                  <w:tcBorders>
                    <w:tl2br w:val="nil"/>
                    <w:tr2bl w:val="nil"/>
                  </w:tcBorders>
                  <w:shd w:val="clear" w:color="auto" w:fill="auto"/>
                  <w:vAlign w:val="center"/>
                </w:tcPr>
                <w:p w14:paraId="14C82F8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C76713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23D45A6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55E3ABD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含附件</w:t>
                  </w:r>
                </w:p>
              </w:tc>
            </w:tr>
            <w:tr w14:paraId="680A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4ACA69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p>
              </w:tc>
              <w:tc>
                <w:tcPr>
                  <w:tcW w:w="1972" w:type="dxa"/>
                  <w:tcBorders>
                    <w:tl2br w:val="nil"/>
                    <w:tr2bl w:val="nil"/>
                  </w:tcBorders>
                  <w:shd w:val="clear" w:color="auto" w:fill="auto"/>
                  <w:vAlign w:val="center"/>
                </w:tcPr>
                <w:p w14:paraId="361AA21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铁盐卸料泵</w:t>
                  </w:r>
                </w:p>
              </w:tc>
              <w:tc>
                <w:tcPr>
                  <w:tcW w:w="2685" w:type="dxa"/>
                  <w:tcBorders>
                    <w:tl2br w:val="nil"/>
                    <w:tr2bl w:val="nil"/>
                  </w:tcBorders>
                  <w:shd w:val="clear" w:color="auto" w:fill="auto"/>
                  <w:vAlign w:val="center"/>
                </w:tcPr>
                <w:p w14:paraId="1F951AF1">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500L/min，H=23m，N=3.7kW</w:t>
                  </w:r>
                </w:p>
              </w:tc>
              <w:tc>
                <w:tcPr>
                  <w:tcW w:w="947" w:type="dxa"/>
                  <w:tcBorders>
                    <w:tl2br w:val="nil"/>
                    <w:tr2bl w:val="nil"/>
                  </w:tcBorders>
                  <w:shd w:val="clear" w:color="auto" w:fill="auto"/>
                  <w:vAlign w:val="center"/>
                </w:tcPr>
                <w:p w14:paraId="354E427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780FD3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5717326E">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52246CA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D12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C540FD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9</w:t>
                  </w:r>
                </w:p>
              </w:tc>
              <w:tc>
                <w:tcPr>
                  <w:tcW w:w="1972" w:type="dxa"/>
                  <w:tcBorders>
                    <w:tl2br w:val="nil"/>
                    <w:tr2bl w:val="nil"/>
                  </w:tcBorders>
                  <w:shd w:val="clear" w:color="auto" w:fill="auto"/>
                  <w:vAlign w:val="center"/>
                </w:tcPr>
                <w:p w14:paraId="196B77F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石灰料仓</w:t>
                  </w:r>
                </w:p>
              </w:tc>
              <w:tc>
                <w:tcPr>
                  <w:tcW w:w="2685" w:type="dxa"/>
                  <w:tcBorders>
                    <w:tl2br w:val="nil"/>
                    <w:tr2bl w:val="nil"/>
                  </w:tcBorders>
                  <w:shd w:val="clear" w:color="auto" w:fill="auto"/>
                  <w:vAlign w:val="center"/>
                </w:tcPr>
                <w:p w14:paraId="389A73F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容积20m³，N=5.5kW</w:t>
                  </w:r>
                </w:p>
              </w:tc>
              <w:tc>
                <w:tcPr>
                  <w:tcW w:w="947" w:type="dxa"/>
                  <w:tcBorders>
                    <w:tl2br w:val="nil"/>
                    <w:tr2bl w:val="nil"/>
                  </w:tcBorders>
                  <w:shd w:val="clear" w:color="auto" w:fill="auto"/>
                  <w:vAlign w:val="center"/>
                </w:tcPr>
                <w:p w14:paraId="57DFCD9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6B88A3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3CA6995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5FB701E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4FD58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6CA88BF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w:t>
                  </w:r>
                </w:p>
              </w:tc>
              <w:tc>
                <w:tcPr>
                  <w:tcW w:w="1972" w:type="dxa"/>
                  <w:tcBorders>
                    <w:tl2br w:val="nil"/>
                    <w:tr2bl w:val="nil"/>
                  </w:tcBorders>
                  <w:shd w:val="clear" w:color="auto" w:fill="auto"/>
                  <w:vAlign w:val="center"/>
                </w:tcPr>
                <w:p w14:paraId="41BB0B3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压榨进料泵（螺杆泵）</w:t>
                  </w:r>
                </w:p>
              </w:tc>
              <w:tc>
                <w:tcPr>
                  <w:tcW w:w="2685" w:type="dxa"/>
                  <w:tcBorders>
                    <w:tl2br w:val="nil"/>
                    <w:tr2bl w:val="nil"/>
                  </w:tcBorders>
                  <w:shd w:val="clear" w:color="auto" w:fill="auto"/>
                  <w:vAlign w:val="center"/>
                </w:tcPr>
                <w:p w14:paraId="6E4E39D5">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30m³/h，1.2MPa，N=22kW</w:t>
                  </w:r>
                </w:p>
              </w:tc>
              <w:tc>
                <w:tcPr>
                  <w:tcW w:w="947" w:type="dxa"/>
                  <w:tcBorders>
                    <w:tl2br w:val="nil"/>
                    <w:tr2bl w:val="nil"/>
                  </w:tcBorders>
                  <w:shd w:val="clear" w:color="auto" w:fill="auto"/>
                  <w:vAlign w:val="center"/>
                </w:tcPr>
                <w:p w14:paraId="63F430F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134CCC5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263FFBE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noWrap/>
                  <w:vAlign w:val="center"/>
                </w:tcPr>
                <w:p w14:paraId="1AC815E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07C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1FCDD1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11</w:t>
                  </w:r>
                </w:p>
              </w:tc>
              <w:tc>
                <w:tcPr>
                  <w:tcW w:w="1972" w:type="dxa"/>
                  <w:tcBorders>
                    <w:tl2br w:val="nil"/>
                    <w:tr2bl w:val="nil"/>
                  </w:tcBorders>
                  <w:shd w:val="clear" w:color="auto" w:fill="auto"/>
                  <w:vAlign w:val="center"/>
                </w:tcPr>
                <w:p w14:paraId="1600560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超高压压榨机</w:t>
                  </w:r>
                </w:p>
              </w:tc>
              <w:tc>
                <w:tcPr>
                  <w:tcW w:w="2685" w:type="dxa"/>
                  <w:tcBorders>
                    <w:tl2br w:val="nil"/>
                    <w:tr2bl w:val="nil"/>
                  </w:tcBorders>
                  <w:shd w:val="clear" w:color="auto" w:fill="auto"/>
                  <w:vAlign w:val="center"/>
                </w:tcPr>
                <w:p w14:paraId="6C23740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过滤面积100</w:t>
                  </w:r>
                  <w:r>
                    <w:rPr>
                      <w:rFonts w:hint="default" w:ascii="Times New Roman" w:hAnsi="Times New Roman" w:cs="Times New Roman"/>
                      <w:color w:val="auto"/>
                      <w:sz w:val="21"/>
                      <w:szCs w:val="21"/>
                      <w:vertAlign w:val="baseline"/>
                      <w:lang w:val="en-US" w:eastAsia="zh-CN"/>
                    </w:rPr>
                    <w:t>m</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，N=18.5+11+0.37+1.1kW</w:t>
                  </w:r>
                </w:p>
              </w:tc>
              <w:tc>
                <w:tcPr>
                  <w:tcW w:w="947" w:type="dxa"/>
                  <w:tcBorders>
                    <w:tl2br w:val="nil"/>
                    <w:tr2bl w:val="nil"/>
                  </w:tcBorders>
                  <w:shd w:val="clear" w:color="auto" w:fill="auto"/>
                  <w:vAlign w:val="center"/>
                </w:tcPr>
                <w:p w14:paraId="7FF76F7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EFDAE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46161F7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1A424302">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3B9B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DB5C4D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12</w:t>
                  </w:r>
                </w:p>
              </w:tc>
              <w:tc>
                <w:tcPr>
                  <w:tcW w:w="1972" w:type="dxa"/>
                  <w:tcBorders>
                    <w:tl2br w:val="nil"/>
                    <w:tr2bl w:val="nil"/>
                  </w:tcBorders>
                  <w:shd w:val="clear" w:color="auto" w:fill="auto"/>
                  <w:vAlign w:val="center"/>
                </w:tcPr>
                <w:p w14:paraId="3F88087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污泥斗</w:t>
                  </w:r>
                </w:p>
              </w:tc>
              <w:tc>
                <w:tcPr>
                  <w:tcW w:w="2685" w:type="dxa"/>
                  <w:tcBorders>
                    <w:tl2br w:val="nil"/>
                    <w:tr2bl w:val="nil"/>
                  </w:tcBorders>
                  <w:shd w:val="clear" w:color="auto" w:fill="auto"/>
                  <w:vAlign w:val="center"/>
                </w:tcPr>
                <w:p w14:paraId="112834C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V=5m³，N=2.2kW</w:t>
                  </w:r>
                </w:p>
              </w:tc>
              <w:tc>
                <w:tcPr>
                  <w:tcW w:w="947" w:type="dxa"/>
                  <w:tcBorders>
                    <w:tl2br w:val="nil"/>
                    <w:tr2bl w:val="nil"/>
                  </w:tcBorders>
                  <w:shd w:val="clear" w:color="auto" w:fill="auto"/>
                  <w:vAlign w:val="center"/>
                </w:tcPr>
                <w:p w14:paraId="01B2F46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碳钢防腐</w:t>
                  </w:r>
                </w:p>
              </w:tc>
              <w:tc>
                <w:tcPr>
                  <w:tcW w:w="517" w:type="dxa"/>
                  <w:tcBorders>
                    <w:tl2br w:val="nil"/>
                    <w:tr2bl w:val="nil"/>
                  </w:tcBorders>
                  <w:shd w:val="clear" w:color="auto" w:fill="auto"/>
                  <w:vAlign w:val="center"/>
                </w:tcPr>
                <w:p w14:paraId="210D9CF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49D21B9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6130C8C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5718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F376DC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13</w:t>
                  </w:r>
                </w:p>
              </w:tc>
              <w:tc>
                <w:tcPr>
                  <w:tcW w:w="1972" w:type="dxa"/>
                  <w:tcBorders>
                    <w:tl2br w:val="nil"/>
                    <w:tr2bl w:val="nil"/>
                  </w:tcBorders>
                  <w:shd w:val="clear" w:color="auto" w:fill="auto"/>
                  <w:vAlign w:val="center"/>
                </w:tcPr>
                <w:p w14:paraId="120C680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高压清洗机</w:t>
                  </w:r>
                </w:p>
              </w:tc>
              <w:tc>
                <w:tcPr>
                  <w:tcW w:w="2685" w:type="dxa"/>
                  <w:tcBorders>
                    <w:tl2br w:val="nil"/>
                    <w:tr2bl w:val="nil"/>
                  </w:tcBorders>
                  <w:shd w:val="clear" w:color="auto" w:fill="auto"/>
                  <w:vAlign w:val="center"/>
                </w:tcPr>
                <w:p w14:paraId="4173398A">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40L/min，4.0MPa，N=3.0kW</w:t>
                  </w:r>
                </w:p>
              </w:tc>
              <w:tc>
                <w:tcPr>
                  <w:tcW w:w="947" w:type="dxa"/>
                  <w:tcBorders>
                    <w:tl2br w:val="nil"/>
                    <w:tr2bl w:val="nil"/>
                  </w:tcBorders>
                  <w:shd w:val="clear" w:color="auto" w:fill="auto"/>
                  <w:vAlign w:val="center"/>
                </w:tcPr>
                <w:p w14:paraId="17D0928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972FD9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7A37B3E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6FE8BEA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4AB6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F73693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14</w:t>
                  </w:r>
                </w:p>
              </w:tc>
              <w:tc>
                <w:tcPr>
                  <w:tcW w:w="1972" w:type="dxa"/>
                  <w:tcBorders>
                    <w:tl2br w:val="nil"/>
                    <w:tr2bl w:val="nil"/>
                  </w:tcBorders>
                  <w:shd w:val="clear" w:color="auto" w:fill="auto"/>
                  <w:vAlign w:val="center"/>
                </w:tcPr>
                <w:p w14:paraId="69AB3E6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清洗水箱</w:t>
                  </w:r>
                </w:p>
              </w:tc>
              <w:tc>
                <w:tcPr>
                  <w:tcW w:w="2685" w:type="dxa"/>
                  <w:tcBorders>
                    <w:tl2br w:val="nil"/>
                    <w:tr2bl w:val="nil"/>
                  </w:tcBorders>
                  <w:shd w:val="clear" w:color="auto" w:fill="auto"/>
                  <w:vAlign w:val="center"/>
                </w:tcPr>
                <w:p w14:paraId="1621F25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2m³</w:t>
                  </w:r>
                </w:p>
              </w:tc>
              <w:tc>
                <w:tcPr>
                  <w:tcW w:w="947" w:type="dxa"/>
                  <w:tcBorders>
                    <w:tl2br w:val="nil"/>
                    <w:tr2bl w:val="nil"/>
                  </w:tcBorders>
                  <w:shd w:val="clear" w:color="auto" w:fill="auto"/>
                  <w:vAlign w:val="center"/>
                </w:tcPr>
                <w:p w14:paraId="24275F3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PE</w:t>
                  </w:r>
                </w:p>
              </w:tc>
              <w:tc>
                <w:tcPr>
                  <w:tcW w:w="517" w:type="dxa"/>
                  <w:tcBorders>
                    <w:tl2br w:val="nil"/>
                    <w:tr2bl w:val="nil"/>
                  </w:tcBorders>
                  <w:shd w:val="clear" w:color="auto" w:fill="auto"/>
                  <w:vAlign w:val="center"/>
                </w:tcPr>
                <w:p w14:paraId="2176168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3F137E4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521F08A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2DC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1654071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15</w:t>
                  </w:r>
                </w:p>
              </w:tc>
              <w:tc>
                <w:tcPr>
                  <w:tcW w:w="1972" w:type="dxa"/>
                  <w:tcBorders>
                    <w:tl2br w:val="nil"/>
                    <w:tr2bl w:val="nil"/>
                  </w:tcBorders>
                  <w:shd w:val="clear" w:color="auto" w:fill="auto"/>
                  <w:vAlign w:val="center"/>
                </w:tcPr>
                <w:p w14:paraId="110BCF1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空压机</w:t>
                  </w:r>
                </w:p>
              </w:tc>
              <w:tc>
                <w:tcPr>
                  <w:tcW w:w="2685" w:type="dxa"/>
                  <w:tcBorders>
                    <w:tl2br w:val="nil"/>
                    <w:tr2bl w:val="nil"/>
                  </w:tcBorders>
                  <w:shd w:val="clear" w:color="auto" w:fill="auto"/>
                  <w:vAlign w:val="center"/>
                </w:tcPr>
                <w:p w14:paraId="7E12AB1C">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1.32Nm³/min，1.0MPa，N=11kW</w:t>
                  </w:r>
                </w:p>
              </w:tc>
              <w:tc>
                <w:tcPr>
                  <w:tcW w:w="947" w:type="dxa"/>
                  <w:tcBorders>
                    <w:tl2br w:val="nil"/>
                    <w:tr2bl w:val="nil"/>
                  </w:tcBorders>
                  <w:shd w:val="clear" w:color="auto" w:fill="auto"/>
                  <w:vAlign w:val="center"/>
                </w:tcPr>
                <w:p w14:paraId="721C8EC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3762E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4514CA6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4000CA4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5A3A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C8A70C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16</w:t>
                  </w:r>
                </w:p>
              </w:tc>
              <w:tc>
                <w:tcPr>
                  <w:tcW w:w="1972" w:type="dxa"/>
                  <w:tcBorders>
                    <w:tl2br w:val="nil"/>
                    <w:tr2bl w:val="nil"/>
                  </w:tcBorders>
                  <w:shd w:val="clear" w:color="auto" w:fill="auto"/>
                  <w:vAlign w:val="center"/>
                </w:tcPr>
                <w:p w14:paraId="6C667F3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冷干机</w:t>
                  </w:r>
                </w:p>
              </w:tc>
              <w:tc>
                <w:tcPr>
                  <w:tcW w:w="2685" w:type="dxa"/>
                  <w:tcBorders>
                    <w:tl2br w:val="nil"/>
                    <w:tr2bl w:val="nil"/>
                  </w:tcBorders>
                  <w:shd w:val="clear" w:color="auto" w:fill="auto"/>
                  <w:vAlign w:val="center"/>
                </w:tcPr>
                <w:p w14:paraId="28C3040D">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0.7m³/min，N=0.63kW</w:t>
                  </w:r>
                </w:p>
              </w:tc>
              <w:tc>
                <w:tcPr>
                  <w:tcW w:w="947" w:type="dxa"/>
                  <w:tcBorders>
                    <w:tl2br w:val="nil"/>
                    <w:tr2bl w:val="nil"/>
                  </w:tcBorders>
                  <w:shd w:val="clear" w:color="auto" w:fill="auto"/>
                  <w:vAlign w:val="center"/>
                </w:tcPr>
                <w:p w14:paraId="600F985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5ED372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452572E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2063F8E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6A884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9E909A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17</w:t>
                  </w:r>
                </w:p>
              </w:tc>
              <w:tc>
                <w:tcPr>
                  <w:tcW w:w="1972" w:type="dxa"/>
                  <w:tcBorders>
                    <w:tl2br w:val="nil"/>
                    <w:tr2bl w:val="nil"/>
                  </w:tcBorders>
                  <w:shd w:val="clear" w:color="auto" w:fill="auto"/>
                  <w:vAlign w:val="center"/>
                </w:tcPr>
                <w:p w14:paraId="3E3A8D3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反吹储气罐</w:t>
                  </w:r>
                </w:p>
              </w:tc>
              <w:tc>
                <w:tcPr>
                  <w:tcW w:w="2685" w:type="dxa"/>
                  <w:tcBorders>
                    <w:tl2br w:val="nil"/>
                    <w:tr2bl w:val="nil"/>
                  </w:tcBorders>
                  <w:shd w:val="clear" w:color="auto" w:fill="auto"/>
                  <w:vAlign w:val="center"/>
                </w:tcPr>
                <w:p w14:paraId="33DD95F6">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4.0m³，1.0MPa</w:t>
                  </w:r>
                </w:p>
              </w:tc>
              <w:tc>
                <w:tcPr>
                  <w:tcW w:w="947" w:type="dxa"/>
                  <w:tcBorders>
                    <w:tl2br w:val="nil"/>
                    <w:tr2bl w:val="nil"/>
                  </w:tcBorders>
                  <w:shd w:val="clear" w:color="auto" w:fill="auto"/>
                  <w:vAlign w:val="center"/>
                </w:tcPr>
                <w:p w14:paraId="462299F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8F4C62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5AB9355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29846D5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4D65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2992D02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18</w:t>
                  </w:r>
                </w:p>
              </w:tc>
              <w:tc>
                <w:tcPr>
                  <w:tcW w:w="1972" w:type="dxa"/>
                  <w:tcBorders>
                    <w:tl2br w:val="nil"/>
                    <w:tr2bl w:val="nil"/>
                  </w:tcBorders>
                  <w:shd w:val="clear" w:color="auto" w:fill="auto"/>
                  <w:vAlign w:val="center"/>
                </w:tcPr>
                <w:p w14:paraId="6055BC0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仪表储气罐</w:t>
                  </w:r>
                </w:p>
              </w:tc>
              <w:tc>
                <w:tcPr>
                  <w:tcW w:w="2685" w:type="dxa"/>
                  <w:tcBorders>
                    <w:tl2br w:val="nil"/>
                    <w:tr2bl w:val="nil"/>
                  </w:tcBorders>
                  <w:shd w:val="clear" w:color="auto" w:fill="auto"/>
                  <w:vAlign w:val="center"/>
                </w:tcPr>
                <w:p w14:paraId="54D01B38">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0.6m³，1.0MPa</w:t>
                  </w:r>
                </w:p>
              </w:tc>
              <w:tc>
                <w:tcPr>
                  <w:tcW w:w="947" w:type="dxa"/>
                  <w:tcBorders>
                    <w:tl2br w:val="nil"/>
                    <w:tr2bl w:val="nil"/>
                  </w:tcBorders>
                  <w:shd w:val="clear" w:color="auto" w:fill="auto"/>
                  <w:vAlign w:val="center"/>
                </w:tcPr>
                <w:p w14:paraId="7AECA7A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585DC4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2426B9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0197F61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0110C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603450A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19</w:t>
                  </w:r>
                </w:p>
              </w:tc>
              <w:tc>
                <w:tcPr>
                  <w:tcW w:w="1972" w:type="dxa"/>
                  <w:tcBorders>
                    <w:tl2br w:val="nil"/>
                    <w:tr2bl w:val="nil"/>
                  </w:tcBorders>
                  <w:shd w:val="clear" w:color="auto" w:fill="auto"/>
                  <w:vAlign w:val="center"/>
                </w:tcPr>
                <w:p w14:paraId="1572FA3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气动球阀1</w:t>
                  </w:r>
                </w:p>
              </w:tc>
              <w:tc>
                <w:tcPr>
                  <w:tcW w:w="2685" w:type="dxa"/>
                  <w:tcBorders>
                    <w:tl2br w:val="nil"/>
                    <w:tr2bl w:val="nil"/>
                  </w:tcBorders>
                  <w:shd w:val="clear" w:color="auto" w:fill="auto"/>
                  <w:vAlign w:val="center"/>
                </w:tcPr>
                <w:p w14:paraId="5EFFEDF7">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DN150，2.5MPa</w:t>
                  </w:r>
                </w:p>
              </w:tc>
              <w:tc>
                <w:tcPr>
                  <w:tcW w:w="947" w:type="dxa"/>
                  <w:tcBorders>
                    <w:tl2br w:val="nil"/>
                    <w:tr2bl w:val="nil"/>
                  </w:tcBorders>
                  <w:shd w:val="clear" w:color="auto" w:fill="auto"/>
                  <w:vAlign w:val="center"/>
                </w:tcPr>
                <w:p w14:paraId="18439A0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66419C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6733AA8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41A97DD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进料阀</w:t>
                  </w:r>
                </w:p>
              </w:tc>
            </w:tr>
            <w:tr w14:paraId="15B2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6A13537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20</w:t>
                  </w:r>
                </w:p>
              </w:tc>
              <w:tc>
                <w:tcPr>
                  <w:tcW w:w="1972" w:type="dxa"/>
                  <w:tcBorders>
                    <w:tl2br w:val="nil"/>
                    <w:tr2bl w:val="nil"/>
                  </w:tcBorders>
                  <w:shd w:val="clear" w:color="auto" w:fill="auto"/>
                  <w:vAlign w:val="center"/>
                </w:tcPr>
                <w:p w14:paraId="5F7CE10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气动球阀2</w:t>
                  </w:r>
                </w:p>
              </w:tc>
              <w:tc>
                <w:tcPr>
                  <w:tcW w:w="2685" w:type="dxa"/>
                  <w:tcBorders>
                    <w:tl2br w:val="nil"/>
                    <w:tr2bl w:val="nil"/>
                  </w:tcBorders>
                  <w:shd w:val="clear" w:color="auto" w:fill="auto"/>
                  <w:vAlign w:val="center"/>
                </w:tcPr>
                <w:p w14:paraId="54A6E8F2">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DN80，2.5MPa</w:t>
                  </w:r>
                </w:p>
              </w:tc>
              <w:tc>
                <w:tcPr>
                  <w:tcW w:w="947" w:type="dxa"/>
                  <w:tcBorders>
                    <w:tl2br w:val="nil"/>
                    <w:tr2bl w:val="nil"/>
                  </w:tcBorders>
                  <w:shd w:val="clear" w:color="auto" w:fill="auto"/>
                  <w:vAlign w:val="center"/>
                </w:tcPr>
                <w:p w14:paraId="4D8227D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44CE7D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4D6B93C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6C3B54C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回料阀</w:t>
                  </w:r>
                </w:p>
              </w:tc>
            </w:tr>
            <w:tr w14:paraId="0232A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638F72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21</w:t>
                  </w:r>
                </w:p>
              </w:tc>
              <w:tc>
                <w:tcPr>
                  <w:tcW w:w="1972" w:type="dxa"/>
                  <w:tcBorders>
                    <w:tl2br w:val="nil"/>
                    <w:tr2bl w:val="nil"/>
                  </w:tcBorders>
                  <w:shd w:val="clear" w:color="auto" w:fill="auto"/>
                  <w:vAlign w:val="center"/>
                </w:tcPr>
                <w:p w14:paraId="0658D4F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气动球阀3</w:t>
                  </w:r>
                </w:p>
              </w:tc>
              <w:tc>
                <w:tcPr>
                  <w:tcW w:w="2685" w:type="dxa"/>
                  <w:tcBorders>
                    <w:tl2br w:val="nil"/>
                    <w:tr2bl w:val="nil"/>
                  </w:tcBorders>
                  <w:shd w:val="clear" w:color="auto" w:fill="auto"/>
                  <w:vAlign w:val="center"/>
                </w:tcPr>
                <w:p w14:paraId="60C17B2F">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DN40，1.6MPa</w:t>
                  </w:r>
                </w:p>
              </w:tc>
              <w:tc>
                <w:tcPr>
                  <w:tcW w:w="947" w:type="dxa"/>
                  <w:tcBorders>
                    <w:tl2br w:val="nil"/>
                    <w:tr2bl w:val="nil"/>
                  </w:tcBorders>
                  <w:shd w:val="clear" w:color="auto" w:fill="auto"/>
                  <w:vAlign w:val="center"/>
                </w:tcPr>
                <w:p w14:paraId="098C71D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6FBC20C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6F7CC5CD">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6107F98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反吹阀</w:t>
                  </w:r>
                </w:p>
              </w:tc>
            </w:tr>
            <w:tr w14:paraId="52BF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FEC42C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22</w:t>
                  </w:r>
                </w:p>
              </w:tc>
              <w:tc>
                <w:tcPr>
                  <w:tcW w:w="1972" w:type="dxa"/>
                  <w:tcBorders>
                    <w:tl2br w:val="nil"/>
                    <w:tr2bl w:val="nil"/>
                  </w:tcBorders>
                  <w:shd w:val="clear" w:color="auto" w:fill="auto"/>
                  <w:vAlign w:val="center"/>
                </w:tcPr>
                <w:p w14:paraId="44C1174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气动蝶阀1</w:t>
                  </w:r>
                </w:p>
              </w:tc>
              <w:tc>
                <w:tcPr>
                  <w:tcW w:w="2685" w:type="dxa"/>
                  <w:tcBorders>
                    <w:tl2br w:val="nil"/>
                    <w:tr2bl w:val="nil"/>
                  </w:tcBorders>
                  <w:shd w:val="clear" w:color="auto" w:fill="auto"/>
                  <w:vAlign w:val="center"/>
                </w:tcPr>
                <w:p w14:paraId="24F06DFD">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DN150，1.0MPa</w:t>
                  </w:r>
                </w:p>
              </w:tc>
              <w:tc>
                <w:tcPr>
                  <w:tcW w:w="947" w:type="dxa"/>
                  <w:tcBorders>
                    <w:tl2br w:val="nil"/>
                    <w:tr2bl w:val="nil"/>
                  </w:tcBorders>
                  <w:shd w:val="clear" w:color="auto" w:fill="auto"/>
                  <w:vAlign w:val="center"/>
                </w:tcPr>
                <w:p w14:paraId="7944743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25B14C1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592DC0D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61E916E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调理池进口</w:t>
                  </w:r>
                </w:p>
              </w:tc>
            </w:tr>
            <w:tr w14:paraId="30B7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5C3F95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23</w:t>
                  </w:r>
                </w:p>
              </w:tc>
              <w:tc>
                <w:tcPr>
                  <w:tcW w:w="1972" w:type="dxa"/>
                  <w:tcBorders>
                    <w:tl2br w:val="nil"/>
                    <w:tr2bl w:val="nil"/>
                  </w:tcBorders>
                  <w:shd w:val="clear" w:color="auto" w:fill="auto"/>
                  <w:vAlign w:val="center"/>
                </w:tcPr>
                <w:p w14:paraId="2471B05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气动蝶阀2</w:t>
                  </w:r>
                </w:p>
              </w:tc>
              <w:tc>
                <w:tcPr>
                  <w:tcW w:w="2685" w:type="dxa"/>
                  <w:tcBorders>
                    <w:tl2br w:val="nil"/>
                    <w:tr2bl w:val="nil"/>
                  </w:tcBorders>
                  <w:shd w:val="clear" w:color="auto" w:fill="auto"/>
                  <w:vAlign w:val="center"/>
                </w:tcPr>
                <w:p w14:paraId="6D72948F">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DN100，1.0MPa</w:t>
                  </w:r>
                </w:p>
              </w:tc>
              <w:tc>
                <w:tcPr>
                  <w:tcW w:w="947" w:type="dxa"/>
                  <w:tcBorders>
                    <w:tl2br w:val="nil"/>
                    <w:tr2bl w:val="nil"/>
                  </w:tcBorders>
                  <w:shd w:val="clear" w:color="auto" w:fill="auto"/>
                  <w:vAlign w:val="center"/>
                </w:tcPr>
                <w:p w14:paraId="64AA536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4E9A3A5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51DA6BD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347EB66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调理池出口</w:t>
                  </w:r>
                </w:p>
              </w:tc>
            </w:tr>
            <w:tr w14:paraId="55E4F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22BAA6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24</w:t>
                  </w:r>
                </w:p>
              </w:tc>
              <w:tc>
                <w:tcPr>
                  <w:tcW w:w="1972" w:type="dxa"/>
                  <w:tcBorders>
                    <w:tl2br w:val="nil"/>
                    <w:tr2bl w:val="nil"/>
                  </w:tcBorders>
                  <w:shd w:val="clear" w:color="auto" w:fill="auto"/>
                  <w:vAlign w:val="center"/>
                </w:tcPr>
                <w:p w14:paraId="19F8AB6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气动蝶阀3</w:t>
                  </w:r>
                </w:p>
              </w:tc>
              <w:tc>
                <w:tcPr>
                  <w:tcW w:w="2685" w:type="dxa"/>
                  <w:tcBorders>
                    <w:tl2br w:val="nil"/>
                    <w:tr2bl w:val="nil"/>
                  </w:tcBorders>
                  <w:shd w:val="clear" w:color="auto" w:fill="auto"/>
                  <w:vAlign w:val="center"/>
                </w:tcPr>
                <w:p w14:paraId="06A7B35B">
                  <w:pP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DN150，1.0MPa</w:t>
                  </w:r>
                </w:p>
              </w:tc>
              <w:tc>
                <w:tcPr>
                  <w:tcW w:w="947" w:type="dxa"/>
                  <w:tcBorders>
                    <w:tl2br w:val="nil"/>
                    <w:tr2bl w:val="nil"/>
                  </w:tcBorders>
                  <w:shd w:val="clear" w:color="auto" w:fill="auto"/>
                  <w:vAlign w:val="center"/>
                </w:tcPr>
                <w:p w14:paraId="34ADBF0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07AAC89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7B956BA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161" w:type="dxa"/>
                  <w:tcBorders>
                    <w:tl2br w:val="nil"/>
                    <w:tr2bl w:val="nil"/>
                  </w:tcBorders>
                  <w:shd w:val="clear" w:color="auto" w:fill="auto"/>
                  <w:vAlign w:val="center"/>
                </w:tcPr>
                <w:p w14:paraId="54E8D01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石灰投加</w:t>
                  </w:r>
                </w:p>
              </w:tc>
            </w:tr>
            <w:tr w14:paraId="1125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220" w:type="dxa"/>
                  <w:gridSpan w:val="7"/>
                  <w:tcBorders>
                    <w:tl2br w:val="nil"/>
                    <w:tr2bl w:val="nil"/>
                  </w:tcBorders>
                  <w:shd w:val="clear" w:color="auto" w:fill="auto"/>
                  <w:vAlign w:val="center"/>
                </w:tcPr>
                <w:p w14:paraId="5E318E6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除臭设备</w:t>
                  </w:r>
                </w:p>
              </w:tc>
            </w:tr>
            <w:tr w14:paraId="3856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76DB11F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p>
              </w:tc>
              <w:tc>
                <w:tcPr>
                  <w:tcW w:w="1972" w:type="dxa"/>
                  <w:tcBorders>
                    <w:tl2br w:val="nil"/>
                    <w:tr2bl w:val="nil"/>
                  </w:tcBorders>
                  <w:shd w:val="clear" w:color="auto" w:fill="auto"/>
                  <w:vAlign w:val="center"/>
                </w:tcPr>
                <w:p w14:paraId="66498AE0">
                  <w:pPr>
                    <w:pStyle w:val="1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微生物培养箱</w:t>
                  </w:r>
                </w:p>
              </w:tc>
              <w:tc>
                <w:tcPr>
                  <w:tcW w:w="2685" w:type="dxa"/>
                  <w:tcBorders>
                    <w:tl2br w:val="nil"/>
                    <w:tr2bl w:val="nil"/>
                  </w:tcBorders>
                  <w:shd w:val="clear" w:color="auto" w:fill="auto"/>
                  <w:vAlign w:val="center"/>
                </w:tcPr>
                <w:p w14:paraId="79241D3A">
                  <w:pPr>
                    <w:pStyle w:val="1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1m×1m×0.8m</w:t>
                  </w:r>
                </w:p>
              </w:tc>
              <w:tc>
                <w:tcPr>
                  <w:tcW w:w="947" w:type="dxa"/>
                  <w:tcBorders>
                    <w:tl2br w:val="nil"/>
                    <w:tr2bl w:val="nil"/>
                  </w:tcBorders>
                  <w:shd w:val="clear" w:color="auto" w:fill="auto"/>
                  <w:vAlign w:val="center"/>
                </w:tcPr>
                <w:p w14:paraId="274CA5DF">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8D53368">
                  <w:pPr>
                    <w:pStyle w:val="1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台</w:t>
                  </w:r>
                </w:p>
              </w:tc>
              <w:tc>
                <w:tcPr>
                  <w:tcW w:w="486" w:type="dxa"/>
                  <w:tcBorders>
                    <w:tl2br w:val="nil"/>
                    <w:tr2bl w:val="nil"/>
                  </w:tcBorders>
                  <w:shd w:val="clear" w:color="auto" w:fill="auto"/>
                  <w:vAlign w:val="center"/>
                </w:tcPr>
                <w:p w14:paraId="06D0CE89">
                  <w:pPr>
                    <w:pStyle w:val="1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4</w:t>
                  </w:r>
                </w:p>
              </w:tc>
              <w:tc>
                <w:tcPr>
                  <w:tcW w:w="1161" w:type="dxa"/>
                  <w:tcBorders>
                    <w:tl2br w:val="nil"/>
                    <w:tr2bl w:val="nil"/>
                  </w:tcBorders>
                  <w:shd w:val="clear" w:color="auto" w:fill="auto"/>
                  <w:vAlign w:val="center"/>
                </w:tcPr>
                <w:p w14:paraId="60F5BFE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5F26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376834D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p>
              </w:tc>
              <w:tc>
                <w:tcPr>
                  <w:tcW w:w="1972" w:type="dxa"/>
                  <w:tcBorders>
                    <w:tl2br w:val="nil"/>
                    <w:tr2bl w:val="nil"/>
                  </w:tcBorders>
                  <w:shd w:val="clear" w:color="auto" w:fill="auto"/>
                  <w:vAlign w:val="center"/>
                </w:tcPr>
                <w:p w14:paraId="15B6F47D">
                  <w:pPr>
                    <w:pStyle w:val="1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给排水管路</w:t>
                  </w:r>
                </w:p>
              </w:tc>
              <w:tc>
                <w:tcPr>
                  <w:tcW w:w="2685" w:type="dxa"/>
                  <w:tcBorders>
                    <w:tl2br w:val="nil"/>
                    <w:tr2bl w:val="nil"/>
                  </w:tcBorders>
                  <w:shd w:val="clear" w:color="auto" w:fill="auto"/>
                  <w:vAlign w:val="center"/>
                </w:tcPr>
                <w:p w14:paraId="06A683B7">
                  <w:pPr>
                    <w:pStyle w:val="1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内含管件，法兰，电伴热+橡塑棉+铝箔胶带保温，管道支架</w:t>
                  </w:r>
                </w:p>
              </w:tc>
              <w:tc>
                <w:tcPr>
                  <w:tcW w:w="947" w:type="dxa"/>
                  <w:tcBorders>
                    <w:tl2br w:val="nil"/>
                    <w:tr2bl w:val="nil"/>
                  </w:tcBorders>
                  <w:shd w:val="clear" w:color="auto" w:fill="auto"/>
                  <w:vAlign w:val="center"/>
                </w:tcPr>
                <w:p w14:paraId="06DE34B8">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32E82C46">
                  <w:pPr>
                    <w:pStyle w:val="1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53F31D70">
                  <w:pPr>
                    <w:pStyle w:val="1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31473AC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r>
            <w:tr w14:paraId="21F9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52" w:type="dxa"/>
                  <w:tcBorders>
                    <w:tl2br w:val="nil"/>
                    <w:tr2bl w:val="nil"/>
                  </w:tcBorders>
                  <w:shd w:val="clear" w:color="auto" w:fill="auto"/>
                  <w:vAlign w:val="center"/>
                </w:tcPr>
                <w:p w14:paraId="0C13F84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3</w:t>
                  </w:r>
                </w:p>
              </w:tc>
              <w:tc>
                <w:tcPr>
                  <w:tcW w:w="1972" w:type="dxa"/>
                  <w:tcBorders>
                    <w:tl2br w:val="nil"/>
                    <w:tr2bl w:val="nil"/>
                  </w:tcBorders>
                  <w:shd w:val="clear" w:color="auto" w:fill="auto"/>
                  <w:vAlign w:val="center"/>
                </w:tcPr>
                <w:p w14:paraId="5BC0E099">
                  <w:pPr>
                    <w:pStyle w:val="1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控制柜</w:t>
                  </w:r>
                </w:p>
              </w:tc>
              <w:tc>
                <w:tcPr>
                  <w:tcW w:w="2685" w:type="dxa"/>
                  <w:tcBorders>
                    <w:tl2br w:val="nil"/>
                    <w:tr2bl w:val="nil"/>
                  </w:tcBorders>
                  <w:shd w:val="clear" w:color="auto" w:fill="auto"/>
                  <w:vAlign w:val="center"/>
                </w:tcPr>
                <w:p w14:paraId="62C061D7">
                  <w:pPr>
                    <w:pStyle w:val="1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PLC，户外型，7寸触摸屏</w:t>
                  </w:r>
                </w:p>
              </w:tc>
              <w:tc>
                <w:tcPr>
                  <w:tcW w:w="947" w:type="dxa"/>
                  <w:tcBorders>
                    <w:tl2br w:val="nil"/>
                    <w:tr2bl w:val="nil"/>
                  </w:tcBorders>
                  <w:shd w:val="clear" w:color="auto" w:fill="auto"/>
                  <w:vAlign w:val="center"/>
                </w:tcPr>
                <w:p w14:paraId="17D76971">
                  <w:pPr>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成品</w:t>
                  </w:r>
                </w:p>
              </w:tc>
              <w:tc>
                <w:tcPr>
                  <w:tcW w:w="517" w:type="dxa"/>
                  <w:tcBorders>
                    <w:tl2br w:val="nil"/>
                    <w:tr2bl w:val="nil"/>
                  </w:tcBorders>
                  <w:shd w:val="clear" w:color="auto" w:fill="auto"/>
                  <w:vAlign w:val="center"/>
                </w:tcPr>
                <w:p w14:paraId="5F534514">
                  <w:pPr>
                    <w:pStyle w:val="1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套</w:t>
                  </w:r>
                </w:p>
              </w:tc>
              <w:tc>
                <w:tcPr>
                  <w:tcW w:w="486" w:type="dxa"/>
                  <w:tcBorders>
                    <w:tl2br w:val="nil"/>
                    <w:tr2bl w:val="nil"/>
                  </w:tcBorders>
                  <w:shd w:val="clear" w:color="auto" w:fill="auto"/>
                  <w:vAlign w:val="center"/>
                </w:tcPr>
                <w:p w14:paraId="1DF3B225">
                  <w:pPr>
                    <w:pStyle w:val="1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p>
              </w:tc>
              <w:tc>
                <w:tcPr>
                  <w:tcW w:w="1161" w:type="dxa"/>
                  <w:tcBorders>
                    <w:tl2br w:val="nil"/>
                    <w:tr2bl w:val="nil"/>
                  </w:tcBorders>
                  <w:shd w:val="clear" w:color="auto" w:fill="auto"/>
                  <w:vAlign w:val="center"/>
                </w:tcPr>
                <w:p w14:paraId="4A2F9150">
                  <w:pPr>
                    <w:jc w:val="center"/>
                    <w:rPr>
                      <w:rFonts w:hint="default" w:ascii="Times New Roman" w:hAnsi="Times New Roman" w:cs="Times New Roman"/>
                      <w:color w:val="auto"/>
                      <w:sz w:val="21"/>
                      <w:szCs w:val="21"/>
                    </w:rPr>
                  </w:pPr>
                </w:p>
              </w:tc>
            </w:tr>
          </w:tbl>
          <w:p w14:paraId="29EF2A5C">
            <w:pPr>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.原辅材料及动力消耗情况</w:t>
            </w:r>
            <w:r>
              <w:rPr>
                <w:rFonts w:hint="default" w:ascii="Times New Roman" w:hAnsi="Times New Roman" w:cs="Times New Roman"/>
                <w:b/>
                <w:bCs/>
                <w:color w:val="auto"/>
                <w:sz w:val="24"/>
                <w:highlight w:val="none"/>
                <w:lang w:val="en-US" w:eastAsia="zh-CN"/>
              </w:rPr>
              <w:t>/</w:t>
            </w:r>
          </w:p>
          <w:p w14:paraId="0236B93A">
            <w:pPr>
              <w:keepNext w:val="0"/>
              <w:keepLines w:val="0"/>
              <w:pageBreakBefore w:val="0"/>
              <w:widowControl w:val="0"/>
              <w:kinsoku/>
              <w:wordWrap/>
              <w:overflowPunct/>
              <w:topLinePunct w:val="0"/>
              <w:autoSpaceDE w:val="0"/>
              <w:autoSpaceDN w:val="0"/>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lang w:val="zh-CN" w:bidi="zh-CN"/>
              </w:rPr>
            </w:pPr>
            <w:bookmarkStart w:id="4" w:name="_Hlk28814392"/>
            <w:r>
              <w:rPr>
                <w:rFonts w:hint="default" w:ascii="Times New Roman" w:hAnsi="Times New Roman" w:eastAsia="宋体" w:cs="Times New Roman"/>
                <w:color w:val="auto"/>
                <w:kern w:val="0"/>
                <w:sz w:val="24"/>
                <w:szCs w:val="24"/>
                <w:highlight w:val="none"/>
                <w:lang w:val="zh-CN" w:bidi="zh-CN"/>
              </w:rPr>
              <w:t>本项目主要原辅材料及能源消耗情况见</w:t>
            </w:r>
            <w:r>
              <w:rPr>
                <w:rFonts w:hint="default" w:ascii="Times New Roman" w:hAnsi="Times New Roman" w:eastAsia="宋体" w:cs="Times New Roman"/>
                <w:color w:val="auto"/>
                <w:kern w:val="0"/>
                <w:sz w:val="24"/>
                <w:szCs w:val="24"/>
                <w:highlight w:val="none"/>
                <w:lang w:val="en-US" w:bidi="zh-CN"/>
              </w:rPr>
              <w:t>下表</w:t>
            </w:r>
            <w:r>
              <w:rPr>
                <w:rFonts w:hint="default" w:ascii="Times New Roman" w:hAnsi="Times New Roman" w:eastAsia="宋体" w:cs="Times New Roman"/>
                <w:color w:val="auto"/>
                <w:kern w:val="0"/>
                <w:sz w:val="24"/>
                <w:szCs w:val="24"/>
                <w:highlight w:val="none"/>
                <w:lang w:val="zh-CN" w:bidi="zh-CN"/>
              </w:rPr>
              <w:t>。</w:t>
            </w:r>
          </w:p>
          <w:p w14:paraId="222084A1">
            <w:pPr>
              <w:keepNext w:val="0"/>
              <w:keepLines w:val="0"/>
              <w:pageBreakBefore w:val="0"/>
              <w:widowControl w:val="0"/>
              <w:kinsoku/>
              <w:wordWrap/>
              <w:overflowPunct/>
              <w:topLinePunct w:val="0"/>
              <w:autoSpaceDE w:val="0"/>
              <w:autoSpaceDN w:val="0"/>
              <w:bidi w:val="0"/>
              <w:adjustRightInd w:val="0"/>
              <w:snapToGrid w:val="0"/>
              <w:spacing w:line="360" w:lineRule="auto"/>
              <w:ind w:right="0"/>
              <w:jc w:val="center"/>
              <w:textAlignment w:val="auto"/>
              <w:rPr>
                <w:rFonts w:hint="default" w:ascii="Times New Roman" w:hAnsi="Times New Roman" w:eastAsia="宋体" w:cs="Times New Roman"/>
                <w:b/>
                <w:bCs/>
                <w:color w:val="auto"/>
                <w:kern w:val="0"/>
                <w:sz w:val="24"/>
                <w:szCs w:val="24"/>
                <w:lang w:val="en-US" w:bidi="zh-CN"/>
              </w:rPr>
            </w:pPr>
            <w:r>
              <w:rPr>
                <w:rFonts w:hint="default" w:ascii="Times New Roman" w:hAnsi="Times New Roman" w:eastAsia="宋体" w:cs="Times New Roman"/>
                <w:b/>
                <w:bCs/>
                <w:color w:val="auto"/>
                <w:kern w:val="0"/>
                <w:sz w:val="24"/>
                <w:szCs w:val="24"/>
                <w:lang w:val="en-US" w:bidi="zh-CN"/>
              </w:rPr>
              <w:t>表</w:t>
            </w:r>
            <w:r>
              <w:rPr>
                <w:rFonts w:hint="default" w:ascii="Times New Roman" w:hAnsi="Times New Roman" w:eastAsia="宋体" w:cs="Times New Roman"/>
                <w:b/>
                <w:bCs/>
                <w:color w:val="auto"/>
                <w:kern w:val="0"/>
                <w:sz w:val="24"/>
                <w:szCs w:val="24"/>
                <w:lang w:val="en-US" w:eastAsia="zh-CN" w:bidi="zh-CN"/>
              </w:rPr>
              <w:t>2-</w:t>
            </w:r>
            <w:r>
              <w:rPr>
                <w:rFonts w:hint="default" w:ascii="Times New Roman" w:hAnsi="Times New Roman" w:cs="Times New Roman"/>
                <w:b/>
                <w:bCs/>
                <w:color w:val="auto"/>
                <w:kern w:val="0"/>
                <w:sz w:val="24"/>
                <w:szCs w:val="24"/>
                <w:lang w:val="en-US" w:eastAsia="zh-CN" w:bidi="zh-CN"/>
              </w:rPr>
              <w:t xml:space="preserve">4 </w:t>
            </w:r>
            <w:r>
              <w:rPr>
                <w:rFonts w:hint="default" w:ascii="Times New Roman" w:hAnsi="Times New Roman" w:cs="Times New Roman"/>
                <w:b/>
                <w:bCs/>
                <w:color w:val="auto"/>
                <w:kern w:val="0"/>
                <w:sz w:val="24"/>
                <w:szCs w:val="24"/>
                <w:lang w:val="en-US" w:bidi="zh-CN"/>
              </w:rPr>
              <w:t>三期</w:t>
            </w:r>
            <w:r>
              <w:rPr>
                <w:rFonts w:hint="default" w:ascii="Times New Roman" w:hAnsi="Times New Roman" w:eastAsia="宋体" w:cs="Times New Roman"/>
                <w:b/>
                <w:bCs/>
                <w:color w:val="auto"/>
                <w:kern w:val="0"/>
                <w:sz w:val="24"/>
                <w:szCs w:val="24"/>
                <w:lang w:val="en-US" w:bidi="zh-CN"/>
              </w:rPr>
              <w:t>工程主要原辅材料消耗</w:t>
            </w:r>
            <w:r>
              <w:rPr>
                <w:rFonts w:hint="default" w:ascii="Times New Roman" w:hAnsi="Times New Roman" w:cs="Times New Roman"/>
                <w:b/>
                <w:bCs/>
                <w:color w:val="auto"/>
                <w:kern w:val="0"/>
                <w:sz w:val="24"/>
                <w:szCs w:val="24"/>
                <w:lang w:val="en-US" w:bidi="zh-CN"/>
              </w:rPr>
              <w:t>情况</w:t>
            </w:r>
            <w:r>
              <w:rPr>
                <w:rFonts w:hint="default" w:ascii="Times New Roman" w:hAnsi="Times New Roman" w:eastAsia="宋体" w:cs="Times New Roman"/>
                <w:b/>
                <w:bCs/>
                <w:color w:val="auto"/>
                <w:kern w:val="0"/>
                <w:sz w:val="24"/>
                <w:szCs w:val="24"/>
                <w:lang w:val="en-US" w:bidi="zh-CN"/>
              </w:rPr>
              <w:t>一览表（单位：t/a）</w:t>
            </w:r>
          </w:p>
          <w:bookmarkEnd w:id="4"/>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05"/>
              <w:gridCol w:w="1303"/>
              <w:gridCol w:w="1157"/>
              <w:gridCol w:w="799"/>
              <w:gridCol w:w="812"/>
              <w:gridCol w:w="2129"/>
              <w:gridCol w:w="1434"/>
            </w:tblGrid>
            <w:tr w14:paraId="52121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top w:val="single" w:color="auto" w:sz="4" w:space="0"/>
                    <w:left w:val="single" w:color="auto" w:sz="0" w:space="0"/>
                    <w:tl2br w:val="nil"/>
                    <w:tr2bl w:val="nil"/>
                  </w:tcBorders>
                  <w:noWrap w:val="0"/>
                  <w:vAlign w:val="center"/>
                </w:tcPr>
                <w:p w14:paraId="1A64096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en-US" w:bidi="ar-SA"/>
                    </w:rPr>
                  </w:pPr>
                  <w:r>
                    <w:rPr>
                      <w:rFonts w:hint="default" w:ascii="Times New Roman" w:hAnsi="Times New Roman" w:eastAsia="宋体" w:cs="Times New Roman"/>
                      <w:b/>
                      <w:bCs/>
                      <w:color w:val="auto"/>
                      <w:spacing w:val="-3"/>
                      <w:kern w:val="0"/>
                      <w:sz w:val="21"/>
                      <w:szCs w:val="21"/>
                      <w:lang w:val="zh-CN" w:bidi="zh-CN"/>
                    </w:rPr>
                    <w:t>序号</w:t>
                  </w:r>
                </w:p>
              </w:tc>
              <w:tc>
                <w:tcPr>
                  <w:tcW w:w="1303" w:type="dxa"/>
                  <w:tcBorders>
                    <w:top w:val="single" w:color="auto" w:sz="4" w:space="0"/>
                    <w:tl2br w:val="nil"/>
                    <w:tr2bl w:val="nil"/>
                  </w:tcBorders>
                  <w:noWrap w:val="0"/>
                  <w:vAlign w:val="center"/>
                </w:tcPr>
                <w:p w14:paraId="74A91823">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en-US" w:bidi="ar-SA"/>
                    </w:rPr>
                  </w:pPr>
                  <w:r>
                    <w:rPr>
                      <w:rFonts w:hint="default" w:ascii="Times New Roman" w:hAnsi="Times New Roman" w:eastAsia="宋体" w:cs="Times New Roman"/>
                      <w:b/>
                      <w:bCs/>
                      <w:color w:val="auto"/>
                      <w:spacing w:val="-3"/>
                      <w:kern w:val="0"/>
                      <w:sz w:val="21"/>
                      <w:szCs w:val="21"/>
                      <w:lang w:val="zh-CN" w:bidi="zh-CN"/>
                    </w:rPr>
                    <w:t>名称</w:t>
                  </w:r>
                </w:p>
              </w:tc>
              <w:tc>
                <w:tcPr>
                  <w:tcW w:w="1157" w:type="dxa"/>
                  <w:tcBorders>
                    <w:top w:val="single" w:color="auto" w:sz="4" w:space="0"/>
                    <w:tl2br w:val="nil"/>
                    <w:tr2bl w:val="nil"/>
                  </w:tcBorders>
                  <w:shd w:val="clear" w:color="auto" w:fill="auto"/>
                  <w:noWrap w:val="0"/>
                  <w:vAlign w:val="center"/>
                </w:tcPr>
                <w:p w14:paraId="0E676FE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3"/>
                      <w:kern w:val="0"/>
                      <w:sz w:val="21"/>
                      <w:szCs w:val="21"/>
                      <w:lang w:val="en-US" w:eastAsia="zh-CN" w:bidi="zh-CN"/>
                    </w:rPr>
                  </w:pPr>
                  <w:r>
                    <w:rPr>
                      <w:rFonts w:hint="default" w:ascii="Times New Roman" w:hAnsi="Times New Roman" w:eastAsia="宋体" w:cs="Times New Roman"/>
                      <w:b/>
                      <w:bCs/>
                      <w:color w:val="auto"/>
                      <w:spacing w:val="-3"/>
                      <w:kern w:val="0"/>
                      <w:sz w:val="21"/>
                      <w:szCs w:val="21"/>
                      <w:lang w:val="zh-CN" w:eastAsia="zh-CN" w:bidi="zh-CN"/>
                    </w:rPr>
                    <w:t>主要成分</w:t>
                  </w:r>
                </w:p>
              </w:tc>
              <w:tc>
                <w:tcPr>
                  <w:tcW w:w="799" w:type="dxa"/>
                  <w:tcBorders>
                    <w:top w:val="single" w:color="auto" w:sz="4" w:space="0"/>
                    <w:tl2br w:val="nil"/>
                    <w:tr2bl w:val="nil"/>
                  </w:tcBorders>
                  <w:shd w:val="clear" w:color="auto" w:fill="auto"/>
                  <w:noWrap w:val="0"/>
                  <w:vAlign w:val="center"/>
                </w:tcPr>
                <w:p w14:paraId="112D3820">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pacing w:val="-3"/>
                      <w:kern w:val="0"/>
                      <w:sz w:val="21"/>
                      <w:szCs w:val="21"/>
                      <w:lang w:val="en-US" w:eastAsia="zh-CN" w:bidi="zh-CN"/>
                    </w:rPr>
                    <w:t>年</w:t>
                  </w:r>
                  <w:r>
                    <w:rPr>
                      <w:rFonts w:hint="default" w:ascii="Times New Roman" w:hAnsi="Times New Roman" w:eastAsia="宋体" w:cs="Times New Roman"/>
                      <w:b/>
                      <w:bCs/>
                      <w:color w:val="auto"/>
                      <w:spacing w:val="-3"/>
                      <w:kern w:val="0"/>
                      <w:sz w:val="21"/>
                      <w:szCs w:val="21"/>
                      <w:lang w:val="zh-CN" w:bidi="zh-CN"/>
                    </w:rPr>
                    <w:t>用量</w:t>
                  </w:r>
                </w:p>
              </w:tc>
              <w:tc>
                <w:tcPr>
                  <w:tcW w:w="812" w:type="dxa"/>
                  <w:tcBorders>
                    <w:top w:val="single" w:color="auto" w:sz="4" w:space="0"/>
                    <w:tl2br w:val="nil"/>
                    <w:tr2bl w:val="nil"/>
                  </w:tcBorders>
                  <w:shd w:val="clear" w:color="auto" w:fill="auto"/>
                  <w:noWrap w:val="0"/>
                  <w:vAlign w:val="center"/>
                </w:tcPr>
                <w:p w14:paraId="39A6108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pacing w:val="-3"/>
                      <w:kern w:val="0"/>
                      <w:sz w:val="21"/>
                      <w:szCs w:val="21"/>
                      <w:lang w:val="en-US" w:eastAsia="zh-CN" w:bidi="zh-CN"/>
                    </w:rPr>
                    <w:t>最大储存量</w:t>
                  </w:r>
                </w:p>
              </w:tc>
              <w:tc>
                <w:tcPr>
                  <w:tcW w:w="2129" w:type="dxa"/>
                  <w:tcBorders>
                    <w:top w:val="single" w:color="auto" w:sz="4" w:space="0"/>
                    <w:tl2br w:val="nil"/>
                    <w:tr2bl w:val="nil"/>
                  </w:tcBorders>
                  <w:noWrap w:val="0"/>
                  <w:vAlign w:val="center"/>
                </w:tcPr>
                <w:p w14:paraId="0F8F483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3"/>
                      <w:kern w:val="0"/>
                      <w:sz w:val="21"/>
                      <w:szCs w:val="21"/>
                      <w:lang w:val="en-US" w:eastAsia="zh-CN" w:bidi="zh-CN"/>
                    </w:rPr>
                  </w:pPr>
                  <w:r>
                    <w:rPr>
                      <w:rFonts w:hint="default" w:ascii="Times New Roman" w:hAnsi="Times New Roman" w:eastAsia="宋体" w:cs="Times New Roman"/>
                      <w:b/>
                      <w:bCs/>
                      <w:color w:val="auto"/>
                      <w:spacing w:val="-3"/>
                      <w:kern w:val="0"/>
                      <w:sz w:val="21"/>
                      <w:szCs w:val="21"/>
                      <w:lang w:val="en-US" w:eastAsia="zh-CN" w:bidi="zh-CN"/>
                    </w:rPr>
                    <w:t>储存方式</w:t>
                  </w:r>
                </w:p>
              </w:tc>
              <w:tc>
                <w:tcPr>
                  <w:tcW w:w="1434" w:type="dxa"/>
                  <w:tcBorders>
                    <w:top w:val="single" w:color="auto" w:sz="4" w:space="0"/>
                    <w:right w:val="single" w:color="auto" w:sz="4" w:space="0"/>
                    <w:tl2br w:val="nil"/>
                    <w:tr2bl w:val="nil"/>
                  </w:tcBorders>
                  <w:noWrap w:val="0"/>
                  <w:vAlign w:val="center"/>
                </w:tcPr>
                <w:p w14:paraId="1397789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3"/>
                      <w:kern w:val="0"/>
                      <w:sz w:val="21"/>
                      <w:szCs w:val="21"/>
                      <w:lang w:val="zh-CN" w:eastAsia="zh-CN" w:bidi="zh-CN"/>
                    </w:rPr>
                  </w:pPr>
                  <w:r>
                    <w:rPr>
                      <w:rFonts w:hint="default" w:ascii="Times New Roman" w:hAnsi="Times New Roman" w:eastAsia="宋体" w:cs="Times New Roman"/>
                      <w:b/>
                      <w:bCs/>
                      <w:color w:val="auto"/>
                      <w:spacing w:val="-3"/>
                      <w:kern w:val="0"/>
                      <w:sz w:val="21"/>
                      <w:szCs w:val="21"/>
                      <w:lang w:val="zh-CN" w:eastAsia="zh-CN" w:bidi="zh-CN"/>
                    </w:rPr>
                    <w:t>备注</w:t>
                  </w:r>
                </w:p>
              </w:tc>
            </w:tr>
            <w:tr w14:paraId="3F8913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left w:val="single" w:color="auto" w:sz="4" w:space="0"/>
                    <w:tl2br w:val="nil"/>
                    <w:tr2bl w:val="nil"/>
                  </w:tcBorders>
                  <w:shd w:val="clear" w:color="auto" w:fill="auto"/>
                  <w:noWrap w:val="0"/>
                  <w:vAlign w:val="center"/>
                </w:tcPr>
                <w:p w14:paraId="6E4AB17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1</w:t>
                  </w:r>
                </w:p>
              </w:tc>
              <w:tc>
                <w:tcPr>
                  <w:tcW w:w="1303" w:type="dxa"/>
                  <w:tcBorders>
                    <w:tl2br w:val="nil"/>
                    <w:tr2bl w:val="nil"/>
                  </w:tcBorders>
                  <w:shd w:val="clear" w:color="auto" w:fill="auto"/>
                  <w:noWrap w:val="0"/>
                  <w:vAlign w:val="center"/>
                </w:tcPr>
                <w:p w14:paraId="3D9A86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en-US" w:bidi="zh-CN"/>
                    </w:rPr>
                    <w:t>聚合硫酸铁</w:t>
                  </w:r>
                </w:p>
              </w:tc>
              <w:tc>
                <w:tcPr>
                  <w:tcW w:w="1157" w:type="dxa"/>
                  <w:tcBorders>
                    <w:tl2br w:val="nil"/>
                    <w:tr2bl w:val="nil"/>
                  </w:tcBorders>
                  <w:shd w:val="clear" w:color="auto" w:fill="auto"/>
                  <w:noWrap w:val="0"/>
                  <w:vAlign w:val="center"/>
                </w:tcPr>
                <w:p w14:paraId="27330DF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kern w:val="0"/>
                      <w:sz w:val="21"/>
                      <w:szCs w:val="21"/>
                      <w:highlight w:val="none"/>
                      <w:lang w:val="en-US" w:eastAsia="zh-CN" w:bidi="zh-CN"/>
                    </w:rPr>
                    <w:t>聚合硫酸铁</w:t>
                  </w:r>
                </w:p>
              </w:tc>
              <w:tc>
                <w:tcPr>
                  <w:tcW w:w="799" w:type="dxa"/>
                  <w:tcBorders>
                    <w:tl2br w:val="nil"/>
                    <w:tr2bl w:val="nil"/>
                  </w:tcBorders>
                  <w:shd w:val="clear" w:color="auto" w:fill="auto"/>
                  <w:noWrap w:val="0"/>
                  <w:vAlign w:val="center"/>
                </w:tcPr>
                <w:p w14:paraId="59C30E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default" w:ascii="Times New Roman" w:hAnsi="Times New Roman" w:eastAsia="宋体" w:cs="Times New Roman"/>
                      <w:color w:val="auto"/>
                      <w:spacing w:val="-3"/>
                      <w:kern w:val="0"/>
                      <w:sz w:val="21"/>
                      <w:szCs w:val="21"/>
                      <w:highlight w:val="none"/>
                      <w:lang w:val="en-US" w:bidi="zh-CN"/>
                    </w:rPr>
                    <w:t>198.2</w:t>
                  </w:r>
                </w:p>
              </w:tc>
              <w:tc>
                <w:tcPr>
                  <w:tcW w:w="812" w:type="dxa"/>
                  <w:tcBorders>
                    <w:tl2br w:val="nil"/>
                    <w:tr2bl w:val="nil"/>
                  </w:tcBorders>
                  <w:shd w:val="clear" w:color="auto" w:fill="auto"/>
                  <w:noWrap w:val="0"/>
                  <w:vAlign w:val="center"/>
                </w:tcPr>
                <w:p w14:paraId="0475B1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default" w:ascii="Times New Roman" w:hAnsi="Times New Roman" w:cs="Times New Roman"/>
                      <w:i w:val="0"/>
                      <w:iCs w:val="0"/>
                      <w:snapToGrid w:val="0"/>
                      <w:color w:val="auto"/>
                      <w:kern w:val="0"/>
                      <w:sz w:val="21"/>
                      <w:szCs w:val="21"/>
                      <w:highlight w:val="none"/>
                      <w:u w:val="none"/>
                      <w:lang w:val="en-US" w:eastAsia="zh-CN" w:bidi="ar"/>
                    </w:rPr>
                    <w:t>10</w:t>
                  </w:r>
                </w:p>
              </w:tc>
              <w:tc>
                <w:tcPr>
                  <w:tcW w:w="2129" w:type="dxa"/>
                  <w:tcBorders>
                    <w:tl2br w:val="nil"/>
                    <w:tr2bl w:val="nil"/>
                  </w:tcBorders>
                  <w:shd w:val="clear" w:color="auto" w:fill="auto"/>
                  <w:noWrap w:val="0"/>
                  <w:vAlign w:val="center"/>
                </w:tcPr>
                <w:p w14:paraId="1FA63FB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i w:val="0"/>
                      <w:iCs w:val="0"/>
                      <w:snapToGrid w:val="0"/>
                      <w:color w:val="auto"/>
                      <w:kern w:val="0"/>
                      <w:sz w:val="21"/>
                      <w:szCs w:val="21"/>
                      <w:highlight w:val="none"/>
                      <w:u w:val="none"/>
                      <w:lang w:val="en-US" w:eastAsia="zh-CN" w:bidi="ar"/>
                    </w:rPr>
                  </w:pPr>
                  <w:r>
                    <w:rPr>
                      <w:rFonts w:hint="default" w:ascii="Times New Roman" w:hAnsi="Times New Roman" w:eastAsia="宋体" w:cs="Times New Roman"/>
                      <w:color w:val="auto"/>
                      <w:spacing w:val="-3"/>
                      <w:sz w:val="21"/>
                      <w:szCs w:val="21"/>
                      <w:highlight w:val="none"/>
                      <w:lang w:val="en-US" w:eastAsia="zh-CN"/>
                    </w:rPr>
                    <w:t>袋装</w:t>
                  </w:r>
                  <w:r>
                    <w:rPr>
                      <w:rFonts w:hint="default" w:ascii="Times New Roman" w:hAnsi="Times New Roman" w:cs="Times New Roman"/>
                      <w:color w:val="auto"/>
                      <w:spacing w:val="-1"/>
                      <w:sz w:val="21"/>
                      <w:szCs w:val="21"/>
                      <w:highlight w:val="none"/>
                      <w:lang w:val="en-US" w:eastAsia="zh-CN"/>
                    </w:rPr>
                    <w:t>，加氯加药间</w:t>
                  </w:r>
                </w:p>
              </w:tc>
              <w:tc>
                <w:tcPr>
                  <w:tcW w:w="1434" w:type="dxa"/>
                  <w:tcBorders>
                    <w:right w:val="single" w:color="auto" w:sz="4" w:space="0"/>
                    <w:tl2br w:val="nil"/>
                    <w:tr2bl w:val="nil"/>
                  </w:tcBorders>
                  <w:shd w:val="clear" w:color="auto" w:fill="auto"/>
                  <w:noWrap w:val="0"/>
                  <w:vAlign w:val="center"/>
                </w:tcPr>
                <w:p w14:paraId="084B5AA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cs="Times New Roman"/>
                      <w:color w:val="auto"/>
                      <w:kern w:val="0"/>
                      <w:sz w:val="21"/>
                      <w:szCs w:val="21"/>
                      <w:lang w:val="en-US" w:eastAsia="zh-CN" w:bidi="zh-CN"/>
                    </w:rPr>
                    <w:t>/</w:t>
                  </w:r>
                </w:p>
              </w:tc>
            </w:tr>
            <w:tr w14:paraId="1BE1A0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left w:val="single" w:color="auto" w:sz="4" w:space="0"/>
                    <w:tl2br w:val="nil"/>
                    <w:tr2bl w:val="nil"/>
                  </w:tcBorders>
                  <w:shd w:val="clear" w:color="auto" w:fill="auto"/>
                  <w:noWrap w:val="0"/>
                  <w:vAlign w:val="center"/>
                </w:tcPr>
                <w:p w14:paraId="774DA29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2</w:t>
                  </w:r>
                </w:p>
              </w:tc>
              <w:tc>
                <w:tcPr>
                  <w:tcW w:w="1303" w:type="dxa"/>
                  <w:tcBorders>
                    <w:tl2br w:val="nil"/>
                    <w:tr2bl w:val="nil"/>
                  </w:tcBorders>
                  <w:shd w:val="clear" w:color="auto" w:fill="auto"/>
                  <w:noWrap w:val="0"/>
                  <w:vAlign w:val="center"/>
                </w:tcPr>
                <w:p w14:paraId="3EF32DB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en-US" w:bidi="zh-CN"/>
                    </w:rPr>
                    <w:t>10%次氯酸钠成品液体</w:t>
                  </w:r>
                </w:p>
              </w:tc>
              <w:tc>
                <w:tcPr>
                  <w:tcW w:w="1157" w:type="dxa"/>
                  <w:tcBorders>
                    <w:tl2br w:val="nil"/>
                    <w:tr2bl w:val="nil"/>
                  </w:tcBorders>
                  <w:shd w:val="clear" w:color="auto" w:fill="auto"/>
                  <w:noWrap w:val="0"/>
                  <w:vAlign w:val="center"/>
                </w:tcPr>
                <w:p w14:paraId="239F4F3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zh-CN" w:eastAsia="zh-CN" w:bidi="zh-CN"/>
                    </w:rPr>
                    <w:t>次氯酸钠</w:t>
                  </w:r>
                </w:p>
              </w:tc>
              <w:tc>
                <w:tcPr>
                  <w:tcW w:w="799" w:type="dxa"/>
                  <w:tcBorders>
                    <w:tl2br w:val="nil"/>
                    <w:tr2bl w:val="nil"/>
                  </w:tcBorders>
                  <w:shd w:val="clear" w:color="auto" w:fill="auto"/>
                  <w:noWrap w:val="0"/>
                  <w:vAlign w:val="center"/>
                </w:tcPr>
                <w:p w14:paraId="2F92E3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en-US" w:bidi="zh-CN"/>
                    </w:rPr>
                    <w:t>160.6</w:t>
                  </w:r>
                </w:p>
              </w:tc>
              <w:tc>
                <w:tcPr>
                  <w:tcW w:w="812" w:type="dxa"/>
                  <w:tcBorders>
                    <w:tl2br w:val="nil"/>
                    <w:tr2bl w:val="nil"/>
                  </w:tcBorders>
                  <w:shd w:val="clear" w:color="auto" w:fill="auto"/>
                  <w:noWrap w:val="0"/>
                  <w:vAlign w:val="center"/>
                </w:tcPr>
                <w:p w14:paraId="0FA0AB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en-US" w:eastAsia="zh-CN" w:bidi="zh-CN"/>
                    </w:rPr>
                    <w:t>10</w:t>
                  </w:r>
                </w:p>
              </w:tc>
              <w:tc>
                <w:tcPr>
                  <w:tcW w:w="2129" w:type="dxa"/>
                  <w:tcBorders>
                    <w:tl2br w:val="nil"/>
                    <w:tr2bl w:val="nil"/>
                  </w:tcBorders>
                  <w:shd w:val="clear" w:color="auto" w:fill="auto"/>
                  <w:noWrap w:val="0"/>
                  <w:vAlign w:val="center"/>
                </w:tcPr>
                <w:p w14:paraId="466DF1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en-US" w:eastAsia="zh-CN" w:bidi="zh-CN"/>
                    </w:rPr>
                    <w:t>10</w:t>
                  </w:r>
                  <w:r>
                    <w:rPr>
                      <w:rFonts w:hint="default" w:ascii="Times New Roman" w:hAnsi="Times New Roman" w:cs="Times New Roman"/>
                      <w:color w:val="auto"/>
                      <w:spacing w:val="-3"/>
                      <w:kern w:val="0"/>
                      <w:sz w:val="21"/>
                      <w:szCs w:val="21"/>
                      <w:highlight w:val="none"/>
                      <w:vertAlign w:val="baseline"/>
                      <w:lang w:val="en-US" w:eastAsia="zh-CN" w:bidi="zh-CN"/>
                    </w:rPr>
                    <w:t>m</w:t>
                  </w:r>
                  <w:r>
                    <w:rPr>
                      <w:rFonts w:hint="default" w:ascii="Times New Roman" w:hAnsi="Times New Roman" w:cs="Times New Roman"/>
                      <w:color w:val="auto"/>
                      <w:spacing w:val="-3"/>
                      <w:kern w:val="0"/>
                      <w:sz w:val="21"/>
                      <w:szCs w:val="21"/>
                      <w:highlight w:val="none"/>
                      <w:vertAlign w:val="superscript"/>
                      <w:lang w:val="en-US" w:eastAsia="zh-CN" w:bidi="zh-CN"/>
                    </w:rPr>
                    <w:t>3</w:t>
                  </w:r>
                  <w:r>
                    <w:rPr>
                      <w:rFonts w:hint="default" w:ascii="Times New Roman" w:hAnsi="Times New Roman" w:eastAsia="宋体" w:cs="Times New Roman"/>
                      <w:color w:val="auto"/>
                      <w:spacing w:val="-3"/>
                      <w:kern w:val="0"/>
                      <w:sz w:val="21"/>
                      <w:szCs w:val="21"/>
                      <w:highlight w:val="none"/>
                      <w:lang w:val="en-US" w:eastAsia="zh-CN" w:bidi="zh-CN"/>
                    </w:rPr>
                    <w:t>储罐</w:t>
                  </w:r>
                  <w:r>
                    <w:rPr>
                      <w:rFonts w:hint="default" w:ascii="Times New Roman" w:hAnsi="Times New Roman" w:cs="Times New Roman"/>
                      <w:color w:val="auto"/>
                      <w:spacing w:val="-3"/>
                      <w:kern w:val="0"/>
                      <w:sz w:val="21"/>
                      <w:szCs w:val="21"/>
                      <w:highlight w:val="none"/>
                      <w:lang w:val="en-US" w:eastAsia="zh-CN" w:bidi="zh-CN"/>
                    </w:rPr>
                    <w:t>，</w:t>
                  </w:r>
                  <w:r>
                    <w:rPr>
                      <w:rFonts w:hint="default" w:ascii="Times New Roman" w:hAnsi="Times New Roman" w:eastAsia="宋体" w:cs="Times New Roman"/>
                      <w:color w:val="auto"/>
                      <w:spacing w:val="-3"/>
                      <w:kern w:val="0"/>
                      <w:sz w:val="21"/>
                      <w:szCs w:val="21"/>
                      <w:highlight w:val="none"/>
                      <w:lang w:val="en-US" w:eastAsia="zh-CN" w:bidi="zh-CN"/>
                    </w:rPr>
                    <w:t>加氯加药间</w:t>
                  </w:r>
                </w:p>
              </w:tc>
              <w:tc>
                <w:tcPr>
                  <w:tcW w:w="1434" w:type="dxa"/>
                  <w:tcBorders>
                    <w:right w:val="single" w:color="auto" w:sz="4" w:space="0"/>
                    <w:tl2br w:val="nil"/>
                    <w:tr2bl w:val="nil"/>
                  </w:tcBorders>
                  <w:shd w:val="clear" w:color="auto" w:fill="auto"/>
                  <w:noWrap w:val="0"/>
                  <w:vAlign w:val="center"/>
                </w:tcPr>
                <w:p w14:paraId="4F423A32">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cs="Times New Roman"/>
                      <w:color w:val="auto"/>
                      <w:kern w:val="0"/>
                      <w:sz w:val="21"/>
                      <w:szCs w:val="21"/>
                      <w:lang w:val="en-US" w:eastAsia="zh-CN" w:bidi="zh-CN"/>
                    </w:rPr>
                    <w:t>/</w:t>
                  </w:r>
                </w:p>
              </w:tc>
            </w:tr>
            <w:tr w14:paraId="2A7FE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05" w:type="dxa"/>
                  <w:tcBorders>
                    <w:left w:val="single" w:color="auto" w:sz="4" w:space="0"/>
                    <w:tl2br w:val="nil"/>
                    <w:tr2bl w:val="nil"/>
                  </w:tcBorders>
                  <w:shd w:val="clear" w:color="auto" w:fill="auto"/>
                  <w:noWrap w:val="0"/>
                  <w:vAlign w:val="center"/>
                </w:tcPr>
                <w:p w14:paraId="0D7AC10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zh-CN" w:bidi="zh-CN"/>
                    </w:rPr>
                    <w:t>3</w:t>
                  </w:r>
                </w:p>
              </w:tc>
              <w:tc>
                <w:tcPr>
                  <w:tcW w:w="1303" w:type="dxa"/>
                  <w:tcBorders>
                    <w:tl2br w:val="nil"/>
                    <w:tr2bl w:val="nil"/>
                  </w:tcBorders>
                  <w:shd w:val="clear" w:color="auto" w:fill="auto"/>
                  <w:noWrap w:val="0"/>
                  <w:vAlign w:val="center"/>
                </w:tcPr>
                <w:p w14:paraId="6C6B7A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en-US" w:bidi="zh-CN"/>
                    </w:rPr>
                    <w:t>20%乙酸钠成品液体</w:t>
                  </w:r>
                </w:p>
              </w:tc>
              <w:tc>
                <w:tcPr>
                  <w:tcW w:w="1157" w:type="dxa"/>
                  <w:tcBorders>
                    <w:tl2br w:val="nil"/>
                    <w:tr2bl w:val="nil"/>
                  </w:tcBorders>
                  <w:shd w:val="clear" w:color="auto" w:fill="auto"/>
                  <w:noWrap w:val="0"/>
                  <w:vAlign w:val="center"/>
                </w:tcPr>
                <w:p w14:paraId="5BF94D1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en-US" w:bidi="zh-CN"/>
                    </w:rPr>
                    <w:t>乙酸钠</w:t>
                  </w:r>
                </w:p>
              </w:tc>
              <w:tc>
                <w:tcPr>
                  <w:tcW w:w="799" w:type="dxa"/>
                  <w:tcBorders>
                    <w:tl2br w:val="nil"/>
                    <w:tr2bl w:val="nil"/>
                  </w:tcBorders>
                  <w:shd w:val="clear" w:color="auto" w:fill="auto"/>
                  <w:noWrap w:val="0"/>
                  <w:vAlign w:val="center"/>
                </w:tcPr>
                <w:p w14:paraId="7E919B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en-US" w:bidi="zh-CN"/>
                    </w:rPr>
                    <w:t>782.9</w:t>
                  </w:r>
                </w:p>
              </w:tc>
              <w:tc>
                <w:tcPr>
                  <w:tcW w:w="812" w:type="dxa"/>
                  <w:tcBorders>
                    <w:tl2br w:val="nil"/>
                    <w:tr2bl w:val="nil"/>
                  </w:tcBorders>
                  <w:shd w:val="clear" w:color="auto" w:fill="auto"/>
                  <w:noWrap w:val="0"/>
                  <w:vAlign w:val="center"/>
                </w:tcPr>
                <w:p w14:paraId="10B03E2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highlight w:val="none"/>
                      <w:lang w:val="en-US" w:eastAsia="zh-CN" w:bidi="zh-CN"/>
                    </w:rPr>
                  </w:pPr>
                  <w:r>
                    <w:rPr>
                      <w:rFonts w:hint="default" w:ascii="Times New Roman" w:hAnsi="Times New Roman" w:cs="Times New Roman"/>
                      <w:color w:val="auto"/>
                      <w:spacing w:val="-3"/>
                      <w:kern w:val="0"/>
                      <w:sz w:val="21"/>
                      <w:szCs w:val="21"/>
                      <w:highlight w:val="none"/>
                      <w:lang w:val="en-US" w:eastAsia="zh-CN" w:bidi="zh-CN"/>
                    </w:rPr>
                    <w:t>30</w:t>
                  </w:r>
                </w:p>
              </w:tc>
              <w:tc>
                <w:tcPr>
                  <w:tcW w:w="2129" w:type="dxa"/>
                  <w:tcBorders>
                    <w:tl2br w:val="nil"/>
                    <w:tr2bl w:val="nil"/>
                  </w:tcBorders>
                  <w:shd w:val="clear" w:color="auto" w:fill="auto"/>
                  <w:noWrap w:val="0"/>
                  <w:vAlign w:val="center"/>
                </w:tcPr>
                <w:p w14:paraId="65DF1DD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en-US" w:eastAsia="zh-CN" w:bidi="zh-CN"/>
                    </w:rPr>
                    <w:t>10</w:t>
                  </w:r>
                  <w:r>
                    <w:rPr>
                      <w:rFonts w:hint="default" w:ascii="Times New Roman" w:hAnsi="Times New Roman" w:cs="Times New Roman"/>
                      <w:color w:val="auto"/>
                      <w:spacing w:val="-3"/>
                      <w:kern w:val="0"/>
                      <w:sz w:val="21"/>
                      <w:szCs w:val="21"/>
                      <w:highlight w:val="none"/>
                      <w:vertAlign w:val="baseline"/>
                      <w:lang w:val="en-US" w:eastAsia="zh-CN" w:bidi="zh-CN"/>
                    </w:rPr>
                    <w:t>m</w:t>
                  </w:r>
                  <w:r>
                    <w:rPr>
                      <w:rFonts w:hint="default" w:ascii="Times New Roman" w:hAnsi="Times New Roman" w:cs="Times New Roman"/>
                      <w:color w:val="auto"/>
                      <w:spacing w:val="-3"/>
                      <w:kern w:val="0"/>
                      <w:sz w:val="21"/>
                      <w:szCs w:val="21"/>
                      <w:highlight w:val="none"/>
                      <w:vertAlign w:val="superscript"/>
                      <w:lang w:val="en-US" w:eastAsia="zh-CN" w:bidi="zh-CN"/>
                    </w:rPr>
                    <w:t>3</w:t>
                  </w:r>
                  <w:r>
                    <w:rPr>
                      <w:rFonts w:hint="default" w:ascii="Times New Roman" w:hAnsi="Times New Roman" w:eastAsia="宋体" w:cs="Times New Roman"/>
                      <w:color w:val="auto"/>
                      <w:spacing w:val="-3"/>
                      <w:kern w:val="0"/>
                      <w:sz w:val="21"/>
                      <w:szCs w:val="21"/>
                      <w:highlight w:val="none"/>
                      <w:lang w:val="en-US" w:eastAsia="zh-CN" w:bidi="zh-CN"/>
                    </w:rPr>
                    <w:t>储罐</w:t>
                  </w:r>
                  <w:r>
                    <w:rPr>
                      <w:rFonts w:hint="default" w:ascii="Times New Roman" w:hAnsi="Times New Roman" w:cs="Times New Roman"/>
                      <w:color w:val="auto"/>
                      <w:spacing w:val="-3"/>
                      <w:kern w:val="0"/>
                      <w:sz w:val="21"/>
                      <w:szCs w:val="21"/>
                      <w:highlight w:val="none"/>
                      <w:lang w:val="en-US" w:eastAsia="zh-CN" w:bidi="zh-CN"/>
                    </w:rPr>
                    <w:t>，</w:t>
                  </w:r>
                  <w:r>
                    <w:rPr>
                      <w:rFonts w:hint="default" w:ascii="Times New Roman" w:hAnsi="Times New Roman" w:eastAsia="宋体" w:cs="Times New Roman"/>
                      <w:color w:val="auto"/>
                      <w:spacing w:val="-3"/>
                      <w:kern w:val="0"/>
                      <w:sz w:val="21"/>
                      <w:szCs w:val="21"/>
                      <w:highlight w:val="none"/>
                      <w:lang w:val="en-US" w:eastAsia="zh-CN" w:bidi="zh-CN"/>
                    </w:rPr>
                    <w:t>加氯加药间</w:t>
                  </w:r>
                </w:p>
              </w:tc>
              <w:tc>
                <w:tcPr>
                  <w:tcW w:w="1434" w:type="dxa"/>
                  <w:tcBorders>
                    <w:right w:val="single" w:color="auto" w:sz="4" w:space="0"/>
                    <w:tl2br w:val="nil"/>
                    <w:tr2bl w:val="nil"/>
                  </w:tcBorders>
                  <w:shd w:val="clear" w:color="auto" w:fill="auto"/>
                  <w:noWrap w:val="0"/>
                  <w:vAlign w:val="center"/>
                </w:tcPr>
                <w:p w14:paraId="58D6615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外加碳</w:t>
                  </w:r>
                  <w:bookmarkStart w:id="5" w:name="bookmark74"/>
                  <w:bookmarkEnd w:id="5"/>
                  <w:r>
                    <w:rPr>
                      <w:rFonts w:hint="default" w:ascii="Times New Roman" w:hAnsi="Times New Roman" w:eastAsia="宋体" w:cs="Times New Roman"/>
                      <w:color w:val="auto"/>
                      <w:kern w:val="0"/>
                      <w:sz w:val="21"/>
                      <w:szCs w:val="21"/>
                      <w:lang w:val="en-US" w:eastAsia="zh-CN" w:bidi="zh-CN"/>
                    </w:rPr>
                    <w:t>源</w:t>
                  </w:r>
                </w:p>
              </w:tc>
            </w:tr>
            <w:tr w14:paraId="2B4CA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left w:val="single" w:color="auto" w:sz="4" w:space="0"/>
                    <w:tl2br w:val="nil"/>
                    <w:tr2bl w:val="nil"/>
                  </w:tcBorders>
                  <w:shd w:val="clear" w:color="auto" w:fill="auto"/>
                  <w:noWrap w:val="0"/>
                  <w:vAlign w:val="center"/>
                </w:tcPr>
                <w:p w14:paraId="1449A17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4</w:t>
                  </w:r>
                </w:p>
              </w:tc>
              <w:tc>
                <w:tcPr>
                  <w:tcW w:w="1303" w:type="dxa"/>
                  <w:tcBorders>
                    <w:tl2br w:val="nil"/>
                    <w:tr2bl w:val="nil"/>
                  </w:tcBorders>
                  <w:shd w:val="clear" w:color="auto" w:fill="auto"/>
                  <w:noWrap w:val="0"/>
                  <w:vAlign w:val="center"/>
                </w:tcPr>
                <w:p w14:paraId="254B9B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PAM固体阳离子</w:t>
                  </w:r>
                </w:p>
              </w:tc>
              <w:tc>
                <w:tcPr>
                  <w:tcW w:w="1157" w:type="dxa"/>
                  <w:tcBorders>
                    <w:tl2br w:val="nil"/>
                    <w:tr2bl w:val="nil"/>
                  </w:tcBorders>
                  <w:shd w:val="clear" w:color="auto" w:fill="auto"/>
                  <w:noWrap w:val="0"/>
                  <w:vAlign w:val="center"/>
                </w:tcPr>
                <w:p w14:paraId="5D5E3916">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pacing w:val="-6"/>
                      <w:kern w:val="0"/>
                      <w:sz w:val="21"/>
                      <w:szCs w:val="21"/>
                      <w:lang w:val="en-US" w:eastAsia="zh-CN" w:bidi="zh-CN"/>
                    </w:rPr>
                    <w:fldChar w:fldCharType="begin"/>
                  </w:r>
                  <w:r>
                    <w:rPr>
                      <w:rFonts w:hint="default" w:ascii="Times New Roman" w:hAnsi="Times New Roman" w:eastAsia="宋体" w:cs="Times New Roman"/>
                      <w:color w:val="auto"/>
                      <w:spacing w:val="-6"/>
                      <w:kern w:val="0"/>
                      <w:sz w:val="21"/>
                      <w:szCs w:val="21"/>
                      <w:lang w:val="en-US" w:eastAsia="zh-CN" w:bidi="zh-CN"/>
                    </w:rPr>
                    <w:instrText xml:space="preserve"> HYPERLINK "http://e.so.com/search/eclk?p=946bT0LNuFb3EArbz-Y_lfSkTEn54GDVJ4FzV8MQh_D4sCOvSMoKztI-MG2CT8pcdzmBaFqMTuqjAxWCZB07d3vbfpXzNg_YrUC_WsVN0K8MOnmOuNsDyI9mkAOdxhuISjxjUyAApYp_jeaArEMnzKoFcBvIbsV-DTEdnUF3tpC6fr4F1q50JCZ25mBE0IBp-UPOhH4ehYHBp2-KdYg1lw925SfRbDc19rvDrn564wW8jhk6hTcj-iygPPw3Iw-3oodvy-iLAKFuYr94SPdonUoUyjw9NRRc7LnZJECn6ScxWsmt5rQY6tuzouZ9oNBlW-IaLfWiclqdabsiNi8V4ZXOYLTYxNQuFx2YqLjFogX-bz9OnKp_ItWkmLOLn0annbhjbor3R96FpM6UkIo3GWTP3amigd2jiD5P8sthhMPe90V5EwtiyNW6gOmy2CIqTdcTe7_RdidnfBtfBw9cApqRX09aK7f06t4IS3CPudcWixz-zGPquyMoA038ZC0UJRJlt0H3DRLrWb29Tso2N5srICLLci1K6hpuhdZ-eGsaeL9VjOtOf31T5KrUCNQeyp64M68Hb20C1EetmzgARjIA5h8HOq04Oaiv27D_SOITNOIFXEMvlpBp0-LLQOFLaDBV7AX7CK2-6D5tKHHfPZYveXiUvcmsX5zTvnWkgm_KrBqVbhlprTmih6BM7EWCHIXplKV5W9MOE0FPu8P11R55KOlYMQxMjKd4qp-VQitXlE8S-eTAT_Qf39OXWPsmbHlfdspSGdNWGlh8a-hK5SuwtMRWIZ6fYO-DGU-ClKHRzApPJ6yN1mGgABL46gevpiqSd70PhL1rWOVg7Mql5WpXKmu4am-D_8Ynx10N_J5iF1_oMUkiY3kVVpDAIhQjSCB3E2R0L7mDWjSidProPibnn0q9svCn8z5W8tR3eBWuRlqyfhyNdv0P-uQxgjeNaeqRZgwQ9hEoiWUlawKAUVjQ9nY2E1-opnuY17ibEZ_-2ovX6pIC1MAu-55JftzF2EOBdvwzDvMDj_TfP6OQtNc9n1PKD4jxscMVDpCrWgAHhpaiqHVvN2B-OMOSMsV_Ju6rnRp9WTjYBoHX-GEfLxfOX01pmvsiNeMRAheZKnsoHR8SBY4qLo-caaYcJfEvnmLj5xFdFZLcP7Uw8Vb2_Dq_RpL7fHarV7jXxG4GjGaYxFUT67z9MGen3nUoRtzT6pnqiHy-JvQmQO6j5OELRbyZxcSyxbnISDGiVCt38L6o5pIqHDGTYDPgoVZG940VHV61G5fF2rZvmCw21qqDTbRGs_hi16bj05Qrr7Krv_v_2BjE3tUMgkD_rE8ZgZDuvD6bPXkGrIEBDlWIDmDYaaPDQ4u_KJokRy2jjFsMWSh8Q6gI4eX7WWei6XWBq6aaFurs3iP_19pP8WoMFpxk9BAHNwyHIK1aJSnidsCwdwFcGKkQSiuCklbc7WOoZdwv2yuEr4J02mhiwSEeIIbFrXpxh4iuK3KJU8z7HbJduPsVEhkyOccCsxRF6UEcYDAB7DGFfZFkls4woocLBMBbhqrmObQHhZ0y4ZVS86GxZXT2uQJhUzIieAwlQAn6X6OxRw_Db0NjWaCNEAhI-CkT8QecgzhT-u7Q2-RKy8uZBsiGW4y31QH-5TozH8n_zu0G2ZnJJxBRB0C1ixGsOJ6tzqHQ0I8VyHqCvrQSiKFB_20Xzq4_tWZWVC9BJs5EuQvENW_QIRcSkgX3K1kMwQ4OYq2tKzKDSmsCeVo5KYJEH0GeE0nlfykoBN8FAl6MK8540l_fDBm5hr2rSA&amp;ns=0&amp;v=2&amp;at=AXBhbeiBmuS4meeDr-mFsOiDugI&amp;aurl=aHR0cDovL3d3dy5sbnljaGIuY24&amp;sig=5dff&amp;bt=1&amp;lm_extend=ins:0&amp;posid=0&amp;positionType=0" \t "https://www.so.com/_blank" </w:instrText>
                  </w:r>
                  <w:r>
                    <w:rPr>
                      <w:rFonts w:hint="default" w:ascii="Times New Roman" w:hAnsi="Times New Roman" w:eastAsia="宋体" w:cs="Times New Roman"/>
                      <w:color w:val="auto"/>
                      <w:spacing w:val="-6"/>
                      <w:kern w:val="0"/>
                      <w:sz w:val="21"/>
                      <w:szCs w:val="21"/>
                      <w:lang w:val="en-US" w:eastAsia="zh-CN" w:bidi="zh-CN"/>
                    </w:rPr>
                    <w:fldChar w:fldCharType="separate"/>
                  </w:r>
                  <w:r>
                    <w:rPr>
                      <w:rFonts w:hint="default" w:ascii="Times New Roman" w:hAnsi="Times New Roman" w:eastAsia="宋体" w:cs="Times New Roman"/>
                      <w:color w:val="auto"/>
                      <w:spacing w:val="-6"/>
                      <w:kern w:val="0"/>
                      <w:sz w:val="21"/>
                      <w:szCs w:val="21"/>
                      <w:lang w:val="en-US" w:eastAsia="zh-CN" w:bidi="zh-CN"/>
                    </w:rPr>
                    <w:t>聚丙烯酰胺</w:t>
                  </w:r>
                  <w:r>
                    <w:rPr>
                      <w:rFonts w:hint="default" w:ascii="Times New Roman" w:hAnsi="Times New Roman" w:eastAsia="宋体" w:cs="Times New Roman"/>
                      <w:color w:val="auto"/>
                      <w:spacing w:val="-6"/>
                      <w:kern w:val="0"/>
                      <w:sz w:val="21"/>
                      <w:szCs w:val="21"/>
                      <w:lang w:val="en-US" w:eastAsia="zh-CN" w:bidi="zh-CN"/>
                    </w:rPr>
                    <w:fldChar w:fldCharType="end"/>
                  </w:r>
                </w:p>
              </w:tc>
              <w:tc>
                <w:tcPr>
                  <w:tcW w:w="799" w:type="dxa"/>
                  <w:tcBorders>
                    <w:tl2br w:val="nil"/>
                    <w:tr2bl w:val="nil"/>
                  </w:tcBorders>
                  <w:shd w:val="clear" w:color="auto" w:fill="auto"/>
                  <w:noWrap w:val="0"/>
                  <w:vAlign w:val="center"/>
                </w:tcPr>
                <w:p w14:paraId="7036635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5.5</w:t>
                  </w:r>
                </w:p>
              </w:tc>
              <w:tc>
                <w:tcPr>
                  <w:tcW w:w="812" w:type="dxa"/>
                  <w:tcBorders>
                    <w:tl2br w:val="nil"/>
                    <w:tr2bl w:val="nil"/>
                  </w:tcBorders>
                  <w:shd w:val="clear" w:color="auto" w:fill="auto"/>
                  <w:noWrap w:val="0"/>
                  <w:vAlign w:val="center"/>
                </w:tcPr>
                <w:p w14:paraId="7366DA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cs="Times New Roman"/>
                      <w:color w:val="auto"/>
                      <w:spacing w:val="-3"/>
                      <w:kern w:val="0"/>
                      <w:sz w:val="21"/>
                      <w:szCs w:val="21"/>
                      <w:lang w:val="en-US" w:eastAsia="zh-CN" w:bidi="zh-CN"/>
                    </w:rPr>
                    <w:t>1</w:t>
                  </w:r>
                </w:p>
              </w:tc>
              <w:tc>
                <w:tcPr>
                  <w:tcW w:w="2129" w:type="dxa"/>
                  <w:tcBorders>
                    <w:tl2br w:val="nil"/>
                    <w:tr2bl w:val="nil"/>
                  </w:tcBorders>
                  <w:shd w:val="clear" w:color="auto" w:fill="auto"/>
                  <w:noWrap w:val="0"/>
                  <w:vAlign w:val="center"/>
                </w:tcPr>
                <w:p w14:paraId="630992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袋装</w:t>
                  </w:r>
                  <w:r>
                    <w:rPr>
                      <w:rFonts w:hint="default" w:ascii="Times New Roman" w:hAnsi="Times New Roman" w:cs="Times New Roman"/>
                      <w:color w:val="auto"/>
                      <w:spacing w:val="-3"/>
                      <w:kern w:val="0"/>
                      <w:sz w:val="21"/>
                      <w:szCs w:val="21"/>
                      <w:lang w:val="en-US" w:eastAsia="zh-CN" w:bidi="zh-CN"/>
                    </w:rPr>
                    <w:t>，</w:t>
                  </w:r>
                  <w:r>
                    <w:rPr>
                      <w:rFonts w:hint="default" w:ascii="Times New Roman" w:hAnsi="Times New Roman" w:eastAsia="宋体" w:cs="Times New Roman"/>
                      <w:color w:val="auto"/>
                      <w:spacing w:val="-3"/>
                      <w:kern w:val="0"/>
                      <w:sz w:val="21"/>
                      <w:szCs w:val="21"/>
                      <w:lang w:val="en-US" w:eastAsia="zh-CN" w:bidi="zh-CN"/>
                    </w:rPr>
                    <w:t>加氯加药间</w:t>
                  </w:r>
                </w:p>
              </w:tc>
              <w:tc>
                <w:tcPr>
                  <w:tcW w:w="1434" w:type="dxa"/>
                  <w:vMerge w:val="restart"/>
                  <w:tcBorders>
                    <w:right w:val="single" w:color="auto" w:sz="4" w:space="0"/>
                    <w:tl2br w:val="nil"/>
                    <w:tr2bl w:val="nil"/>
                  </w:tcBorders>
                  <w:shd w:val="clear" w:color="auto" w:fill="auto"/>
                  <w:noWrap w:val="0"/>
                  <w:vAlign w:val="center"/>
                </w:tcPr>
                <w:p w14:paraId="6825941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污泥脱水</w:t>
                  </w:r>
                </w:p>
              </w:tc>
            </w:tr>
            <w:tr w14:paraId="64082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left w:val="single" w:color="auto" w:sz="4" w:space="0"/>
                    <w:tl2br w:val="nil"/>
                    <w:tr2bl w:val="nil"/>
                  </w:tcBorders>
                  <w:shd w:val="clear" w:color="auto" w:fill="auto"/>
                  <w:noWrap w:val="0"/>
                  <w:vAlign w:val="center"/>
                </w:tcPr>
                <w:p w14:paraId="13C7235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zh-CN" w:bidi="zh-CN"/>
                    </w:rPr>
                    <w:t>5</w:t>
                  </w:r>
                </w:p>
              </w:tc>
              <w:tc>
                <w:tcPr>
                  <w:tcW w:w="1303" w:type="dxa"/>
                  <w:tcBorders>
                    <w:tl2br w:val="nil"/>
                    <w:tr2bl w:val="nil"/>
                  </w:tcBorders>
                  <w:shd w:val="clear" w:color="auto" w:fill="auto"/>
                  <w:noWrap w:val="0"/>
                  <w:vAlign w:val="center"/>
                </w:tcPr>
                <w:p w14:paraId="5D0BF68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en-US" w:bidi="zh-CN"/>
                    </w:rPr>
                    <w:t>38%FeCl3成品液体</w:t>
                  </w:r>
                </w:p>
              </w:tc>
              <w:tc>
                <w:tcPr>
                  <w:tcW w:w="1157" w:type="dxa"/>
                  <w:tcBorders>
                    <w:tl2br w:val="nil"/>
                    <w:tr2bl w:val="nil"/>
                  </w:tcBorders>
                  <w:shd w:val="clear" w:color="auto" w:fill="auto"/>
                  <w:noWrap w:val="0"/>
                  <w:vAlign w:val="center"/>
                </w:tcPr>
                <w:p w14:paraId="7F9E439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en-US" w:bidi="zh-CN"/>
                    </w:rPr>
                    <w:t>FeCl3</w:t>
                  </w:r>
                </w:p>
              </w:tc>
              <w:tc>
                <w:tcPr>
                  <w:tcW w:w="799" w:type="dxa"/>
                  <w:tcBorders>
                    <w:tl2br w:val="nil"/>
                    <w:tr2bl w:val="nil"/>
                  </w:tcBorders>
                  <w:shd w:val="clear" w:color="auto" w:fill="auto"/>
                  <w:noWrap w:val="0"/>
                  <w:vAlign w:val="center"/>
                </w:tcPr>
                <w:p w14:paraId="1E4C9E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en-US" w:bidi="zh-CN"/>
                    </w:rPr>
                    <w:t>164.3</w:t>
                  </w:r>
                </w:p>
              </w:tc>
              <w:tc>
                <w:tcPr>
                  <w:tcW w:w="812" w:type="dxa"/>
                  <w:tcBorders>
                    <w:tl2br w:val="nil"/>
                    <w:tr2bl w:val="nil"/>
                  </w:tcBorders>
                  <w:shd w:val="clear" w:color="auto" w:fill="auto"/>
                  <w:noWrap w:val="0"/>
                  <w:vAlign w:val="center"/>
                </w:tcPr>
                <w:p w14:paraId="4717A0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highlight w:val="none"/>
                      <w:lang w:val="en-US" w:eastAsia="zh-CN" w:bidi="zh-CN"/>
                    </w:rPr>
                  </w:pPr>
                  <w:r>
                    <w:rPr>
                      <w:rFonts w:hint="default" w:ascii="Times New Roman" w:hAnsi="Times New Roman" w:cs="Times New Roman"/>
                      <w:color w:val="auto"/>
                      <w:spacing w:val="-3"/>
                      <w:kern w:val="0"/>
                      <w:sz w:val="21"/>
                      <w:szCs w:val="21"/>
                      <w:highlight w:val="none"/>
                      <w:lang w:val="en-US" w:eastAsia="zh-CN" w:bidi="zh-CN"/>
                    </w:rPr>
                    <w:t>10</w:t>
                  </w:r>
                </w:p>
              </w:tc>
              <w:tc>
                <w:tcPr>
                  <w:tcW w:w="2129" w:type="dxa"/>
                  <w:tcBorders>
                    <w:tl2br w:val="nil"/>
                    <w:tr2bl w:val="nil"/>
                  </w:tcBorders>
                  <w:shd w:val="clear" w:color="auto" w:fill="auto"/>
                  <w:noWrap w:val="0"/>
                  <w:vAlign w:val="center"/>
                </w:tcPr>
                <w:p w14:paraId="6F2D8D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highlight w:val="none"/>
                      <w:lang w:val="en-US" w:eastAsia="zh-CN" w:bidi="zh-CN"/>
                    </w:rPr>
                  </w:pPr>
                  <w:r>
                    <w:rPr>
                      <w:rFonts w:hint="default" w:ascii="Times New Roman" w:hAnsi="Times New Roman" w:eastAsia="宋体" w:cs="Times New Roman"/>
                      <w:color w:val="auto"/>
                      <w:spacing w:val="-3"/>
                      <w:kern w:val="0"/>
                      <w:sz w:val="21"/>
                      <w:szCs w:val="21"/>
                      <w:highlight w:val="none"/>
                      <w:lang w:val="en-US" w:eastAsia="zh-CN" w:bidi="zh-CN"/>
                    </w:rPr>
                    <w:t>袋装</w:t>
                  </w:r>
                  <w:r>
                    <w:rPr>
                      <w:rFonts w:hint="default" w:ascii="Times New Roman" w:hAnsi="Times New Roman" w:cs="Times New Roman"/>
                      <w:color w:val="auto"/>
                      <w:spacing w:val="-3"/>
                      <w:kern w:val="0"/>
                      <w:sz w:val="21"/>
                      <w:szCs w:val="21"/>
                      <w:highlight w:val="none"/>
                      <w:lang w:val="en-US" w:eastAsia="zh-CN" w:bidi="zh-CN"/>
                    </w:rPr>
                    <w:t>，</w:t>
                  </w:r>
                  <w:r>
                    <w:rPr>
                      <w:rFonts w:hint="default" w:ascii="Times New Roman" w:hAnsi="Times New Roman" w:eastAsia="宋体" w:cs="Times New Roman"/>
                      <w:color w:val="auto"/>
                      <w:spacing w:val="-3"/>
                      <w:kern w:val="0"/>
                      <w:sz w:val="21"/>
                      <w:szCs w:val="21"/>
                      <w:highlight w:val="none"/>
                      <w:lang w:val="en-US" w:eastAsia="zh-CN" w:bidi="zh-CN"/>
                    </w:rPr>
                    <w:t>污泥脱水机房</w:t>
                  </w:r>
                </w:p>
              </w:tc>
              <w:tc>
                <w:tcPr>
                  <w:tcW w:w="1434" w:type="dxa"/>
                  <w:vMerge w:val="continue"/>
                  <w:tcBorders>
                    <w:right w:val="single" w:color="auto" w:sz="4" w:space="0"/>
                    <w:tl2br w:val="nil"/>
                    <w:tr2bl w:val="nil"/>
                  </w:tcBorders>
                  <w:shd w:val="clear" w:color="auto" w:fill="auto"/>
                  <w:noWrap w:val="0"/>
                  <w:vAlign w:val="center"/>
                </w:tcPr>
                <w:p w14:paraId="1D56F0A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p>
              </w:tc>
            </w:tr>
            <w:tr w14:paraId="5FF54B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left w:val="single" w:color="auto" w:sz="4" w:space="0"/>
                    <w:tl2br w:val="nil"/>
                    <w:tr2bl w:val="nil"/>
                  </w:tcBorders>
                  <w:shd w:val="clear" w:color="auto" w:fill="auto"/>
                  <w:noWrap w:val="0"/>
                  <w:vAlign w:val="center"/>
                </w:tcPr>
                <w:p w14:paraId="51F6DF2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zh-CN" w:bidi="zh-CN"/>
                    </w:rPr>
                    <w:t>6</w:t>
                  </w:r>
                </w:p>
              </w:tc>
              <w:tc>
                <w:tcPr>
                  <w:tcW w:w="1303" w:type="dxa"/>
                  <w:tcBorders>
                    <w:tl2br w:val="nil"/>
                    <w:tr2bl w:val="nil"/>
                  </w:tcBorders>
                  <w:shd w:val="clear" w:color="auto" w:fill="auto"/>
                  <w:noWrap w:val="0"/>
                  <w:vAlign w:val="center"/>
                </w:tcPr>
                <w:p w14:paraId="2952FD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含量≤90%的氧化钙粉剂</w:t>
                  </w:r>
                </w:p>
              </w:tc>
              <w:tc>
                <w:tcPr>
                  <w:tcW w:w="1157" w:type="dxa"/>
                  <w:tcBorders>
                    <w:tl2br w:val="nil"/>
                    <w:tr2bl w:val="nil"/>
                  </w:tcBorders>
                  <w:shd w:val="clear" w:color="auto" w:fill="auto"/>
                  <w:noWrap w:val="0"/>
                  <w:vAlign w:val="center"/>
                </w:tcPr>
                <w:p w14:paraId="1205B38C">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氧化钙粉</w:t>
                  </w:r>
                </w:p>
              </w:tc>
              <w:tc>
                <w:tcPr>
                  <w:tcW w:w="799" w:type="dxa"/>
                  <w:tcBorders>
                    <w:tl2br w:val="nil"/>
                    <w:tr2bl w:val="nil"/>
                  </w:tcBorders>
                  <w:shd w:val="clear" w:color="auto" w:fill="auto"/>
                  <w:noWrap w:val="0"/>
                  <w:vAlign w:val="center"/>
                </w:tcPr>
                <w:p w14:paraId="42E316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273.8</w:t>
                  </w:r>
                </w:p>
              </w:tc>
              <w:tc>
                <w:tcPr>
                  <w:tcW w:w="812" w:type="dxa"/>
                  <w:tcBorders>
                    <w:tl2br w:val="nil"/>
                    <w:tr2bl w:val="nil"/>
                  </w:tcBorders>
                  <w:shd w:val="clear" w:color="auto" w:fill="auto"/>
                  <w:noWrap w:val="0"/>
                  <w:vAlign w:val="center"/>
                </w:tcPr>
                <w:p w14:paraId="032B53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cs="Times New Roman"/>
                      <w:color w:val="auto"/>
                      <w:spacing w:val="-3"/>
                      <w:kern w:val="0"/>
                      <w:sz w:val="21"/>
                      <w:szCs w:val="21"/>
                      <w:lang w:val="en-US" w:eastAsia="zh-CN" w:bidi="zh-CN"/>
                    </w:rPr>
                    <w:t>15</w:t>
                  </w:r>
                </w:p>
              </w:tc>
              <w:tc>
                <w:tcPr>
                  <w:tcW w:w="2129" w:type="dxa"/>
                  <w:tcBorders>
                    <w:tl2br w:val="nil"/>
                    <w:tr2bl w:val="nil"/>
                  </w:tcBorders>
                  <w:shd w:val="clear" w:color="auto" w:fill="auto"/>
                  <w:noWrap w:val="0"/>
                  <w:vAlign w:val="center"/>
                </w:tcPr>
                <w:p w14:paraId="37C9E9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cs="Times New Roman"/>
                      <w:color w:val="auto"/>
                      <w:spacing w:val="-3"/>
                      <w:kern w:val="0"/>
                      <w:sz w:val="21"/>
                      <w:szCs w:val="21"/>
                      <w:lang w:val="en-US" w:eastAsia="zh-CN" w:bidi="zh-CN"/>
                    </w:rPr>
                    <w:t>料仓，污泥脱水机房</w:t>
                  </w:r>
                </w:p>
              </w:tc>
              <w:tc>
                <w:tcPr>
                  <w:tcW w:w="1434" w:type="dxa"/>
                  <w:vMerge w:val="continue"/>
                  <w:tcBorders>
                    <w:right w:val="single" w:color="auto" w:sz="4" w:space="0"/>
                    <w:tl2br w:val="nil"/>
                    <w:tr2bl w:val="nil"/>
                  </w:tcBorders>
                  <w:shd w:val="clear" w:color="auto" w:fill="auto"/>
                  <w:noWrap w:val="0"/>
                  <w:vAlign w:val="center"/>
                </w:tcPr>
                <w:p w14:paraId="5CB5A8D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p>
              </w:tc>
            </w:tr>
            <w:tr w14:paraId="15F68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5" w:type="dxa"/>
                  <w:tcBorders>
                    <w:left w:val="single" w:color="auto" w:sz="4" w:space="0"/>
                    <w:bottom w:val="single" w:color="auto" w:sz="4" w:space="0"/>
                    <w:tl2br w:val="nil"/>
                    <w:tr2bl w:val="nil"/>
                  </w:tcBorders>
                  <w:shd w:val="clear" w:color="auto" w:fill="auto"/>
                  <w:noWrap w:val="0"/>
                  <w:vAlign w:val="center"/>
                </w:tcPr>
                <w:p w14:paraId="4FB7F63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bidi="zh-CN"/>
                    </w:rPr>
                    <w:t>7</w:t>
                  </w:r>
                </w:p>
              </w:tc>
              <w:tc>
                <w:tcPr>
                  <w:tcW w:w="1303" w:type="dxa"/>
                  <w:tcBorders>
                    <w:bottom w:val="single" w:color="auto" w:sz="4" w:space="0"/>
                    <w:tl2br w:val="nil"/>
                    <w:tr2bl w:val="nil"/>
                  </w:tcBorders>
                  <w:shd w:val="clear" w:color="auto" w:fill="auto"/>
                  <w:noWrap w:val="0"/>
                  <w:vAlign w:val="center"/>
                </w:tcPr>
                <w:p w14:paraId="4C02CB7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磁粉</w:t>
                  </w:r>
                </w:p>
              </w:tc>
              <w:tc>
                <w:tcPr>
                  <w:tcW w:w="1157" w:type="dxa"/>
                  <w:tcBorders>
                    <w:bottom w:val="single" w:color="auto" w:sz="4" w:space="0"/>
                    <w:tl2br w:val="nil"/>
                    <w:tr2bl w:val="nil"/>
                  </w:tcBorders>
                  <w:shd w:val="clear" w:color="auto" w:fill="auto"/>
                  <w:noWrap w:val="0"/>
                  <w:vAlign w:val="center"/>
                </w:tcPr>
                <w:p w14:paraId="2019C16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cs="Times New Roman"/>
                      <w:color w:val="auto"/>
                      <w:kern w:val="0"/>
                      <w:sz w:val="21"/>
                      <w:szCs w:val="21"/>
                      <w:lang w:val="en-US" w:eastAsia="zh-CN" w:bidi="zh-CN"/>
                    </w:rPr>
                    <w:t>/</w:t>
                  </w:r>
                </w:p>
              </w:tc>
              <w:tc>
                <w:tcPr>
                  <w:tcW w:w="799" w:type="dxa"/>
                  <w:tcBorders>
                    <w:bottom w:val="single" w:color="auto" w:sz="4" w:space="0"/>
                    <w:tl2br w:val="nil"/>
                    <w:tr2bl w:val="nil"/>
                  </w:tcBorders>
                  <w:shd w:val="clear" w:color="auto" w:fill="auto"/>
                  <w:noWrap w:val="0"/>
                  <w:vAlign w:val="center"/>
                </w:tcPr>
                <w:p w14:paraId="69021A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10.0</w:t>
                  </w:r>
                </w:p>
              </w:tc>
              <w:tc>
                <w:tcPr>
                  <w:tcW w:w="812" w:type="dxa"/>
                  <w:tcBorders>
                    <w:bottom w:val="single" w:color="auto" w:sz="4" w:space="0"/>
                    <w:tl2br w:val="nil"/>
                    <w:tr2bl w:val="nil"/>
                  </w:tcBorders>
                  <w:shd w:val="clear" w:color="auto" w:fill="auto"/>
                  <w:noWrap w:val="0"/>
                  <w:vAlign w:val="center"/>
                </w:tcPr>
                <w:p w14:paraId="46F2B1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cs="Times New Roman"/>
                      <w:color w:val="auto"/>
                      <w:spacing w:val="-3"/>
                      <w:kern w:val="0"/>
                      <w:sz w:val="21"/>
                      <w:szCs w:val="21"/>
                      <w:lang w:val="en-US" w:eastAsia="zh-CN" w:bidi="zh-CN"/>
                    </w:rPr>
                    <w:t>10</w:t>
                  </w:r>
                </w:p>
              </w:tc>
              <w:tc>
                <w:tcPr>
                  <w:tcW w:w="2129" w:type="dxa"/>
                  <w:tcBorders>
                    <w:bottom w:val="single" w:color="auto" w:sz="4" w:space="0"/>
                    <w:tl2br w:val="nil"/>
                    <w:tr2bl w:val="nil"/>
                  </w:tcBorders>
                  <w:shd w:val="clear" w:color="auto" w:fill="auto"/>
                  <w:noWrap w:val="0"/>
                  <w:vAlign w:val="center"/>
                </w:tcPr>
                <w:p w14:paraId="2982B2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袋装</w:t>
                  </w:r>
                  <w:r>
                    <w:rPr>
                      <w:rFonts w:hint="default" w:ascii="Times New Roman" w:hAnsi="Times New Roman" w:cs="Times New Roman"/>
                      <w:color w:val="auto"/>
                      <w:spacing w:val="-3"/>
                      <w:kern w:val="0"/>
                      <w:sz w:val="21"/>
                      <w:szCs w:val="21"/>
                      <w:lang w:val="en-US" w:eastAsia="zh-CN" w:bidi="zh-CN"/>
                    </w:rPr>
                    <w:t>，</w:t>
                  </w:r>
                  <w:r>
                    <w:rPr>
                      <w:rFonts w:hint="default" w:ascii="Times New Roman" w:hAnsi="Times New Roman" w:eastAsia="宋体" w:cs="Times New Roman"/>
                      <w:color w:val="auto"/>
                      <w:spacing w:val="-3"/>
                      <w:kern w:val="0"/>
                      <w:sz w:val="21"/>
                      <w:szCs w:val="21"/>
                      <w:lang w:val="en-US" w:eastAsia="zh-CN" w:bidi="zh-CN"/>
                    </w:rPr>
                    <w:t>磁混凝沉淀间</w:t>
                  </w:r>
                </w:p>
              </w:tc>
              <w:tc>
                <w:tcPr>
                  <w:tcW w:w="1434" w:type="dxa"/>
                  <w:tcBorders>
                    <w:bottom w:val="single" w:color="auto" w:sz="4" w:space="0"/>
                    <w:right w:val="single" w:color="auto" w:sz="4" w:space="0"/>
                    <w:tl2br w:val="nil"/>
                    <w:tr2bl w:val="nil"/>
                  </w:tcBorders>
                  <w:shd w:val="clear" w:color="auto" w:fill="auto"/>
                  <w:noWrap w:val="0"/>
                  <w:vAlign w:val="center"/>
                </w:tcPr>
                <w:p w14:paraId="7E4D2A2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回收重复利用</w:t>
                  </w:r>
                </w:p>
              </w:tc>
            </w:tr>
          </w:tbl>
          <w:p w14:paraId="7212CF26">
            <w:pPr>
              <w:keepNext w:val="0"/>
              <w:keepLines w:val="0"/>
              <w:pageBreakBefore w:val="0"/>
              <w:widowControl w:val="0"/>
              <w:kinsoku/>
              <w:wordWrap/>
              <w:overflowPunct/>
              <w:topLinePunct w:val="0"/>
              <w:autoSpaceDE w:val="0"/>
              <w:autoSpaceDN w:val="0"/>
              <w:bidi w:val="0"/>
              <w:adjustRightInd w:val="0"/>
              <w:snapToGrid w:val="0"/>
              <w:spacing w:line="360" w:lineRule="auto"/>
              <w:ind w:right="0"/>
              <w:jc w:val="center"/>
              <w:textAlignment w:val="auto"/>
              <w:rPr>
                <w:rFonts w:hint="default" w:ascii="Times New Roman" w:hAnsi="Times New Roman" w:eastAsia="宋体" w:cs="Times New Roman"/>
                <w:b/>
                <w:bCs/>
                <w:color w:val="auto"/>
                <w:kern w:val="0"/>
                <w:sz w:val="24"/>
                <w:szCs w:val="24"/>
                <w:lang w:val="en-US" w:bidi="zh-CN"/>
              </w:rPr>
            </w:pPr>
          </w:p>
          <w:p w14:paraId="4C6F24EA">
            <w:pPr>
              <w:keepNext w:val="0"/>
              <w:keepLines w:val="0"/>
              <w:pageBreakBefore w:val="0"/>
              <w:widowControl w:val="0"/>
              <w:kinsoku/>
              <w:wordWrap/>
              <w:overflowPunct/>
              <w:topLinePunct w:val="0"/>
              <w:autoSpaceDE w:val="0"/>
              <w:autoSpaceDN w:val="0"/>
              <w:bidi w:val="0"/>
              <w:adjustRightInd w:val="0"/>
              <w:snapToGrid w:val="0"/>
              <w:spacing w:line="360" w:lineRule="auto"/>
              <w:ind w:right="0"/>
              <w:jc w:val="center"/>
              <w:textAlignment w:val="auto"/>
              <w:rPr>
                <w:rFonts w:hint="default" w:ascii="Times New Roman" w:hAnsi="Times New Roman" w:eastAsia="宋体" w:cs="Times New Roman"/>
                <w:b/>
                <w:bCs/>
                <w:color w:val="auto"/>
                <w:kern w:val="0"/>
                <w:sz w:val="24"/>
                <w:szCs w:val="24"/>
                <w:lang w:val="en-US" w:bidi="zh-CN"/>
              </w:rPr>
            </w:pPr>
            <w:r>
              <w:rPr>
                <w:rFonts w:hint="default" w:ascii="Times New Roman" w:hAnsi="Times New Roman" w:eastAsia="宋体" w:cs="Times New Roman"/>
                <w:b/>
                <w:bCs/>
                <w:color w:val="auto"/>
                <w:kern w:val="0"/>
                <w:sz w:val="24"/>
                <w:szCs w:val="24"/>
                <w:lang w:val="en-US" w:bidi="zh-CN"/>
              </w:rPr>
              <w:t>表</w:t>
            </w:r>
            <w:r>
              <w:rPr>
                <w:rFonts w:hint="default" w:ascii="Times New Roman" w:hAnsi="Times New Roman" w:eastAsia="宋体" w:cs="Times New Roman"/>
                <w:b/>
                <w:bCs/>
                <w:color w:val="auto"/>
                <w:kern w:val="0"/>
                <w:sz w:val="24"/>
                <w:szCs w:val="24"/>
                <w:lang w:val="en-US" w:eastAsia="zh-CN" w:bidi="zh-CN"/>
              </w:rPr>
              <w:t>2-</w:t>
            </w:r>
            <w:r>
              <w:rPr>
                <w:rFonts w:hint="default" w:ascii="Times New Roman" w:hAnsi="Times New Roman" w:cs="Times New Roman"/>
                <w:b/>
                <w:bCs/>
                <w:color w:val="auto"/>
                <w:kern w:val="0"/>
                <w:sz w:val="24"/>
                <w:szCs w:val="24"/>
                <w:lang w:val="en-US" w:eastAsia="zh-CN" w:bidi="zh-CN"/>
              </w:rPr>
              <w:t>5</w:t>
            </w:r>
            <w:r>
              <w:rPr>
                <w:rFonts w:hint="default" w:ascii="Times New Roman" w:hAnsi="Times New Roman" w:eastAsia="宋体" w:cs="Times New Roman"/>
                <w:b/>
                <w:bCs/>
                <w:color w:val="auto"/>
                <w:kern w:val="0"/>
                <w:sz w:val="24"/>
                <w:szCs w:val="24"/>
                <w:lang w:val="en-US" w:bidi="zh-CN"/>
              </w:rPr>
              <w:t xml:space="preserve"> 全厂主要原辅材料消耗一览表（单位：t/a）</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0"/>
              <w:gridCol w:w="2441"/>
              <w:gridCol w:w="1216"/>
              <w:gridCol w:w="991"/>
              <w:gridCol w:w="1352"/>
              <w:gridCol w:w="1509"/>
            </w:tblGrid>
            <w:tr w14:paraId="06BA8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629" w:type="dxa"/>
                  <w:vMerge w:val="restart"/>
                  <w:tcBorders>
                    <w:top w:val="single" w:color="auto" w:sz="4" w:space="0"/>
                    <w:left w:val="single" w:color="auto" w:sz="0" w:space="0"/>
                    <w:tl2br w:val="nil"/>
                    <w:tr2bl w:val="nil"/>
                  </w:tcBorders>
                  <w:noWrap w:val="0"/>
                  <w:vAlign w:val="center"/>
                </w:tcPr>
                <w:p w14:paraId="3445791F">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en-US" w:bidi="ar-SA"/>
                    </w:rPr>
                  </w:pPr>
                  <w:r>
                    <w:rPr>
                      <w:rFonts w:hint="default" w:ascii="Times New Roman" w:hAnsi="Times New Roman" w:eastAsia="宋体" w:cs="Times New Roman"/>
                      <w:b/>
                      <w:bCs/>
                      <w:color w:val="auto"/>
                      <w:spacing w:val="-3"/>
                      <w:kern w:val="0"/>
                      <w:sz w:val="21"/>
                      <w:szCs w:val="21"/>
                      <w:lang w:val="zh-CN" w:bidi="zh-CN"/>
                    </w:rPr>
                    <w:t>序号</w:t>
                  </w:r>
                </w:p>
              </w:tc>
              <w:tc>
                <w:tcPr>
                  <w:tcW w:w="2438" w:type="dxa"/>
                  <w:vMerge w:val="restart"/>
                  <w:tcBorders>
                    <w:top w:val="single" w:color="auto" w:sz="4" w:space="0"/>
                    <w:tl2br w:val="nil"/>
                    <w:tr2bl w:val="nil"/>
                  </w:tcBorders>
                  <w:noWrap w:val="0"/>
                  <w:vAlign w:val="center"/>
                </w:tcPr>
                <w:p w14:paraId="7BE0843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en-US" w:bidi="ar-SA"/>
                    </w:rPr>
                  </w:pPr>
                  <w:r>
                    <w:rPr>
                      <w:rFonts w:hint="default" w:ascii="Times New Roman" w:hAnsi="Times New Roman" w:eastAsia="宋体" w:cs="Times New Roman"/>
                      <w:b/>
                      <w:bCs/>
                      <w:color w:val="auto"/>
                      <w:spacing w:val="-3"/>
                      <w:kern w:val="0"/>
                      <w:sz w:val="21"/>
                      <w:szCs w:val="21"/>
                      <w:lang w:val="zh-CN" w:bidi="zh-CN"/>
                    </w:rPr>
                    <w:t>名称</w:t>
                  </w:r>
                </w:p>
              </w:tc>
              <w:tc>
                <w:tcPr>
                  <w:tcW w:w="2205" w:type="dxa"/>
                  <w:gridSpan w:val="2"/>
                  <w:tcBorders>
                    <w:top w:val="single" w:color="auto" w:sz="4" w:space="0"/>
                    <w:tl2br w:val="nil"/>
                    <w:tr2bl w:val="nil"/>
                  </w:tcBorders>
                  <w:shd w:val="clear" w:color="auto" w:fill="auto"/>
                  <w:noWrap w:val="0"/>
                  <w:vAlign w:val="center"/>
                </w:tcPr>
                <w:p w14:paraId="5AD3779B">
                  <w:pPr>
                    <w:keepNext w:val="0"/>
                    <w:keepLines w:val="0"/>
                    <w:pageBreakBefore w:val="0"/>
                    <w:widowControl/>
                    <w:kinsoku w:val="0"/>
                    <w:wordWrap/>
                    <w:overflowPunct/>
                    <w:topLinePunct w:val="0"/>
                    <w:autoSpaceDE w:val="0"/>
                    <w:autoSpaceDN w:val="0"/>
                    <w:bidi w:val="0"/>
                    <w:adjustRightInd w:val="0"/>
                    <w:snapToGrid w:val="0"/>
                    <w:spacing w:line="360" w:lineRule="exact"/>
                    <w:ind w:left="0" w:right="0" w:firstLine="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spacing w:val="-3"/>
                      <w:kern w:val="0"/>
                      <w:sz w:val="21"/>
                      <w:szCs w:val="21"/>
                      <w:lang w:val="en-US" w:eastAsia="zh-CN" w:bidi="zh-CN"/>
                    </w:rPr>
                    <w:t>现有工程年用量</w:t>
                  </w:r>
                </w:p>
              </w:tc>
              <w:tc>
                <w:tcPr>
                  <w:tcW w:w="1350" w:type="dxa"/>
                  <w:vMerge w:val="restart"/>
                  <w:tcBorders>
                    <w:top w:val="single" w:color="auto" w:sz="4" w:space="0"/>
                    <w:tl2br w:val="nil"/>
                    <w:tr2bl w:val="nil"/>
                  </w:tcBorders>
                  <w:shd w:val="clear" w:color="auto" w:fill="auto"/>
                  <w:noWrap w:val="0"/>
                  <w:vAlign w:val="center"/>
                </w:tcPr>
                <w:p w14:paraId="640812EE">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三期</w:t>
                  </w:r>
                  <w:r>
                    <w:rPr>
                      <w:rFonts w:hint="default" w:ascii="Times New Roman" w:hAnsi="Times New Roman" w:eastAsia="宋体" w:cs="Times New Roman"/>
                      <w:b/>
                      <w:bCs/>
                      <w:color w:val="auto"/>
                      <w:spacing w:val="-3"/>
                      <w:kern w:val="0"/>
                      <w:sz w:val="21"/>
                      <w:szCs w:val="21"/>
                      <w:lang w:val="en-US" w:eastAsia="zh-CN" w:bidi="zh-CN"/>
                    </w:rPr>
                    <w:t>年用量</w:t>
                  </w:r>
                </w:p>
              </w:tc>
              <w:tc>
                <w:tcPr>
                  <w:tcW w:w="1507" w:type="dxa"/>
                  <w:vMerge w:val="restart"/>
                  <w:tcBorders>
                    <w:top w:val="single" w:color="auto" w:sz="4" w:space="0"/>
                    <w:right w:val="single" w:color="auto" w:sz="4" w:space="0"/>
                    <w:tl2br w:val="nil"/>
                    <w:tr2bl w:val="nil"/>
                  </w:tcBorders>
                  <w:noWrap w:val="0"/>
                  <w:vAlign w:val="center"/>
                </w:tcPr>
                <w:p w14:paraId="29B6E0C5">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3"/>
                      <w:kern w:val="0"/>
                      <w:sz w:val="21"/>
                      <w:szCs w:val="21"/>
                      <w:lang w:val="en-US" w:eastAsia="zh-CN" w:bidi="zh-CN"/>
                    </w:rPr>
                  </w:pPr>
                  <w:r>
                    <w:rPr>
                      <w:rFonts w:hint="default" w:ascii="Times New Roman" w:hAnsi="Times New Roman" w:eastAsia="宋体" w:cs="Times New Roman"/>
                      <w:b/>
                      <w:bCs/>
                      <w:color w:val="auto"/>
                      <w:spacing w:val="-3"/>
                      <w:kern w:val="0"/>
                      <w:sz w:val="21"/>
                      <w:szCs w:val="21"/>
                      <w:lang w:val="en-US" w:eastAsia="zh-CN" w:bidi="zh-CN"/>
                    </w:rPr>
                    <w:t>全厂年用量</w:t>
                  </w:r>
                </w:p>
              </w:tc>
            </w:tr>
            <w:tr w14:paraId="2CC45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3" w:hRule="atLeast"/>
                <w:jc w:val="center"/>
              </w:trPr>
              <w:tc>
                <w:tcPr>
                  <w:tcW w:w="629" w:type="dxa"/>
                  <w:vMerge w:val="continue"/>
                  <w:tcBorders>
                    <w:left w:val="single" w:color="auto" w:sz="4" w:space="0"/>
                    <w:tl2br w:val="nil"/>
                    <w:tr2bl w:val="nil"/>
                  </w:tcBorders>
                  <w:noWrap w:val="0"/>
                  <w:vAlign w:val="center"/>
                </w:tcPr>
                <w:p w14:paraId="12D55660">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cs="Times New Roman"/>
                      <w:color w:val="auto"/>
                      <w:sz w:val="21"/>
                      <w:szCs w:val="21"/>
                    </w:rPr>
                  </w:pPr>
                </w:p>
              </w:tc>
              <w:tc>
                <w:tcPr>
                  <w:tcW w:w="2438" w:type="dxa"/>
                  <w:vMerge w:val="continue"/>
                  <w:tcBorders>
                    <w:tl2br w:val="nil"/>
                    <w:tr2bl w:val="nil"/>
                  </w:tcBorders>
                  <w:noWrap w:val="0"/>
                  <w:vAlign w:val="center"/>
                </w:tcPr>
                <w:p w14:paraId="51CA395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cs="Times New Roman"/>
                      <w:color w:val="auto"/>
                      <w:sz w:val="21"/>
                      <w:szCs w:val="21"/>
                    </w:rPr>
                  </w:pPr>
                </w:p>
              </w:tc>
              <w:tc>
                <w:tcPr>
                  <w:tcW w:w="1215" w:type="dxa"/>
                  <w:tcBorders>
                    <w:tl2br w:val="nil"/>
                    <w:tr2bl w:val="nil"/>
                  </w:tcBorders>
                  <w:shd w:val="clear" w:color="auto" w:fill="auto"/>
                  <w:noWrap w:val="0"/>
                  <w:vAlign w:val="center"/>
                </w:tcPr>
                <w:p w14:paraId="06E7977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一期</w:t>
                  </w:r>
                </w:p>
              </w:tc>
              <w:tc>
                <w:tcPr>
                  <w:tcW w:w="990" w:type="dxa"/>
                  <w:tcBorders>
                    <w:tl2br w:val="nil"/>
                    <w:tr2bl w:val="nil"/>
                  </w:tcBorders>
                  <w:shd w:val="clear" w:color="auto" w:fill="auto"/>
                  <w:noWrap w:val="0"/>
                  <w:vAlign w:val="center"/>
                </w:tcPr>
                <w:p w14:paraId="7B294F6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二期</w:t>
                  </w:r>
                </w:p>
              </w:tc>
              <w:tc>
                <w:tcPr>
                  <w:tcW w:w="1350" w:type="dxa"/>
                  <w:vMerge w:val="continue"/>
                  <w:tcBorders>
                    <w:tl2br w:val="nil"/>
                    <w:tr2bl w:val="nil"/>
                  </w:tcBorders>
                  <w:shd w:val="clear" w:color="auto" w:fill="auto"/>
                  <w:noWrap w:val="0"/>
                  <w:vAlign w:val="center"/>
                </w:tcPr>
                <w:p w14:paraId="5E42B31D">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3"/>
                      <w:kern w:val="0"/>
                      <w:sz w:val="21"/>
                      <w:szCs w:val="21"/>
                      <w:lang w:val="en-US" w:eastAsia="zh-CN" w:bidi="zh-CN"/>
                    </w:rPr>
                  </w:pPr>
                </w:p>
              </w:tc>
              <w:tc>
                <w:tcPr>
                  <w:tcW w:w="1507" w:type="dxa"/>
                  <w:vMerge w:val="continue"/>
                  <w:tcBorders>
                    <w:right w:val="single" w:color="auto" w:sz="4" w:space="0"/>
                    <w:tl2br w:val="nil"/>
                    <w:tr2bl w:val="nil"/>
                  </w:tcBorders>
                  <w:noWrap w:val="0"/>
                  <w:vAlign w:val="center"/>
                </w:tcPr>
                <w:p w14:paraId="109FA1E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b/>
                      <w:bCs/>
                      <w:color w:val="auto"/>
                      <w:spacing w:val="-3"/>
                      <w:kern w:val="0"/>
                      <w:sz w:val="21"/>
                      <w:szCs w:val="21"/>
                      <w:lang w:val="en-US" w:eastAsia="zh-CN" w:bidi="zh-CN"/>
                    </w:rPr>
                  </w:pPr>
                </w:p>
              </w:tc>
            </w:tr>
            <w:tr w14:paraId="3A8E4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9" w:type="dxa"/>
                  <w:tcBorders>
                    <w:left w:val="single" w:color="auto" w:sz="4" w:space="0"/>
                    <w:tl2br w:val="nil"/>
                    <w:tr2bl w:val="nil"/>
                  </w:tcBorders>
                  <w:noWrap w:val="0"/>
                  <w:vAlign w:val="center"/>
                </w:tcPr>
                <w:p w14:paraId="31950F4A">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1</w:t>
                  </w:r>
                </w:p>
              </w:tc>
              <w:tc>
                <w:tcPr>
                  <w:tcW w:w="2438" w:type="dxa"/>
                  <w:tcBorders>
                    <w:tl2br w:val="nil"/>
                    <w:tr2bl w:val="nil"/>
                  </w:tcBorders>
                  <w:shd w:val="clear" w:color="auto" w:fill="auto"/>
                  <w:noWrap w:val="0"/>
                  <w:vAlign w:val="center"/>
                </w:tcPr>
                <w:p w14:paraId="749BB2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聚合硫酸铁</w:t>
                  </w:r>
                </w:p>
              </w:tc>
              <w:tc>
                <w:tcPr>
                  <w:tcW w:w="1215" w:type="dxa"/>
                  <w:tcBorders>
                    <w:tl2br w:val="nil"/>
                    <w:tr2bl w:val="nil"/>
                  </w:tcBorders>
                  <w:shd w:val="clear" w:color="auto" w:fill="auto"/>
                  <w:noWrap w:val="0"/>
                  <w:vAlign w:val="center"/>
                </w:tcPr>
                <w:p w14:paraId="50B0F7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72.1</w:t>
                  </w:r>
                </w:p>
              </w:tc>
              <w:tc>
                <w:tcPr>
                  <w:tcW w:w="990" w:type="dxa"/>
                  <w:tcBorders>
                    <w:tl2br w:val="nil"/>
                    <w:tr2bl w:val="nil"/>
                  </w:tcBorders>
                  <w:shd w:val="clear" w:color="auto" w:fill="auto"/>
                  <w:noWrap w:val="0"/>
                  <w:vAlign w:val="center"/>
                </w:tcPr>
                <w:p w14:paraId="05E2740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234.2</w:t>
                  </w:r>
                </w:p>
              </w:tc>
              <w:tc>
                <w:tcPr>
                  <w:tcW w:w="1350" w:type="dxa"/>
                  <w:tcBorders>
                    <w:tl2br w:val="nil"/>
                    <w:tr2bl w:val="nil"/>
                  </w:tcBorders>
                  <w:shd w:val="clear" w:color="auto" w:fill="auto"/>
                  <w:noWrap w:val="0"/>
                  <w:vAlign w:val="center"/>
                </w:tcPr>
                <w:p w14:paraId="72A3C4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198.2</w:t>
                  </w:r>
                </w:p>
              </w:tc>
              <w:tc>
                <w:tcPr>
                  <w:tcW w:w="1507" w:type="dxa"/>
                  <w:tcBorders>
                    <w:right w:val="single" w:color="auto" w:sz="4" w:space="0"/>
                    <w:tl2br w:val="nil"/>
                    <w:tr2bl w:val="nil"/>
                  </w:tcBorders>
                  <w:shd w:val="clear" w:color="auto" w:fill="auto"/>
                  <w:noWrap w:val="0"/>
                  <w:vAlign w:val="center"/>
                </w:tcPr>
                <w:p w14:paraId="436E3D4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504.5</w:t>
                  </w:r>
                </w:p>
              </w:tc>
            </w:tr>
            <w:tr w14:paraId="0C256F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29" w:type="dxa"/>
                  <w:tcBorders>
                    <w:left w:val="single" w:color="auto" w:sz="4" w:space="0"/>
                    <w:tl2br w:val="nil"/>
                    <w:tr2bl w:val="nil"/>
                  </w:tcBorders>
                  <w:noWrap w:val="0"/>
                  <w:vAlign w:val="center"/>
                </w:tcPr>
                <w:p w14:paraId="61C6D06B">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2</w:t>
                  </w:r>
                </w:p>
              </w:tc>
              <w:tc>
                <w:tcPr>
                  <w:tcW w:w="2438" w:type="dxa"/>
                  <w:tcBorders>
                    <w:tl2br w:val="nil"/>
                    <w:tr2bl w:val="nil"/>
                  </w:tcBorders>
                  <w:shd w:val="clear" w:color="auto" w:fill="auto"/>
                  <w:noWrap w:val="0"/>
                  <w:vAlign w:val="center"/>
                </w:tcPr>
                <w:p w14:paraId="16BD56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10%次氯酸钠成品液体</w:t>
                  </w:r>
                </w:p>
              </w:tc>
              <w:tc>
                <w:tcPr>
                  <w:tcW w:w="1215" w:type="dxa"/>
                  <w:tcBorders>
                    <w:tl2br w:val="nil"/>
                    <w:tr2bl w:val="nil"/>
                  </w:tcBorders>
                  <w:shd w:val="clear" w:color="auto" w:fill="auto"/>
                  <w:noWrap w:val="0"/>
                  <w:vAlign w:val="center"/>
                </w:tcPr>
                <w:p w14:paraId="5F70A2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58.4</w:t>
                  </w:r>
                </w:p>
              </w:tc>
              <w:tc>
                <w:tcPr>
                  <w:tcW w:w="990" w:type="dxa"/>
                  <w:tcBorders>
                    <w:tl2br w:val="nil"/>
                    <w:tr2bl w:val="nil"/>
                  </w:tcBorders>
                  <w:shd w:val="clear" w:color="auto" w:fill="auto"/>
                  <w:noWrap w:val="0"/>
                  <w:vAlign w:val="center"/>
                </w:tcPr>
                <w:p w14:paraId="6D1F905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189.8</w:t>
                  </w:r>
                </w:p>
              </w:tc>
              <w:tc>
                <w:tcPr>
                  <w:tcW w:w="1350" w:type="dxa"/>
                  <w:tcBorders>
                    <w:tl2br w:val="nil"/>
                    <w:tr2bl w:val="nil"/>
                  </w:tcBorders>
                  <w:shd w:val="clear" w:color="auto" w:fill="auto"/>
                  <w:noWrap w:val="0"/>
                  <w:vAlign w:val="center"/>
                </w:tcPr>
                <w:p w14:paraId="6EE539D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160.6</w:t>
                  </w:r>
                </w:p>
              </w:tc>
              <w:tc>
                <w:tcPr>
                  <w:tcW w:w="1507" w:type="dxa"/>
                  <w:tcBorders>
                    <w:right w:val="single" w:color="auto" w:sz="4" w:space="0"/>
                    <w:tl2br w:val="nil"/>
                    <w:tr2bl w:val="nil"/>
                  </w:tcBorders>
                  <w:shd w:val="clear" w:color="auto" w:fill="auto"/>
                  <w:noWrap w:val="0"/>
                  <w:vAlign w:val="center"/>
                </w:tcPr>
                <w:p w14:paraId="37D9965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408.8</w:t>
                  </w:r>
                </w:p>
              </w:tc>
            </w:tr>
            <w:tr w14:paraId="370B1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9" w:type="dxa"/>
                  <w:tcBorders>
                    <w:left w:val="single" w:color="auto" w:sz="4" w:space="0"/>
                    <w:tl2br w:val="nil"/>
                    <w:tr2bl w:val="nil"/>
                  </w:tcBorders>
                  <w:noWrap w:val="0"/>
                  <w:vAlign w:val="center"/>
                </w:tcPr>
                <w:p w14:paraId="39EBC26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zh-CN" w:bidi="zh-CN"/>
                    </w:rPr>
                    <w:t>3</w:t>
                  </w:r>
                </w:p>
              </w:tc>
              <w:tc>
                <w:tcPr>
                  <w:tcW w:w="2438" w:type="dxa"/>
                  <w:tcBorders>
                    <w:tl2br w:val="nil"/>
                    <w:tr2bl w:val="nil"/>
                  </w:tcBorders>
                  <w:shd w:val="clear" w:color="auto" w:fill="auto"/>
                  <w:noWrap w:val="0"/>
                  <w:vAlign w:val="center"/>
                </w:tcPr>
                <w:p w14:paraId="5573F7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20%乙酸钠成品液体</w:t>
                  </w:r>
                </w:p>
              </w:tc>
              <w:tc>
                <w:tcPr>
                  <w:tcW w:w="1215" w:type="dxa"/>
                  <w:tcBorders>
                    <w:tl2br w:val="nil"/>
                    <w:tr2bl w:val="nil"/>
                  </w:tcBorders>
                  <w:shd w:val="clear" w:color="auto" w:fill="auto"/>
                  <w:noWrap w:val="0"/>
                  <w:vAlign w:val="center"/>
                </w:tcPr>
                <w:p w14:paraId="513781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284.7</w:t>
                  </w:r>
                </w:p>
              </w:tc>
              <w:tc>
                <w:tcPr>
                  <w:tcW w:w="990" w:type="dxa"/>
                  <w:tcBorders>
                    <w:tl2br w:val="nil"/>
                    <w:tr2bl w:val="nil"/>
                  </w:tcBorders>
                  <w:shd w:val="clear" w:color="auto" w:fill="auto"/>
                  <w:noWrap w:val="0"/>
                  <w:vAlign w:val="center"/>
                </w:tcPr>
                <w:p w14:paraId="6C11901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925.2</w:t>
                  </w:r>
                </w:p>
              </w:tc>
              <w:tc>
                <w:tcPr>
                  <w:tcW w:w="1350" w:type="dxa"/>
                  <w:tcBorders>
                    <w:tl2br w:val="nil"/>
                    <w:tr2bl w:val="nil"/>
                  </w:tcBorders>
                  <w:shd w:val="clear" w:color="auto" w:fill="auto"/>
                  <w:noWrap w:val="0"/>
                  <w:vAlign w:val="center"/>
                </w:tcPr>
                <w:p w14:paraId="78B9EB2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782.9</w:t>
                  </w:r>
                </w:p>
              </w:tc>
              <w:tc>
                <w:tcPr>
                  <w:tcW w:w="1507" w:type="dxa"/>
                  <w:tcBorders>
                    <w:right w:val="single" w:color="auto" w:sz="4" w:space="0"/>
                    <w:tl2br w:val="nil"/>
                    <w:tr2bl w:val="nil"/>
                  </w:tcBorders>
                  <w:shd w:val="clear" w:color="auto" w:fill="auto"/>
                  <w:noWrap w:val="0"/>
                  <w:vAlign w:val="center"/>
                </w:tcPr>
                <w:p w14:paraId="3F09C0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1992.8</w:t>
                  </w:r>
                </w:p>
              </w:tc>
            </w:tr>
            <w:tr w14:paraId="7A258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9" w:type="dxa"/>
                  <w:tcBorders>
                    <w:left w:val="single" w:color="auto" w:sz="4" w:space="0"/>
                    <w:tl2br w:val="nil"/>
                    <w:tr2bl w:val="nil"/>
                  </w:tcBorders>
                  <w:noWrap w:val="0"/>
                  <w:vAlign w:val="center"/>
                </w:tcPr>
                <w:p w14:paraId="2796B6D1">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eastAsia="zh-CN" w:bidi="zh-CN"/>
                    </w:rPr>
                  </w:pPr>
                  <w:r>
                    <w:rPr>
                      <w:rFonts w:hint="default" w:ascii="Times New Roman" w:hAnsi="Times New Roman" w:eastAsia="宋体" w:cs="Times New Roman"/>
                      <w:color w:val="auto"/>
                      <w:kern w:val="0"/>
                      <w:sz w:val="21"/>
                      <w:szCs w:val="21"/>
                      <w:lang w:val="en-US" w:eastAsia="zh-CN" w:bidi="zh-CN"/>
                    </w:rPr>
                    <w:t>4</w:t>
                  </w:r>
                </w:p>
              </w:tc>
              <w:tc>
                <w:tcPr>
                  <w:tcW w:w="2438" w:type="dxa"/>
                  <w:tcBorders>
                    <w:tl2br w:val="nil"/>
                    <w:tr2bl w:val="nil"/>
                  </w:tcBorders>
                  <w:shd w:val="clear" w:color="auto" w:fill="auto"/>
                  <w:noWrap w:val="0"/>
                  <w:vAlign w:val="center"/>
                </w:tcPr>
                <w:p w14:paraId="0B4C32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zh-CN" w:eastAsia="zh-CN" w:bidi="zh-CN"/>
                    </w:rPr>
                  </w:pPr>
                  <w:r>
                    <w:rPr>
                      <w:rFonts w:hint="default" w:ascii="Times New Roman" w:hAnsi="Times New Roman" w:eastAsia="宋体" w:cs="Times New Roman"/>
                      <w:color w:val="auto"/>
                      <w:spacing w:val="-3"/>
                      <w:kern w:val="0"/>
                      <w:sz w:val="21"/>
                      <w:szCs w:val="21"/>
                      <w:lang w:val="en-US" w:bidi="zh-CN"/>
                    </w:rPr>
                    <w:t>PAM固体阳离子</w:t>
                  </w:r>
                </w:p>
              </w:tc>
              <w:tc>
                <w:tcPr>
                  <w:tcW w:w="1215" w:type="dxa"/>
                  <w:tcBorders>
                    <w:tl2br w:val="nil"/>
                    <w:tr2bl w:val="nil"/>
                  </w:tcBorders>
                  <w:shd w:val="clear" w:color="auto" w:fill="auto"/>
                  <w:noWrap w:val="0"/>
                  <w:vAlign w:val="center"/>
                </w:tcPr>
                <w:p w14:paraId="01A960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2.0</w:t>
                  </w:r>
                </w:p>
              </w:tc>
              <w:tc>
                <w:tcPr>
                  <w:tcW w:w="990" w:type="dxa"/>
                  <w:tcBorders>
                    <w:tl2br w:val="nil"/>
                    <w:tr2bl w:val="nil"/>
                  </w:tcBorders>
                  <w:shd w:val="clear" w:color="auto" w:fill="auto"/>
                  <w:noWrap w:val="0"/>
                  <w:vAlign w:val="center"/>
                </w:tcPr>
                <w:p w14:paraId="70FB6B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6.5</w:t>
                  </w:r>
                </w:p>
              </w:tc>
              <w:tc>
                <w:tcPr>
                  <w:tcW w:w="1350" w:type="dxa"/>
                  <w:tcBorders>
                    <w:tl2br w:val="nil"/>
                    <w:tr2bl w:val="nil"/>
                  </w:tcBorders>
                  <w:shd w:val="clear" w:color="auto" w:fill="auto"/>
                  <w:noWrap w:val="0"/>
                  <w:vAlign w:val="center"/>
                </w:tcPr>
                <w:p w14:paraId="60D161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5.5</w:t>
                  </w:r>
                </w:p>
              </w:tc>
              <w:tc>
                <w:tcPr>
                  <w:tcW w:w="1507" w:type="dxa"/>
                  <w:tcBorders>
                    <w:right w:val="single" w:color="auto" w:sz="4" w:space="0"/>
                    <w:tl2br w:val="nil"/>
                    <w:tr2bl w:val="nil"/>
                  </w:tcBorders>
                  <w:shd w:val="clear" w:color="auto" w:fill="auto"/>
                  <w:noWrap w:val="0"/>
                  <w:vAlign w:val="center"/>
                </w:tcPr>
                <w:p w14:paraId="6EE17F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14.0</w:t>
                  </w:r>
                </w:p>
              </w:tc>
            </w:tr>
            <w:tr w14:paraId="3B618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9" w:type="dxa"/>
                  <w:tcBorders>
                    <w:left w:val="single" w:color="auto" w:sz="4" w:space="0"/>
                    <w:tl2br w:val="nil"/>
                    <w:tr2bl w:val="nil"/>
                  </w:tcBorders>
                  <w:noWrap w:val="0"/>
                  <w:vAlign w:val="center"/>
                </w:tcPr>
                <w:p w14:paraId="25B87728">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zh-CN" w:eastAsia="zh-CN" w:bidi="zh-CN"/>
                    </w:rPr>
                  </w:pPr>
                  <w:r>
                    <w:rPr>
                      <w:rFonts w:hint="default" w:ascii="Times New Roman" w:hAnsi="Times New Roman" w:eastAsia="宋体" w:cs="Times New Roman"/>
                      <w:color w:val="auto"/>
                      <w:kern w:val="0"/>
                      <w:sz w:val="21"/>
                      <w:szCs w:val="21"/>
                      <w:lang w:val="zh-CN" w:bidi="zh-CN"/>
                    </w:rPr>
                    <w:t>5</w:t>
                  </w:r>
                </w:p>
              </w:tc>
              <w:tc>
                <w:tcPr>
                  <w:tcW w:w="2438" w:type="dxa"/>
                  <w:tcBorders>
                    <w:tl2br w:val="nil"/>
                    <w:tr2bl w:val="nil"/>
                  </w:tcBorders>
                  <w:shd w:val="clear" w:color="auto" w:fill="auto"/>
                  <w:noWrap w:val="0"/>
                  <w:vAlign w:val="center"/>
                </w:tcPr>
                <w:p w14:paraId="320861B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bidi="zh-CN"/>
                    </w:rPr>
                  </w:pPr>
                  <w:r>
                    <w:rPr>
                      <w:rFonts w:hint="default" w:ascii="Times New Roman" w:hAnsi="Times New Roman" w:eastAsia="宋体" w:cs="Times New Roman"/>
                      <w:color w:val="auto"/>
                      <w:spacing w:val="-3"/>
                      <w:kern w:val="0"/>
                      <w:sz w:val="21"/>
                      <w:szCs w:val="21"/>
                      <w:lang w:val="en-US" w:bidi="zh-CN"/>
                    </w:rPr>
                    <w:t>38%FeCl3成品液体</w:t>
                  </w:r>
                </w:p>
                <w:p w14:paraId="6D4755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（脱水机）</w:t>
                  </w:r>
                </w:p>
              </w:tc>
              <w:tc>
                <w:tcPr>
                  <w:tcW w:w="1215" w:type="dxa"/>
                  <w:tcBorders>
                    <w:tl2br w:val="nil"/>
                    <w:tr2bl w:val="nil"/>
                  </w:tcBorders>
                  <w:shd w:val="clear" w:color="auto" w:fill="auto"/>
                  <w:noWrap w:val="0"/>
                  <w:vAlign w:val="center"/>
                </w:tcPr>
                <w:p w14:paraId="616369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59.7</w:t>
                  </w:r>
                </w:p>
              </w:tc>
              <w:tc>
                <w:tcPr>
                  <w:tcW w:w="990" w:type="dxa"/>
                  <w:tcBorders>
                    <w:tl2br w:val="nil"/>
                    <w:tr2bl w:val="nil"/>
                  </w:tcBorders>
                  <w:shd w:val="clear" w:color="auto" w:fill="auto"/>
                  <w:noWrap w:val="0"/>
                  <w:vAlign w:val="center"/>
                </w:tcPr>
                <w:p w14:paraId="5BA887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194.2</w:t>
                  </w:r>
                </w:p>
              </w:tc>
              <w:tc>
                <w:tcPr>
                  <w:tcW w:w="1350" w:type="dxa"/>
                  <w:tcBorders>
                    <w:tl2br w:val="nil"/>
                    <w:tr2bl w:val="nil"/>
                  </w:tcBorders>
                  <w:shd w:val="clear" w:color="auto" w:fill="auto"/>
                  <w:noWrap w:val="0"/>
                  <w:vAlign w:val="center"/>
                </w:tcPr>
                <w:p w14:paraId="66904C9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164.3</w:t>
                  </w:r>
                </w:p>
              </w:tc>
              <w:tc>
                <w:tcPr>
                  <w:tcW w:w="1507" w:type="dxa"/>
                  <w:tcBorders>
                    <w:right w:val="single" w:color="auto" w:sz="4" w:space="0"/>
                    <w:tl2br w:val="nil"/>
                    <w:tr2bl w:val="nil"/>
                  </w:tcBorders>
                  <w:shd w:val="clear" w:color="auto" w:fill="auto"/>
                  <w:noWrap w:val="0"/>
                  <w:vAlign w:val="center"/>
                </w:tcPr>
                <w:p w14:paraId="2FAC6A9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418.2</w:t>
                  </w:r>
                </w:p>
              </w:tc>
            </w:tr>
            <w:tr w14:paraId="7A0E1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9" w:type="dxa"/>
                  <w:tcBorders>
                    <w:left w:val="single" w:color="auto" w:sz="4" w:space="0"/>
                    <w:tl2br w:val="nil"/>
                    <w:tr2bl w:val="nil"/>
                  </w:tcBorders>
                  <w:shd w:val="clear" w:color="auto" w:fill="auto"/>
                  <w:noWrap w:val="0"/>
                  <w:vAlign w:val="center"/>
                </w:tcPr>
                <w:p w14:paraId="1094F437">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zh-CN" w:eastAsia="zh-CN" w:bidi="zh-CN"/>
                    </w:rPr>
                  </w:pPr>
                  <w:r>
                    <w:rPr>
                      <w:rFonts w:hint="default" w:ascii="Times New Roman" w:hAnsi="Times New Roman" w:eastAsia="宋体" w:cs="Times New Roman"/>
                      <w:color w:val="auto"/>
                      <w:kern w:val="0"/>
                      <w:sz w:val="21"/>
                      <w:szCs w:val="21"/>
                      <w:lang w:val="zh-CN" w:bidi="zh-CN"/>
                    </w:rPr>
                    <w:t>6</w:t>
                  </w:r>
                </w:p>
              </w:tc>
              <w:tc>
                <w:tcPr>
                  <w:tcW w:w="2438" w:type="dxa"/>
                  <w:tcBorders>
                    <w:tl2br w:val="nil"/>
                    <w:tr2bl w:val="nil"/>
                  </w:tcBorders>
                  <w:shd w:val="clear" w:color="auto" w:fill="auto"/>
                  <w:noWrap w:val="0"/>
                  <w:vAlign w:val="center"/>
                </w:tcPr>
                <w:p w14:paraId="189B6E9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bidi="zh-CN"/>
                    </w:rPr>
                  </w:pPr>
                  <w:r>
                    <w:rPr>
                      <w:rFonts w:hint="default" w:ascii="Times New Roman" w:hAnsi="Times New Roman" w:eastAsia="宋体" w:cs="Times New Roman"/>
                      <w:color w:val="auto"/>
                      <w:spacing w:val="-3"/>
                      <w:kern w:val="0"/>
                      <w:sz w:val="21"/>
                      <w:szCs w:val="21"/>
                      <w:lang w:val="en-US" w:bidi="zh-CN"/>
                    </w:rPr>
                    <w:t>含量≤90%的氧化钙粉剂</w:t>
                  </w:r>
                </w:p>
                <w:p w14:paraId="4AD5B0E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zh-CN" w:eastAsia="zh-CN" w:bidi="zh-CN"/>
                    </w:rPr>
                  </w:pPr>
                  <w:r>
                    <w:rPr>
                      <w:rFonts w:hint="default" w:ascii="Times New Roman" w:hAnsi="Times New Roman" w:eastAsia="宋体" w:cs="Times New Roman"/>
                      <w:color w:val="auto"/>
                      <w:spacing w:val="-3"/>
                      <w:kern w:val="0"/>
                      <w:sz w:val="21"/>
                      <w:szCs w:val="21"/>
                      <w:lang w:val="en-US" w:bidi="zh-CN"/>
                    </w:rPr>
                    <w:t>（脱水机）</w:t>
                  </w:r>
                </w:p>
              </w:tc>
              <w:tc>
                <w:tcPr>
                  <w:tcW w:w="1215" w:type="dxa"/>
                  <w:tcBorders>
                    <w:tl2br w:val="nil"/>
                    <w:tr2bl w:val="nil"/>
                  </w:tcBorders>
                  <w:shd w:val="clear" w:color="auto" w:fill="auto"/>
                  <w:noWrap w:val="0"/>
                  <w:vAlign w:val="center"/>
                </w:tcPr>
                <w:p w14:paraId="216D08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99.6</w:t>
                  </w:r>
                </w:p>
              </w:tc>
              <w:tc>
                <w:tcPr>
                  <w:tcW w:w="990" w:type="dxa"/>
                  <w:tcBorders>
                    <w:tl2br w:val="nil"/>
                    <w:tr2bl w:val="nil"/>
                  </w:tcBorders>
                  <w:shd w:val="clear" w:color="auto" w:fill="auto"/>
                  <w:noWrap w:val="0"/>
                  <w:vAlign w:val="center"/>
                </w:tcPr>
                <w:p w14:paraId="7852DAE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323.6</w:t>
                  </w:r>
                </w:p>
              </w:tc>
              <w:tc>
                <w:tcPr>
                  <w:tcW w:w="1350" w:type="dxa"/>
                  <w:tcBorders>
                    <w:tl2br w:val="nil"/>
                    <w:tr2bl w:val="nil"/>
                  </w:tcBorders>
                  <w:shd w:val="clear" w:color="auto" w:fill="auto"/>
                  <w:noWrap w:val="0"/>
                  <w:vAlign w:val="center"/>
                </w:tcPr>
                <w:p w14:paraId="7E7B413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273.8</w:t>
                  </w:r>
                </w:p>
              </w:tc>
              <w:tc>
                <w:tcPr>
                  <w:tcW w:w="1507" w:type="dxa"/>
                  <w:tcBorders>
                    <w:right w:val="single" w:color="auto" w:sz="4" w:space="0"/>
                    <w:tl2br w:val="nil"/>
                    <w:tr2bl w:val="nil"/>
                  </w:tcBorders>
                  <w:shd w:val="clear" w:color="auto" w:fill="auto"/>
                  <w:noWrap w:val="0"/>
                  <w:vAlign w:val="center"/>
                </w:tcPr>
                <w:p w14:paraId="7C13C5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696.9</w:t>
                  </w:r>
                </w:p>
              </w:tc>
            </w:tr>
            <w:tr w14:paraId="08F26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29" w:type="dxa"/>
                  <w:tcBorders>
                    <w:left w:val="single" w:color="auto" w:sz="4" w:space="0"/>
                    <w:bottom w:val="single" w:color="auto" w:sz="4" w:space="0"/>
                    <w:tl2br w:val="nil"/>
                    <w:tr2bl w:val="nil"/>
                  </w:tcBorders>
                  <w:noWrap w:val="0"/>
                  <w:vAlign w:val="center"/>
                </w:tcPr>
                <w:p w14:paraId="50EC6504">
                  <w:pPr>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0" w:firstLineChars="0"/>
                    <w:jc w:val="center"/>
                    <w:textAlignment w:val="baseline"/>
                    <w:rPr>
                      <w:rFonts w:hint="default" w:ascii="Times New Roman" w:hAnsi="Times New Roman" w:eastAsia="宋体" w:cs="Times New Roman"/>
                      <w:color w:val="auto"/>
                      <w:kern w:val="0"/>
                      <w:sz w:val="21"/>
                      <w:szCs w:val="21"/>
                      <w:lang w:val="en-US" w:bidi="zh-CN"/>
                    </w:rPr>
                  </w:pPr>
                  <w:r>
                    <w:rPr>
                      <w:rFonts w:hint="default" w:ascii="Times New Roman" w:hAnsi="Times New Roman" w:eastAsia="宋体" w:cs="Times New Roman"/>
                      <w:color w:val="auto"/>
                      <w:kern w:val="0"/>
                      <w:sz w:val="21"/>
                      <w:szCs w:val="21"/>
                      <w:lang w:val="en-US" w:bidi="zh-CN"/>
                    </w:rPr>
                    <w:t>7</w:t>
                  </w:r>
                </w:p>
              </w:tc>
              <w:tc>
                <w:tcPr>
                  <w:tcW w:w="2438" w:type="dxa"/>
                  <w:tcBorders>
                    <w:bottom w:val="single" w:color="auto" w:sz="4" w:space="0"/>
                    <w:tl2br w:val="nil"/>
                    <w:tr2bl w:val="nil"/>
                  </w:tcBorders>
                  <w:shd w:val="clear" w:color="auto" w:fill="auto"/>
                  <w:noWrap w:val="0"/>
                  <w:vAlign w:val="center"/>
                </w:tcPr>
                <w:p w14:paraId="3CA5380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bidi="zh-CN"/>
                    </w:rPr>
                    <w:t>磁粉</w:t>
                  </w:r>
                </w:p>
              </w:tc>
              <w:tc>
                <w:tcPr>
                  <w:tcW w:w="1215" w:type="dxa"/>
                  <w:tcBorders>
                    <w:bottom w:val="single" w:color="auto" w:sz="4" w:space="0"/>
                    <w:tl2br w:val="nil"/>
                    <w:tr2bl w:val="nil"/>
                  </w:tcBorders>
                  <w:shd w:val="clear" w:color="auto" w:fill="auto"/>
                  <w:noWrap w:val="0"/>
                  <w:vAlign w:val="center"/>
                </w:tcPr>
                <w:p w14:paraId="149515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0</w:t>
                  </w:r>
                </w:p>
              </w:tc>
              <w:tc>
                <w:tcPr>
                  <w:tcW w:w="990" w:type="dxa"/>
                  <w:tcBorders>
                    <w:bottom w:val="single" w:color="auto" w:sz="4" w:space="0"/>
                    <w:tl2br w:val="nil"/>
                    <w:tr2bl w:val="nil"/>
                  </w:tcBorders>
                  <w:shd w:val="clear" w:color="auto" w:fill="auto"/>
                  <w:noWrap w:val="0"/>
                  <w:vAlign w:val="center"/>
                </w:tcPr>
                <w:p w14:paraId="131647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11.8</w:t>
                  </w:r>
                </w:p>
              </w:tc>
              <w:tc>
                <w:tcPr>
                  <w:tcW w:w="1350" w:type="dxa"/>
                  <w:tcBorders>
                    <w:bottom w:val="single" w:color="auto" w:sz="4" w:space="0"/>
                    <w:tl2br w:val="nil"/>
                    <w:tr2bl w:val="nil"/>
                  </w:tcBorders>
                  <w:shd w:val="clear" w:color="auto" w:fill="auto"/>
                  <w:noWrap w:val="0"/>
                  <w:vAlign w:val="center"/>
                </w:tcPr>
                <w:p w14:paraId="5D0900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10</w:t>
                  </w:r>
                </w:p>
              </w:tc>
              <w:tc>
                <w:tcPr>
                  <w:tcW w:w="1507" w:type="dxa"/>
                  <w:tcBorders>
                    <w:bottom w:val="single" w:color="auto" w:sz="4" w:space="0"/>
                    <w:right w:val="single" w:color="auto" w:sz="4" w:space="0"/>
                    <w:tl2br w:val="nil"/>
                    <w:tr2bl w:val="nil"/>
                  </w:tcBorders>
                  <w:shd w:val="clear" w:color="auto" w:fill="auto"/>
                  <w:noWrap w:val="0"/>
                  <w:vAlign w:val="center"/>
                </w:tcPr>
                <w:p w14:paraId="538AF3B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pacing w:val="-3"/>
                      <w:kern w:val="0"/>
                      <w:sz w:val="21"/>
                      <w:szCs w:val="21"/>
                      <w:lang w:val="en-US" w:eastAsia="zh-CN" w:bidi="zh-CN"/>
                    </w:rPr>
                  </w:pPr>
                  <w:r>
                    <w:rPr>
                      <w:rFonts w:hint="default" w:ascii="Times New Roman" w:hAnsi="Times New Roman" w:eastAsia="宋体" w:cs="Times New Roman"/>
                      <w:color w:val="auto"/>
                      <w:spacing w:val="-3"/>
                      <w:kern w:val="0"/>
                      <w:sz w:val="21"/>
                      <w:szCs w:val="21"/>
                      <w:lang w:val="en-US" w:eastAsia="zh-CN" w:bidi="zh-CN"/>
                    </w:rPr>
                    <w:t>21.8</w:t>
                  </w:r>
                </w:p>
              </w:tc>
            </w:tr>
          </w:tbl>
          <w:p w14:paraId="0AD6851E">
            <w:pPr>
              <w:autoSpaceDE w:val="0"/>
              <w:autoSpaceDN w:val="0"/>
              <w:adjustRightInd w:val="0"/>
              <w:snapToGrid w:val="0"/>
              <w:spacing w:before="240"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本项目动力消耗见表2-</w:t>
            </w:r>
            <w:r>
              <w:rPr>
                <w:rFonts w:hint="default" w:ascii="Times New Roman" w:hAnsi="Times New Roman" w:cs="Times New Roman"/>
                <w:color w:val="auto"/>
                <w:kern w:val="0"/>
                <w:sz w:val="24"/>
                <w:highlight w:val="none"/>
                <w:lang w:val="en-US" w:eastAsia="zh-CN"/>
              </w:rPr>
              <w:t>6</w:t>
            </w:r>
            <w:r>
              <w:rPr>
                <w:rFonts w:hint="default" w:ascii="Times New Roman" w:hAnsi="Times New Roman" w:eastAsia="宋体" w:cs="Times New Roman"/>
                <w:color w:val="auto"/>
                <w:kern w:val="0"/>
                <w:sz w:val="24"/>
                <w:highlight w:val="none"/>
              </w:rPr>
              <w:t>：</w:t>
            </w:r>
          </w:p>
          <w:p w14:paraId="4D3BFE08">
            <w:pPr>
              <w:pStyle w:val="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w:t>
            </w:r>
            <w:r>
              <w:rPr>
                <w:rFonts w:hint="default"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rPr>
              <w:t xml:space="preserve"> 主要动力消耗情况表</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109"/>
              <w:gridCol w:w="1852"/>
              <w:gridCol w:w="3115"/>
              <w:gridCol w:w="965"/>
            </w:tblGrid>
            <w:tr w14:paraId="77B12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4" w:type="pct"/>
                  <w:tcBorders>
                    <w:top w:val="single" w:color="auto" w:sz="4" w:space="0"/>
                    <w:left w:val="single" w:color="auto" w:sz="0" w:space="0"/>
                    <w:tl2br w:val="nil"/>
                    <w:tr2bl w:val="nil"/>
                  </w:tcBorders>
                  <w:vAlign w:val="center"/>
                </w:tcPr>
                <w:p w14:paraId="282AACD6">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类别</w:t>
                  </w:r>
                </w:p>
              </w:tc>
              <w:tc>
                <w:tcPr>
                  <w:tcW w:w="681" w:type="pct"/>
                  <w:tcBorders>
                    <w:top w:val="single" w:color="auto" w:sz="4" w:space="0"/>
                    <w:tl2br w:val="nil"/>
                    <w:tr2bl w:val="nil"/>
                  </w:tcBorders>
                  <w:vAlign w:val="center"/>
                </w:tcPr>
                <w:p w14:paraId="68987C85">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名称</w:t>
                  </w:r>
                </w:p>
              </w:tc>
              <w:tc>
                <w:tcPr>
                  <w:tcW w:w="1137" w:type="pct"/>
                  <w:tcBorders>
                    <w:top w:val="single" w:color="auto" w:sz="4" w:space="0"/>
                    <w:tl2br w:val="nil"/>
                    <w:tr2bl w:val="nil"/>
                  </w:tcBorders>
                  <w:vAlign w:val="center"/>
                </w:tcPr>
                <w:p w14:paraId="4AE9A0FD">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年耗量（单位）</w:t>
                  </w:r>
                </w:p>
              </w:tc>
              <w:tc>
                <w:tcPr>
                  <w:tcW w:w="1914" w:type="pct"/>
                  <w:tcBorders>
                    <w:top w:val="single" w:color="auto" w:sz="4" w:space="0"/>
                    <w:tl2br w:val="nil"/>
                    <w:tr2bl w:val="nil"/>
                  </w:tcBorders>
                  <w:vAlign w:val="center"/>
                </w:tcPr>
                <w:p w14:paraId="35C6C213">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来源</w:t>
                  </w:r>
                </w:p>
              </w:tc>
              <w:tc>
                <w:tcPr>
                  <w:tcW w:w="592" w:type="pct"/>
                  <w:tcBorders>
                    <w:top w:val="single" w:color="auto" w:sz="4" w:space="0"/>
                    <w:right w:val="single" w:color="auto" w:sz="4" w:space="0"/>
                    <w:tl2br w:val="nil"/>
                    <w:tr2bl w:val="nil"/>
                  </w:tcBorders>
                  <w:vAlign w:val="center"/>
                </w:tcPr>
                <w:p w14:paraId="1C2BB88F">
                  <w:pPr>
                    <w:autoSpaceDE w:val="0"/>
                    <w:autoSpaceDN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备注</w:t>
                  </w:r>
                </w:p>
              </w:tc>
            </w:tr>
            <w:tr w14:paraId="637336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4" w:type="pct"/>
                  <w:vMerge w:val="restart"/>
                  <w:tcBorders>
                    <w:left w:val="single" w:color="auto" w:sz="4" w:space="0"/>
                    <w:tl2br w:val="nil"/>
                    <w:tr2bl w:val="nil"/>
                  </w:tcBorders>
                  <w:vAlign w:val="center"/>
                </w:tcPr>
                <w:p w14:paraId="66FB906B">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动力消耗</w:t>
                  </w:r>
                </w:p>
              </w:tc>
              <w:tc>
                <w:tcPr>
                  <w:tcW w:w="681" w:type="pct"/>
                  <w:tcBorders>
                    <w:tl2br w:val="nil"/>
                    <w:tr2bl w:val="nil"/>
                  </w:tcBorders>
                  <w:vAlign w:val="center"/>
                </w:tcPr>
                <w:p w14:paraId="19576F12">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电</w:t>
                  </w:r>
                </w:p>
              </w:tc>
              <w:tc>
                <w:tcPr>
                  <w:tcW w:w="1137" w:type="pct"/>
                  <w:tcBorders>
                    <w:tl2br w:val="nil"/>
                    <w:tr2bl w:val="nil"/>
                  </w:tcBorders>
                  <w:vAlign w:val="center"/>
                </w:tcPr>
                <w:p w14:paraId="329C9A80">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648.77</w:t>
                  </w:r>
                  <w:r>
                    <w:rPr>
                      <w:rFonts w:hint="default" w:ascii="Times New Roman" w:hAnsi="Times New Roman" w:cs="Times New Roman"/>
                      <w:color w:val="auto"/>
                      <w:kern w:val="0"/>
                      <w:sz w:val="21"/>
                      <w:szCs w:val="21"/>
                      <w:highlight w:val="none"/>
                      <w:lang w:val="en-US" w:eastAsia="zh-CN"/>
                    </w:rPr>
                    <w:t>万</w:t>
                  </w:r>
                  <w:r>
                    <w:rPr>
                      <w:rFonts w:hint="default" w:ascii="Times New Roman" w:hAnsi="Times New Roman" w:eastAsia="宋体" w:cs="Times New Roman"/>
                      <w:color w:val="auto"/>
                      <w:kern w:val="0"/>
                      <w:sz w:val="21"/>
                      <w:szCs w:val="21"/>
                      <w:highlight w:val="none"/>
                      <w:lang w:val="en-US" w:eastAsia="zh-CN"/>
                    </w:rPr>
                    <w:t>k</w:t>
                  </w:r>
                  <w:r>
                    <w:rPr>
                      <w:rFonts w:hint="default" w:ascii="Times New Roman" w:hAnsi="Times New Roman" w:eastAsia="宋体" w:cs="Times New Roman"/>
                      <w:color w:val="auto"/>
                      <w:kern w:val="0"/>
                      <w:sz w:val="21"/>
                      <w:szCs w:val="21"/>
                      <w:highlight w:val="none"/>
                    </w:rPr>
                    <w:t>W</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h</w:t>
                  </w:r>
                </w:p>
              </w:tc>
              <w:tc>
                <w:tcPr>
                  <w:tcW w:w="1914" w:type="pct"/>
                  <w:tcBorders>
                    <w:tl2br w:val="nil"/>
                    <w:tr2bl w:val="nil"/>
                  </w:tcBorders>
                  <w:vAlign w:val="center"/>
                </w:tcPr>
                <w:p w14:paraId="4CCB0AE3">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污水厂</w:t>
                  </w:r>
                  <w:r>
                    <w:rPr>
                      <w:rFonts w:hint="default" w:ascii="Times New Roman" w:hAnsi="Times New Roman" w:eastAsia="宋体" w:cs="Times New Roman"/>
                      <w:color w:val="auto"/>
                      <w:kern w:val="0"/>
                      <w:sz w:val="21"/>
                      <w:szCs w:val="21"/>
                      <w:highlight w:val="none"/>
                    </w:rPr>
                    <w:t>电网供给</w:t>
                  </w:r>
                </w:p>
              </w:tc>
              <w:tc>
                <w:tcPr>
                  <w:tcW w:w="592" w:type="pct"/>
                  <w:tcBorders>
                    <w:right w:val="single" w:color="auto" w:sz="4" w:space="0"/>
                    <w:tl2br w:val="nil"/>
                    <w:tr2bl w:val="nil"/>
                  </w:tcBorders>
                  <w:vAlign w:val="center"/>
                </w:tcPr>
                <w:p w14:paraId="2F3BF129">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p>
              </w:tc>
            </w:tr>
            <w:tr w14:paraId="7B3F5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74" w:type="pct"/>
                  <w:vMerge w:val="continue"/>
                  <w:tcBorders>
                    <w:left w:val="single" w:color="auto" w:sz="4" w:space="0"/>
                    <w:bottom w:val="single" w:color="auto" w:sz="4" w:space="0"/>
                    <w:tl2br w:val="nil"/>
                    <w:tr2bl w:val="nil"/>
                  </w:tcBorders>
                  <w:vAlign w:val="center"/>
                </w:tcPr>
                <w:p w14:paraId="3694E00B">
                  <w:pPr>
                    <w:autoSpaceDE w:val="0"/>
                    <w:autoSpaceDN w:val="0"/>
                    <w:jc w:val="center"/>
                    <w:rPr>
                      <w:rFonts w:hint="default" w:ascii="Times New Roman" w:hAnsi="Times New Roman" w:eastAsia="宋体" w:cs="Times New Roman"/>
                      <w:color w:val="auto"/>
                      <w:kern w:val="0"/>
                      <w:sz w:val="21"/>
                      <w:szCs w:val="21"/>
                      <w:highlight w:val="none"/>
                    </w:rPr>
                  </w:pPr>
                </w:p>
              </w:tc>
              <w:tc>
                <w:tcPr>
                  <w:tcW w:w="681" w:type="pct"/>
                  <w:tcBorders>
                    <w:bottom w:val="single" w:color="auto" w:sz="4" w:space="0"/>
                    <w:tl2br w:val="nil"/>
                    <w:tr2bl w:val="nil"/>
                  </w:tcBorders>
                  <w:vAlign w:val="center"/>
                </w:tcPr>
                <w:p w14:paraId="720FF483">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水</w:t>
                  </w:r>
                </w:p>
              </w:tc>
              <w:tc>
                <w:tcPr>
                  <w:tcW w:w="1137" w:type="pct"/>
                  <w:tcBorders>
                    <w:bottom w:val="single" w:color="auto" w:sz="4" w:space="0"/>
                    <w:tl2br w:val="nil"/>
                    <w:tr2bl w:val="nil"/>
                  </w:tcBorders>
                  <w:vAlign w:val="center"/>
                </w:tcPr>
                <w:p w14:paraId="41593F26">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80373t</w:t>
                  </w:r>
                  <w:r>
                    <w:rPr>
                      <w:rFonts w:hint="default" w:ascii="Times New Roman" w:hAnsi="Times New Roman" w:eastAsia="宋体" w:cs="Times New Roman"/>
                      <w:color w:val="auto"/>
                      <w:kern w:val="0"/>
                      <w:sz w:val="21"/>
                      <w:szCs w:val="21"/>
                      <w:highlight w:val="none"/>
                    </w:rPr>
                    <w:t>/a</w:t>
                  </w:r>
                </w:p>
              </w:tc>
              <w:tc>
                <w:tcPr>
                  <w:tcW w:w="1914" w:type="pct"/>
                  <w:tcBorders>
                    <w:bottom w:val="single" w:color="auto" w:sz="4" w:space="0"/>
                    <w:tl2br w:val="nil"/>
                    <w:tr2bl w:val="nil"/>
                  </w:tcBorders>
                  <w:vAlign w:val="center"/>
                </w:tcPr>
                <w:p w14:paraId="795EAD93">
                  <w:pPr>
                    <w:autoSpaceDE w:val="0"/>
                    <w:autoSpaceDN w:val="0"/>
                    <w:jc w:val="center"/>
                    <w:rPr>
                      <w:rFonts w:hint="default" w:ascii="Times New Roman" w:hAnsi="Times New Roman" w:eastAsia="宋体" w:cs="Times New Roman"/>
                      <w:color w:val="auto"/>
                      <w:kern w:val="0"/>
                      <w:sz w:val="21"/>
                      <w:szCs w:val="21"/>
                      <w:highlight w:val="none"/>
                      <w:lang w:val="en-US"/>
                    </w:rPr>
                  </w:pPr>
                  <w:r>
                    <w:rPr>
                      <w:rFonts w:hint="default" w:ascii="Times New Roman" w:hAnsi="Times New Roman" w:cs="Times New Roman"/>
                      <w:color w:val="auto"/>
                      <w:kern w:val="0"/>
                      <w:sz w:val="21"/>
                      <w:szCs w:val="21"/>
                      <w:highlight w:val="none"/>
                      <w:lang w:val="en-US" w:eastAsia="zh-CN"/>
                    </w:rPr>
                    <w:t>其中73t/a为新鲜水，80300t/a为</w:t>
                  </w:r>
                  <w:r>
                    <w:rPr>
                      <w:rFonts w:hint="default" w:ascii="Times New Roman" w:hAnsi="Times New Roman" w:eastAsia="宋体" w:cs="Times New Roman"/>
                      <w:color w:val="auto"/>
                      <w:kern w:val="0"/>
                      <w:sz w:val="21"/>
                      <w:szCs w:val="21"/>
                      <w:highlight w:val="none"/>
                      <w:lang w:val="en-US" w:eastAsia="zh-CN"/>
                    </w:rPr>
                    <w:t>污水厂处理后的中水</w:t>
                  </w:r>
                </w:p>
              </w:tc>
              <w:tc>
                <w:tcPr>
                  <w:tcW w:w="592" w:type="pct"/>
                  <w:tcBorders>
                    <w:bottom w:val="single" w:color="auto" w:sz="4" w:space="0"/>
                    <w:right w:val="single" w:color="auto" w:sz="4" w:space="0"/>
                    <w:tl2br w:val="nil"/>
                    <w:tr2bl w:val="nil"/>
                  </w:tcBorders>
                  <w:vAlign w:val="center"/>
                </w:tcPr>
                <w:p w14:paraId="2A0449CB">
                  <w:pPr>
                    <w:autoSpaceDE w:val="0"/>
                    <w:autoSpaceDN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w:t>
                  </w:r>
                </w:p>
              </w:tc>
            </w:tr>
          </w:tbl>
          <w:p w14:paraId="1D4B83C8">
            <w:pPr>
              <w:adjustRightInd w:val="0"/>
              <w:snapToGrid w:val="0"/>
              <w:spacing w:before="240"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进出水水质设计标准</w:t>
            </w:r>
          </w:p>
          <w:p w14:paraId="33D43F06">
            <w:pPr>
              <w:spacing w:line="360" w:lineRule="auto"/>
              <w:ind w:firstLine="482" w:firstLineChars="200"/>
              <w:rPr>
                <w:rFonts w:hint="default" w:ascii="Times New Roman" w:hAnsi="Times New Roman" w:eastAsia="宋体" w:cs="Times New Roman"/>
                <w:b/>
                <w:bCs/>
                <w:color w:val="auto"/>
                <w:sz w:val="24"/>
                <w:szCs w:val="20"/>
                <w:lang w:val="en-US" w:eastAsia="zh-CN"/>
              </w:rPr>
            </w:pPr>
            <w:r>
              <w:rPr>
                <w:rFonts w:hint="default" w:ascii="Times New Roman" w:hAnsi="Times New Roman" w:eastAsia="宋体" w:cs="Times New Roman"/>
                <w:b/>
                <w:bCs/>
                <w:color w:val="auto"/>
                <w:sz w:val="24"/>
                <w:szCs w:val="20"/>
                <w:lang w:val="en-US" w:eastAsia="zh-CN"/>
              </w:rPr>
              <w:t>6.1进水水质</w:t>
            </w:r>
          </w:p>
          <w:p w14:paraId="7C536A94">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根据现状污水厂实际运行资料，对近2年进水水质在线监测数据</w:t>
            </w:r>
            <w:r>
              <w:rPr>
                <w:rFonts w:hint="default" w:ascii="Times New Roman" w:hAnsi="Times New Roman" w:cs="Times New Roman"/>
                <w:color w:val="auto"/>
                <w:sz w:val="24"/>
                <w:szCs w:val="20"/>
                <w:lang w:val="en-US" w:eastAsia="zh-CN"/>
              </w:rPr>
              <w:t>（COD和氨氮）</w:t>
            </w:r>
            <w:r>
              <w:rPr>
                <w:rFonts w:hint="default" w:ascii="Times New Roman" w:hAnsi="Times New Roman" w:eastAsia="宋体" w:cs="Times New Roman"/>
                <w:color w:val="auto"/>
                <w:sz w:val="24"/>
                <w:szCs w:val="20"/>
                <w:lang w:val="en-US" w:eastAsia="zh-CN"/>
              </w:rPr>
              <w:t>进行统计分析</w:t>
            </w:r>
            <w:r>
              <w:rPr>
                <w:rFonts w:hint="default" w:ascii="Times New Roman" w:hAnsi="Times New Roman" w:cs="Times New Roman"/>
                <w:color w:val="auto"/>
                <w:sz w:val="24"/>
                <w:szCs w:val="20"/>
                <w:lang w:val="en-US" w:eastAsia="zh-CN"/>
              </w:rPr>
              <w:t>，95%保障率的进水COD浓度为510mg/L，进水氨氮浓度为69mg/L。针对BOD</w:t>
            </w:r>
            <w:r>
              <w:rPr>
                <w:rFonts w:hint="default" w:ascii="Times New Roman" w:hAnsi="Times New Roman" w:cs="Times New Roman"/>
                <w:color w:val="auto"/>
                <w:sz w:val="24"/>
                <w:szCs w:val="20"/>
                <w:vertAlign w:val="subscript"/>
                <w:lang w:val="en-US" w:eastAsia="zh-CN"/>
              </w:rPr>
              <w:t>5</w:t>
            </w:r>
            <w:r>
              <w:rPr>
                <w:rFonts w:hint="default" w:ascii="Times New Roman" w:hAnsi="Times New Roman" w:cs="Times New Roman"/>
                <w:color w:val="auto"/>
                <w:sz w:val="24"/>
                <w:szCs w:val="20"/>
                <w:lang w:val="en-US" w:eastAsia="zh-CN"/>
              </w:rPr>
              <w:t>、SS、TN及TP没有连续检测数据的情况，建设单位于2026年2月25日-2026年3月9日期间对现状污水厂的进水进行了取样检测。根据水质检测结果，每项指标的最大值与现状二期工程设计进水水质较为接近，考虑取样时间较短，取最大值是较为保守与稳妥的，同时也参照现状二期工程设计进水水质，因此确定本工程设计进水水质见下表。</w:t>
            </w:r>
          </w:p>
          <w:p w14:paraId="33A1614A">
            <w:pPr>
              <w:spacing w:line="360" w:lineRule="auto"/>
              <w:ind w:firstLine="0" w:firstLineChars="0"/>
              <w:jc w:val="center"/>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表</w:t>
            </w:r>
            <w:r>
              <w:rPr>
                <w:rFonts w:hint="default" w:ascii="Times New Roman" w:hAnsi="Times New Roman" w:eastAsia="宋体" w:cs="Times New Roman"/>
                <w:b/>
                <w:bCs/>
                <w:color w:val="auto"/>
                <w:sz w:val="24"/>
                <w:szCs w:val="20"/>
                <w:lang w:val="en-US" w:eastAsia="zh-CN"/>
              </w:rPr>
              <w:t>2-</w:t>
            </w:r>
            <w:r>
              <w:rPr>
                <w:rFonts w:hint="default" w:ascii="Times New Roman" w:hAnsi="Times New Roman" w:cs="Times New Roman"/>
                <w:b/>
                <w:bCs/>
                <w:color w:val="auto"/>
                <w:sz w:val="24"/>
                <w:szCs w:val="20"/>
                <w:lang w:val="en-US" w:eastAsia="zh-CN"/>
              </w:rPr>
              <w:t>7</w:t>
            </w:r>
            <w:r>
              <w:rPr>
                <w:rFonts w:hint="default" w:ascii="Times New Roman" w:hAnsi="Times New Roman" w:eastAsia="宋体" w:cs="Times New Roman"/>
                <w:b/>
                <w:bCs/>
                <w:color w:val="auto"/>
                <w:sz w:val="24"/>
                <w:szCs w:val="20"/>
              </w:rPr>
              <w:t xml:space="preserve"> 杭锦旗锡尼镇污水处理厂进水水质</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157"/>
              <w:gridCol w:w="1157"/>
              <w:gridCol w:w="1159"/>
              <w:gridCol w:w="1190"/>
              <w:gridCol w:w="1159"/>
              <w:gridCol w:w="1158"/>
            </w:tblGrid>
            <w:tr w14:paraId="2CF7E4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0" w:type="pct"/>
                  <w:tcBorders>
                    <w:top w:val="single" w:color="auto" w:sz="4" w:space="0"/>
                    <w:left w:val="single" w:color="auto" w:sz="0" w:space="0"/>
                    <w:tl2br w:val="nil"/>
                    <w:tr2bl w:val="nil"/>
                  </w:tcBorders>
                  <w:noWrap w:val="0"/>
                  <w:vAlign w:val="center"/>
                </w:tcPr>
                <w:p w14:paraId="2EBA4AC7">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711" w:type="pct"/>
                  <w:tcBorders>
                    <w:top w:val="single" w:color="auto" w:sz="4" w:space="0"/>
                    <w:tl2br w:val="nil"/>
                    <w:tr2bl w:val="nil"/>
                  </w:tcBorders>
                  <w:shd w:val="clear" w:color="auto" w:fill="auto"/>
                  <w:noWrap w:val="0"/>
                  <w:vAlign w:val="center"/>
                </w:tcPr>
                <w:p w14:paraId="1BFE436F">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CODcr</w:t>
                  </w:r>
                </w:p>
                <w:p w14:paraId="5C4ECCE0">
                  <w:pPr>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w:t>
                  </w:r>
                  <w:r>
                    <w:rPr>
                      <w:rFonts w:hint="default" w:ascii="Times New Roman" w:hAnsi="Times New Roman"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711" w:type="pct"/>
                  <w:tcBorders>
                    <w:top w:val="single" w:color="auto" w:sz="4" w:space="0"/>
                    <w:tl2br w:val="nil"/>
                    <w:tr2bl w:val="nil"/>
                  </w:tcBorders>
                  <w:noWrap w:val="0"/>
                  <w:vAlign w:val="center"/>
                </w:tcPr>
                <w:p w14:paraId="5EB98777">
                  <w:pPr>
                    <w:snapToGrid w:val="0"/>
                    <w:spacing w:line="240" w:lineRule="auto"/>
                    <w:ind w:firstLine="0" w:firstLineChars="0"/>
                    <w:jc w:val="center"/>
                    <w:rPr>
                      <w:rFonts w:hint="default" w:ascii="Times New Roman" w:hAnsi="Times New Roman" w:eastAsia="宋体" w:cs="Times New Roman"/>
                      <w:b/>
                      <w:bCs/>
                      <w:color w:val="auto"/>
                      <w:sz w:val="21"/>
                      <w:szCs w:val="21"/>
                      <w:vertAlign w:val="subscript"/>
                      <w:lang w:eastAsia="zh-CN"/>
                    </w:rPr>
                  </w:pPr>
                  <w:r>
                    <w:rPr>
                      <w:rFonts w:hint="default" w:ascii="Times New Roman" w:hAnsi="Times New Roman" w:eastAsia="宋体" w:cs="Times New Roman"/>
                      <w:b/>
                      <w:bCs/>
                      <w:color w:val="auto"/>
                      <w:sz w:val="21"/>
                      <w:szCs w:val="21"/>
                      <w:vertAlign w:val="baseline"/>
                      <w:lang w:eastAsia="zh-CN"/>
                    </w:rPr>
                    <w:t>BOD</w:t>
                  </w:r>
                  <w:r>
                    <w:rPr>
                      <w:rFonts w:hint="default" w:ascii="Times New Roman" w:hAnsi="Times New Roman" w:eastAsia="宋体" w:cs="Times New Roman"/>
                      <w:b/>
                      <w:bCs/>
                      <w:color w:val="auto"/>
                      <w:sz w:val="21"/>
                      <w:szCs w:val="21"/>
                      <w:vertAlign w:val="subscript"/>
                      <w:lang w:eastAsia="zh-CN"/>
                    </w:rPr>
                    <w:t>5</w:t>
                  </w:r>
                </w:p>
                <w:p w14:paraId="3BCF43F2">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712" w:type="pct"/>
                  <w:tcBorders>
                    <w:top w:val="single" w:color="auto" w:sz="4" w:space="0"/>
                    <w:tl2br w:val="nil"/>
                    <w:tr2bl w:val="nil"/>
                  </w:tcBorders>
                  <w:noWrap w:val="0"/>
                  <w:vAlign w:val="center"/>
                </w:tcPr>
                <w:p w14:paraId="0306200B">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SS</w:t>
                  </w:r>
                </w:p>
                <w:p w14:paraId="633B9B51">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731" w:type="pct"/>
                  <w:tcBorders>
                    <w:top w:val="single" w:color="auto" w:sz="4" w:space="0"/>
                    <w:tl2br w:val="nil"/>
                    <w:tr2bl w:val="nil"/>
                  </w:tcBorders>
                  <w:noWrap w:val="0"/>
                  <w:vAlign w:val="center"/>
                </w:tcPr>
                <w:p w14:paraId="49835D4C">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w:t>
                  </w:r>
                  <w:r>
                    <w:rPr>
                      <w:rFonts w:hint="default" w:ascii="Times New Roman" w:hAnsi="Times New Roman" w:cs="Times New Roman"/>
                      <w:b/>
                      <w:bCs/>
                      <w:color w:val="auto"/>
                      <w:sz w:val="21"/>
                      <w:szCs w:val="21"/>
                      <w:lang w:eastAsia="zh-CN"/>
                    </w:rPr>
                    <w:t>H</w:t>
                  </w:r>
                  <w:r>
                    <w:rPr>
                      <w:rFonts w:hint="default" w:ascii="Times New Roman" w:hAnsi="Times New Roman" w:eastAsia="宋体" w:cs="Times New Roman"/>
                      <w:b/>
                      <w:bCs/>
                      <w:color w:val="auto"/>
                      <w:sz w:val="21"/>
                      <w:szCs w:val="21"/>
                      <w:vertAlign w:val="subscript"/>
                    </w:rPr>
                    <w:t>4</w:t>
                  </w:r>
                  <w:r>
                    <w:rPr>
                      <w:rFonts w:hint="default" w:ascii="Times New Roman" w:hAnsi="Times New Roman" w:eastAsia="宋体" w:cs="Times New Roman"/>
                      <w:b/>
                      <w:bCs/>
                      <w:color w:val="auto"/>
                      <w:sz w:val="21"/>
                      <w:szCs w:val="21"/>
                      <w:vertAlign w:val="superscript"/>
                    </w:rPr>
                    <w:t>+</w:t>
                  </w:r>
                  <w:r>
                    <w:rPr>
                      <w:rFonts w:hint="default" w:ascii="Times New Roman" w:hAnsi="Times New Roman" w:eastAsia="宋体" w:cs="Times New Roman"/>
                      <w:b/>
                      <w:bCs/>
                      <w:color w:val="auto"/>
                      <w:sz w:val="21"/>
                      <w:szCs w:val="21"/>
                    </w:rPr>
                    <w:t>-N</w:t>
                  </w:r>
                </w:p>
                <w:p w14:paraId="6677FB11">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712" w:type="pct"/>
                  <w:tcBorders>
                    <w:top w:val="single" w:color="auto" w:sz="4" w:space="0"/>
                    <w:tl2br w:val="nil"/>
                    <w:tr2bl w:val="nil"/>
                  </w:tcBorders>
                  <w:noWrap w:val="0"/>
                  <w:vAlign w:val="center"/>
                </w:tcPr>
                <w:p w14:paraId="43D42C97">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TN</w:t>
                  </w:r>
                </w:p>
                <w:p w14:paraId="54F280A4">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c>
                <w:tcPr>
                  <w:tcW w:w="711" w:type="pct"/>
                  <w:tcBorders>
                    <w:top w:val="single" w:color="auto" w:sz="4" w:space="0"/>
                    <w:right w:val="single" w:color="auto" w:sz="4" w:space="0"/>
                    <w:tl2br w:val="nil"/>
                    <w:tr2bl w:val="nil"/>
                  </w:tcBorders>
                  <w:noWrap w:val="0"/>
                  <w:vAlign w:val="center"/>
                </w:tcPr>
                <w:p w14:paraId="67511DA9">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TP</w:t>
                  </w:r>
                </w:p>
                <w:p w14:paraId="087FF5D9">
                  <w:pPr>
                    <w:snapToGri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cs="Times New Roman"/>
                      <w:b/>
                      <w:bCs/>
                      <w:color w:val="auto"/>
                      <w:sz w:val="21"/>
                      <w:szCs w:val="21"/>
                      <w:lang w:eastAsia="zh-CN"/>
                    </w:rPr>
                    <w:t>m</w:t>
                  </w:r>
                  <w:r>
                    <w:rPr>
                      <w:rFonts w:hint="default" w:ascii="Times New Roman" w:hAnsi="Times New Roman" w:eastAsia="宋体" w:cs="Times New Roman"/>
                      <w:b/>
                      <w:bCs/>
                      <w:color w:val="auto"/>
                      <w:sz w:val="21"/>
                      <w:szCs w:val="21"/>
                    </w:rPr>
                    <w:t>g/L）</w:t>
                  </w:r>
                </w:p>
              </w:tc>
            </w:tr>
            <w:tr w14:paraId="2B7C83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10" w:type="pct"/>
                  <w:tcBorders>
                    <w:left w:val="single" w:color="auto" w:sz="4" w:space="0"/>
                    <w:bottom w:val="single" w:color="auto" w:sz="4" w:space="0"/>
                    <w:tl2br w:val="nil"/>
                    <w:tr2bl w:val="nil"/>
                  </w:tcBorders>
                  <w:noWrap w:val="0"/>
                  <w:vAlign w:val="center"/>
                </w:tcPr>
                <w:p w14:paraId="0D394103">
                  <w:pPr>
                    <w:snapToGrid w:val="0"/>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进水水质</w:t>
                  </w:r>
                </w:p>
              </w:tc>
              <w:tc>
                <w:tcPr>
                  <w:tcW w:w="711" w:type="pct"/>
                  <w:tcBorders>
                    <w:bottom w:val="single" w:color="auto" w:sz="4" w:space="0"/>
                    <w:tl2br w:val="nil"/>
                    <w:tr2bl w:val="nil"/>
                  </w:tcBorders>
                  <w:shd w:val="clear" w:color="auto" w:fill="auto"/>
                  <w:noWrap w:val="0"/>
                  <w:vAlign w:val="center"/>
                </w:tcPr>
                <w:p w14:paraId="0F5CE272">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510</w:t>
                  </w:r>
                </w:p>
              </w:tc>
              <w:tc>
                <w:tcPr>
                  <w:tcW w:w="711" w:type="pct"/>
                  <w:tcBorders>
                    <w:bottom w:val="single" w:color="auto" w:sz="4" w:space="0"/>
                    <w:tl2br w:val="nil"/>
                    <w:tr2bl w:val="nil"/>
                  </w:tcBorders>
                  <w:noWrap w:val="0"/>
                  <w:vAlign w:val="center"/>
                </w:tcPr>
                <w:p w14:paraId="38E219BF">
                  <w:pPr>
                    <w:snapToGrid w:val="0"/>
                    <w:spacing w:line="240" w:lineRule="auto"/>
                    <w:ind w:firstLine="0" w:firstLineChars="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390</w:t>
                  </w:r>
                </w:p>
              </w:tc>
              <w:tc>
                <w:tcPr>
                  <w:tcW w:w="712" w:type="pct"/>
                  <w:tcBorders>
                    <w:bottom w:val="single" w:color="auto" w:sz="4" w:space="0"/>
                    <w:tl2br w:val="nil"/>
                    <w:tr2bl w:val="nil"/>
                  </w:tcBorders>
                  <w:noWrap w:val="0"/>
                  <w:vAlign w:val="center"/>
                </w:tcPr>
                <w:p w14:paraId="7ACE0B0C">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350</w:t>
                  </w:r>
                </w:p>
              </w:tc>
              <w:tc>
                <w:tcPr>
                  <w:tcW w:w="731" w:type="pct"/>
                  <w:tcBorders>
                    <w:bottom w:val="single" w:color="auto" w:sz="4" w:space="0"/>
                    <w:tl2br w:val="nil"/>
                    <w:tr2bl w:val="nil"/>
                  </w:tcBorders>
                  <w:noWrap w:val="0"/>
                  <w:vAlign w:val="center"/>
                </w:tcPr>
                <w:p w14:paraId="1278AEAE">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69</w:t>
                  </w:r>
                </w:p>
              </w:tc>
              <w:tc>
                <w:tcPr>
                  <w:tcW w:w="712" w:type="pct"/>
                  <w:tcBorders>
                    <w:bottom w:val="single" w:color="auto" w:sz="4" w:space="0"/>
                    <w:tl2br w:val="nil"/>
                    <w:tr2bl w:val="nil"/>
                  </w:tcBorders>
                  <w:noWrap w:val="0"/>
                  <w:vAlign w:val="center"/>
                </w:tcPr>
                <w:p w14:paraId="27BE1EF4">
                  <w:pPr>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8</w:t>
                  </w:r>
                  <w:r>
                    <w:rPr>
                      <w:rFonts w:hint="default" w:ascii="Times New Roman" w:hAnsi="Times New Roman" w:cs="Times New Roman"/>
                      <w:color w:val="auto"/>
                      <w:sz w:val="21"/>
                      <w:szCs w:val="21"/>
                      <w:lang w:val="en-US" w:eastAsia="zh-CN"/>
                    </w:rPr>
                    <w:t>7</w:t>
                  </w:r>
                </w:p>
              </w:tc>
              <w:tc>
                <w:tcPr>
                  <w:tcW w:w="711" w:type="pct"/>
                  <w:tcBorders>
                    <w:bottom w:val="single" w:color="auto" w:sz="4" w:space="0"/>
                    <w:right w:val="single" w:color="auto" w:sz="4" w:space="0"/>
                    <w:tl2br w:val="nil"/>
                    <w:tr2bl w:val="nil"/>
                  </w:tcBorders>
                  <w:noWrap w:val="0"/>
                  <w:vAlign w:val="center"/>
                </w:tcPr>
                <w:p w14:paraId="29425B74">
                  <w:pPr>
                    <w:snapToGri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lang w:val="en-US" w:eastAsia="zh-CN"/>
                    </w:rPr>
                    <w:t>7</w:t>
                  </w:r>
                </w:p>
              </w:tc>
            </w:tr>
          </w:tbl>
          <w:p w14:paraId="55AE11BF">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6.2出水水质</w:t>
            </w:r>
          </w:p>
          <w:p w14:paraId="17B88A39">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lang w:val="en-US" w:eastAsia="zh-CN"/>
              </w:rPr>
              <w:t>本项目</w:t>
            </w:r>
            <w:r>
              <w:rPr>
                <w:rFonts w:hint="default" w:ascii="Times New Roman" w:hAnsi="Times New Roman" w:eastAsia="宋体" w:cs="Times New Roman"/>
                <w:color w:val="auto"/>
                <w:sz w:val="24"/>
                <w:szCs w:val="20"/>
              </w:rPr>
              <w:t>污水厂</w:t>
            </w:r>
            <w:r>
              <w:rPr>
                <w:rFonts w:hint="default" w:ascii="Times New Roman" w:hAnsi="Times New Roman" w:eastAsia="宋体" w:cs="Times New Roman"/>
                <w:color w:val="auto"/>
                <w:sz w:val="24"/>
                <w:szCs w:val="20"/>
                <w:lang w:val="en-US" w:eastAsia="zh-CN"/>
              </w:rPr>
              <w:t>处理后的中水全部</w:t>
            </w:r>
            <w:r>
              <w:rPr>
                <w:rFonts w:hint="default" w:ascii="Times New Roman" w:hAnsi="Times New Roman" w:cs="Times New Roman"/>
                <w:color w:val="auto"/>
                <w:sz w:val="24"/>
                <w:szCs w:val="20"/>
                <w:lang w:val="en-US" w:eastAsia="zh-CN"/>
              </w:rPr>
              <w:t>实现</w:t>
            </w:r>
            <w:r>
              <w:rPr>
                <w:rFonts w:hint="default" w:ascii="Times New Roman" w:hAnsi="Times New Roman" w:eastAsia="宋体" w:cs="Times New Roman"/>
                <w:color w:val="auto"/>
                <w:sz w:val="24"/>
                <w:szCs w:val="20"/>
              </w:rPr>
              <w:t>再生利用（即污水回用），</w:t>
            </w:r>
            <w:r>
              <w:rPr>
                <w:rFonts w:hint="default" w:ascii="Times New Roman" w:hAnsi="Times New Roman" w:cs="Times New Roman"/>
                <w:color w:val="auto"/>
                <w:sz w:val="24"/>
                <w:szCs w:val="20"/>
                <w:lang w:val="en-US" w:eastAsia="zh-CN"/>
              </w:rPr>
              <w:t>三期工程建成</w:t>
            </w:r>
            <w:r>
              <w:rPr>
                <w:rFonts w:hint="default" w:ascii="Times New Roman" w:hAnsi="Times New Roman" w:eastAsia="宋体" w:cs="Times New Roman"/>
                <w:color w:val="auto"/>
                <w:sz w:val="24"/>
                <w:szCs w:val="20"/>
                <w:lang w:val="en-US" w:eastAsia="zh-CN"/>
              </w:rPr>
              <w:t>后，污水处理厂</w:t>
            </w:r>
            <w:r>
              <w:rPr>
                <w:rFonts w:hint="default" w:ascii="Times New Roman" w:hAnsi="Times New Roman" w:cs="Times New Roman"/>
                <w:color w:val="auto"/>
                <w:sz w:val="24"/>
                <w:szCs w:val="20"/>
                <w:lang w:val="en-US" w:eastAsia="zh-CN"/>
              </w:rPr>
              <w:t>全厂处理</w:t>
            </w:r>
            <w:r>
              <w:rPr>
                <w:rFonts w:hint="default" w:ascii="Times New Roman" w:hAnsi="Times New Roman" w:eastAsia="宋体" w:cs="Times New Roman"/>
                <w:color w:val="auto"/>
                <w:sz w:val="24"/>
                <w:szCs w:val="20"/>
                <w:lang w:val="en-US" w:eastAsia="zh-CN"/>
              </w:rPr>
              <w:t>中水能力为1</w:t>
            </w:r>
            <w:r>
              <w:rPr>
                <w:rFonts w:hint="default" w:ascii="Times New Roman" w:hAnsi="Times New Roman" w:cs="Times New Roman"/>
                <w:color w:val="auto"/>
                <w:sz w:val="24"/>
                <w:szCs w:val="20"/>
                <w:lang w:val="en-US" w:eastAsia="zh-CN"/>
              </w:rPr>
              <w:t>40</w:t>
            </w:r>
            <w:r>
              <w:rPr>
                <w:rFonts w:hint="default" w:ascii="Times New Roman" w:hAnsi="Times New Roman" w:eastAsia="宋体" w:cs="Times New Roman"/>
                <w:color w:val="auto"/>
                <w:sz w:val="24"/>
                <w:szCs w:val="20"/>
                <w:lang w:val="en-US" w:eastAsia="zh-CN"/>
              </w:rPr>
              <w:t>00t/d，其中</w:t>
            </w:r>
            <w:r>
              <w:rPr>
                <w:rFonts w:hint="default" w:ascii="Times New Roman" w:hAnsi="Times New Roman" w:cs="Times New Roman"/>
                <w:color w:val="auto"/>
                <w:sz w:val="24"/>
                <w:szCs w:val="20"/>
                <w:lang w:val="en-US" w:eastAsia="zh-CN"/>
              </w:rPr>
              <w:t>原一二期的3000</w:t>
            </w:r>
            <w:r>
              <w:rPr>
                <w:rFonts w:hint="eastAsia" w:cs="Times New Roman"/>
                <w:color w:val="auto"/>
                <w:sz w:val="24"/>
                <w:szCs w:val="20"/>
                <w:lang w:val="en-US" w:eastAsia="zh-CN"/>
              </w:rPr>
              <w:t>吨</w:t>
            </w:r>
            <w:r>
              <w:rPr>
                <w:rFonts w:hint="default" w:ascii="Times New Roman" w:hAnsi="Times New Roman" w:cs="Times New Roman"/>
                <w:color w:val="auto"/>
                <w:sz w:val="24"/>
                <w:szCs w:val="20"/>
                <w:lang w:val="en-US" w:eastAsia="zh-CN"/>
              </w:rPr>
              <w:t>及本次新增的5500</w:t>
            </w:r>
            <w:r>
              <w:rPr>
                <w:rFonts w:hint="eastAsia" w:cs="Times New Roman"/>
                <w:color w:val="auto"/>
                <w:sz w:val="24"/>
                <w:szCs w:val="20"/>
                <w:lang w:val="en-US" w:eastAsia="zh-CN"/>
              </w:rPr>
              <w:t>吨</w:t>
            </w:r>
            <w:r>
              <w:rPr>
                <w:rFonts w:hint="default" w:ascii="Times New Roman" w:hAnsi="Times New Roman" w:eastAsia="宋体" w:cs="Times New Roman"/>
                <w:color w:val="auto"/>
                <w:sz w:val="24"/>
                <w:szCs w:val="20"/>
                <w:lang w:val="en-US" w:eastAsia="zh-CN"/>
              </w:rPr>
              <w:t>排入杭锦旗锡尼镇污水处理厂尾水水质净化工程进行深度处理，处理达标后用于周边企业回用及陶赖沟生态补水。</w:t>
            </w:r>
            <w:r>
              <w:rPr>
                <w:rFonts w:hint="default" w:ascii="Times New Roman" w:hAnsi="Times New Roman" w:cs="Times New Roman"/>
                <w:color w:val="auto"/>
                <w:sz w:val="24"/>
                <w:szCs w:val="20"/>
                <w:lang w:val="en-US" w:eastAsia="zh-CN"/>
              </w:rPr>
              <w:t>其余5500</w:t>
            </w:r>
            <w:r>
              <w:rPr>
                <w:rFonts w:hint="eastAsia" w:cs="Times New Roman"/>
                <w:color w:val="auto"/>
                <w:sz w:val="24"/>
                <w:szCs w:val="20"/>
                <w:lang w:val="en-US" w:eastAsia="zh-CN"/>
              </w:rPr>
              <w:t>吨</w:t>
            </w:r>
            <w:r>
              <w:rPr>
                <w:rFonts w:hint="default" w:ascii="Times New Roman" w:hAnsi="Times New Roman" w:eastAsia="宋体" w:cs="Times New Roman"/>
                <w:color w:val="auto"/>
                <w:sz w:val="24"/>
                <w:szCs w:val="20"/>
                <w:lang w:val="en-US" w:eastAsia="zh-CN"/>
              </w:rPr>
              <w:t>统筹用于园林绿化、鄂尔多斯市新能源产业示范区企业及内蒙古能源发电杭锦发电有限公司工业用水</w:t>
            </w:r>
            <w:r>
              <w:rPr>
                <w:rFonts w:hint="default" w:ascii="Times New Roman" w:hAnsi="Times New Roman" w:eastAsia="宋体" w:cs="Times New Roman"/>
                <w:color w:val="auto"/>
                <w:sz w:val="24"/>
                <w:szCs w:val="20"/>
                <w:highlight w:val="none"/>
                <w:lang w:val="en-US" w:eastAsia="zh-CN"/>
              </w:rPr>
              <w:t>，</w:t>
            </w:r>
            <w:r>
              <w:rPr>
                <w:rFonts w:hint="default" w:ascii="Times New Roman" w:hAnsi="Times New Roman" w:cs="Times New Roman"/>
                <w:color w:val="auto"/>
                <w:sz w:val="24"/>
                <w:szCs w:val="20"/>
                <w:highlight w:val="none"/>
                <w:lang w:val="en-US" w:eastAsia="zh-CN"/>
              </w:rPr>
              <w:t>不外排</w:t>
            </w:r>
            <w:r>
              <w:rPr>
                <w:rFonts w:hint="default" w:ascii="Times New Roman" w:hAnsi="Times New Roman" w:eastAsia="宋体" w:cs="Times New Roman"/>
                <w:color w:val="auto"/>
                <w:sz w:val="24"/>
                <w:szCs w:val="20"/>
                <w:highlight w:val="none"/>
              </w:rPr>
              <w:t>。</w:t>
            </w:r>
          </w:p>
          <w:p w14:paraId="16906E8D">
            <w:pPr>
              <w:spacing w:line="360" w:lineRule="auto"/>
              <w:ind w:firstLine="480" w:firstLineChars="200"/>
              <w:rPr>
                <w:rFonts w:hint="default" w:ascii="Times New Roman" w:hAnsi="Times New Roman" w:eastAsia="宋体" w:cs="Times New Roman"/>
                <w:color w:val="auto"/>
                <w:sz w:val="24"/>
                <w:szCs w:val="20"/>
                <w:highlight w:val="none"/>
              </w:rPr>
            </w:pPr>
            <w:r>
              <w:rPr>
                <w:rFonts w:hint="default" w:ascii="Times New Roman" w:hAnsi="Times New Roman" w:eastAsia="宋体" w:cs="Times New Roman"/>
                <w:color w:val="auto"/>
                <w:sz w:val="24"/>
                <w:szCs w:val="20"/>
                <w:highlight w:val="none"/>
                <w:lang w:val="en-US" w:eastAsia="zh-CN"/>
              </w:rPr>
              <w:t>出厂水质</w:t>
            </w:r>
            <w:r>
              <w:rPr>
                <w:rFonts w:hint="default" w:ascii="Times New Roman" w:hAnsi="Times New Roman" w:cs="Times New Roman"/>
                <w:color w:val="auto"/>
                <w:sz w:val="24"/>
                <w:szCs w:val="20"/>
                <w:highlight w:val="none"/>
                <w:lang w:val="en-US" w:eastAsia="zh-CN"/>
              </w:rPr>
              <w:t>执行</w:t>
            </w:r>
            <w:r>
              <w:rPr>
                <w:rFonts w:hint="default" w:ascii="Times New Roman" w:hAnsi="Times New Roman" w:eastAsia="宋体" w:cs="Times New Roman"/>
                <w:color w:val="auto"/>
                <w:sz w:val="24"/>
                <w:szCs w:val="20"/>
                <w:highlight w:val="none"/>
                <w:lang w:val="en-US" w:eastAsia="zh-CN"/>
              </w:rPr>
              <w:t>《城镇污水处理厂污染物排放标准》（GB</w:t>
            </w:r>
            <w:r>
              <w:rPr>
                <w:rFonts w:hint="default" w:ascii="Times New Roman" w:hAnsi="Times New Roman" w:cs="Times New Roman"/>
                <w:color w:val="auto"/>
                <w:sz w:val="24"/>
                <w:szCs w:val="20"/>
                <w:highlight w:val="none"/>
                <w:lang w:val="en-US" w:eastAsia="zh-CN"/>
              </w:rPr>
              <w:t xml:space="preserve"> </w:t>
            </w:r>
            <w:r>
              <w:rPr>
                <w:rFonts w:hint="eastAsia" w:ascii="Times New Roman" w:hAnsi="Times New Roman" w:cs="Times New Roman"/>
                <w:color w:val="auto"/>
                <w:sz w:val="24"/>
                <w:szCs w:val="20"/>
                <w:highlight w:val="none"/>
                <w:lang w:val="en-US" w:eastAsia="zh-CN"/>
              </w:rPr>
              <w:t>18918—</w:t>
            </w:r>
            <w:r>
              <w:rPr>
                <w:rFonts w:hint="default" w:ascii="Times New Roman" w:hAnsi="Times New Roman" w:eastAsia="宋体" w:cs="Times New Roman"/>
                <w:color w:val="auto"/>
                <w:sz w:val="24"/>
                <w:szCs w:val="20"/>
                <w:highlight w:val="none"/>
                <w:lang w:val="en-US" w:eastAsia="zh-CN"/>
              </w:rPr>
              <w:t>2002）及其修改单中一级A标准、《城市污水再生利用 工业用水水质》（</w:t>
            </w:r>
            <w:r>
              <w:rPr>
                <w:rFonts w:hint="default" w:ascii="Times New Roman" w:hAnsi="Times New Roman" w:cs="Times New Roman"/>
                <w:color w:val="auto"/>
                <w:sz w:val="24"/>
                <w:szCs w:val="20"/>
                <w:highlight w:val="none"/>
                <w:lang w:val="en-US" w:eastAsia="zh-CN"/>
              </w:rPr>
              <w:t xml:space="preserve">GB/T </w:t>
            </w:r>
            <w:r>
              <w:rPr>
                <w:rFonts w:hint="eastAsia" w:ascii="Times New Roman" w:hAnsi="Times New Roman" w:cs="Times New Roman"/>
                <w:color w:val="auto"/>
                <w:sz w:val="24"/>
                <w:szCs w:val="20"/>
                <w:highlight w:val="none"/>
                <w:lang w:val="en-US" w:eastAsia="zh-CN"/>
              </w:rPr>
              <w:t>19923—</w:t>
            </w:r>
            <w:r>
              <w:rPr>
                <w:rFonts w:hint="default" w:ascii="Times New Roman" w:hAnsi="Times New Roman" w:eastAsia="宋体" w:cs="Times New Roman"/>
                <w:color w:val="auto"/>
                <w:sz w:val="24"/>
                <w:szCs w:val="20"/>
                <w:highlight w:val="none"/>
                <w:lang w:val="en-US" w:eastAsia="zh-CN"/>
              </w:rPr>
              <w:t>2024）、《城市污水再生利用 城市杂用水水质》（</w:t>
            </w:r>
            <w:r>
              <w:rPr>
                <w:rFonts w:hint="default" w:ascii="Times New Roman" w:hAnsi="Times New Roman" w:cs="Times New Roman"/>
                <w:color w:val="auto"/>
                <w:sz w:val="24"/>
                <w:szCs w:val="20"/>
                <w:highlight w:val="none"/>
                <w:lang w:val="en-US" w:eastAsia="zh-CN"/>
              </w:rPr>
              <w:t>GB/T 18920</w:t>
            </w:r>
            <w:r>
              <w:rPr>
                <w:rFonts w:hint="eastAsia" w:ascii="Times New Roman" w:hAnsi="Times New Roman" w:cs="Times New Roman"/>
                <w:color w:val="auto"/>
                <w:sz w:val="24"/>
                <w:szCs w:val="20"/>
                <w:highlight w:val="none"/>
                <w:lang w:val="en-US" w:eastAsia="zh-CN"/>
              </w:rPr>
              <w:t>—2020</w:t>
            </w:r>
            <w:r>
              <w:rPr>
                <w:rFonts w:hint="default" w:ascii="Times New Roman" w:hAnsi="Times New Roman" w:eastAsia="宋体" w:cs="Times New Roman"/>
                <w:color w:val="auto"/>
                <w:sz w:val="24"/>
                <w:szCs w:val="20"/>
                <w:highlight w:val="none"/>
                <w:lang w:val="en-US" w:eastAsia="zh-CN"/>
              </w:rPr>
              <w:t>）</w:t>
            </w:r>
            <w:r>
              <w:rPr>
                <w:rFonts w:hint="default" w:ascii="Times New Roman" w:hAnsi="Times New Roman" w:eastAsia="宋体" w:cs="Times New Roman"/>
                <w:color w:val="auto"/>
                <w:sz w:val="24"/>
                <w:szCs w:val="20"/>
                <w:highlight w:val="none"/>
                <w:lang w:eastAsia="zh-CN"/>
              </w:rPr>
              <w:t>。</w:t>
            </w:r>
          </w:p>
          <w:p w14:paraId="32A0C029">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cs="Times New Roman"/>
                <w:color w:val="auto"/>
                <w:sz w:val="24"/>
                <w:szCs w:val="20"/>
                <w:lang w:val="en-US" w:eastAsia="zh-CN"/>
              </w:rPr>
              <w:t>根据项目可行性研究报告及污水处理工艺，</w:t>
            </w:r>
            <w:r>
              <w:rPr>
                <w:rFonts w:hint="default" w:ascii="Times New Roman" w:hAnsi="Times New Roman" w:eastAsia="宋体" w:cs="Times New Roman"/>
                <w:color w:val="auto"/>
                <w:sz w:val="24"/>
                <w:szCs w:val="20"/>
                <w:lang w:val="en-US" w:eastAsia="zh-CN"/>
              </w:rPr>
              <w:t>确定</w:t>
            </w:r>
            <w:r>
              <w:rPr>
                <w:rFonts w:hint="default" w:ascii="Times New Roman" w:hAnsi="Times New Roman" w:eastAsia="宋体" w:cs="Times New Roman"/>
                <w:color w:val="auto"/>
                <w:sz w:val="24"/>
                <w:szCs w:val="20"/>
              </w:rPr>
              <w:t>本项目设计出水水质指标</w:t>
            </w:r>
            <w:r>
              <w:rPr>
                <w:rFonts w:hint="default" w:ascii="Times New Roman" w:hAnsi="Times New Roman" w:cs="Times New Roman"/>
                <w:color w:val="auto"/>
                <w:sz w:val="24"/>
                <w:szCs w:val="20"/>
                <w:lang w:eastAsia="zh-CN"/>
              </w:rPr>
              <w:t>，见</w:t>
            </w:r>
            <w:r>
              <w:rPr>
                <w:rFonts w:hint="default" w:ascii="Times New Roman" w:hAnsi="Times New Roman" w:eastAsia="宋体" w:cs="Times New Roman"/>
                <w:color w:val="auto"/>
                <w:sz w:val="24"/>
                <w:szCs w:val="20"/>
              </w:rPr>
              <w:t>表</w:t>
            </w:r>
            <w:r>
              <w:rPr>
                <w:rFonts w:hint="default" w:ascii="Times New Roman" w:hAnsi="Times New Roman" w:eastAsia="宋体" w:cs="Times New Roman"/>
                <w:color w:val="auto"/>
                <w:sz w:val="24"/>
                <w:szCs w:val="20"/>
                <w:lang w:val="en-US" w:eastAsia="zh-CN"/>
              </w:rPr>
              <w:t>2-</w:t>
            </w:r>
            <w:r>
              <w:rPr>
                <w:rFonts w:hint="default" w:ascii="Times New Roman" w:hAnsi="Times New Roman" w:cs="Times New Roman"/>
                <w:color w:val="auto"/>
                <w:sz w:val="24"/>
                <w:szCs w:val="20"/>
                <w:lang w:val="en-US" w:eastAsia="zh-CN"/>
              </w:rPr>
              <w:t>8</w:t>
            </w:r>
            <w:r>
              <w:rPr>
                <w:rFonts w:hint="default" w:ascii="Times New Roman" w:hAnsi="Times New Roman" w:eastAsia="宋体" w:cs="Times New Roman"/>
                <w:color w:val="auto"/>
                <w:sz w:val="24"/>
                <w:szCs w:val="20"/>
              </w:rPr>
              <w:t>。</w:t>
            </w:r>
          </w:p>
          <w:p w14:paraId="2C2B0D4F">
            <w:pPr>
              <w:spacing w:line="360" w:lineRule="auto"/>
              <w:ind w:firstLine="964" w:firstLineChars="400"/>
              <w:jc w:val="both"/>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表</w:t>
            </w:r>
            <w:r>
              <w:rPr>
                <w:rFonts w:hint="default" w:ascii="Times New Roman" w:hAnsi="Times New Roman" w:eastAsia="宋体" w:cs="Times New Roman"/>
                <w:b/>
                <w:bCs/>
                <w:color w:val="auto"/>
                <w:sz w:val="24"/>
                <w:szCs w:val="20"/>
                <w:lang w:val="en-US" w:eastAsia="zh-CN"/>
              </w:rPr>
              <w:t>2-</w:t>
            </w:r>
            <w:r>
              <w:rPr>
                <w:rFonts w:hint="default" w:ascii="Times New Roman" w:hAnsi="Times New Roman" w:cs="Times New Roman"/>
                <w:b/>
                <w:bCs/>
                <w:color w:val="auto"/>
                <w:sz w:val="24"/>
                <w:szCs w:val="20"/>
                <w:lang w:val="en-US" w:eastAsia="zh-CN"/>
              </w:rPr>
              <w:t>8</w:t>
            </w:r>
            <w:r>
              <w:rPr>
                <w:rFonts w:hint="default" w:ascii="Times New Roman" w:hAnsi="Times New Roman" w:eastAsia="宋体" w:cs="Times New Roman"/>
                <w:b/>
                <w:bCs/>
                <w:color w:val="auto"/>
                <w:sz w:val="24"/>
                <w:szCs w:val="20"/>
              </w:rPr>
              <w:t xml:space="preserve"> 本项目主要设计出水水质指标一览表</w:t>
            </w:r>
            <w:r>
              <w:rPr>
                <w:rFonts w:hint="default" w:ascii="Times New Roman" w:hAnsi="Times New Roman" w:cs="Times New Roman"/>
                <w:b/>
                <w:bCs/>
                <w:color w:val="auto"/>
                <w:sz w:val="24"/>
                <w:szCs w:val="20"/>
                <w:lang w:eastAsia="zh-CN"/>
              </w:rPr>
              <w:t>（</w:t>
            </w:r>
            <w:r>
              <w:rPr>
                <w:rFonts w:hint="default" w:ascii="Times New Roman" w:hAnsi="Times New Roman" w:eastAsia="宋体" w:cs="Times New Roman"/>
                <w:b/>
                <w:bCs/>
                <w:color w:val="auto"/>
                <w:sz w:val="24"/>
                <w:szCs w:val="20"/>
              </w:rPr>
              <w:t>单位：</w:t>
            </w:r>
            <w:r>
              <w:rPr>
                <w:rFonts w:hint="default" w:ascii="Times New Roman" w:hAnsi="Times New Roman" w:cs="Times New Roman"/>
                <w:b/>
                <w:bCs/>
                <w:color w:val="auto"/>
                <w:sz w:val="24"/>
                <w:szCs w:val="20"/>
                <w:lang w:eastAsia="zh-CN"/>
              </w:rPr>
              <w:t>m</w:t>
            </w:r>
            <w:r>
              <w:rPr>
                <w:rFonts w:hint="default" w:ascii="Times New Roman" w:hAnsi="Times New Roman" w:eastAsia="宋体" w:cs="Times New Roman"/>
                <w:b/>
                <w:bCs/>
                <w:color w:val="auto"/>
                <w:sz w:val="24"/>
                <w:szCs w:val="20"/>
              </w:rPr>
              <w:t>g/L</w:t>
            </w:r>
            <w:r>
              <w:rPr>
                <w:rFonts w:hint="default" w:ascii="Times New Roman" w:hAnsi="Times New Roman" w:cs="Times New Roman"/>
                <w:b/>
                <w:bCs/>
                <w:color w:val="auto"/>
                <w:sz w:val="24"/>
                <w:szCs w:val="20"/>
                <w:lang w:eastAsia="zh-CN"/>
              </w:rPr>
              <w:t>）</w:t>
            </w:r>
          </w:p>
          <w:tbl>
            <w:tblPr>
              <w:tblStyle w:val="11"/>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040"/>
              <w:gridCol w:w="1812"/>
              <w:gridCol w:w="1284"/>
              <w:gridCol w:w="1009"/>
              <w:gridCol w:w="910"/>
              <w:gridCol w:w="1332"/>
              <w:gridCol w:w="752"/>
            </w:tblGrid>
            <w:tr w14:paraId="02B332E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vMerge w:val="restart"/>
                  <w:tcBorders>
                    <w:top w:val="single" w:color="auto" w:sz="4" w:space="0"/>
                    <w:left w:val="single" w:color="auto" w:sz="0" w:space="0"/>
                  </w:tcBorders>
                  <w:noWrap w:val="0"/>
                  <w:vAlign w:val="center"/>
                </w:tcPr>
                <w:p w14:paraId="7E64FDA9">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kern w:val="0"/>
                      <w:sz w:val="21"/>
                      <w:szCs w:val="21"/>
                      <w:lang w:val="en-US" w:eastAsia="en-US" w:bidi="ar-SA"/>
                    </w:rPr>
                  </w:pPr>
                  <w:r>
                    <w:rPr>
                      <w:rFonts w:hint="default" w:ascii="Times New Roman" w:hAnsi="Times New Roman" w:eastAsia="宋体" w:cs="Times New Roman"/>
                      <w:b/>
                      <w:bCs w:val="0"/>
                      <w:color w:val="auto"/>
                      <w:spacing w:val="1"/>
                      <w:kern w:val="0"/>
                      <w:sz w:val="21"/>
                      <w:szCs w:val="21"/>
                      <w:lang w:val="en-US" w:eastAsia="en-US" w:bidi="ar-SA"/>
                    </w:rPr>
                    <w:t>污染物名称</w:t>
                  </w:r>
                </w:p>
              </w:tc>
              <w:tc>
                <w:tcPr>
                  <w:tcW w:w="1113" w:type="pct"/>
                  <w:tcBorders>
                    <w:top w:val="single" w:color="auto" w:sz="4" w:space="0"/>
                  </w:tcBorders>
                  <w:noWrap w:val="0"/>
                  <w:vAlign w:val="center"/>
                </w:tcPr>
                <w:p w14:paraId="52E711CC">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《城镇污水处理厂污染物排放标准》（</w:t>
                  </w:r>
                  <w:r>
                    <w:rPr>
                      <w:rFonts w:hint="default" w:ascii="Times New Roman" w:hAnsi="Times New Roman" w:cs="Times New Roman"/>
                      <w:b/>
                      <w:bCs w:val="0"/>
                      <w:color w:val="auto"/>
                      <w:spacing w:val="1"/>
                      <w:kern w:val="0"/>
                      <w:sz w:val="21"/>
                      <w:szCs w:val="21"/>
                      <w:lang w:val="en-US" w:eastAsia="zh-CN" w:bidi="ar-SA"/>
                    </w:rPr>
                    <w:t xml:space="preserve">GB </w:t>
                  </w:r>
                  <w:r>
                    <w:rPr>
                      <w:rFonts w:hint="eastAsia" w:ascii="Times New Roman" w:hAnsi="Times New Roman" w:cs="Times New Roman"/>
                      <w:b/>
                      <w:bCs w:val="0"/>
                      <w:color w:val="auto"/>
                      <w:spacing w:val="1"/>
                      <w:kern w:val="0"/>
                      <w:sz w:val="21"/>
                      <w:szCs w:val="21"/>
                      <w:lang w:val="en-US" w:eastAsia="zh-CN" w:bidi="ar-SA"/>
                    </w:rPr>
                    <w:t>18918—</w:t>
                  </w:r>
                  <w:r>
                    <w:rPr>
                      <w:rFonts w:hint="default" w:ascii="Times New Roman" w:hAnsi="Times New Roman" w:eastAsia="宋体" w:cs="Times New Roman"/>
                      <w:b/>
                      <w:bCs w:val="0"/>
                      <w:color w:val="auto"/>
                      <w:spacing w:val="1"/>
                      <w:kern w:val="0"/>
                      <w:sz w:val="21"/>
                      <w:szCs w:val="21"/>
                      <w:lang w:val="en-US" w:eastAsia="zh-CN" w:bidi="ar-SA"/>
                    </w:rPr>
                    <w:t>2002）及其修改单</w:t>
                  </w:r>
                </w:p>
              </w:tc>
              <w:tc>
                <w:tcPr>
                  <w:tcW w:w="1408" w:type="pct"/>
                  <w:gridSpan w:val="2"/>
                  <w:tcBorders>
                    <w:top w:val="single" w:color="auto" w:sz="4" w:space="0"/>
                  </w:tcBorders>
                  <w:noWrap w:val="0"/>
                  <w:vAlign w:val="center"/>
                </w:tcPr>
                <w:p w14:paraId="0FAB1ED4">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《城市污水再生利用 工业用水水质》</w:t>
                  </w:r>
                </w:p>
                <w:p w14:paraId="05EA6494">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w:t>
                  </w:r>
                  <w:r>
                    <w:rPr>
                      <w:rFonts w:hint="default" w:ascii="Times New Roman" w:hAnsi="Times New Roman" w:cs="Times New Roman"/>
                      <w:b/>
                      <w:bCs w:val="0"/>
                      <w:color w:val="auto"/>
                      <w:spacing w:val="1"/>
                      <w:kern w:val="0"/>
                      <w:sz w:val="21"/>
                      <w:szCs w:val="21"/>
                      <w:lang w:val="en-US" w:eastAsia="zh-CN" w:bidi="ar-SA"/>
                    </w:rPr>
                    <w:t xml:space="preserve">GB/T </w:t>
                  </w:r>
                  <w:r>
                    <w:rPr>
                      <w:rFonts w:hint="eastAsia" w:ascii="Times New Roman" w:hAnsi="Times New Roman" w:cs="Times New Roman"/>
                      <w:b/>
                      <w:bCs w:val="0"/>
                      <w:color w:val="auto"/>
                      <w:spacing w:val="1"/>
                      <w:kern w:val="0"/>
                      <w:sz w:val="21"/>
                      <w:szCs w:val="21"/>
                      <w:lang w:val="en-US" w:eastAsia="zh-CN" w:bidi="ar-SA"/>
                    </w:rPr>
                    <w:t>19923—</w:t>
                  </w:r>
                  <w:r>
                    <w:rPr>
                      <w:rFonts w:hint="default" w:ascii="Times New Roman" w:hAnsi="Times New Roman" w:eastAsia="宋体" w:cs="Times New Roman"/>
                      <w:b/>
                      <w:bCs w:val="0"/>
                      <w:color w:val="auto"/>
                      <w:spacing w:val="1"/>
                      <w:kern w:val="0"/>
                      <w:sz w:val="21"/>
                      <w:szCs w:val="21"/>
                      <w:lang w:val="en-US" w:eastAsia="zh-CN" w:bidi="ar-SA"/>
                    </w:rPr>
                    <w:t>2024）标准</w:t>
                  </w:r>
                </w:p>
              </w:tc>
              <w:tc>
                <w:tcPr>
                  <w:tcW w:w="1377" w:type="pct"/>
                  <w:gridSpan w:val="2"/>
                  <w:tcBorders>
                    <w:top w:val="single" w:color="auto" w:sz="4" w:space="0"/>
                  </w:tcBorders>
                  <w:noWrap w:val="0"/>
                  <w:vAlign w:val="center"/>
                </w:tcPr>
                <w:p w14:paraId="188FF8A3">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《城市污水再生利用 城市杂用水水质》（</w:t>
                  </w:r>
                  <w:r>
                    <w:rPr>
                      <w:rFonts w:hint="default" w:ascii="Times New Roman" w:hAnsi="Times New Roman" w:cs="Times New Roman"/>
                      <w:b/>
                      <w:bCs w:val="0"/>
                      <w:color w:val="auto"/>
                      <w:spacing w:val="1"/>
                      <w:kern w:val="0"/>
                      <w:sz w:val="21"/>
                      <w:szCs w:val="21"/>
                      <w:lang w:val="en-US" w:eastAsia="zh-CN" w:bidi="ar-SA"/>
                    </w:rPr>
                    <w:t>GB/T 18920</w:t>
                  </w:r>
                  <w:r>
                    <w:rPr>
                      <w:rFonts w:hint="eastAsia" w:ascii="Times New Roman" w:hAnsi="Times New Roman" w:cs="Times New Roman"/>
                      <w:b/>
                      <w:bCs w:val="0"/>
                      <w:color w:val="auto"/>
                      <w:spacing w:val="1"/>
                      <w:kern w:val="0"/>
                      <w:sz w:val="21"/>
                      <w:szCs w:val="21"/>
                      <w:lang w:val="en-US" w:eastAsia="zh-CN" w:bidi="ar-SA"/>
                    </w:rPr>
                    <w:t>—2020</w:t>
                  </w:r>
                  <w:r>
                    <w:rPr>
                      <w:rFonts w:hint="default" w:ascii="Times New Roman" w:hAnsi="Times New Roman" w:eastAsia="宋体" w:cs="Times New Roman"/>
                      <w:b/>
                      <w:bCs w:val="0"/>
                      <w:color w:val="auto"/>
                      <w:spacing w:val="1"/>
                      <w:kern w:val="0"/>
                      <w:sz w:val="21"/>
                      <w:szCs w:val="21"/>
                      <w:lang w:val="en-US" w:eastAsia="zh-CN" w:bidi="ar-SA"/>
                    </w:rPr>
                    <w:t>）</w:t>
                  </w:r>
                </w:p>
              </w:tc>
              <w:tc>
                <w:tcPr>
                  <w:tcW w:w="461" w:type="pct"/>
                  <w:vMerge w:val="restart"/>
                  <w:tcBorders>
                    <w:top w:val="single" w:color="auto" w:sz="4" w:space="0"/>
                    <w:right w:val="single" w:color="auto" w:sz="4" w:space="0"/>
                  </w:tcBorders>
                  <w:noWrap w:val="0"/>
                  <w:vAlign w:val="center"/>
                </w:tcPr>
                <w:p w14:paraId="3951F6E9">
                  <w:pPr>
                    <w:widowControl w:val="0"/>
                    <w:kinsoku w:val="0"/>
                    <w:overflowPunct w:val="0"/>
                    <w:spacing w:line="240" w:lineRule="auto"/>
                    <w:ind w:firstLine="0" w:firstLineChars="0"/>
                    <w:contextualSpacing/>
                    <w:jc w:val="center"/>
                    <w:rPr>
                      <w:rFonts w:hint="default" w:ascii="Times New Roman" w:hAnsi="Times New Roman" w:eastAsia="宋体" w:cs="Times New Roman"/>
                      <w:bCs/>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本项目设计出水水质</w:t>
                  </w:r>
                </w:p>
              </w:tc>
            </w:tr>
            <w:tr w14:paraId="5DA500E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vMerge w:val="continue"/>
                  <w:tcBorders>
                    <w:left w:val="single" w:color="auto" w:sz="4" w:space="0"/>
                  </w:tcBorders>
                  <w:noWrap w:val="0"/>
                  <w:vAlign w:val="center"/>
                </w:tcPr>
                <w:p w14:paraId="6D814D03">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en-US" w:bidi="ar-SA"/>
                    </w:rPr>
                  </w:pPr>
                </w:p>
              </w:tc>
              <w:tc>
                <w:tcPr>
                  <w:tcW w:w="1113" w:type="pct"/>
                  <w:noWrap w:val="0"/>
                  <w:vAlign w:val="center"/>
                </w:tcPr>
                <w:p w14:paraId="548A24D0">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一级A标准</w:t>
                  </w:r>
                </w:p>
              </w:tc>
              <w:tc>
                <w:tcPr>
                  <w:tcW w:w="788" w:type="pct"/>
                  <w:noWrap w:val="0"/>
                  <w:vAlign w:val="center"/>
                </w:tcPr>
                <w:p w14:paraId="6E3942F6">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间冷开式循环冷却水补充水、锅炉补给水、工艺用水、产品用水</w:t>
                  </w:r>
                </w:p>
              </w:tc>
              <w:tc>
                <w:tcPr>
                  <w:tcW w:w="619" w:type="pct"/>
                  <w:noWrap w:val="0"/>
                  <w:vAlign w:val="center"/>
                </w:tcPr>
                <w:p w14:paraId="75B8B3F1">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直流冷却水、洗涤用水</w:t>
                  </w:r>
                </w:p>
              </w:tc>
              <w:tc>
                <w:tcPr>
                  <w:tcW w:w="559" w:type="pct"/>
                  <w:noWrap w:val="0"/>
                  <w:vAlign w:val="center"/>
                </w:tcPr>
                <w:p w14:paraId="77379E2C">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冲厕、车辆冲洗</w:t>
                  </w:r>
                </w:p>
              </w:tc>
              <w:tc>
                <w:tcPr>
                  <w:tcW w:w="818" w:type="pct"/>
                  <w:noWrap w:val="0"/>
                  <w:vAlign w:val="center"/>
                </w:tcPr>
                <w:p w14:paraId="777F355E">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城市绿化、道路清扫、消防、</w:t>
                  </w:r>
                  <w:r>
                    <w:rPr>
                      <w:rFonts w:hint="default" w:ascii="Times New Roman" w:hAnsi="Times New Roman" w:cs="Times New Roman"/>
                      <w:b/>
                      <w:bCs w:val="0"/>
                      <w:color w:val="auto"/>
                      <w:spacing w:val="1"/>
                      <w:kern w:val="0"/>
                      <w:sz w:val="21"/>
                      <w:szCs w:val="21"/>
                      <w:lang w:val="en-US" w:eastAsia="zh-CN" w:bidi="ar-SA"/>
                    </w:rPr>
                    <w:t>建筑</w:t>
                  </w:r>
                  <w:r>
                    <w:rPr>
                      <w:rFonts w:hint="default" w:ascii="Times New Roman" w:hAnsi="Times New Roman" w:eastAsia="宋体" w:cs="Times New Roman"/>
                      <w:b/>
                      <w:bCs w:val="0"/>
                      <w:color w:val="auto"/>
                      <w:spacing w:val="1"/>
                      <w:kern w:val="0"/>
                      <w:sz w:val="21"/>
                      <w:szCs w:val="21"/>
                      <w:lang w:val="en-US" w:eastAsia="zh-CN" w:bidi="ar-SA"/>
                    </w:rPr>
                    <w:t>施工</w:t>
                  </w:r>
                </w:p>
              </w:tc>
              <w:tc>
                <w:tcPr>
                  <w:tcW w:w="461" w:type="pct"/>
                  <w:vMerge w:val="continue"/>
                  <w:tcBorders>
                    <w:right w:val="single" w:color="auto" w:sz="4" w:space="0"/>
                  </w:tcBorders>
                  <w:noWrap w:val="0"/>
                  <w:vAlign w:val="center"/>
                </w:tcPr>
                <w:p w14:paraId="0CF15F05">
                  <w:pPr>
                    <w:widowControl w:val="0"/>
                    <w:kinsoku w:val="0"/>
                    <w:overflowPunct w:val="0"/>
                    <w:spacing w:line="240" w:lineRule="auto"/>
                    <w:ind w:firstLine="0" w:firstLineChars="0"/>
                    <w:contextualSpacing/>
                    <w:jc w:val="center"/>
                    <w:rPr>
                      <w:rFonts w:hint="default" w:ascii="Times New Roman" w:hAnsi="Times New Roman" w:eastAsia="宋体" w:cs="Times New Roman"/>
                      <w:bCs/>
                      <w:color w:val="auto"/>
                      <w:spacing w:val="1"/>
                      <w:kern w:val="0"/>
                      <w:sz w:val="21"/>
                      <w:szCs w:val="21"/>
                      <w:lang w:val="en-US" w:eastAsia="zh-CN" w:bidi="ar-SA"/>
                    </w:rPr>
                  </w:pPr>
                </w:p>
              </w:tc>
            </w:tr>
            <w:tr w14:paraId="4EB50B3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tcBorders>
                    <w:left w:val="single" w:color="auto" w:sz="4" w:space="0"/>
                  </w:tcBorders>
                  <w:noWrap w:val="0"/>
                  <w:vAlign w:val="center"/>
                </w:tcPr>
                <w:p w14:paraId="4AE41CF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p</w:t>
                  </w:r>
                  <w:r>
                    <w:rPr>
                      <w:rFonts w:hint="default" w:ascii="Times New Roman" w:hAnsi="Times New Roman" w:cs="Times New Roman"/>
                      <w:color w:val="auto"/>
                      <w:kern w:val="0"/>
                      <w:sz w:val="21"/>
                      <w:szCs w:val="21"/>
                      <w:lang w:val="en-US" w:eastAsia="zh-CN" w:bidi="ar-SA"/>
                    </w:rPr>
                    <w:t>H</w:t>
                  </w:r>
                  <w:r>
                    <w:rPr>
                      <w:rFonts w:hint="default" w:ascii="Times New Roman" w:hAnsi="Times New Roman" w:eastAsia="宋体" w:cs="Times New Roman"/>
                      <w:color w:val="auto"/>
                      <w:kern w:val="0"/>
                      <w:sz w:val="21"/>
                      <w:szCs w:val="21"/>
                      <w:lang w:val="en-US" w:eastAsia="en-US" w:bidi="ar-SA"/>
                    </w:rPr>
                    <w:t>值</w:t>
                  </w:r>
                </w:p>
              </w:tc>
              <w:tc>
                <w:tcPr>
                  <w:tcW w:w="1113" w:type="pct"/>
                  <w:noWrap w:val="0"/>
                  <w:vAlign w:val="center"/>
                </w:tcPr>
                <w:p w14:paraId="1D30394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6-9</w:t>
                  </w:r>
                </w:p>
              </w:tc>
              <w:tc>
                <w:tcPr>
                  <w:tcW w:w="788" w:type="pct"/>
                  <w:noWrap w:val="0"/>
                  <w:vAlign w:val="center"/>
                </w:tcPr>
                <w:p w14:paraId="3F0A7B4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6.0-9.0</w:t>
                  </w:r>
                </w:p>
              </w:tc>
              <w:tc>
                <w:tcPr>
                  <w:tcW w:w="619" w:type="pct"/>
                  <w:noWrap w:val="0"/>
                  <w:vAlign w:val="center"/>
                </w:tcPr>
                <w:p w14:paraId="0AAA3E5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6.0-9.0</w:t>
                  </w:r>
                </w:p>
              </w:tc>
              <w:tc>
                <w:tcPr>
                  <w:tcW w:w="559" w:type="pct"/>
                  <w:noWrap w:val="0"/>
                  <w:vAlign w:val="center"/>
                </w:tcPr>
                <w:p w14:paraId="25577D4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6.0-9.0</w:t>
                  </w:r>
                </w:p>
              </w:tc>
              <w:tc>
                <w:tcPr>
                  <w:tcW w:w="818" w:type="pct"/>
                  <w:noWrap w:val="0"/>
                  <w:vAlign w:val="center"/>
                </w:tcPr>
                <w:p w14:paraId="1BD03A2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6.0-9.0</w:t>
                  </w:r>
                </w:p>
              </w:tc>
              <w:tc>
                <w:tcPr>
                  <w:tcW w:w="461" w:type="pct"/>
                  <w:tcBorders>
                    <w:right w:val="single" w:color="auto" w:sz="4" w:space="0"/>
                  </w:tcBorders>
                  <w:noWrap w:val="0"/>
                  <w:vAlign w:val="center"/>
                </w:tcPr>
                <w:p w14:paraId="35C7641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6.0-9.0</w:t>
                  </w:r>
                </w:p>
              </w:tc>
            </w:tr>
            <w:tr w14:paraId="09C6A91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tcBorders>
                    <w:left w:val="single" w:color="auto" w:sz="4" w:space="0"/>
                  </w:tcBorders>
                  <w:noWrap w:val="0"/>
                  <w:vAlign w:val="center"/>
                </w:tcPr>
                <w:p w14:paraId="7DB282B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色度</w:t>
                  </w:r>
                  <w:r>
                    <w:rPr>
                      <w:rFonts w:hint="eastAsia" w:cs="Times New Roman"/>
                      <w:color w:val="auto"/>
                      <w:kern w:val="0"/>
                      <w:sz w:val="21"/>
                      <w:szCs w:val="21"/>
                      <w:lang w:val="en-US" w:eastAsia="zh-CN" w:bidi="ar-SA"/>
                    </w:rPr>
                    <w:t>/</w:t>
                  </w:r>
                  <w:r>
                    <w:rPr>
                      <w:rFonts w:hint="default" w:ascii="Times New Roman" w:hAnsi="Times New Roman" w:cs="Times New Roman"/>
                      <w:color w:val="auto"/>
                      <w:kern w:val="0"/>
                      <w:sz w:val="21"/>
                      <w:szCs w:val="21"/>
                      <w:lang w:val="en-US" w:eastAsia="zh-CN" w:bidi="ar-SA"/>
                    </w:rPr>
                    <w:t>度</w:t>
                  </w:r>
                </w:p>
              </w:tc>
              <w:tc>
                <w:tcPr>
                  <w:tcW w:w="1113" w:type="pct"/>
                  <w:noWrap w:val="0"/>
                  <w:vAlign w:val="center"/>
                </w:tcPr>
                <w:p w14:paraId="6667CE6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30</w:t>
                  </w:r>
                </w:p>
              </w:tc>
              <w:tc>
                <w:tcPr>
                  <w:tcW w:w="788" w:type="pct"/>
                  <w:noWrap w:val="0"/>
                  <w:vAlign w:val="center"/>
                </w:tcPr>
                <w:p w14:paraId="61365F9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w:t>
                  </w:r>
                </w:p>
              </w:tc>
              <w:tc>
                <w:tcPr>
                  <w:tcW w:w="619" w:type="pct"/>
                  <w:noWrap w:val="0"/>
                  <w:vAlign w:val="center"/>
                </w:tcPr>
                <w:p w14:paraId="2165F7B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w:t>
                  </w:r>
                </w:p>
              </w:tc>
              <w:tc>
                <w:tcPr>
                  <w:tcW w:w="559" w:type="pct"/>
                  <w:noWrap w:val="0"/>
                  <w:vAlign w:val="center"/>
                </w:tcPr>
                <w:p w14:paraId="34A6A4F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818" w:type="pct"/>
                  <w:noWrap w:val="0"/>
                  <w:vAlign w:val="center"/>
                </w:tcPr>
                <w:p w14:paraId="4A3679E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30</w:t>
                  </w:r>
                </w:p>
              </w:tc>
              <w:tc>
                <w:tcPr>
                  <w:tcW w:w="461" w:type="pct"/>
                  <w:tcBorders>
                    <w:right w:val="single" w:color="auto" w:sz="4" w:space="0"/>
                  </w:tcBorders>
                  <w:noWrap w:val="0"/>
                  <w:vAlign w:val="center"/>
                </w:tcPr>
                <w:p w14:paraId="6EF6FB6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r>
            <w:tr w14:paraId="31D9C75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tcBorders>
                    <w:left w:val="single" w:color="auto" w:sz="4" w:space="0"/>
                  </w:tcBorders>
                  <w:noWrap w:val="0"/>
                  <w:vAlign w:val="center"/>
                </w:tcPr>
                <w:p w14:paraId="0A51625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浊度/NTU</w:t>
                  </w:r>
                </w:p>
              </w:tc>
              <w:tc>
                <w:tcPr>
                  <w:tcW w:w="1113" w:type="pct"/>
                  <w:noWrap w:val="0"/>
                  <w:vAlign w:val="center"/>
                </w:tcPr>
                <w:p w14:paraId="5579189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788" w:type="pct"/>
                  <w:noWrap w:val="0"/>
                  <w:vAlign w:val="center"/>
                </w:tcPr>
                <w:p w14:paraId="29BCB43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619" w:type="pct"/>
                  <w:noWrap w:val="0"/>
                  <w:vAlign w:val="center"/>
                </w:tcPr>
                <w:p w14:paraId="2481632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559" w:type="pct"/>
                  <w:noWrap w:val="0"/>
                  <w:vAlign w:val="center"/>
                </w:tcPr>
                <w:p w14:paraId="4DF3BD3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818" w:type="pct"/>
                  <w:noWrap w:val="0"/>
                  <w:vAlign w:val="center"/>
                </w:tcPr>
                <w:p w14:paraId="13E0463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461" w:type="pct"/>
                  <w:tcBorders>
                    <w:right w:val="single" w:color="auto" w:sz="4" w:space="0"/>
                  </w:tcBorders>
                  <w:noWrap w:val="0"/>
                  <w:vAlign w:val="center"/>
                </w:tcPr>
                <w:p w14:paraId="7E02F84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r>
            <w:tr w14:paraId="6EFA45C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tcBorders>
                    <w:left w:val="single" w:color="auto" w:sz="4" w:space="0"/>
                  </w:tcBorders>
                  <w:noWrap w:val="0"/>
                  <w:vAlign w:val="center"/>
                </w:tcPr>
                <w:p w14:paraId="2504902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COD</w:t>
                  </w:r>
                </w:p>
              </w:tc>
              <w:tc>
                <w:tcPr>
                  <w:tcW w:w="1113" w:type="pct"/>
                  <w:noWrap w:val="0"/>
                  <w:vAlign w:val="center"/>
                </w:tcPr>
                <w:p w14:paraId="002D6FC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788" w:type="pct"/>
                  <w:noWrap w:val="0"/>
                  <w:vAlign w:val="center"/>
                </w:tcPr>
                <w:p w14:paraId="354C402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619" w:type="pct"/>
                  <w:noWrap w:val="0"/>
                  <w:vAlign w:val="center"/>
                </w:tcPr>
                <w:p w14:paraId="49C7E9DE">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559" w:type="pct"/>
                  <w:noWrap w:val="0"/>
                  <w:vAlign w:val="center"/>
                </w:tcPr>
                <w:p w14:paraId="0021BFB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582B10D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tcBorders>
                    <w:right w:val="single" w:color="auto" w:sz="4" w:space="0"/>
                  </w:tcBorders>
                  <w:noWrap w:val="0"/>
                  <w:vAlign w:val="center"/>
                </w:tcPr>
                <w:p w14:paraId="1732C999">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50</w:t>
                  </w:r>
                </w:p>
              </w:tc>
            </w:tr>
            <w:tr w14:paraId="6726DA8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tcBorders>
                    <w:left w:val="single" w:color="auto" w:sz="4" w:space="0"/>
                  </w:tcBorders>
                  <w:noWrap w:val="0"/>
                  <w:vAlign w:val="center"/>
                </w:tcPr>
                <w:p w14:paraId="6E6409C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vertAlign w:val="baseline"/>
                      <w:lang w:val="en-US" w:eastAsia="zh-CN" w:bidi="ar-SA"/>
                    </w:rPr>
                    <w:t>BOD</w:t>
                  </w:r>
                  <w:r>
                    <w:rPr>
                      <w:rFonts w:hint="default" w:ascii="Times New Roman" w:hAnsi="Times New Roman" w:eastAsia="宋体" w:cs="Times New Roman"/>
                      <w:color w:val="auto"/>
                      <w:kern w:val="0"/>
                      <w:position w:val="2"/>
                      <w:sz w:val="21"/>
                      <w:szCs w:val="21"/>
                      <w:vertAlign w:val="subscript"/>
                      <w:lang w:val="en-US" w:eastAsia="zh-CN" w:bidi="ar-SA"/>
                    </w:rPr>
                    <w:t>5</w:t>
                  </w:r>
                </w:p>
              </w:tc>
              <w:tc>
                <w:tcPr>
                  <w:tcW w:w="1113" w:type="pct"/>
                  <w:noWrap w:val="0"/>
                  <w:vAlign w:val="center"/>
                </w:tcPr>
                <w:p w14:paraId="25CB5E6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788" w:type="pct"/>
                  <w:noWrap w:val="0"/>
                  <w:vAlign w:val="center"/>
                </w:tcPr>
                <w:p w14:paraId="7F5654E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619" w:type="pct"/>
                  <w:noWrap w:val="0"/>
                  <w:vAlign w:val="center"/>
                </w:tcPr>
                <w:p w14:paraId="241FB16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559" w:type="pct"/>
                  <w:noWrap w:val="0"/>
                  <w:vAlign w:val="center"/>
                </w:tcPr>
                <w:p w14:paraId="3F74A70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818" w:type="pct"/>
                  <w:noWrap w:val="0"/>
                  <w:vAlign w:val="center"/>
                </w:tcPr>
                <w:p w14:paraId="0988EF7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461" w:type="pct"/>
                  <w:tcBorders>
                    <w:right w:val="single" w:color="auto" w:sz="4" w:space="0"/>
                  </w:tcBorders>
                  <w:noWrap w:val="0"/>
                  <w:vAlign w:val="center"/>
                </w:tcPr>
                <w:p w14:paraId="31A7E08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r>
            <w:tr w14:paraId="6EE8CC4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tcBorders>
                    <w:left w:val="single" w:color="auto" w:sz="4" w:space="0"/>
                  </w:tcBorders>
                  <w:noWrap w:val="0"/>
                  <w:vAlign w:val="center"/>
                </w:tcPr>
                <w:p w14:paraId="3C76365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SS</w:t>
                  </w:r>
                </w:p>
              </w:tc>
              <w:tc>
                <w:tcPr>
                  <w:tcW w:w="1113" w:type="pct"/>
                  <w:noWrap w:val="0"/>
                  <w:vAlign w:val="center"/>
                </w:tcPr>
                <w:p w14:paraId="5346A93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788" w:type="pct"/>
                  <w:noWrap w:val="0"/>
                  <w:vAlign w:val="center"/>
                </w:tcPr>
                <w:p w14:paraId="47B6398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619" w:type="pct"/>
                  <w:noWrap w:val="0"/>
                  <w:vAlign w:val="center"/>
                </w:tcPr>
                <w:p w14:paraId="074C742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559" w:type="pct"/>
                  <w:noWrap w:val="0"/>
                  <w:vAlign w:val="center"/>
                </w:tcPr>
                <w:p w14:paraId="523EA73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0E769CA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tcBorders>
                    <w:right w:val="single" w:color="auto" w:sz="4" w:space="0"/>
                  </w:tcBorders>
                  <w:noWrap w:val="0"/>
                  <w:vAlign w:val="center"/>
                </w:tcPr>
                <w:p w14:paraId="129E708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r>
            <w:tr w14:paraId="4FC91EB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tcBorders>
                    <w:left w:val="single" w:color="auto" w:sz="4" w:space="0"/>
                  </w:tcBorders>
                  <w:noWrap w:val="0"/>
                  <w:vAlign w:val="center"/>
                </w:tcPr>
                <w:p w14:paraId="3590962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w:t>
                  </w:r>
                  <w:r>
                    <w:rPr>
                      <w:rFonts w:hint="default" w:ascii="Times New Roman" w:hAnsi="Times New Roman" w:cs="Times New Roman"/>
                      <w:color w:val="auto"/>
                      <w:kern w:val="0"/>
                      <w:sz w:val="21"/>
                      <w:szCs w:val="21"/>
                      <w:vertAlign w:val="baseline"/>
                      <w:lang w:val="en-US" w:eastAsia="zh-CN" w:bidi="ar-SA"/>
                    </w:rPr>
                    <w:t>H</w:t>
                  </w:r>
                  <w:r>
                    <w:rPr>
                      <w:rFonts w:hint="default" w:ascii="Times New Roman" w:hAnsi="Times New Roman" w:cs="Times New Roman"/>
                      <w:color w:val="auto"/>
                      <w:kern w:val="0"/>
                      <w:sz w:val="21"/>
                      <w:szCs w:val="21"/>
                      <w:vertAlign w:val="subscript"/>
                      <w:lang w:val="en-US" w:eastAsia="zh-CN" w:bidi="ar-SA"/>
                    </w:rPr>
                    <w:t>3</w:t>
                  </w:r>
                  <w:r>
                    <w:rPr>
                      <w:rFonts w:hint="default" w:ascii="Times New Roman" w:hAnsi="Times New Roman" w:eastAsia="宋体" w:cs="Times New Roman"/>
                      <w:color w:val="auto"/>
                      <w:kern w:val="0"/>
                      <w:sz w:val="21"/>
                      <w:szCs w:val="21"/>
                      <w:lang w:val="en-US" w:eastAsia="zh-CN" w:bidi="ar-SA"/>
                    </w:rPr>
                    <w:t>-N</w:t>
                  </w:r>
                  <w:r>
                    <w:rPr>
                      <w:rFonts w:hint="default" w:ascii="Times New Roman" w:hAnsi="Times New Roman" w:eastAsia="宋体" w:cs="Times New Roman"/>
                      <w:color w:val="auto"/>
                      <w:kern w:val="0"/>
                      <w:sz w:val="21"/>
                      <w:szCs w:val="21"/>
                      <w:lang w:val="en-US" w:eastAsia="en-US" w:bidi="ar-SA"/>
                    </w:rPr>
                    <w:t>（以N计）</w:t>
                  </w:r>
                </w:p>
              </w:tc>
              <w:tc>
                <w:tcPr>
                  <w:tcW w:w="1113" w:type="pct"/>
                  <w:noWrap w:val="0"/>
                  <w:vAlign w:val="center"/>
                </w:tcPr>
                <w:p w14:paraId="0BF048E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788" w:type="pct"/>
                  <w:noWrap w:val="0"/>
                  <w:vAlign w:val="center"/>
                </w:tcPr>
                <w:p w14:paraId="05411CD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619" w:type="pct"/>
                  <w:noWrap w:val="0"/>
                  <w:vAlign w:val="center"/>
                </w:tcPr>
                <w:p w14:paraId="1E00C58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559" w:type="pct"/>
                  <w:noWrap w:val="0"/>
                  <w:vAlign w:val="center"/>
                </w:tcPr>
                <w:p w14:paraId="21C0A5C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818" w:type="pct"/>
                  <w:noWrap w:val="0"/>
                  <w:vAlign w:val="center"/>
                </w:tcPr>
                <w:p w14:paraId="7E321E1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w:t>
                  </w:r>
                </w:p>
              </w:tc>
              <w:tc>
                <w:tcPr>
                  <w:tcW w:w="461" w:type="pct"/>
                  <w:tcBorders>
                    <w:right w:val="single" w:color="auto" w:sz="4" w:space="0"/>
                  </w:tcBorders>
                  <w:noWrap w:val="0"/>
                  <w:vAlign w:val="center"/>
                </w:tcPr>
                <w:p w14:paraId="6BC06F7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5</w:t>
                  </w:r>
                </w:p>
              </w:tc>
            </w:tr>
            <w:tr w14:paraId="6C716D7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tcBorders>
                    <w:left w:val="single" w:color="auto" w:sz="4" w:space="0"/>
                  </w:tcBorders>
                  <w:noWrap w:val="0"/>
                  <w:vAlign w:val="center"/>
                </w:tcPr>
                <w:p w14:paraId="14D0B6C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TN</w:t>
                  </w:r>
                </w:p>
              </w:tc>
              <w:tc>
                <w:tcPr>
                  <w:tcW w:w="1113" w:type="pct"/>
                  <w:noWrap w:val="0"/>
                  <w:vAlign w:val="center"/>
                </w:tcPr>
                <w:p w14:paraId="107B9C7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788" w:type="pct"/>
                  <w:noWrap w:val="0"/>
                  <w:vAlign w:val="center"/>
                </w:tcPr>
                <w:p w14:paraId="061A4C0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619" w:type="pct"/>
                  <w:noWrap w:val="0"/>
                  <w:vAlign w:val="center"/>
                </w:tcPr>
                <w:p w14:paraId="796FCD1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559" w:type="pct"/>
                  <w:noWrap w:val="0"/>
                  <w:vAlign w:val="center"/>
                </w:tcPr>
                <w:p w14:paraId="0104CDB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681A8DD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tcBorders>
                    <w:right w:val="single" w:color="auto" w:sz="4" w:space="0"/>
                  </w:tcBorders>
                  <w:noWrap w:val="0"/>
                  <w:vAlign w:val="center"/>
                </w:tcPr>
                <w:p w14:paraId="1737C19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w:t>
                  </w:r>
                  <w:r>
                    <w:rPr>
                      <w:rFonts w:hint="default" w:ascii="Times New Roman" w:hAnsi="Times New Roman" w:cs="Times New Roman"/>
                      <w:color w:val="auto"/>
                      <w:kern w:val="0"/>
                      <w:sz w:val="21"/>
                      <w:szCs w:val="21"/>
                      <w:lang w:val="en-US" w:eastAsia="zh-CN" w:bidi="ar-SA"/>
                    </w:rPr>
                    <w:t>5</w:t>
                  </w:r>
                </w:p>
              </w:tc>
            </w:tr>
            <w:tr w14:paraId="0D64D30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38" w:type="pct"/>
                  <w:tcBorders>
                    <w:left w:val="single" w:color="auto" w:sz="4" w:space="0"/>
                    <w:bottom w:val="single" w:color="auto" w:sz="4" w:space="0"/>
                  </w:tcBorders>
                  <w:noWrap w:val="0"/>
                  <w:vAlign w:val="center"/>
                </w:tcPr>
                <w:p w14:paraId="7BBF9DE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TP</w:t>
                  </w:r>
                </w:p>
              </w:tc>
              <w:tc>
                <w:tcPr>
                  <w:tcW w:w="1113" w:type="pct"/>
                  <w:tcBorders>
                    <w:bottom w:val="single" w:color="auto" w:sz="4" w:space="0"/>
                  </w:tcBorders>
                  <w:noWrap w:val="0"/>
                  <w:vAlign w:val="center"/>
                </w:tcPr>
                <w:p w14:paraId="77EBEAC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788" w:type="pct"/>
                  <w:tcBorders>
                    <w:bottom w:val="single" w:color="auto" w:sz="4" w:space="0"/>
                  </w:tcBorders>
                  <w:noWrap w:val="0"/>
                  <w:vAlign w:val="center"/>
                </w:tcPr>
                <w:p w14:paraId="522C09E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619" w:type="pct"/>
                  <w:tcBorders>
                    <w:bottom w:val="single" w:color="auto" w:sz="4" w:space="0"/>
                  </w:tcBorders>
                  <w:noWrap w:val="0"/>
                  <w:vAlign w:val="center"/>
                </w:tcPr>
                <w:p w14:paraId="22AC573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559" w:type="pct"/>
                  <w:tcBorders>
                    <w:bottom w:val="single" w:color="auto" w:sz="4" w:space="0"/>
                  </w:tcBorders>
                  <w:noWrap w:val="0"/>
                  <w:vAlign w:val="center"/>
                </w:tcPr>
                <w:p w14:paraId="418D341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tcBorders>
                    <w:bottom w:val="single" w:color="auto" w:sz="4" w:space="0"/>
                  </w:tcBorders>
                  <w:noWrap w:val="0"/>
                  <w:vAlign w:val="center"/>
                </w:tcPr>
                <w:p w14:paraId="0C587EB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tcBorders>
                    <w:bottom w:val="single" w:color="auto" w:sz="4" w:space="0"/>
                    <w:right w:val="single" w:color="auto" w:sz="4" w:space="0"/>
                  </w:tcBorders>
                  <w:noWrap w:val="0"/>
                  <w:vAlign w:val="center"/>
                </w:tcPr>
                <w:p w14:paraId="462A4B39">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0.5</w:t>
                  </w:r>
                </w:p>
              </w:tc>
            </w:tr>
          </w:tbl>
          <w:p w14:paraId="7006FBC7">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根据三期工程处理规模（5500t/d，即200.75万t/a）及设计进出水水质，可计算出处理后的中水中主要污染物的排放源强及建设前后的削减率。</w:t>
            </w:r>
          </w:p>
          <w:p w14:paraId="48C5DE7F">
            <w:pPr>
              <w:spacing w:line="360" w:lineRule="auto"/>
              <w:jc w:val="center"/>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表2-9 三期工程处理后的中水产排污情况一览表</w:t>
            </w:r>
          </w:p>
          <w:tbl>
            <w:tblPr>
              <w:tblStyle w:val="11"/>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Layout w:type="fixed"/>
              <w:tblCellMar>
                <w:top w:w="0" w:type="dxa"/>
                <w:left w:w="23" w:type="dxa"/>
                <w:bottom w:w="0" w:type="dxa"/>
                <w:right w:w="23" w:type="dxa"/>
              </w:tblCellMar>
            </w:tblPr>
            <w:tblGrid>
              <w:gridCol w:w="904"/>
              <w:gridCol w:w="904"/>
              <w:gridCol w:w="904"/>
              <w:gridCol w:w="904"/>
              <w:gridCol w:w="904"/>
              <w:gridCol w:w="904"/>
              <w:gridCol w:w="904"/>
              <w:gridCol w:w="904"/>
              <w:gridCol w:w="904"/>
            </w:tblGrid>
            <w:tr w14:paraId="2D031A0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23" w:type="dxa"/>
                  <w:bottom w:w="0" w:type="dxa"/>
                  <w:right w:w="23" w:type="dxa"/>
                </w:tblCellMar>
              </w:tblPrEx>
              <w:trPr>
                <w:trHeight w:val="397" w:hRule="atLeast"/>
                <w:jc w:val="center"/>
              </w:trPr>
              <w:tc>
                <w:tcPr>
                  <w:tcW w:w="904" w:type="dxa"/>
                  <w:vMerge w:val="restart"/>
                  <w:tcBorders>
                    <w:top w:val="single" w:color="auto" w:sz="4" w:space="0"/>
                    <w:left w:val="single" w:color="auto" w:sz="0" w:space="0"/>
                    <w:tl2br w:val="nil"/>
                    <w:tr2bl w:val="nil"/>
                  </w:tcBorders>
                  <w:shd w:val="clear" w:color="auto" w:fill="auto"/>
                  <w:vAlign w:val="center"/>
                </w:tcPr>
                <w:p w14:paraId="06EA646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废水</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类型</w:t>
                  </w:r>
                </w:p>
              </w:tc>
              <w:tc>
                <w:tcPr>
                  <w:tcW w:w="904" w:type="dxa"/>
                  <w:vMerge w:val="restart"/>
                  <w:tcBorders>
                    <w:top w:val="single" w:color="auto" w:sz="4" w:space="0"/>
                    <w:tl2br w:val="nil"/>
                    <w:tr2bl w:val="nil"/>
                  </w:tcBorders>
                  <w:shd w:val="clear" w:color="auto" w:fill="auto"/>
                  <w:vAlign w:val="center"/>
                </w:tcPr>
                <w:p w14:paraId="280406A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1808" w:type="dxa"/>
                  <w:gridSpan w:val="2"/>
                  <w:tcBorders>
                    <w:top w:val="single" w:color="auto" w:sz="4" w:space="0"/>
                    <w:tl2br w:val="nil"/>
                    <w:tr2bl w:val="nil"/>
                  </w:tcBorders>
                  <w:shd w:val="clear" w:color="auto" w:fill="auto"/>
                  <w:vAlign w:val="center"/>
                </w:tcPr>
                <w:p w14:paraId="799CE66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污染物产生量</w:t>
                  </w:r>
                </w:p>
              </w:tc>
              <w:tc>
                <w:tcPr>
                  <w:tcW w:w="904" w:type="dxa"/>
                  <w:vMerge w:val="restart"/>
                  <w:tcBorders>
                    <w:top w:val="single" w:color="auto" w:sz="4" w:space="0"/>
                    <w:tl2br w:val="nil"/>
                    <w:tr2bl w:val="nil"/>
                  </w:tcBorders>
                  <w:shd w:val="clear" w:color="auto" w:fill="auto"/>
                  <w:vAlign w:val="center"/>
                </w:tcPr>
                <w:p w14:paraId="7D0CA3E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治理措施</w:t>
                  </w:r>
                </w:p>
              </w:tc>
              <w:tc>
                <w:tcPr>
                  <w:tcW w:w="904" w:type="dxa"/>
                  <w:vMerge w:val="restart"/>
                  <w:tcBorders>
                    <w:top w:val="single" w:color="auto" w:sz="4" w:space="0"/>
                    <w:tl2br w:val="nil"/>
                    <w:tr2bl w:val="nil"/>
                  </w:tcBorders>
                  <w:shd w:val="clear" w:color="auto" w:fill="auto"/>
                  <w:vAlign w:val="center"/>
                </w:tcPr>
                <w:p w14:paraId="72E76F6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去除效率%</w:t>
                  </w:r>
                </w:p>
              </w:tc>
              <w:tc>
                <w:tcPr>
                  <w:tcW w:w="1808" w:type="dxa"/>
                  <w:gridSpan w:val="2"/>
                  <w:tcBorders>
                    <w:top w:val="single" w:color="auto" w:sz="4" w:space="0"/>
                    <w:tl2br w:val="nil"/>
                    <w:tr2bl w:val="nil"/>
                  </w:tcBorders>
                  <w:shd w:val="clear" w:color="auto" w:fill="auto"/>
                  <w:vAlign w:val="center"/>
                </w:tcPr>
                <w:p w14:paraId="07D9D02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污染物排放量</w:t>
                  </w:r>
                </w:p>
              </w:tc>
              <w:tc>
                <w:tcPr>
                  <w:tcW w:w="904" w:type="dxa"/>
                  <w:vMerge w:val="restart"/>
                  <w:tcBorders>
                    <w:top w:val="single" w:color="auto" w:sz="4" w:space="0"/>
                    <w:right w:val="single" w:color="auto" w:sz="4" w:space="0"/>
                    <w:tl2br w:val="nil"/>
                    <w:tr2bl w:val="nil"/>
                  </w:tcBorders>
                  <w:shd w:val="clear" w:color="auto" w:fill="auto"/>
                  <w:vAlign w:val="center"/>
                </w:tcPr>
                <w:p w14:paraId="546B3EE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执行标准</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（mg/L）</w:t>
                  </w:r>
                </w:p>
              </w:tc>
            </w:tr>
            <w:tr w14:paraId="1DDF18C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904" w:type="dxa"/>
                  <w:vMerge w:val="continue"/>
                  <w:tcBorders>
                    <w:left w:val="single" w:color="auto" w:sz="4" w:space="0"/>
                    <w:tl2br w:val="nil"/>
                    <w:tr2bl w:val="nil"/>
                  </w:tcBorders>
                  <w:shd w:val="clear" w:color="auto" w:fill="auto"/>
                  <w:vAlign w:val="center"/>
                </w:tcPr>
                <w:p w14:paraId="4AA1BB8A">
                  <w:pPr>
                    <w:jc w:val="center"/>
                    <w:rPr>
                      <w:rFonts w:hint="default" w:ascii="Times New Roman" w:hAnsi="Times New Roman" w:eastAsia="宋体" w:cs="Times New Roman"/>
                      <w:b/>
                      <w:bCs/>
                      <w:i w:val="0"/>
                      <w:iCs w:val="0"/>
                      <w:color w:val="auto"/>
                      <w:sz w:val="21"/>
                      <w:szCs w:val="21"/>
                      <w:u w:val="none"/>
                    </w:rPr>
                  </w:pPr>
                </w:p>
              </w:tc>
              <w:tc>
                <w:tcPr>
                  <w:tcW w:w="904" w:type="dxa"/>
                  <w:vMerge w:val="continue"/>
                  <w:tcBorders>
                    <w:tl2br w:val="nil"/>
                    <w:tr2bl w:val="nil"/>
                  </w:tcBorders>
                  <w:shd w:val="clear" w:color="auto" w:fill="auto"/>
                  <w:vAlign w:val="center"/>
                </w:tcPr>
                <w:p w14:paraId="136E798D">
                  <w:pPr>
                    <w:jc w:val="center"/>
                    <w:rPr>
                      <w:rFonts w:hint="default" w:ascii="Times New Roman" w:hAnsi="Times New Roman" w:eastAsia="宋体" w:cs="Times New Roman"/>
                      <w:b/>
                      <w:bCs/>
                      <w:i w:val="0"/>
                      <w:iCs w:val="0"/>
                      <w:color w:val="auto"/>
                      <w:sz w:val="21"/>
                      <w:szCs w:val="21"/>
                      <w:u w:val="none"/>
                    </w:rPr>
                  </w:pPr>
                </w:p>
              </w:tc>
              <w:tc>
                <w:tcPr>
                  <w:tcW w:w="904" w:type="dxa"/>
                  <w:tcBorders>
                    <w:tl2br w:val="nil"/>
                    <w:tr2bl w:val="nil"/>
                  </w:tcBorders>
                  <w:shd w:val="clear" w:color="auto" w:fill="auto"/>
                  <w:vAlign w:val="center"/>
                </w:tcPr>
                <w:p w14:paraId="0C39F19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浓度（mg/L）</w:t>
                  </w:r>
                </w:p>
              </w:tc>
              <w:tc>
                <w:tcPr>
                  <w:tcW w:w="904" w:type="dxa"/>
                  <w:tcBorders>
                    <w:tl2br w:val="nil"/>
                    <w:tr2bl w:val="nil"/>
                  </w:tcBorders>
                  <w:shd w:val="clear" w:color="auto" w:fill="auto"/>
                  <w:vAlign w:val="center"/>
                </w:tcPr>
                <w:p w14:paraId="5FE363A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产生量</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904" w:type="dxa"/>
                  <w:vMerge w:val="continue"/>
                  <w:tcBorders>
                    <w:tl2br w:val="nil"/>
                    <w:tr2bl w:val="nil"/>
                  </w:tcBorders>
                  <w:shd w:val="clear" w:color="auto" w:fill="auto"/>
                  <w:vAlign w:val="center"/>
                </w:tcPr>
                <w:p w14:paraId="55ABA19B">
                  <w:pPr>
                    <w:jc w:val="center"/>
                    <w:rPr>
                      <w:rFonts w:hint="default" w:ascii="Times New Roman" w:hAnsi="Times New Roman" w:eastAsia="宋体" w:cs="Times New Roman"/>
                      <w:b/>
                      <w:bCs/>
                      <w:i w:val="0"/>
                      <w:iCs w:val="0"/>
                      <w:color w:val="auto"/>
                      <w:sz w:val="21"/>
                      <w:szCs w:val="21"/>
                      <w:u w:val="none"/>
                    </w:rPr>
                  </w:pPr>
                </w:p>
              </w:tc>
              <w:tc>
                <w:tcPr>
                  <w:tcW w:w="904" w:type="dxa"/>
                  <w:vMerge w:val="continue"/>
                  <w:tcBorders>
                    <w:tl2br w:val="nil"/>
                    <w:tr2bl w:val="nil"/>
                  </w:tcBorders>
                  <w:shd w:val="clear" w:color="auto" w:fill="auto"/>
                  <w:vAlign w:val="center"/>
                </w:tcPr>
                <w:p w14:paraId="653BBA7E">
                  <w:pPr>
                    <w:jc w:val="center"/>
                    <w:rPr>
                      <w:rFonts w:hint="default" w:ascii="Times New Roman" w:hAnsi="Times New Roman" w:eastAsia="宋体" w:cs="Times New Roman"/>
                      <w:b/>
                      <w:bCs/>
                      <w:i w:val="0"/>
                      <w:iCs w:val="0"/>
                      <w:color w:val="auto"/>
                      <w:sz w:val="21"/>
                      <w:szCs w:val="21"/>
                      <w:u w:val="none"/>
                    </w:rPr>
                  </w:pPr>
                </w:p>
              </w:tc>
              <w:tc>
                <w:tcPr>
                  <w:tcW w:w="904" w:type="dxa"/>
                  <w:tcBorders>
                    <w:tl2br w:val="nil"/>
                    <w:tr2bl w:val="nil"/>
                  </w:tcBorders>
                  <w:shd w:val="clear" w:color="auto" w:fill="auto"/>
                  <w:vAlign w:val="center"/>
                </w:tcPr>
                <w:p w14:paraId="3D81F6D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浓度（mg/L）</w:t>
                  </w:r>
                </w:p>
              </w:tc>
              <w:tc>
                <w:tcPr>
                  <w:tcW w:w="904" w:type="dxa"/>
                  <w:tcBorders>
                    <w:tl2br w:val="nil"/>
                    <w:tr2bl w:val="nil"/>
                  </w:tcBorders>
                  <w:shd w:val="clear" w:color="auto" w:fill="auto"/>
                  <w:vAlign w:val="center"/>
                </w:tcPr>
                <w:p w14:paraId="2EC58F8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排放量</w:t>
                  </w:r>
                  <w:r>
                    <w:rPr>
                      <w:rFonts w:hint="default" w:ascii="Times New Roman" w:hAnsi="Times New Roman" w:eastAsia="宋体" w:cs="Times New Roman"/>
                      <w:b/>
                      <w:bCs/>
                      <w:i w:val="0"/>
                      <w:iCs w:val="0"/>
                      <w:color w:val="auto"/>
                      <w:kern w:val="0"/>
                      <w:sz w:val="21"/>
                      <w:szCs w:val="21"/>
                      <w:u w:val="none"/>
                      <w:lang w:val="en-US" w:eastAsia="zh-CN" w:bidi="ar"/>
                    </w:rPr>
                    <w:br w:type="textWrapping"/>
                  </w:r>
                  <w:r>
                    <w:rPr>
                      <w:rFonts w:hint="default" w:ascii="Times New Roman" w:hAnsi="Times New Roman" w:eastAsia="宋体" w:cs="Times New Roman"/>
                      <w:b/>
                      <w:bCs/>
                      <w:i w:val="0"/>
                      <w:iCs w:val="0"/>
                      <w:color w:val="auto"/>
                      <w:kern w:val="0"/>
                      <w:sz w:val="21"/>
                      <w:szCs w:val="21"/>
                      <w:u w:val="none"/>
                      <w:lang w:val="en-US" w:eastAsia="zh-CN" w:bidi="ar"/>
                    </w:rPr>
                    <w:t>（t/a）</w:t>
                  </w:r>
                </w:p>
              </w:tc>
              <w:tc>
                <w:tcPr>
                  <w:tcW w:w="904" w:type="dxa"/>
                  <w:vMerge w:val="continue"/>
                  <w:tcBorders>
                    <w:right w:val="single" w:color="auto" w:sz="4" w:space="0"/>
                    <w:tl2br w:val="nil"/>
                    <w:tr2bl w:val="nil"/>
                  </w:tcBorders>
                  <w:shd w:val="clear" w:color="auto" w:fill="auto"/>
                  <w:vAlign w:val="center"/>
                </w:tcPr>
                <w:p w14:paraId="2C09AB06">
                  <w:pPr>
                    <w:jc w:val="center"/>
                    <w:rPr>
                      <w:rFonts w:hint="default" w:ascii="Times New Roman" w:hAnsi="Times New Roman" w:eastAsia="宋体" w:cs="Times New Roman"/>
                      <w:b/>
                      <w:bCs/>
                      <w:i w:val="0"/>
                      <w:iCs w:val="0"/>
                      <w:color w:val="auto"/>
                      <w:sz w:val="21"/>
                      <w:szCs w:val="21"/>
                      <w:u w:val="none"/>
                    </w:rPr>
                  </w:pPr>
                </w:p>
              </w:tc>
            </w:tr>
            <w:tr w14:paraId="5594657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904" w:type="dxa"/>
                  <w:vMerge w:val="restart"/>
                  <w:tcBorders>
                    <w:left w:val="single" w:color="auto" w:sz="4" w:space="0"/>
                    <w:tl2br w:val="nil"/>
                    <w:tr2bl w:val="nil"/>
                  </w:tcBorders>
                  <w:shd w:val="clear" w:color="auto" w:fill="auto"/>
                  <w:vAlign w:val="center"/>
                </w:tcPr>
                <w:p w14:paraId="4878B7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处理后的中水</w:t>
                  </w:r>
                </w:p>
              </w:tc>
              <w:tc>
                <w:tcPr>
                  <w:tcW w:w="904" w:type="dxa"/>
                  <w:tcBorders>
                    <w:tl2br w:val="nil"/>
                    <w:tr2bl w:val="nil"/>
                  </w:tcBorders>
                  <w:shd w:val="clear" w:color="auto" w:fill="auto"/>
                  <w:vAlign w:val="center"/>
                </w:tcPr>
                <w:p w14:paraId="04997F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水量</w:t>
                  </w:r>
                </w:p>
              </w:tc>
              <w:tc>
                <w:tcPr>
                  <w:tcW w:w="904" w:type="dxa"/>
                  <w:tcBorders>
                    <w:tl2br w:val="nil"/>
                    <w:tr2bl w:val="nil"/>
                  </w:tcBorders>
                  <w:shd w:val="clear" w:color="auto" w:fill="auto"/>
                  <w:vAlign w:val="center"/>
                </w:tcPr>
                <w:p w14:paraId="08E93BEA">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04" w:type="dxa"/>
                  <w:tcBorders>
                    <w:tl2br w:val="nil"/>
                    <w:tr2bl w:val="nil"/>
                  </w:tcBorders>
                  <w:shd w:val="clear" w:color="auto" w:fill="auto"/>
                  <w:vAlign w:val="center"/>
                </w:tcPr>
                <w:p w14:paraId="65046C2D">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2007500</w:t>
                  </w:r>
                </w:p>
              </w:tc>
              <w:tc>
                <w:tcPr>
                  <w:tcW w:w="904" w:type="dxa"/>
                  <w:vMerge w:val="restart"/>
                  <w:tcBorders>
                    <w:tl2br w:val="nil"/>
                    <w:tr2bl w:val="nil"/>
                  </w:tcBorders>
                  <w:shd w:val="clear" w:color="auto" w:fill="auto"/>
                  <w:vAlign w:val="center"/>
                </w:tcPr>
                <w:p w14:paraId="77E406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改良AAO生物处理+磁絮凝池+深度脱氮+消毒工艺</w:t>
                  </w:r>
                </w:p>
              </w:tc>
              <w:tc>
                <w:tcPr>
                  <w:tcW w:w="904" w:type="dxa"/>
                  <w:tcBorders>
                    <w:tl2br w:val="nil"/>
                    <w:tr2bl w:val="nil"/>
                  </w:tcBorders>
                  <w:shd w:val="clear" w:color="auto" w:fill="auto"/>
                  <w:vAlign w:val="center"/>
                </w:tcPr>
                <w:p w14:paraId="4C618A9B">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04" w:type="dxa"/>
                  <w:tcBorders>
                    <w:tl2br w:val="nil"/>
                    <w:tr2bl w:val="nil"/>
                  </w:tcBorders>
                  <w:shd w:val="clear" w:color="auto" w:fill="auto"/>
                  <w:vAlign w:val="center"/>
                </w:tcPr>
                <w:p w14:paraId="401A8D63">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04" w:type="dxa"/>
                  <w:tcBorders>
                    <w:tl2br w:val="nil"/>
                    <w:tr2bl w:val="nil"/>
                  </w:tcBorders>
                  <w:shd w:val="clear" w:color="auto" w:fill="auto"/>
                  <w:vAlign w:val="center"/>
                </w:tcPr>
                <w:p w14:paraId="67BC9DB3">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2007500</w:t>
                  </w:r>
                </w:p>
              </w:tc>
              <w:tc>
                <w:tcPr>
                  <w:tcW w:w="904" w:type="dxa"/>
                  <w:tcBorders>
                    <w:right w:val="single" w:color="auto" w:sz="4" w:space="0"/>
                    <w:tl2br w:val="nil"/>
                    <w:tr2bl w:val="nil"/>
                  </w:tcBorders>
                  <w:shd w:val="clear" w:color="auto" w:fill="auto"/>
                  <w:vAlign w:val="center"/>
                </w:tcPr>
                <w:p w14:paraId="06B300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6D671E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904" w:type="dxa"/>
                  <w:vMerge w:val="continue"/>
                  <w:tcBorders>
                    <w:left w:val="single" w:color="auto" w:sz="4" w:space="0"/>
                    <w:tl2br w:val="nil"/>
                    <w:tr2bl w:val="nil"/>
                  </w:tcBorders>
                  <w:shd w:val="clear" w:color="auto" w:fill="auto"/>
                  <w:vAlign w:val="center"/>
                </w:tcPr>
                <w:p w14:paraId="43D308B7">
                  <w:pPr>
                    <w:jc w:val="center"/>
                    <w:rPr>
                      <w:rFonts w:hint="default" w:ascii="Times New Roman" w:hAnsi="Times New Roman" w:eastAsia="宋体" w:cs="Times New Roman"/>
                      <w:i w:val="0"/>
                      <w:iCs w:val="0"/>
                      <w:color w:val="auto"/>
                      <w:sz w:val="21"/>
                      <w:szCs w:val="21"/>
                      <w:u w:val="none"/>
                    </w:rPr>
                  </w:pPr>
                </w:p>
              </w:tc>
              <w:tc>
                <w:tcPr>
                  <w:tcW w:w="904" w:type="dxa"/>
                  <w:tcBorders>
                    <w:tl2br w:val="nil"/>
                    <w:tr2bl w:val="nil"/>
                  </w:tcBorders>
                  <w:shd w:val="clear" w:color="auto" w:fill="auto"/>
                  <w:vAlign w:val="center"/>
                </w:tcPr>
                <w:p w14:paraId="3C1613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COD</w:t>
                  </w:r>
                  <w:r>
                    <w:rPr>
                      <w:rFonts w:hint="default" w:ascii="Times New Roman" w:hAnsi="Times New Roman" w:eastAsia="宋体" w:cs="Times New Roman"/>
                      <w:i w:val="0"/>
                      <w:iCs w:val="0"/>
                      <w:color w:val="auto"/>
                      <w:kern w:val="0"/>
                      <w:sz w:val="21"/>
                      <w:szCs w:val="21"/>
                      <w:u w:val="none"/>
                      <w:vertAlign w:val="subscript"/>
                      <w:lang w:val="en-US" w:eastAsia="zh-CN" w:bidi="ar"/>
                    </w:rPr>
                    <w:t>Cr</w:t>
                  </w:r>
                </w:p>
              </w:tc>
              <w:tc>
                <w:tcPr>
                  <w:tcW w:w="904" w:type="dxa"/>
                  <w:tcBorders>
                    <w:tl2br w:val="nil"/>
                    <w:tr2bl w:val="nil"/>
                  </w:tcBorders>
                  <w:shd w:val="clear" w:color="auto" w:fill="auto"/>
                  <w:vAlign w:val="center"/>
                </w:tcPr>
                <w:p w14:paraId="2056418C">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510</w:t>
                  </w:r>
                </w:p>
              </w:tc>
              <w:tc>
                <w:tcPr>
                  <w:tcW w:w="904" w:type="dxa"/>
                  <w:tcBorders>
                    <w:tl2br w:val="nil"/>
                    <w:tr2bl w:val="nil"/>
                  </w:tcBorders>
                  <w:shd w:val="clear" w:color="auto" w:fill="auto"/>
                  <w:vAlign w:val="center"/>
                </w:tcPr>
                <w:p w14:paraId="4A56580D">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1023.83</w:t>
                  </w:r>
                </w:p>
              </w:tc>
              <w:tc>
                <w:tcPr>
                  <w:tcW w:w="904" w:type="dxa"/>
                  <w:vMerge w:val="continue"/>
                  <w:tcBorders>
                    <w:tl2br w:val="nil"/>
                    <w:tr2bl w:val="nil"/>
                  </w:tcBorders>
                  <w:shd w:val="clear" w:color="auto" w:fill="auto"/>
                  <w:vAlign w:val="center"/>
                </w:tcPr>
                <w:p w14:paraId="6B9ED505">
                  <w:pPr>
                    <w:jc w:val="center"/>
                    <w:rPr>
                      <w:rFonts w:hint="default" w:ascii="Times New Roman" w:hAnsi="Times New Roman" w:eastAsia="宋体" w:cs="Times New Roman"/>
                      <w:i w:val="0"/>
                      <w:iCs w:val="0"/>
                      <w:color w:val="auto"/>
                      <w:sz w:val="21"/>
                      <w:szCs w:val="21"/>
                      <w:u w:val="none"/>
                    </w:rPr>
                  </w:pPr>
                </w:p>
              </w:tc>
              <w:tc>
                <w:tcPr>
                  <w:tcW w:w="904" w:type="dxa"/>
                  <w:tcBorders>
                    <w:tl2br w:val="nil"/>
                    <w:tr2bl w:val="nil"/>
                  </w:tcBorders>
                  <w:shd w:val="clear" w:color="auto" w:fill="auto"/>
                  <w:vAlign w:val="center"/>
                </w:tcPr>
                <w:p w14:paraId="0F7911A4">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90.20</w:t>
                  </w:r>
                </w:p>
              </w:tc>
              <w:tc>
                <w:tcPr>
                  <w:tcW w:w="904" w:type="dxa"/>
                  <w:tcBorders>
                    <w:tl2br w:val="nil"/>
                    <w:tr2bl w:val="nil"/>
                  </w:tcBorders>
                  <w:shd w:val="clear" w:color="auto" w:fill="auto"/>
                  <w:vAlign w:val="center"/>
                </w:tcPr>
                <w:p w14:paraId="26FE3CE9">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w:t>
                  </w:r>
                </w:p>
              </w:tc>
              <w:tc>
                <w:tcPr>
                  <w:tcW w:w="904" w:type="dxa"/>
                  <w:tcBorders>
                    <w:tl2br w:val="nil"/>
                    <w:tr2bl w:val="nil"/>
                  </w:tcBorders>
                  <w:shd w:val="clear" w:color="auto" w:fill="auto"/>
                  <w:vAlign w:val="center"/>
                </w:tcPr>
                <w:p w14:paraId="27FF97B4">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100.38</w:t>
                  </w:r>
                </w:p>
              </w:tc>
              <w:tc>
                <w:tcPr>
                  <w:tcW w:w="904" w:type="dxa"/>
                  <w:tcBorders>
                    <w:right w:val="single" w:color="auto" w:sz="4" w:space="0"/>
                    <w:tl2br w:val="nil"/>
                    <w:tr2bl w:val="nil"/>
                  </w:tcBorders>
                  <w:shd w:val="clear" w:color="auto" w:fill="auto"/>
                  <w:vAlign w:val="center"/>
                </w:tcPr>
                <w:p w14:paraId="199E739E">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r>
            <w:tr w14:paraId="30B2480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904" w:type="dxa"/>
                  <w:vMerge w:val="continue"/>
                  <w:tcBorders>
                    <w:left w:val="single" w:color="auto" w:sz="4" w:space="0"/>
                    <w:tl2br w:val="nil"/>
                    <w:tr2bl w:val="nil"/>
                  </w:tcBorders>
                  <w:shd w:val="clear" w:color="auto" w:fill="auto"/>
                  <w:vAlign w:val="center"/>
                </w:tcPr>
                <w:p w14:paraId="0B8B090B">
                  <w:pPr>
                    <w:jc w:val="center"/>
                    <w:rPr>
                      <w:rFonts w:hint="default" w:ascii="Times New Roman" w:hAnsi="Times New Roman" w:eastAsia="宋体" w:cs="Times New Roman"/>
                      <w:i w:val="0"/>
                      <w:iCs w:val="0"/>
                      <w:color w:val="auto"/>
                      <w:sz w:val="21"/>
                      <w:szCs w:val="21"/>
                      <w:u w:val="none"/>
                    </w:rPr>
                  </w:pPr>
                </w:p>
              </w:tc>
              <w:tc>
                <w:tcPr>
                  <w:tcW w:w="904" w:type="dxa"/>
                  <w:tcBorders>
                    <w:tl2br w:val="nil"/>
                    <w:tr2bl w:val="nil"/>
                  </w:tcBorders>
                  <w:shd w:val="clear" w:color="auto" w:fill="auto"/>
                  <w:vAlign w:val="center"/>
                </w:tcPr>
                <w:p w14:paraId="54C0D2AA">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vertAlign w:val="baseli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904" w:type="dxa"/>
                  <w:tcBorders>
                    <w:tl2br w:val="nil"/>
                    <w:tr2bl w:val="nil"/>
                  </w:tcBorders>
                  <w:shd w:val="clear" w:color="auto" w:fill="auto"/>
                  <w:vAlign w:val="center"/>
                </w:tcPr>
                <w:p w14:paraId="49C395D0">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390</w:t>
                  </w:r>
                </w:p>
              </w:tc>
              <w:tc>
                <w:tcPr>
                  <w:tcW w:w="904" w:type="dxa"/>
                  <w:tcBorders>
                    <w:tl2br w:val="nil"/>
                    <w:tr2bl w:val="nil"/>
                  </w:tcBorders>
                  <w:shd w:val="clear" w:color="auto" w:fill="auto"/>
                  <w:vAlign w:val="center"/>
                </w:tcPr>
                <w:p w14:paraId="0AD5296A">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782.93</w:t>
                  </w:r>
                </w:p>
              </w:tc>
              <w:tc>
                <w:tcPr>
                  <w:tcW w:w="904" w:type="dxa"/>
                  <w:vMerge w:val="continue"/>
                  <w:tcBorders>
                    <w:tl2br w:val="nil"/>
                    <w:tr2bl w:val="nil"/>
                  </w:tcBorders>
                  <w:shd w:val="clear" w:color="auto" w:fill="auto"/>
                  <w:vAlign w:val="center"/>
                </w:tcPr>
                <w:p w14:paraId="6ADF0CBC">
                  <w:pPr>
                    <w:jc w:val="center"/>
                    <w:rPr>
                      <w:rFonts w:hint="default" w:ascii="Times New Roman" w:hAnsi="Times New Roman" w:eastAsia="宋体" w:cs="Times New Roman"/>
                      <w:i w:val="0"/>
                      <w:iCs w:val="0"/>
                      <w:color w:val="auto"/>
                      <w:sz w:val="21"/>
                      <w:szCs w:val="21"/>
                      <w:u w:val="none"/>
                    </w:rPr>
                  </w:pPr>
                </w:p>
              </w:tc>
              <w:tc>
                <w:tcPr>
                  <w:tcW w:w="904" w:type="dxa"/>
                  <w:tcBorders>
                    <w:tl2br w:val="nil"/>
                    <w:tr2bl w:val="nil"/>
                  </w:tcBorders>
                  <w:shd w:val="clear" w:color="auto" w:fill="auto"/>
                  <w:vAlign w:val="center"/>
                </w:tcPr>
                <w:p w14:paraId="74F80657">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97.44</w:t>
                  </w:r>
                </w:p>
              </w:tc>
              <w:tc>
                <w:tcPr>
                  <w:tcW w:w="904" w:type="dxa"/>
                  <w:tcBorders>
                    <w:tl2br w:val="nil"/>
                    <w:tr2bl w:val="nil"/>
                  </w:tcBorders>
                  <w:shd w:val="clear" w:color="auto" w:fill="auto"/>
                  <w:vAlign w:val="center"/>
                </w:tcPr>
                <w:p w14:paraId="0589DCB4">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904" w:type="dxa"/>
                  <w:tcBorders>
                    <w:tl2br w:val="nil"/>
                    <w:tr2bl w:val="nil"/>
                  </w:tcBorders>
                  <w:shd w:val="clear" w:color="auto" w:fill="auto"/>
                  <w:vAlign w:val="center"/>
                </w:tcPr>
                <w:p w14:paraId="1695E672">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20.08</w:t>
                  </w:r>
                </w:p>
              </w:tc>
              <w:tc>
                <w:tcPr>
                  <w:tcW w:w="904" w:type="dxa"/>
                  <w:tcBorders>
                    <w:right w:val="single" w:color="auto" w:sz="4" w:space="0"/>
                    <w:tl2br w:val="nil"/>
                    <w:tr2bl w:val="nil"/>
                  </w:tcBorders>
                  <w:shd w:val="clear" w:color="auto" w:fill="auto"/>
                  <w:vAlign w:val="center"/>
                </w:tcPr>
                <w:p w14:paraId="1B7ECCC3">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14:paraId="6079F68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904" w:type="dxa"/>
                  <w:vMerge w:val="continue"/>
                  <w:tcBorders>
                    <w:left w:val="single" w:color="auto" w:sz="4" w:space="0"/>
                    <w:tl2br w:val="nil"/>
                    <w:tr2bl w:val="nil"/>
                  </w:tcBorders>
                  <w:shd w:val="clear" w:color="auto" w:fill="auto"/>
                  <w:vAlign w:val="center"/>
                </w:tcPr>
                <w:p w14:paraId="32E1F1B9">
                  <w:pPr>
                    <w:jc w:val="center"/>
                    <w:rPr>
                      <w:rFonts w:hint="default" w:ascii="Times New Roman" w:hAnsi="Times New Roman" w:eastAsia="宋体" w:cs="Times New Roman"/>
                      <w:i w:val="0"/>
                      <w:iCs w:val="0"/>
                      <w:color w:val="auto"/>
                      <w:sz w:val="21"/>
                      <w:szCs w:val="21"/>
                      <w:u w:val="none"/>
                    </w:rPr>
                  </w:pPr>
                </w:p>
              </w:tc>
              <w:tc>
                <w:tcPr>
                  <w:tcW w:w="904" w:type="dxa"/>
                  <w:tcBorders>
                    <w:tl2br w:val="nil"/>
                    <w:tr2bl w:val="nil"/>
                  </w:tcBorders>
                  <w:shd w:val="clear" w:color="auto" w:fill="auto"/>
                  <w:vAlign w:val="center"/>
                </w:tcPr>
                <w:p w14:paraId="6A2C53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SS</w:t>
                  </w:r>
                </w:p>
              </w:tc>
              <w:tc>
                <w:tcPr>
                  <w:tcW w:w="904" w:type="dxa"/>
                  <w:tcBorders>
                    <w:tl2br w:val="nil"/>
                    <w:tr2bl w:val="nil"/>
                  </w:tcBorders>
                  <w:shd w:val="clear" w:color="auto" w:fill="auto"/>
                  <w:vAlign w:val="center"/>
                </w:tcPr>
                <w:p w14:paraId="1FCEA796">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350</w:t>
                  </w:r>
                </w:p>
              </w:tc>
              <w:tc>
                <w:tcPr>
                  <w:tcW w:w="904" w:type="dxa"/>
                  <w:tcBorders>
                    <w:tl2br w:val="nil"/>
                    <w:tr2bl w:val="nil"/>
                  </w:tcBorders>
                  <w:shd w:val="clear" w:color="auto" w:fill="auto"/>
                  <w:vAlign w:val="center"/>
                </w:tcPr>
                <w:p w14:paraId="55A1F858">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702.63</w:t>
                  </w:r>
                </w:p>
              </w:tc>
              <w:tc>
                <w:tcPr>
                  <w:tcW w:w="904" w:type="dxa"/>
                  <w:vMerge w:val="continue"/>
                  <w:tcBorders>
                    <w:tl2br w:val="nil"/>
                    <w:tr2bl w:val="nil"/>
                  </w:tcBorders>
                  <w:shd w:val="clear" w:color="auto" w:fill="auto"/>
                  <w:vAlign w:val="center"/>
                </w:tcPr>
                <w:p w14:paraId="5DF3D26A">
                  <w:pPr>
                    <w:jc w:val="center"/>
                    <w:rPr>
                      <w:rFonts w:hint="default" w:ascii="Times New Roman" w:hAnsi="Times New Roman" w:eastAsia="宋体" w:cs="Times New Roman"/>
                      <w:i w:val="0"/>
                      <w:iCs w:val="0"/>
                      <w:color w:val="auto"/>
                      <w:sz w:val="21"/>
                      <w:szCs w:val="21"/>
                      <w:u w:val="none"/>
                    </w:rPr>
                  </w:pPr>
                </w:p>
              </w:tc>
              <w:tc>
                <w:tcPr>
                  <w:tcW w:w="904" w:type="dxa"/>
                  <w:tcBorders>
                    <w:tl2br w:val="nil"/>
                    <w:tr2bl w:val="nil"/>
                  </w:tcBorders>
                  <w:shd w:val="clear" w:color="auto" w:fill="auto"/>
                  <w:vAlign w:val="center"/>
                </w:tcPr>
                <w:p w14:paraId="6A2FE274">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97.14</w:t>
                  </w:r>
                </w:p>
              </w:tc>
              <w:tc>
                <w:tcPr>
                  <w:tcW w:w="904" w:type="dxa"/>
                  <w:tcBorders>
                    <w:tl2br w:val="nil"/>
                    <w:tr2bl w:val="nil"/>
                  </w:tcBorders>
                  <w:shd w:val="clear" w:color="auto" w:fill="auto"/>
                  <w:vAlign w:val="center"/>
                </w:tcPr>
                <w:p w14:paraId="55286595">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904" w:type="dxa"/>
                  <w:tcBorders>
                    <w:tl2br w:val="nil"/>
                    <w:tr2bl w:val="nil"/>
                  </w:tcBorders>
                  <w:shd w:val="clear" w:color="auto" w:fill="auto"/>
                  <w:vAlign w:val="center"/>
                </w:tcPr>
                <w:p w14:paraId="1733CE4F">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20.08</w:t>
                  </w:r>
                </w:p>
              </w:tc>
              <w:tc>
                <w:tcPr>
                  <w:tcW w:w="904" w:type="dxa"/>
                  <w:tcBorders>
                    <w:right w:val="single" w:color="auto" w:sz="4" w:space="0"/>
                    <w:tl2br w:val="nil"/>
                    <w:tr2bl w:val="nil"/>
                  </w:tcBorders>
                  <w:shd w:val="clear" w:color="auto" w:fill="auto"/>
                  <w:vAlign w:val="center"/>
                </w:tcPr>
                <w:p w14:paraId="63DC3F7D">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14:paraId="5EBC1E5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904" w:type="dxa"/>
                  <w:vMerge w:val="continue"/>
                  <w:tcBorders>
                    <w:left w:val="single" w:color="auto" w:sz="4" w:space="0"/>
                    <w:tl2br w:val="nil"/>
                    <w:tr2bl w:val="nil"/>
                  </w:tcBorders>
                  <w:shd w:val="clear" w:color="auto" w:fill="auto"/>
                  <w:vAlign w:val="center"/>
                </w:tcPr>
                <w:p w14:paraId="5A2246AA">
                  <w:pPr>
                    <w:jc w:val="center"/>
                    <w:rPr>
                      <w:rFonts w:hint="default" w:ascii="Times New Roman" w:hAnsi="Times New Roman" w:eastAsia="宋体" w:cs="Times New Roman"/>
                      <w:i w:val="0"/>
                      <w:iCs w:val="0"/>
                      <w:color w:val="auto"/>
                      <w:sz w:val="21"/>
                      <w:szCs w:val="21"/>
                      <w:u w:val="none"/>
                    </w:rPr>
                  </w:pPr>
                </w:p>
              </w:tc>
              <w:tc>
                <w:tcPr>
                  <w:tcW w:w="904" w:type="dxa"/>
                  <w:tcBorders>
                    <w:tl2br w:val="nil"/>
                    <w:tr2bl w:val="nil"/>
                  </w:tcBorders>
                  <w:shd w:val="clear" w:color="auto" w:fill="auto"/>
                  <w:vAlign w:val="center"/>
                </w:tcPr>
                <w:p w14:paraId="3BA56B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904" w:type="dxa"/>
                  <w:tcBorders>
                    <w:tl2br w:val="nil"/>
                    <w:tr2bl w:val="nil"/>
                  </w:tcBorders>
                  <w:shd w:val="clear" w:color="auto" w:fill="auto"/>
                  <w:vAlign w:val="center"/>
                </w:tcPr>
                <w:p w14:paraId="303FC00B">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69</w:t>
                  </w:r>
                </w:p>
              </w:tc>
              <w:tc>
                <w:tcPr>
                  <w:tcW w:w="904" w:type="dxa"/>
                  <w:tcBorders>
                    <w:tl2br w:val="nil"/>
                    <w:tr2bl w:val="nil"/>
                  </w:tcBorders>
                  <w:shd w:val="clear" w:color="auto" w:fill="auto"/>
                  <w:vAlign w:val="center"/>
                </w:tcPr>
                <w:p w14:paraId="7C6855B8">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138.52</w:t>
                  </w:r>
                </w:p>
              </w:tc>
              <w:tc>
                <w:tcPr>
                  <w:tcW w:w="904" w:type="dxa"/>
                  <w:vMerge w:val="continue"/>
                  <w:tcBorders>
                    <w:tl2br w:val="nil"/>
                    <w:tr2bl w:val="nil"/>
                  </w:tcBorders>
                  <w:shd w:val="clear" w:color="auto" w:fill="auto"/>
                  <w:vAlign w:val="center"/>
                </w:tcPr>
                <w:p w14:paraId="26E738B6">
                  <w:pPr>
                    <w:jc w:val="center"/>
                    <w:rPr>
                      <w:rFonts w:hint="default" w:ascii="Times New Roman" w:hAnsi="Times New Roman" w:eastAsia="宋体" w:cs="Times New Roman"/>
                      <w:i w:val="0"/>
                      <w:iCs w:val="0"/>
                      <w:color w:val="auto"/>
                      <w:sz w:val="21"/>
                      <w:szCs w:val="21"/>
                      <w:u w:val="none"/>
                    </w:rPr>
                  </w:pPr>
                </w:p>
              </w:tc>
              <w:tc>
                <w:tcPr>
                  <w:tcW w:w="904" w:type="dxa"/>
                  <w:tcBorders>
                    <w:tl2br w:val="nil"/>
                    <w:tr2bl w:val="nil"/>
                  </w:tcBorders>
                  <w:shd w:val="clear" w:color="auto" w:fill="auto"/>
                  <w:vAlign w:val="center"/>
                </w:tcPr>
                <w:p w14:paraId="1C60C610">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92.75</w:t>
                  </w:r>
                </w:p>
              </w:tc>
              <w:tc>
                <w:tcPr>
                  <w:tcW w:w="904" w:type="dxa"/>
                  <w:tcBorders>
                    <w:tl2br w:val="nil"/>
                    <w:tr2bl w:val="nil"/>
                  </w:tcBorders>
                  <w:shd w:val="clear" w:color="auto" w:fill="auto"/>
                  <w:vAlign w:val="center"/>
                </w:tcPr>
                <w:p w14:paraId="690EF7E2">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904" w:type="dxa"/>
                  <w:tcBorders>
                    <w:tl2br w:val="nil"/>
                    <w:tr2bl w:val="nil"/>
                  </w:tcBorders>
                  <w:shd w:val="clear" w:color="auto" w:fill="auto"/>
                  <w:vAlign w:val="center"/>
                </w:tcPr>
                <w:p w14:paraId="5B78EC83">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10.04</w:t>
                  </w:r>
                </w:p>
              </w:tc>
              <w:tc>
                <w:tcPr>
                  <w:tcW w:w="904" w:type="dxa"/>
                  <w:tcBorders>
                    <w:right w:val="single" w:color="auto" w:sz="4" w:space="0"/>
                    <w:tl2br w:val="nil"/>
                    <w:tr2bl w:val="nil"/>
                  </w:tcBorders>
                  <w:shd w:val="clear" w:color="auto" w:fill="auto"/>
                  <w:vAlign w:val="center"/>
                </w:tcPr>
                <w:p w14:paraId="27A4CD32">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14:paraId="49F8BC6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904" w:type="dxa"/>
                  <w:vMerge w:val="continue"/>
                  <w:tcBorders>
                    <w:left w:val="single" w:color="auto" w:sz="4" w:space="0"/>
                    <w:tl2br w:val="nil"/>
                    <w:tr2bl w:val="nil"/>
                  </w:tcBorders>
                  <w:shd w:val="clear" w:color="auto" w:fill="auto"/>
                  <w:vAlign w:val="center"/>
                </w:tcPr>
                <w:p w14:paraId="33073332">
                  <w:pPr>
                    <w:jc w:val="center"/>
                    <w:rPr>
                      <w:rFonts w:hint="default" w:ascii="Times New Roman" w:hAnsi="Times New Roman" w:eastAsia="宋体" w:cs="Times New Roman"/>
                      <w:i w:val="0"/>
                      <w:iCs w:val="0"/>
                      <w:color w:val="auto"/>
                      <w:sz w:val="21"/>
                      <w:szCs w:val="21"/>
                      <w:u w:val="none"/>
                    </w:rPr>
                  </w:pPr>
                </w:p>
              </w:tc>
              <w:tc>
                <w:tcPr>
                  <w:tcW w:w="904" w:type="dxa"/>
                  <w:tcBorders>
                    <w:tl2br w:val="nil"/>
                    <w:tr2bl w:val="nil"/>
                  </w:tcBorders>
                  <w:shd w:val="clear" w:color="auto" w:fill="auto"/>
                  <w:vAlign w:val="center"/>
                </w:tcPr>
                <w:p w14:paraId="1755CB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总氮</w:t>
                  </w:r>
                </w:p>
              </w:tc>
              <w:tc>
                <w:tcPr>
                  <w:tcW w:w="904" w:type="dxa"/>
                  <w:tcBorders>
                    <w:tl2br w:val="nil"/>
                    <w:tr2bl w:val="nil"/>
                  </w:tcBorders>
                  <w:shd w:val="clear" w:color="auto" w:fill="auto"/>
                  <w:vAlign w:val="center"/>
                </w:tcPr>
                <w:p w14:paraId="7BD8E549">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87</w:t>
                  </w:r>
                </w:p>
              </w:tc>
              <w:tc>
                <w:tcPr>
                  <w:tcW w:w="904" w:type="dxa"/>
                  <w:tcBorders>
                    <w:tl2br w:val="nil"/>
                    <w:tr2bl w:val="nil"/>
                  </w:tcBorders>
                  <w:shd w:val="clear" w:color="auto" w:fill="auto"/>
                  <w:vAlign w:val="center"/>
                </w:tcPr>
                <w:p w14:paraId="79F0562E">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174.65</w:t>
                  </w:r>
                </w:p>
              </w:tc>
              <w:tc>
                <w:tcPr>
                  <w:tcW w:w="904" w:type="dxa"/>
                  <w:vMerge w:val="continue"/>
                  <w:tcBorders>
                    <w:tl2br w:val="nil"/>
                    <w:tr2bl w:val="nil"/>
                  </w:tcBorders>
                  <w:shd w:val="clear" w:color="auto" w:fill="auto"/>
                  <w:vAlign w:val="center"/>
                </w:tcPr>
                <w:p w14:paraId="2D93EF8A">
                  <w:pPr>
                    <w:jc w:val="center"/>
                    <w:rPr>
                      <w:rFonts w:hint="default" w:ascii="Times New Roman" w:hAnsi="Times New Roman" w:eastAsia="宋体" w:cs="Times New Roman"/>
                      <w:i w:val="0"/>
                      <w:iCs w:val="0"/>
                      <w:color w:val="auto"/>
                      <w:sz w:val="21"/>
                      <w:szCs w:val="21"/>
                      <w:u w:val="none"/>
                    </w:rPr>
                  </w:pPr>
                </w:p>
              </w:tc>
              <w:tc>
                <w:tcPr>
                  <w:tcW w:w="904" w:type="dxa"/>
                  <w:tcBorders>
                    <w:tl2br w:val="nil"/>
                    <w:tr2bl w:val="nil"/>
                  </w:tcBorders>
                  <w:shd w:val="clear" w:color="auto" w:fill="auto"/>
                  <w:vAlign w:val="center"/>
                </w:tcPr>
                <w:p w14:paraId="5DE9E3B9">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82.76</w:t>
                  </w:r>
                </w:p>
              </w:tc>
              <w:tc>
                <w:tcPr>
                  <w:tcW w:w="904" w:type="dxa"/>
                  <w:tcBorders>
                    <w:tl2br w:val="nil"/>
                    <w:tr2bl w:val="nil"/>
                  </w:tcBorders>
                  <w:shd w:val="clear" w:color="auto" w:fill="auto"/>
                  <w:vAlign w:val="center"/>
                </w:tcPr>
                <w:p w14:paraId="500D96AB">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904" w:type="dxa"/>
                  <w:tcBorders>
                    <w:tl2br w:val="nil"/>
                    <w:tr2bl w:val="nil"/>
                  </w:tcBorders>
                  <w:shd w:val="clear" w:color="auto" w:fill="auto"/>
                  <w:vAlign w:val="center"/>
                </w:tcPr>
                <w:p w14:paraId="7ADE82D0">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30.11</w:t>
                  </w:r>
                </w:p>
              </w:tc>
              <w:tc>
                <w:tcPr>
                  <w:tcW w:w="904" w:type="dxa"/>
                  <w:tcBorders>
                    <w:right w:val="single" w:color="auto" w:sz="4" w:space="0"/>
                    <w:tl2br w:val="nil"/>
                    <w:tr2bl w:val="nil"/>
                  </w:tcBorders>
                  <w:shd w:val="clear" w:color="auto" w:fill="auto"/>
                  <w:vAlign w:val="center"/>
                </w:tcPr>
                <w:p w14:paraId="6B584327">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r>
            <w:tr w14:paraId="059B48C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23" w:type="dxa"/>
                  <w:bottom w:w="0" w:type="dxa"/>
                  <w:right w:w="23" w:type="dxa"/>
                </w:tblCellMar>
              </w:tblPrEx>
              <w:trPr>
                <w:trHeight w:val="397" w:hRule="atLeast"/>
                <w:jc w:val="center"/>
              </w:trPr>
              <w:tc>
                <w:tcPr>
                  <w:tcW w:w="904" w:type="dxa"/>
                  <w:vMerge w:val="continue"/>
                  <w:tcBorders>
                    <w:left w:val="single" w:color="auto" w:sz="4" w:space="0"/>
                    <w:bottom w:val="single" w:color="auto" w:sz="4" w:space="0"/>
                    <w:tl2br w:val="nil"/>
                    <w:tr2bl w:val="nil"/>
                  </w:tcBorders>
                  <w:shd w:val="clear" w:color="auto" w:fill="auto"/>
                  <w:vAlign w:val="center"/>
                </w:tcPr>
                <w:p w14:paraId="4EBD5D06">
                  <w:pPr>
                    <w:jc w:val="center"/>
                    <w:rPr>
                      <w:rFonts w:hint="default" w:ascii="Times New Roman" w:hAnsi="Times New Roman" w:eastAsia="宋体" w:cs="Times New Roman"/>
                      <w:i w:val="0"/>
                      <w:iCs w:val="0"/>
                      <w:color w:val="auto"/>
                      <w:sz w:val="21"/>
                      <w:szCs w:val="21"/>
                      <w:u w:val="none"/>
                    </w:rPr>
                  </w:pPr>
                </w:p>
              </w:tc>
              <w:tc>
                <w:tcPr>
                  <w:tcW w:w="904" w:type="dxa"/>
                  <w:tcBorders>
                    <w:bottom w:val="single" w:color="auto" w:sz="4" w:space="0"/>
                    <w:tl2br w:val="nil"/>
                    <w:tr2bl w:val="nil"/>
                  </w:tcBorders>
                  <w:shd w:val="clear" w:color="auto" w:fill="auto"/>
                  <w:vAlign w:val="center"/>
                </w:tcPr>
                <w:p w14:paraId="04A960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总磷</w:t>
                  </w:r>
                </w:p>
              </w:tc>
              <w:tc>
                <w:tcPr>
                  <w:tcW w:w="904" w:type="dxa"/>
                  <w:tcBorders>
                    <w:bottom w:val="single" w:color="auto" w:sz="4" w:space="0"/>
                    <w:tl2br w:val="nil"/>
                    <w:tr2bl w:val="nil"/>
                  </w:tcBorders>
                  <w:shd w:val="clear" w:color="auto" w:fill="auto"/>
                  <w:vAlign w:val="center"/>
                </w:tcPr>
                <w:p w14:paraId="12A94175">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904" w:type="dxa"/>
                  <w:tcBorders>
                    <w:bottom w:val="single" w:color="auto" w:sz="4" w:space="0"/>
                    <w:tl2br w:val="nil"/>
                    <w:tr2bl w:val="nil"/>
                  </w:tcBorders>
                  <w:shd w:val="clear" w:color="auto" w:fill="auto"/>
                  <w:vAlign w:val="center"/>
                </w:tcPr>
                <w:p w14:paraId="3E41C265">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14.05</w:t>
                  </w:r>
                </w:p>
              </w:tc>
              <w:tc>
                <w:tcPr>
                  <w:tcW w:w="904" w:type="dxa"/>
                  <w:vMerge w:val="continue"/>
                  <w:tcBorders>
                    <w:bottom w:val="single" w:color="auto" w:sz="4" w:space="0"/>
                    <w:tl2br w:val="nil"/>
                    <w:tr2bl w:val="nil"/>
                  </w:tcBorders>
                  <w:shd w:val="clear" w:color="auto" w:fill="auto"/>
                  <w:vAlign w:val="center"/>
                </w:tcPr>
                <w:p w14:paraId="3232992C">
                  <w:pPr>
                    <w:jc w:val="center"/>
                    <w:rPr>
                      <w:rFonts w:hint="default" w:ascii="Times New Roman" w:hAnsi="Times New Roman" w:eastAsia="宋体" w:cs="Times New Roman"/>
                      <w:i w:val="0"/>
                      <w:iCs w:val="0"/>
                      <w:color w:val="auto"/>
                      <w:sz w:val="21"/>
                      <w:szCs w:val="21"/>
                      <w:u w:val="none"/>
                    </w:rPr>
                  </w:pPr>
                </w:p>
              </w:tc>
              <w:tc>
                <w:tcPr>
                  <w:tcW w:w="904" w:type="dxa"/>
                  <w:tcBorders>
                    <w:bottom w:val="single" w:color="auto" w:sz="4" w:space="0"/>
                    <w:tl2br w:val="nil"/>
                    <w:tr2bl w:val="nil"/>
                  </w:tcBorders>
                  <w:shd w:val="clear" w:color="auto" w:fill="auto"/>
                  <w:vAlign w:val="center"/>
                </w:tcPr>
                <w:p w14:paraId="445DF3AC">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92.86</w:t>
                  </w:r>
                </w:p>
              </w:tc>
              <w:tc>
                <w:tcPr>
                  <w:tcW w:w="904" w:type="dxa"/>
                  <w:tcBorders>
                    <w:bottom w:val="single" w:color="auto" w:sz="4" w:space="0"/>
                    <w:tl2br w:val="nil"/>
                    <w:tr2bl w:val="nil"/>
                  </w:tcBorders>
                  <w:shd w:val="clear" w:color="auto" w:fill="auto"/>
                  <w:vAlign w:val="center"/>
                </w:tcPr>
                <w:p w14:paraId="271EBD8C">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0.50</w:t>
                  </w:r>
                </w:p>
              </w:tc>
              <w:tc>
                <w:tcPr>
                  <w:tcW w:w="904" w:type="dxa"/>
                  <w:tcBorders>
                    <w:bottom w:val="single" w:color="auto" w:sz="4" w:space="0"/>
                    <w:tl2br w:val="nil"/>
                    <w:tr2bl w:val="nil"/>
                  </w:tcBorders>
                  <w:shd w:val="clear" w:color="auto" w:fill="auto"/>
                  <w:vAlign w:val="center"/>
                </w:tcPr>
                <w:p w14:paraId="4E3CC947">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904" w:type="dxa"/>
                  <w:tcBorders>
                    <w:bottom w:val="single" w:color="auto" w:sz="4" w:space="0"/>
                    <w:right w:val="single" w:color="auto" w:sz="4" w:space="0"/>
                    <w:tl2br w:val="nil"/>
                    <w:tr2bl w:val="nil"/>
                  </w:tcBorders>
                  <w:shd w:val="clear" w:color="auto" w:fill="auto"/>
                  <w:vAlign w:val="center"/>
                </w:tcPr>
                <w:p w14:paraId="271266A0">
                  <w:pPr>
                    <w:keepNext w:val="0"/>
                    <w:keepLines w:val="0"/>
                    <w:widowControl/>
                    <w:suppressLineNumbers w:val="0"/>
                    <w:jc w:val="center"/>
                    <w:textAlignment w:val="top"/>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w:t>
                  </w:r>
                </w:p>
              </w:tc>
            </w:tr>
          </w:tbl>
          <w:p w14:paraId="4463F47D">
            <w:pPr>
              <w:spacing w:line="360" w:lineRule="auto"/>
              <w:ind w:firstLine="42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7.处理工艺的可行性分析</w:t>
            </w:r>
          </w:p>
          <w:p w14:paraId="1093BE13">
            <w:pPr>
              <w:spacing w:line="360" w:lineRule="auto"/>
              <w:ind w:firstLine="42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7.1技术可行性</w:t>
            </w:r>
          </w:p>
          <w:p w14:paraId="28E94E33">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本项目三期工程污水处理采用</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粗格栅+细格栅+曝气沉砂池+改良Bardenpho+二沉池+磁混凝沉淀池+V型滤池+消毒</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工艺方案，根据表2-10分析，本次三期工程工艺符合《排污许可证申请与核发技术规范水处理（试行）》（HJ 978</w:t>
            </w:r>
            <w:r>
              <w:rPr>
                <w:rFonts w:hint="eastAsia" w:ascii="Times New Roman" w:hAnsi="Times New Roman" w:cs="Times New Roman"/>
                <w:bCs/>
                <w:color w:val="auto"/>
                <w:sz w:val="24"/>
                <w:highlight w:val="none"/>
                <w:lang w:val="en-US" w:eastAsia="zh-CN"/>
              </w:rPr>
              <w:t>—2018</w:t>
            </w:r>
            <w:r>
              <w:rPr>
                <w:rFonts w:hint="default" w:ascii="Times New Roman" w:hAnsi="Times New Roman" w:eastAsia="宋体" w:cs="Times New Roman"/>
                <w:bCs/>
                <w:color w:val="auto"/>
                <w:sz w:val="24"/>
                <w:highlight w:val="none"/>
                <w:lang w:val="en-US" w:eastAsia="zh-CN"/>
              </w:rPr>
              <w:t>）6.2污水处理中表4污水处理可行技术参照表</w:t>
            </w:r>
            <w:r>
              <w:rPr>
                <w:rFonts w:hint="default" w:ascii="Times New Roman" w:hAnsi="Times New Roman" w:cs="Times New Roman"/>
                <w:bCs/>
                <w:color w:val="auto"/>
                <w:sz w:val="24"/>
                <w:highlight w:val="none"/>
                <w:lang w:val="en-US" w:eastAsia="zh-CN"/>
              </w:rPr>
              <w:t>的要求</w:t>
            </w:r>
            <w:r>
              <w:rPr>
                <w:rFonts w:hint="default" w:ascii="Times New Roman" w:hAnsi="Times New Roman" w:eastAsia="宋体" w:cs="Times New Roman"/>
                <w:bCs/>
                <w:color w:val="auto"/>
                <w:sz w:val="24"/>
                <w:highlight w:val="none"/>
                <w:lang w:val="en-US" w:eastAsia="zh-CN"/>
              </w:rPr>
              <w:t>，属于污水处理可行技术。</w:t>
            </w:r>
          </w:p>
          <w:p w14:paraId="3C78B539">
            <w:pPr>
              <w:spacing w:line="360" w:lineRule="auto"/>
              <w:jc w:val="center"/>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表2-10 污水处理可行技术参照表</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Layout w:type="fixed"/>
              <w:tblCellMar>
                <w:top w:w="0" w:type="dxa"/>
                <w:left w:w="108" w:type="dxa"/>
                <w:bottom w:w="0" w:type="dxa"/>
                <w:right w:w="108" w:type="dxa"/>
              </w:tblCellMar>
            </w:tblPr>
            <w:tblGrid>
              <w:gridCol w:w="745"/>
              <w:gridCol w:w="1028"/>
              <w:gridCol w:w="1012"/>
              <w:gridCol w:w="3028"/>
              <w:gridCol w:w="2327"/>
            </w:tblGrid>
            <w:tr w14:paraId="7E90A91C">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747" w:type="dxa"/>
                  <w:tcBorders>
                    <w:top w:val="single" w:color="auto" w:sz="4" w:space="0"/>
                    <w:left w:val="single" w:color="auto" w:sz="0" w:space="0"/>
                    <w:tl2br w:val="nil"/>
                    <w:tr2bl w:val="nil"/>
                  </w:tcBorders>
                  <w:shd w:val="clear" w:color="auto" w:fill="auto"/>
                  <w:vAlign w:val="center"/>
                </w:tcPr>
                <w:p w14:paraId="16B7765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废水类别</w:t>
                  </w:r>
                </w:p>
              </w:tc>
              <w:tc>
                <w:tcPr>
                  <w:tcW w:w="1036" w:type="dxa"/>
                  <w:tcBorders>
                    <w:top w:val="single" w:color="auto" w:sz="4" w:space="0"/>
                    <w:tl2br w:val="nil"/>
                    <w:tr2bl w:val="nil"/>
                  </w:tcBorders>
                  <w:shd w:val="clear" w:color="auto" w:fill="auto"/>
                  <w:vAlign w:val="center"/>
                </w:tcPr>
                <w:p w14:paraId="0496E46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执行标准</w:t>
                  </w:r>
                </w:p>
              </w:tc>
              <w:tc>
                <w:tcPr>
                  <w:tcW w:w="1018" w:type="dxa"/>
                  <w:tcBorders>
                    <w:top w:val="single" w:color="auto" w:sz="4" w:space="0"/>
                    <w:tl2br w:val="nil"/>
                    <w:tr2bl w:val="nil"/>
                  </w:tcBorders>
                  <w:shd w:val="clear" w:color="auto" w:fill="auto"/>
                  <w:vAlign w:val="center"/>
                </w:tcPr>
                <w:p w14:paraId="53B32F1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主要工艺</w:t>
                  </w:r>
                </w:p>
              </w:tc>
              <w:tc>
                <w:tcPr>
                  <w:tcW w:w="3066" w:type="dxa"/>
                  <w:tcBorders>
                    <w:top w:val="single" w:color="auto" w:sz="4" w:space="0"/>
                    <w:tl2br w:val="nil"/>
                    <w:tr2bl w:val="nil"/>
                  </w:tcBorders>
                  <w:shd w:val="clear" w:color="auto" w:fill="auto"/>
                  <w:vAlign w:val="center"/>
                </w:tcPr>
                <w:p w14:paraId="3848E10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《排污许可证申请与核发技术规范水处理（试行）》（HJ 978</w:t>
                  </w:r>
                  <w:r>
                    <w:rPr>
                      <w:rFonts w:hint="eastAsia" w:ascii="Times New Roman" w:hAnsi="Times New Roman" w:cs="Times New Roman"/>
                      <w:b/>
                      <w:bCs/>
                      <w:i w:val="0"/>
                      <w:iCs w:val="0"/>
                      <w:color w:val="auto"/>
                      <w:kern w:val="0"/>
                      <w:sz w:val="21"/>
                      <w:szCs w:val="21"/>
                      <w:u w:val="none"/>
                      <w:lang w:val="en-US" w:eastAsia="zh-CN" w:bidi="ar"/>
                    </w:rPr>
                    <w:t>—2018</w:t>
                  </w:r>
                  <w:r>
                    <w:rPr>
                      <w:rFonts w:hint="default" w:ascii="Times New Roman" w:hAnsi="Times New Roman" w:cs="Times New Roman"/>
                      <w:b/>
                      <w:bCs/>
                      <w:i w:val="0"/>
                      <w:iCs w:val="0"/>
                      <w:color w:val="auto"/>
                      <w:kern w:val="0"/>
                      <w:sz w:val="21"/>
                      <w:szCs w:val="21"/>
                      <w:u w:val="none"/>
                      <w:lang w:val="en-US" w:eastAsia="zh-CN" w:bidi="ar"/>
                    </w:rPr>
                    <w:t>）可行技术</w:t>
                  </w:r>
                </w:p>
              </w:tc>
              <w:tc>
                <w:tcPr>
                  <w:tcW w:w="2355" w:type="dxa"/>
                  <w:tcBorders>
                    <w:top w:val="single" w:color="auto" w:sz="4" w:space="0"/>
                    <w:right w:val="single" w:color="auto" w:sz="4" w:space="0"/>
                    <w:tl2br w:val="nil"/>
                    <w:tr2bl w:val="nil"/>
                  </w:tcBorders>
                  <w:shd w:val="clear" w:color="auto" w:fill="auto"/>
                  <w:vAlign w:val="center"/>
                </w:tcPr>
                <w:p w14:paraId="5629001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本次三期工程污水处理设施采用的技术</w:t>
                  </w:r>
                </w:p>
              </w:tc>
            </w:tr>
            <w:tr w14:paraId="5B433C6A">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747" w:type="dxa"/>
                  <w:vMerge w:val="restart"/>
                  <w:tcBorders>
                    <w:left w:val="single" w:color="auto" w:sz="4" w:space="0"/>
                    <w:tl2br w:val="nil"/>
                    <w:tr2bl w:val="nil"/>
                  </w:tcBorders>
                  <w:shd w:val="clear" w:color="auto" w:fill="auto"/>
                  <w:vAlign w:val="center"/>
                </w:tcPr>
                <w:p w14:paraId="51E44AC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生活污水</w:t>
                  </w:r>
                </w:p>
              </w:tc>
              <w:tc>
                <w:tcPr>
                  <w:tcW w:w="1036" w:type="dxa"/>
                  <w:vMerge w:val="restart"/>
                  <w:tcBorders>
                    <w:tl2br w:val="nil"/>
                    <w:tr2bl w:val="nil"/>
                  </w:tcBorders>
                  <w:shd w:val="clear" w:color="auto" w:fill="auto"/>
                  <w:vAlign w:val="center"/>
                </w:tcPr>
                <w:p w14:paraId="409DBE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执行</w:t>
                  </w:r>
                  <w:r>
                    <w:rPr>
                      <w:rFonts w:hint="default" w:ascii="Times New Roman" w:hAnsi="Times New Roman" w:cs="Times New Roman"/>
                      <w:i w:val="0"/>
                      <w:iCs w:val="0"/>
                      <w:color w:val="auto"/>
                      <w:kern w:val="0"/>
                      <w:sz w:val="21"/>
                      <w:szCs w:val="21"/>
                      <w:u w:val="none"/>
                      <w:lang w:val="en-US" w:eastAsia="zh-CN" w:bidi="ar"/>
                    </w:rPr>
                    <w:t>GB 18918</w:t>
                  </w:r>
                  <w:r>
                    <w:rPr>
                      <w:rFonts w:hint="default" w:ascii="Times New Roman" w:hAnsi="Times New Roman" w:eastAsia="宋体" w:cs="Times New Roman"/>
                      <w:i w:val="0"/>
                      <w:iCs w:val="0"/>
                      <w:color w:val="auto"/>
                      <w:kern w:val="0"/>
                      <w:sz w:val="21"/>
                      <w:szCs w:val="21"/>
                      <w:u w:val="none"/>
                      <w:lang w:val="en-US" w:eastAsia="zh-CN" w:bidi="ar"/>
                    </w:rPr>
                    <w:t>中一级标准的A标准或更严格标准</w:t>
                  </w:r>
                  <w:r>
                    <w:rPr>
                      <w:rFonts w:hint="eastAsia" w:cs="Times New Roman"/>
                      <w:i w:val="0"/>
                      <w:iCs w:val="0"/>
                      <w:color w:val="auto"/>
                      <w:kern w:val="0"/>
                      <w:sz w:val="21"/>
                      <w:szCs w:val="21"/>
                      <w:u w:val="none"/>
                      <w:lang w:val="en-US" w:eastAsia="zh-CN" w:bidi="ar"/>
                    </w:rPr>
                    <w:t>。</w:t>
                  </w:r>
                </w:p>
              </w:tc>
              <w:tc>
                <w:tcPr>
                  <w:tcW w:w="1018" w:type="dxa"/>
                  <w:tcBorders>
                    <w:tl2br w:val="nil"/>
                    <w:tr2bl w:val="nil"/>
                  </w:tcBorders>
                  <w:shd w:val="clear" w:color="auto" w:fill="auto"/>
                  <w:vAlign w:val="center"/>
                </w:tcPr>
                <w:p w14:paraId="76740B4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预处理</w:t>
                  </w:r>
                </w:p>
              </w:tc>
              <w:tc>
                <w:tcPr>
                  <w:tcW w:w="3066" w:type="dxa"/>
                  <w:tcBorders>
                    <w:tl2br w:val="nil"/>
                    <w:tr2bl w:val="nil"/>
                  </w:tcBorders>
                  <w:shd w:val="clear" w:color="auto" w:fill="auto"/>
                  <w:vAlign w:val="center"/>
                </w:tcPr>
                <w:p w14:paraId="560D114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格栅、沉淀（沉砂、初沉）、调节</w:t>
                  </w:r>
                </w:p>
              </w:tc>
              <w:tc>
                <w:tcPr>
                  <w:tcW w:w="2355" w:type="dxa"/>
                  <w:tcBorders>
                    <w:right w:val="single" w:color="auto" w:sz="4" w:space="0"/>
                    <w:tl2br w:val="nil"/>
                    <w:tr2bl w:val="nil"/>
                  </w:tcBorders>
                  <w:shd w:val="clear" w:color="auto" w:fill="auto"/>
                  <w:vAlign w:val="center"/>
                </w:tcPr>
                <w:p w14:paraId="66CBDA6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格栅隔渣、沉砂调节</w:t>
                  </w:r>
                </w:p>
              </w:tc>
            </w:tr>
            <w:tr w14:paraId="54254E23">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747" w:type="dxa"/>
                  <w:vMerge w:val="continue"/>
                  <w:tcBorders>
                    <w:left w:val="single" w:color="auto" w:sz="4" w:space="0"/>
                    <w:tl2br w:val="nil"/>
                    <w:tr2bl w:val="nil"/>
                  </w:tcBorders>
                  <w:shd w:val="clear" w:color="auto" w:fill="auto"/>
                  <w:vAlign w:val="center"/>
                </w:tcPr>
                <w:p w14:paraId="573937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36" w:type="dxa"/>
                  <w:vMerge w:val="continue"/>
                  <w:tcBorders>
                    <w:tl2br w:val="nil"/>
                    <w:tr2bl w:val="nil"/>
                  </w:tcBorders>
                  <w:shd w:val="clear" w:color="auto" w:fill="auto"/>
                  <w:vAlign w:val="center"/>
                </w:tcPr>
                <w:p w14:paraId="0E4698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18" w:type="dxa"/>
                  <w:tcBorders>
                    <w:tl2br w:val="nil"/>
                    <w:tr2bl w:val="nil"/>
                  </w:tcBorders>
                  <w:shd w:val="clear" w:color="auto" w:fill="auto"/>
                  <w:vAlign w:val="center"/>
                </w:tcPr>
                <w:p w14:paraId="0C7133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生化处理</w:t>
                  </w:r>
                </w:p>
              </w:tc>
              <w:tc>
                <w:tcPr>
                  <w:tcW w:w="3066" w:type="dxa"/>
                  <w:tcBorders>
                    <w:tl2br w:val="nil"/>
                    <w:tr2bl w:val="nil"/>
                  </w:tcBorders>
                  <w:shd w:val="clear" w:color="auto" w:fill="auto"/>
                  <w:vAlign w:val="center"/>
                </w:tcPr>
                <w:p w14:paraId="65F882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缺氧好氧、厌氧缺氧好氧、序批式活性污泥、接触氧化、氧化沟、移动生物床反应器、膜生物反应器</w:t>
                  </w:r>
                </w:p>
              </w:tc>
              <w:tc>
                <w:tcPr>
                  <w:tcW w:w="2355" w:type="dxa"/>
                  <w:tcBorders>
                    <w:right w:val="single" w:color="auto" w:sz="4" w:space="0"/>
                    <w:tl2br w:val="nil"/>
                    <w:tr2bl w:val="nil"/>
                  </w:tcBorders>
                  <w:shd w:val="clear" w:color="auto" w:fill="auto"/>
                  <w:vAlign w:val="center"/>
                </w:tcPr>
                <w:p w14:paraId="4F22C32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厌氧缺氧好氧</w:t>
                  </w:r>
                </w:p>
              </w:tc>
            </w:tr>
            <w:tr w14:paraId="7209AB87">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CellMar>
                  <w:top w:w="0" w:type="dxa"/>
                  <w:left w:w="108" w:type="dxa"/>
                  <w:bottom w:w="0" w:type="dxa"/>
                  <w:right w:w="108" w:type="dxa"/>
                </w:tblCellMar>
              </w:tblPrEx>
              <w:trPr>
                <w:trHeight w:val="454" w:hRule="atLeast"/>
                <w:jc w:val="center"/>
              </w:trPr>
              <w:tc>
                <w:tcPr>
                  <w:tcW w:w="747" w:type="dxa"/>
                  <w:vMerge w:val="continue"/>
                  <w:tcBorders>
                    <w:left w:val="single" w:color="auto" w:sz="4" w:space="0"/>
                    <w:bottom w:val="single" w:color="auto" w:sz="4" w:space="0"/>
                    <w:tl2br w:val="nil"/>
                    <w:tr2bl w:val="nil"/>
                  </w:tcBorders>
                  <w:shd w:val="clear" w:color="auto" w:fill="auto"/>
                  <w:vAlign w:val="center"/>
                </w:tcPr>
                <w:p w14:paraId="29D8D72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36" w:type="dxa"/>
                  <w:vMerge w:val="continue"/>
                  <w:tcBorders>
                    <w:bottom w:val="single" w:color="auto" w:sz="4" w:space="0"/>
                    <w:tl2br w:val="nil"/>
                    <w:tr2bl w:val="nil"/>
                  </w:tcBorders>
                  <w:shd w:val="clear" w:color="auto" w:fill="auto"/>
                  <w:vAlign w:val="center"/>
                </w:tcPr>
                <w:p w14:paraId="12064F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018" w:type="dxa"/>
                  <w:tcBorders>
                    <w:bottom w:val="single" w:color="auto" w:sz="4" w:space="0"/>
                    <w:tl2br w:val="nil"/>
                    <w:tr2bl w:val="nil"/>
                  </w:tcBorders>
                  <w:shd w:val="clear" w:color="auto" w:fill="auto"/>
                  <w:vAlign w:val="center"/>
                </w:tcPr>
                <w:p w14:paraId="789137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深度处理</w:t>
                  </w:r>
                </w:p>
              </w:tc>
              <w:tc>
                <w:tcPr>
                  <w:tcW w:w="3066" w:type="dxa"/>
                  <w:tcBorders>
                    <w:bottom w:val="single" w:color="auto" w:sz="4" w:space="0"/>
                    <w:tl2br w:val="nil"/>
                    <w:tr2bl w:val="nil"/>
                  </w:tcBorders>
                  <w:shd w:val="clear" w:color="auto" w:fill="auto"/>
                  <w:vAlign w:val="center"/>
                </w:tcPr>
                <w:p w14:paraId="5E5190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混凝沉淀、过滤、曝气生物滤池、微滤、超滤、消毒（次氯酸钠、臭氧、紫外、二氧化氯）</w:t>
                  </w:r>
                  <w:r>
                    <w:rPr>
                      <w:rFonts w:hint="default" w:ascii="Times New Roman" w:hAnsi="Times New Roman" w:cs="Times New Roman"/>
                      <w:i w:val="0"/>
                      <w:iCs w:val="0"/>
                      <w:color w:val="auto"/>
                      <w:kern w:val="0"/>
                      <w:sz w:val="21"/>
                      <w:szCs w:val="21"/>
                      <w:u w:val="none"/>
                      <w:lang w:val="en-US" w:eastAsia="zh-CN" w:bidi="ar"/>
                    </w:rPr>
                    <w:t>。</w:t>
                  </w:r>
                </w:p>
              </w:tc>
              <w:tc>
                <w:tcPr>
                  <w:tcW w:w="2355" w:type="dxa"/>
                  <w:tcBorders>
                    <w:bottom w:val="single" w:color="auto" w:sz="4" w:space="0"/>
                    <w:right w:val="single" w:color="auto" w:sz="4" w:space="0"/>
                    <w:tl2br w:val="nil"/>
                    <w:tr2bl w:val="nil"/>
                  </w:tcBorders>
                  <w:shd w:val="clear" w:color="auto" w:fill="auto"/>
                  <w:vAlign w:val="center"/>
                </w:tcPr>
                <w:p w14:paraId="17A2F0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磁絮凝混凝沉淀池、V型滤池、次氯酸钠消毒。</w:t>
                  </w:r>
                </w:p>
              </w:tc>
            </w:tr>
          </w:tbl>
          <w:p w14:paraId="2D438B03">
            <w:pPr>
              <w:spacing w:line="360" w:lineRule="auto"/>
              <w:ind w:firstLine="42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7.2达标可行性</w:t>
            </w:r>
          </w:p>
          <w:p w14:paraId="05DA0755">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城市污水主要的污染物包括：悬浮物SS，有机污染物CODcr、</w:t>
            </w:r>
            <w:r>
              <w:rPr>
                <w:rFonts w:hint="default" w:ascii="Times New Roman" w:hAnsi="Times New Roman" w:eastAsia="宋体" w:cs="Times New Roman"/>
                <w:bCs/>
                <w:color w:val="auto"/>
                <w:sz w:val="24"/>
                <w:highlight w:val="none"/>
                <w:vertAlign w:val="baseline"/>
                <w:lang w:val="en-US" w:eastAsia="zh-CN"/>
              </w:rPr>
              <w:t>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，无机营养盐N、P等。整个污水处理系统各污染物的去除情况分述如下：</w:t>
            </w:r>
          </w:p>
          <w:p w14:paraId="619F2244">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①</w:t>
            </w:r>
            <w:r>
              <w:rPr>
                <w:rFonts w:hint="default" w:ascii="Times New Roman" w:hAnsi="Times New Roman" w:eastAsia="宋体" w:cs="Times New Roman"/>
                <w:bCs/>
                <w:color w:val="auto"/>
                <w:sz w:val="24"/>
                <w:highlight w:val="none"/>
                <w:vertAlign w:val="baseline"/>
                <w:lang w:val="en-US" w:eastAsia="zh-CN"/>
              </w:rPr>
              <w:t>BOD</w:t>
            </w:r>
            <w:r>
              <w:rPr>
                <w:rFonts w:hint="default" w:ascii="Times New Roman" w:hAnsi="Times New Roman" w:eastAsia="宋体" w:cs="Times New Roman"/>
                <w:bCs/>
                <w:color w:val="auto"/>
                <w:sz w:val="24"/>
                <w:highlight w:val="none"/>
                <w:vertAlign w:val="subscript"/>
                <w:lang w:val="en-US" w:eastAsia="zh-CN"/>
              </w:rPr>
              <w:t>5</w:t>
            </w:r>
          </w:p>
          <w:p w14:paraId="2E053EC4">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污水生物处理中微生物在有氧条件下，通过合成代谢将污水中一部分有机物合成新的细胞；通过分解代谢将部分有机物分解以获得细胞合成所需要的能量。污水中的</w:t>
            </w:r>
            <w:r>
              <w:rPr>
                <w:rFonts w:hint="default" w:ascii="Times New Roman" w:hAnsi="Times New Roman" w:eastAsia="宋体" w:cs="Times New Roman"/>
                <w:bCs/>
                <w:color w:val="auto"/>
                <w:sz w:val="24"/>
                <w:highlight w:val="none"/>
                <w:vertAlign w:val="baseline"/>
                <w:lang w:val="en-US" w:eastAsia="zh-CN"/>
              </w:rPr>
              <w:t>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主要在工艺流程中的曝气池即主反应池内去除。</w:t>
            </w:r>
          </w:p>
          <w:p w14:paraId="688DAA9A">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②COD</w:t>
            </w:r>
          </w:p>
          <w:p w14:paraId="4A8F6160">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污水中COD的去除原理和</w:t>
            </w:r>
            <w:r>
              <w:rPr>
                <w:rFonts w:hint="default" w:ascii="Times New Roman" w:hAnsi="Times New Roman" w:eastAsia="宋体" w:cs="Times New Roman"/>
                <w:bCs/>
                <w:color w:val="auto"/>
                <w:sz w:val="24"/>
                <w:highlight w:val="none"/>
                <w:vertAlign w:val="baseline"/>
                <w:lang w:val="en-US" w:eastAsia="zh-CN"/>
              </w:rPr>
              <w:t>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基本相同，COD的去除率取决于原水中有机物的可生化性，如果原水中有机物的生化性差，需要采取措施提高有机物的可生化性。</w:t>
            </w:r>
          </w:p>
          <w:p w14:paraId="396F1EE2">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③悬浮物（SS）</w:t>
            </w:r>
          </w:p>
          <w:p w14:paraId="491BF7AD">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污水中大直径的无机颗粒和有机颗粒，靠自然沉降或过滤作用即可去除，小直径的有机颗粒靠微生物的降解作用去除，小直径的无机颗粒则靠活性污泥絮体的吸附、网络作用，与活性污泥絮体同时被去除。</w:t>
            </w:r>
          </w:p>
          <w:p w14:paraId="696301FE">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现状一期、二期工程未配套建设</w:t>
            </w:r>
            <w:r>
              <w:rPr>
                <w:rFonts w:hint="default" w:ascii="Times New Roman" w:hAnsi="Times New Roman" w:cs="Times New Roman"/>
                <w:bCs/>
                <w:color w:val="auto"/>
                <w:sz w:val="24"/>
                <w:highlight w:val="none"/>
                <w:lang w:val="en-US" w:eastAsia="zh-CN"/>
              </w:rPr>
              <w:t>滤池</w:t>
            </w:r>
            <w:r>
              <w:rPr>
                <w:rFonts w:hint="default" w:ascii="Times New Roman" w:hAnsi="Times New Roman" w:eastAsia="宋体" w:cs="Times New Roman"/>
                <w:bCs/>
                <w:color w:val="auto"/>
                <w:sz w:val="24"/>
                <w:highlight w:val="none"/>
                <w:lang w:val="en-US" w:eastAsia="zh-CN"/>
              </w:rPr>
              <w:t>，导致出水SS等关键水质指标稳定性不足。为有效保障出水水质，本次V型滤池按现状工程与本次设计总规模统一规划设计，用于进一步去除污水中的悬浮及胶体类污染物。现状一期、二期深度处理间出水以重力流方式输送至本次新建V型滤池前端，经水泵提升后与本次工程处理水量混合，一并进入V型滤池进行深度过滤；过滤后的达标出水，其中现状污水经水泵提升回流至一期、二期接触池，本次工程产水则以重力流</w:t>
            </w:r>
            <w:r>
              <w:rPr>
                <w:rFonts w:hint="default" w:ascii="Times New Roman" w:hAnsi="Times New Roman" w:cs="Times New Roman"/>
                <w:bCs/>
                <w:color w:val="auto"/>
                <w:sz w:val="24"/>
                <w:highlight w:val="none"/>
                <w:lang w:val="en-US" w:eastAsia="zh-CN"/>
              </w:rPr>
              <w:t>方式</w:t>
            </w:r>
            <w:r>
              <w:rPr>
                <w:rFonts w:hint="default" w:ascii="Times New Roman" w:hAnsi="Times New Roman" w:eastAsia="宋体" w:cs="Times New Roman"/>
                <w:bCs/>
                <w:color w:val="auto"/>
                <w:sz w:val="24"/>
                <w:highlight w:val="none"/>
                <w:lang w:val="en-US" w:eastAsia="zh-CN"/>
              </w:rPr>
              <w:t>输送至本工程清水池，实现各系统间有效衔接与稳定运行。</w:t>
            </w:r>
          </w:p>
          <w:p w14:paraId="099FF7E6">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④N</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-N和TN</w:t>
            </w:r>
          </w:p>
          <w:p w14:paraId="3D60AE2F">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N</w:t>
            </w:r>
            <w:r>
              <w:rPr>
                <w:rFonts w:hint="default" w:ascii="Times New Roman" w:hAnsi="Times New Roman" w:eastAsia="宋体" w:cs="Times New Roman"/>
                <w:bCs/>
                <w:color w:val="auto"/>
                <w:sz w:val="24"/>
                <w:highlight w:val="none"/>
                <w:vertAlign w:val="baseline"/>
                <w:lang w:val="en-US" w:eastAsia="zh-CN"/>
              </w:rPr>
              <w:t>H</w:t>
            </w:r>
            <w:r>
              <w:rPr>
                <w:rFonts w:hint="default" w:ascii="Times New Roman" w:hAnsi="Times New Roman" w:eastAsia="宋体"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-N的去除主要在好氧生物池内完成，在溶解氧充足的条件下，亚硝酸</w:t>
            </w:r>
            <w:r>
              <w:rPr>
                <w:rFonts w:hint="default" w:ascii="Times New Roman" w:hAnsi="Times New Roman" w:cs="Times New Roman"/>
                <w:bCs/>
                <w:color w:val="auto"/>
                <w:sz w:val="24"/>
                <w:highlight w:val="none"/>
                <w:lang w:val="en-US" w:eastAsia="zh-CN"/>
              </w:rPr>
              <w:t>细</w:t>
            </w:r>
            <w:r>
              <w:rPr>
                <w:rFonts w:hint="default" w:ascii="Times New Roman" w:hAnsi="Times New Roman" w:eastAsia="宋体" w:cs="Times New Roman"/>
                <w:bCs/>
                <w:color w:val="auto"/>
                <w:sz w:val="24"/>
                <w:highlight w:val="none"/>
                <w:lang w:val="en-US" w:eastAsia="zh-CN"/>
              </w:rPr>
              <w:t>菌先将氨氮氧化成亚硝酸氮，接着硝酸菌进一步将亚硝酸氮氧化成硝酸氮。要控制出水中TN的含量，必须进行反硝化脱氮。反硝化是在缺氧的条件下，反硝化</w:t>
            </w:r>
            <w:r>
              <w:rPr>
                <w:rFonts w:hint="default" w:ascii="Times New Roman" w:hAnsi="Times New Roman" w:cs="Times New Roman"/>
                <w:bCs/>
                <w:color w:val="auto"/>
                <w:sz w:val="24"/>
                <w:highlight w:val="none"/>
                <w:lang w:val="en-US" w:eastAsia="zh-CN"/>
              </w:rPr>
              <w:t>细</w:t>
            </w:r>
            <w:r>
              <w:rPr>
                <w:rFonts w:hint="default" w:ascii="Times New Roman" w:hAnsi="Times New Roman" w:eastAsia="宋体" w:cs="Times New Roman"/>
                <w:bCs/>
                <w:color w:val="auto"/>
                <w:sz w:val="24"/>
                <w:highlight w:val="none"/>
                <w:lang w:val="en-US" w:eastAsia="zh-CN"/>
              </w:rPr>
              <w:t>菌利用有机物作为电子供体，将硝酸盐还原成N</w:t>
            </w:r>
            <w:r>
              <w:rPr>
                <w:rFonts w:hint="default" w:ascii="Times New Roman" w:hAnsi="Times New Roman" w:eastAsia="宋体"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的过程。</w:t>
            </w:r>
          </w:p>
          <w:p w14:paraId="352E0F12">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⑤TP</w:t>
            </w:r>
          </w:p>
          <w:p w14:paraId="554FB705">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生物除磷是指聚磷菌在厌氧条件下释放出体内的磷酸盐，在好氧条件下过量吸收污水中的磷，形成高含磷的活性污泥，随剩余污泥排出而达到去除污水中磷的目的。具有生物除磷功能的污水处理工艺通常能够使被处理的污水中磷含量降低至1.0mg/L以下。</w:t>
            </w:r>
          </w:p>
          <w:p w14:paraId="07A37551">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本次三期工程污水处理设施预计处理效果如下：</w:t>
            </w:r>
          </w:p>
          <w:p w14:paraId="39313550">
            <w:pPr>
              <w:spacing w:line="360" w:lineRule="auto"/>
              <w:ind w:firstLine="0" w:firstLineChars="0"/>
              <w:jc w:val="center"/>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表</w:t>
            </w:r>
            <w:r>
              <w:rPr>
                <w:rFonts w:hint="default" w:ascii="Times New Roman" w:hAnsi="Times New Roman" w:eastAsia="宋体" w:cs="Times New Roman"/>
                <w:b/>
                <w:bCs/>
                <w:color w:val="auto"/>
                <w:sz w:val="24"/>
                <w:szCs w:val="20"/>
                <w:lang w:val="en-US" w:eastAsia="zh-CN"/>
              </w:rPr>
              <w:t xml:space="preserve">2-11 </w:t>
            </w:r>
            <w:r>
              <w:rPr>
                <w:rFonts w:hint="default" w:ascii="Times New Roman" w:hAnsi="Times New Roman" w:eastAsia="宋体" w:cs="Times New Roman"/>
                <w:b/>
                <w:bCs/>
                <w:color w:val="auto"/>
                <w:sz w:val="24"/>
                <w:szCs w:val="20"/>
              </w:rPr>
              <w:t>本项目污水处理效率一览表</w:t>
            </w:r>
          </w:p>
          <w:tbl>
            <w:tblPr>
              <w:tblStyle w:val="11"/>
              <w:tblW w:w="500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152"/>
              <w:gridCol w:w="959"/>
              <w:gridCol w:w="959"/>
              <w:gridCol w:w="959"/>
              <w:gridCol w:w="959"/>
              <w:gridCol w:w="959"/>
              <w:gridCol w:w="960"/>
            </w:tblGrid>
            <w:tr w14:paraId="7155D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66" w:type="pct"/>
                  <w:gridSpan w:val="2"/>
                  <w:tcBorders>
                    <w:top w:val="single" w:color="auto" w:sz="4" w:space="0"/>
                    <w:left w:val="single" w:color="auto" w:sz="0" w:space="0"/>
                    <w:tl2br w:val="nil"/>
                    <w:tr2bl w:val="nil"/>
                  </w:tcBorders>
                  <w:noWrap w:val="0"/>
                  <w:vAlign w:val="center"/>
                </w:tcPr>
                <w:p w14:paraId="0924ABF4">
                  <w:pPr>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项目</w:t>
                  </w:r>
                </w:p>
              </w:tc>
              <w:tc>
                <w:tcPr>
                  <w:tcW w:w="588" w:type="pct"/>
                  <w:tcBorders>
                    <w:top w:val="single" w:color="auto" w:sz="4" w:space="0"/>
                    <w:tl2br w:val="nil"/>
                    <w:tr2bl w:val="nil"/>
                  </w:tcBorders>
                  <w:noWrap w:val="0"/>
                  <w:vAlign w:val="center"/>
                </w:tcPr>
                <w:p w14:paraId="66AD2264">
                  <w:pPr>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CODcr</w:t>
                  </w:r>
                </w:p>
              </w:tc>
              <w:tc>
                <w:tcPr>
                  <w:tcW w:w="588" w:type="pct"/>
                  <w:tcBorders>
                    <w:top w:val="single" w:color="auto" w:sz="4" w:space="0"/>
                    <w:tl2br w:val="nil"/>
                    <w:tr2bl w:val="nil"/>
                  </w:tcBorders>
                  <w:noWrap w:val="0"/>
                  <w:vAlign w:val="center"/>
                </w:tcPr>
                <w:p w14:paraId="7837EB54">
                  <w:pPr>
                    <w:spacing w:line="240" w:lineRule="auto"/>
                    <w:ind w:firstLine="0" w:firstLineChars="0"/>
                    <w:jc w:val="center"/>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vertAlign w:val="baseline"/>
                      <w:lang w:eastAsia="zh-CN"/>
                    </w:rPr>
                    <w:t>BOD</w:t>
                  </w:r>
                  <w:r>
                    <w:rPr>
                      <w:rFonts w:hint="default" w:ascii="Times New Roman" w:hAnsi="Times New Roman" w:eastAsia="宋体" w:cs="Times New Roman"/>
                      <w:b/>
                      <w:bCs w:val="0"/>
                      <w:color w:val="auto"/>
                      <w:sz w:val="21"/>
                      <w:szCs w:val="21"/>
                      <w:vertAlign w:val="subscript"/>
                      <w:lang w:eastAsia="zh-CN"/>
                    </w:rPr>
                    <w:t>5</w:t>
                  </w:r>
                </w:p>
              </w:tc>
              <w:tc>
                <w:tcPr>
                  <w:tcW w:w="588" w:type="pct"/>
                  <w:tcBorders>
                    <w:top w:val="single" w:color="auto" w:sz="4" w:space="0"/>
                    <w:tl2br w:val="nil"/>
                    <w:tr2bl w:val="nil"/>
                  </w:tcBorders>
                  <w:noWrap w:val="0"/>
                  <w:vAlign w:val="center"/>
                </w:tcPr>
                <w:p w14:paraId="1B4C2337">
                  <w:pPr>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SS</w:t>
                  </w:r>
                </w:p>
              </w:tc>
              <w:tc>
                <w:tcPr>
                  <w:tcW w:w="588" w:type="pct"/>
                  <w:tcBorders>
                    <w:top w:val="single" w:color="auto" w:sz="4" w:space="0"/>
                    <w:tl2br w:val="nil"/>
                    <w:tr2bl w:val="nil"/>
                  </w:tcBorders>
                  <w:noWrap w:val="0"/>
                  <w:vAlign w:val="center"/>
                </w:tcPr>
                <w:p w14:paraId="6D2CA799">
                  <w:pPr>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N</w:t>
                  </w:r>
                  <w:r>
                    <w:rPr>
                      <w:rFonts w:hint="default" w:ascii="Times New Roman" w:hAnsi="Times New Roman" w:eastAsia="宋体" w:cs="Times New Roman"/>
                      <w:b/>
                      <w:bCs w:val="0"/>
                      <w:color w:val="auto"/>
                      <w:sz w:val="21"/>
                      <w:szCs w:val="21"/>
                      <w:vertAlign w:val="baseline"/>
                      <w:lang w:eastAsia="zh-CN"/>
                    </w:rPr>
                    <w:t>H</w:t>
                  </w:r>
                  <w:r>
                    <w:rPr>
                      <w:rFonts w:hint="default" w:ascii="Times New Roman" w:hAnsi="Times New Roman" w:eastAsia="宋体" w:cs="Times New Roman"/>
                      <w:b/>
                      <w:bCs w:val="0"/>
                      <w:color w:val="auto"/>
                      <w:sz w:val="21"/>
                      <w:szCs w:val="21"/>
                      <w:vertAlign w:val="subscript"/>
                      <w:lang w:eastAsia="zh-CN"/>
                    </w:rPr>
                    <w:t>3</w:t>
                  </w:r>
                  <w:r>
                    <w:rPr>
                      <w:rFonts w:hint="default" w:ascii="Times New Roman" w:hAnsi="Times New Roman" w:eastAsia="宋体" w:cs="Times New Roman"/>
                      <w:b/>
                      <w:bCs w:val="0"/>
                      <w:color w:val="auto"/>
                      <w:sz w:val="21"/>
                      <w:szCs w:val="21"/>
                    </w:rPr>
                    <w:t>-N</w:t>
                  </w:r>
                </w:p>
              </w:tc>
              <w:tc>
                <w:tcPr>
                  <w:tcW w:w="588" w:type="pct"/>
                  <w:tcBorders>
                    <w:top w:val="single" w:color="auto" w:sz="4" w:space="0"/>
                    <w:tl2br w:val="nil"/>
                    <w:tr2bl w:val="nil"/>
                  </w:tcBorders>
                  <w:noWrap w:val="0"/>
                  <w:vAlign w:val="center"/>
                </w:tcPr>
                <w:p w14:paraId="4083AAFB">
                  <w:pPr>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TN</w:t>
                  </w:r>
                </w:p>
              </w:tc>
              <w:tc>
                <w:tcPr>
                  <w:tcW w:w="589" w:type="pct"/>
                  <w:tcBorders>
                    <w:top w:val="single" w:color="auto" w:sz="4" w:space="0"/>
                    <w:right w:val="single" w:color="auto" w:sz="4" w:space="0"/>
                    <w:tl2br w:val="nil"/>
                    <w:tr2bl w:val="nil"/>
                  </w:tcBorders>
                  <w:noWrap w:val="0"/>
                  <w:vAlign w:val="center"/>
                </w:tcPr>
                <w:p w14:paraId="1D18FB98">
                  <w:pPr>
                    <w:spacing w:line="240" w:lineRule="auto"/>
                    <w:ind w:firstLine="0" w:firstLineChars="0"/>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TP</w:t>
                  </w:r>
                </w:p>
              </w:tc>
            </w:tr>
            <w:tr w14:paraId="468732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66" w:type="pct"/>
                  <w:gridSpan w:val="2"/>
                  <w:tcBorders>
                    <w:left w:val="single" w:color="auto" w:sz="4" w:space="0"/>
                    <w:tl2br w:val="nil"/>
                    <w:tr2bl w:val="nil"/>
                  </w:tcBorders>
                  <w:shd w:val="clear" w:color="auto" w:fill="auto"/>
                  <w:noWrap w:val="0"/>
                  <w:vAlign w:val="center"/>
                </w:tcPr>
                <w:p w14:paraId="39B55C9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进厂水质（mg/L）</w:t>
                  </w:r>
                </w:p>
              </w:tc>
              <w:tc>
                <w:tcPr>
                  <w:tcW w:w="956" w:type="dxa"/>
                  <w:tcBorders>
                    <w:tl2br w:val="nil"/>
                    <w:tr2bl w:val="nil"/>
                  </w:tcBorders>
                  <w:shd w:val="clear" w:color="auto" w:fill="auto"/>
                  <w:noWrap w:val="0"/>
                  <w:vAlign w:val="center"/>
                </w:tcPr>
                <w:p w14:paraId="3A139936">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510</w:t>
                  </w:r>
                </w:p>
              </w:tc>
              <w:tc>
                <w:tcPr>
                  <w:tcW w:w="956" w:type="dxa"/>
                  <w:tcBorders>
                    <w:tl2br w:val="nil"/>
                    <w:tr2bl w:val="nil"/>
                  </w:tcBorders>
                  <w:shd w:val="clear" w:color="auto" w:fill="auto"/>
                  <w:noWrap w:val="0"/>
                  <w:vAlign w:val="center"/>
                </w:tcPr>
                <w:p w14:paraId="21D3C373">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390</w:t>
                  </w:r>
                </w:p>
              </w:tc>
              <w:tc>
                <w:tcPr>
                  <w:tcW w:w="956" w:type="dxa"/>
                  <w:tcBorders>
                    <w:tl2br w:val="nil"/>
                    <w:tr2bl w:val="nil"/>
                  </w:tcBorders>
                  <w:shd w:val="clear" w:color="auto" w:fill="auto"/>
                  <w:noWrap w:val="0"/>
                  <w:vAlign w:val="center"/>
                </w:tcPr>
                <w:p w14:paraId="315555BD">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350</w:t>
                  </w:r>
                </w:p>
              </w:tc>
              <w:tc>
                <w:tcPr>
                  <w:tcW w:w="956" w:type="dxa"/>
                  <w:tcBorders>
                    <w:tl2br w:val="nil"/>
                    <w:tr2bl w:val="nil"/>
                  </w:tcBorders>
                  <w:shd w:val="clear" w:color="auto" w:fill="auto"/>
                  <w:noWrap w:val="0"/>
                  <w:vAlign w:val="center"/>
                </w:tcPr>
                <w:p w14:paraId="59A27B36">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69</w:t>
                  </w:r>
                </w:p>
              </w:tc>
              <w:tc>
                <w:tcPr>
                  <w:tcW w:w="956" w:type="dxa"/>
                  <w:tcBorders>
                    <w:tl2br w:val="nil"/>
                    <w:tr2bl w:val="nil"/>
                  </w:tcBorders>
                  <w:shd w:val="clear" w:color="auto" w:fill="auto"/>
                  <w:noWrap w:val="0"/>
                  <w:vAlign w:val="center"/>
                </w:tcPr>
                <w:p w14:paraId="7247CDE5">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87</w:t>
                  </w:r>
                </w:p>
              </w:tc>
              <w:tc>
                <w:tcPr>
                  <w:tcW w:w="957" w:type="dxa"/>
                  <w:tcBorders>
                    <w:right w:val="single" w:color="auto" w:sz="4" w:space="0"/>
                    <w:tl2br w:val="nil"/>
                    <w:tr2bl w:val="nil"/>
                  </w:tcBorders>
                  <w:shd w:val="clear" w:color="auto" w:fill="auto"/>
                  <w:noWrap w:val="0"/>
                  <w:vAlign w:val="center"/>
                </w:tcPr>
                <w:p w14:paraId="28A9A327">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r>
            <w:tr w14:paraId="1A9A05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8" w:type="pct"/>
                  <w:vMerge w:val="restart"/>
                  <w:tcBorders>
                    <w:left w:val="single" w:color="auto" w:sz="4" w:space="0"/>
                    <w:tl2br w:val="nil"/>
                    <w:tr2bl w:val="nil"/>
                  </w:tcBorders>
                  <w:shd w:val="clear" w:color="auto" w:fill="auto"/>
                  <w:noWrap w:val="0"/>
                  <w:vAlign w:val="center"/>
                </w:tcPr>
                <w:p w14:paraId="120D60B7">
                  <w:pPr>
                    <w:keepNext w:val="0"/>
                    <w:keepLines w:val="0"/>
                    <w:widowControl/>
                    <w:suppressLineNumbers w:val="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格栅间+沉砂池</w:t>
                  </w:r>
                </w:p>
              </w:tc>
              <w:tc>
                <w:tcPr>
                  <w:tcW w:w="707" w:type="pct"/>
                  <w:tcBorders>
                    <w:tl2br w:val="nil"/>
                    <w:tr2bl w:val="nil"/>
                  </w:tcBorders>
                  <w:shd w:val="clear" w:color="auto" w:fill="auto"/>
                  <w:noWrap w:val="0"/>
                  <w:vAlign w:val="center"/>
                </w:tcPr>
                <w:p w14:paraId="3EFA47D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进水水质</w:t>
                  </w:r>
                </w:p>
              </w:tc>
              <w:tc>
                <w:tcPr>
                  <w:tcW w:w="956" w:type="dxa"/>
                  <w:tcBorders>
                    <w:tl2br w:val="nil"/>
                    <w:tr2bl w:val="nil"/>
                  </w:tcBorders>
                  <w:shd w:val="clear" w:color="auto" w:fill="auto"/>
                  <w:noWrap w:val="0"/>
                  <w:vAlign w:val="center"/>
                </w:tcPr>
                <w:p w14:paraId="509897BE">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510</w:t>
                  </w:r>
                </w:p>
              </w:tc>
              <w:tc>
                <w:tcPr>
                  <w:tcW w:w="956" w:type="dxa"/>
                  <w:tcBorders>
                    <w:tl2br w:val="nil"/>
                    <w:tr2bl w:val="nil"/>
                  </w:tcBorders>
                  <w:shd w:val="clear" w:color="auto" w:fill="auto"/>
                  <w:noWrap w:val="0"/>
                  <w:vAlign w:val="center"/>
                </w:tcPr>
                <w:p w14:paraId="45114DA2">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390</w:t>
                  </w:r>
                </w:p>
              </w:tc>
              <w:tc>
                <w:tcPr>
                  <w:tcW w:w="956" w:type="dxa"/>
                  <w:tcBorders>
                    <w:tl2br w:val="nil"/>
                    <w:tr2bl w:val="nil"/>
                  </w:tcBorders>
                  <w:shd w:val="clear" w:color="auto" w:fill="auto"/>
                  <w:noWrap w:val="0"/>
                  <w:vAlign w:val="center"/>
                </w:tcPr>
                <w:p w14:paraId="381AE71C">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350</w:t>
                  </w:r>
                </w:p>
              </w:tc>
              <w:tc>
                <w:tcPr>
                  <w:tcW w:w="956" w:type="dxa"/>
                  <w:tcBorders>
                    <w:tl2br w:val="nil"/>
                    <w:tr2bl w:val="nil"/>
                  </w:tcBorders>
                  <w:shd w:val="clear" w:color="auto" w:fill="auto"/>
                  <w:noWrap w:val="0"/>
                  <w:vAlign w:val="center"/>
                </w:tcPr>
                <w:p w14:paraId="775233BD">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69</w:t>
                  </w:r>
                </w:p>
              </w:tc>
              <w:tc>
                <w:tcPr>
                  <w:tcW w:w="956" w:type="dxa"/>
                  <w:tcBorders>
                    <w:tl2br w:val="nil"/>
                    <w:tr2bl w:val="nil"/>
                  </w:tcBorders>
                  <w:shd w:val="clear" w:color="auto" w:fill="auto"/>
                  <w:noWrap w:val="0"/>
                  <w:vAlign w:val="center"/>
                </w:tcPr>
                <w:p w14:paraId="031F2F4E">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87</w:t>
                  </w:r>
                </w:p>
              </w:tc>
              <w:tc>
                <w:tcPr>
                  <w:tcW w:w="957" w:type="dxa"/>
                  <w:tcBorders>
                    <w:right w:val="single" w:color="auto" w:sz="4" w:space="0"/>
                    <w:tl2br w:val="nil"/>
                    <w:tr2bl w:val="nil"/>
                  </w:tcBorders>
                  <w:shd w:val="clear" w:color="auto" w:fill="auto"/>
                  <w:noWrap w:val="0"/>
                  <w:vAlign w:val="center"/>
                </w:tcPr>
                <w:p w14:paraId="5ED8E1E1">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r>
            <w:tr w14:paraId="3EFA3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8" w:type="pct"/>
                  <w:vMerge w:val="continue"/>
                  <w:tcBorders>
                    <w:left w:val="single" w:color="auto" w:sz="4" w:space="0"/>
                    <w:tl2br w:val="nil"/>
                    <w:tr2bl w:val="nil"/>
                  </w:tcBorders>
                  <w:noWrap w:val="0"/>
                  <w:vAlign w:val="center"/>
                </w:tcPr>
                <w:p w14:paraId="339A6791">
                  <w:pPr>
                    <w:spacing w:line="240" w:lineRule="auto"/>
                    <w:ind w:firstLine="0" w:firstLineChars="0"/>
                    <w:jc w:val="center"/>
                    <w:rPr>
                      <w:rFonts w:hint="default" w:ascii="Times New Roman" w:hAnsi="Times New Roman" w:eastAsia="宋体" w:cs="Times New Roman"/>
                      <w:b/>
                      <w:bCs w:val="0"/>
                      <w:color w:val="auto"/>
                      <w:sz w:val="21"/>
                      <w:szCs w:val="21"/>
                    </w:rPr>
                  </w:pPr>
                </w:p>
              </w:tc>
              <w:tc>
                <w:tcPr>
                  <w:tcW w:w="707" w:type="pct"/>
                  <w:tcBorders>
                    <w:tl2br w:val="nil"/>
                    <w:tr2bl w:val="nil"/>
                  </w:tcBorders>
                  <w:shd w:val="clear" w:color="auto" w:fill="auto"/>
                  <w:noWrap w:val="0"/>
                  <w:vAlign w:val="center"/>
                </w:tcPr>
                <w:p w14:paraId="5904AD4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处理效率</w:t>
                  </w:r>
                </w:p>
              </w:tc>
              <w:tc>
                <w:tcPr>
                  <w:tcW w:w="956" w:type="dxa"/>
                  <w:tcBorders>
                    <w:tl2br w:val="nil"/>
                    <w:tr2bl w:val="nil"/>
                  </w:tcBorders>
                  <w:shd w:val="clear" w:color="auto" w:fill="auto"/>
                  <w:noWrap w:val="0"/>
                  <w:vAlign w:val="center"/>
                </w:tcPr>
                <w:p w14:paraId="78E9999D">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956" w:type="dxa"/>
                  <w:tcBorders>
                    <w:tl2br w:val="nil"/>
                    <w:tr2bl w:val="nil"/>
                  </w:tcBorders>
                  <w:shd w:val="clear" w:color="auto" w:fill="auto"/>
                  <w:noWrap w:val="0"/>
                  <w:vAlign w:val="center"/>
                </w:tcPr>
                <w:p w14:paraId="44091A1C">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956" w:type="dxa"/>
                  <w:tcBorders>
                    <w:tl2br w:val="nil"/>
                    <w:tr2bl w:val="nil"/>
                  </w:tcBorders>
                  <w:shd w:val="clear" w:color="auto" w:fill="auto"/>
                  <w:noWrap w:val="0"/>
                  <w:vAlign w:val="center"/>
                </w:tcPr>
                <w:p w14:paraId="26AD6A48">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56" w:type="dxa"/>
                  <w:tcBorders>
                    <w:tl2br w:val="nil"/>
                    <w:tr2bl w:val="nil"/>
                  </w:tcBorders>
                  <w:shd w:val="clear" w:color="auto" w:fill="auto"/>
                  <w:noWrap w:val="0"/>
                  <w:vAlign w:val="center"/>
                </w:tcPr>
                <w:p w14:paraId="1D9AE650">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56" w:type="dxa"/>
                  <w:tcBorders>
                    <w:tl2br w:val="nil"/>
                    <w:tr2bl w:val="nil"/>
                  </w:tcBorders>
                  <w:shd w:val="clear" w:color="auto" w:fill="auto"/>
                  <w:noWrap w:val="0"/>
                  <w:vAlign w:val="center"/>
                </w:tcPr>
                <w:p w14:paraId="6FDC4130">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57" w:type="dxa"/>
                  <w:tcBorders>
                    <w:right w:val="single" w:color="auto" w:sz="4" w:space="0"/>
                    <w:tl2br w:val="nil"/>
                    <w:tr2bl w:val="nil"/>
                  </w:tcBorders>
                  <w:shd w:val="clear" w:color="auto" w:fill="auto"/>
                  <w:noWrap w:val="0"/>
                  <w:vAlign w:val="center"/>
                </w:tcPr>
                <w:p w14:paraId="399D70B6">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732BA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8" w:type="pct"/>
                  <w:vMerge w:val="restart"/>
                  <w:tcBorders>
                    <w:left w:val="single" w:color="auto" w:sz="4" w:space="0"/>
                    <w:tl2br w:val="nil"/>
                    <w:tr2bl w:val="nil"/>
                  </w:tcBorders>
                  <w:shd w:val="clear" w:color="auto" w:fill="auto"/>
                  <w:noWrap w:val="0"/>
                  <w:vAlign w:val="center"/>
                </w:tcPr>
                <w:p w14:paraId="4679EE6F">
                  <w:pPr>
                    <w:keepNext w:val="0"/>
                    <w:keepLines w:val="0"/>
                    <w:widowControl/>
                    <w:suppressLineNumbers w:val="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生物池+二沉池</w:t>
                  </w:r>
                </w:p>
              </w:tc>
              <w:tc>
                <w:tcPr>
                  <w:tcW w:w="707" w:type="pct"/>
                  <w:tcBorders>
                    <w:tl2br w:val="nil"/>
                    <w:tr2bl w:val="nil"/>
                  </w:tcBorders>
                  <w:shd w:val="clear" w:color="auto" w:fill="auto"/>
                  <w:noWrap w:val="0"/>
                  <w:vAlign w:val="center"/>
                </w:tcPr>
                <w:p w14:paraId="5E19846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进水水质</w:t>
                  </w:r>
                </w:p>
              </w:tc>
              <w:tc>
                <w:tcPr>
                  <w:tcW w:w="956" w:type="dxa"/>
                  <w:tcBorders>
                    <w:tl2br w:val="nil"/>
                    <w:tr2bl w:val="nil"/>
                  </w:tcBorders>
                  <w:shd w:val="clear" w:color="auto" w:fill="auto"/>
                  <w:noWrap w:val="0"/>
                  <w:vAlign w:val="center"/>
                </w:tcPr>
                <w:p w14:paraId="05B22838">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485 </w:t>
                  </w:r>
                </w:p>
              </w:tc>
              <w:tc>
                <w:tcPr>
                  <w:tcW w:w="956" w:type="dxa"/>
                  <w:tcBorders>
                    <w:tl2br w:val="nil"/>
                    <w:tr2bl w:val="nil"/>
                  </w:tcBorders>
                  <w:shd w:val="clear" w:color="auto" w:fill="auto"/>
                  <w:noWrap w:val="0"/>
                  <w:vAlign w:val="center"/>
                </w:tcPr>
                <w:p w14:paraId="39FC2F2A">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351 </w:t>
                  </w:r>
                </w:p>
              </w:tc>
              <w:tc>
                <w:tcPr>
                  <w:tcW w:w="956" w:type="dxa"/>
                  <w:tcBorders>
                    <w:tl2br w:val="nil"/>
                    <w:tr2bl w:val="nil"/>
                  </w:tcBorders>
                  <w:shd w:val="clear" w:color="auto" w:fill="auto"/>
                  <w:noWrap w:val="0"/>
                  <w:vAlign w:val="center"/>
                </w:tcPr>
                <w:p w14:paraId="30AB25D6">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350 </w:t>
                  </w:r>
                </w:p>
              </w:tc>
              <w:tc>
                <w:tcPr>
                  <w:tcW w:w="956" w:type="dxa"/>
                  <w:tcBorders>
                    <w:tl2br w:val="nil"/>
                    <w:tr2bl w:val="nil"/>
                  </w:tcBorders>
                  <w:shd w:val="clear" w:color="auto" w:fill="auto"/>
                  <w:noWrap w:val="0"/>
                  <w:vAlign w:val="center"/>
                </w:tcPr>
                <w:p w14:paraId="51571C01">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69 </w:t>
                  </w:r>
                </w:p>
              </w:tc>
              <w:tc>
                <w:tcPr>
                  <w:tcW w:w="956" w:type="dxa"/>
                  <w:tcBorders>
                    <w:tl2br w:val="nil"/>
                    <w:tr2bl w:val="nil"/>
                  </w:tcBorders>
                  <w:shd w:val="clear" w:color="auto" w:fill="auto"/>
                  <w:noWrap w:val="0"/>
                  <w:vAlign w:val="center"/>
                </w:tcPr>
                <w:p w14:paraId="6DC687C7">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87 </w:t>
                  </w:r>
                </w:p>
              </w:tc>
              <w:tc>
                <w:tcPr>
                  <w:tcW w:w="957" w:type="dxa"/>
                  <w:tcBorders>
                    <w:right w:val="single" w:color="auto" w:sz="4" w:space="0"/>
                    <w:tl2br w:val="nil"/>
                    <w:tr2bl w:val="nil"/>
                  </w:tcBorders>
                  <w:shd w:val="clear" w:color="auto" w:fill="auto"/>
                  <w:noWrap w:val="0"/>
                  <w:vAlign w:val="center"/>
                </w:tcPr>
                <w:p w14:paraId="29C09F07">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7 </w:t>
                  </w:r>
                </w:p>
              </w:tc>
            </w:tr>
            <w:tr w14:paraId="54DEB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8" w:type="pct"/>
                  <w:vMerge w:val="continue"/>
                  <w:tcBorders>
                    <w:left w:val="single" w:color="auto" w:sz="4" w:space="0"/>
                    <w:tl2br w:val="nil"/>
                    <w:tr2bl w:val="nil"/>
                  </w:tcBorders>
                  <w:noWrap w:val="0"/>
                  <w:vAlign w:val="center"/>
                </w:tcPr>
                <w:p w14:paraId="20790E91">
                  <w:pPr>
                    <w:spacing w:line="240" w:lineRule="auto"/>
                    <w:ind w:firstLine="0" w:firstLineChars="0"/>
                    <w:jc w:val="center"/>
                    <w:rPr>
                      <w:rFonts w:hint="default" w:ascii="Times New Roman" w:hAnsi="Times New Roman" w:eastAsia="宋体" w:cs="Times New Roman"/>
                      <w:b/>
                      <w:bCs w:val="0"/>
                      <w:color w:val="auto"/>
                      <w:sz w:val="21"/>
                      <w:szCs w:val="21"/>
                    </w:rPr>
                  </w:pPr>
                </w:p>
              </w:tc>
              <w:tc>
                <w:tcPr>
                  <w:tcW w:w="707" w:type="pct"/>
                  <w:tcBorders>
                    <w:tl2br w:val="nil"/>
                    <w:tr2bl w:val="nil"/>
                  </w:tcBorders>
                  <w:shd w:val="clear" w:color="auto" w:fill="auto"/>
                  <w:noWrap w:val="0"/>
                  <w:vAlign w:val="center"/>
                </w:tcPr>
                <w:p w14:paraId="47747F7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处理效率</w:t>
                  </w:r>
                </w:p>
              </w:tc>
              <w:tc>
                <w:tcPr>
                  <w:tcW w:w="956" w:type="dxa"/>
                  <w:tcBorders>
                    <w:tl2br w:val="nil"/>
                    <w:tr2bl w:val="nil"/>
                  </w:tcBorders>
                  <w:shd w:val="clear" w:color="auto" w:fill="auto"/>
                  <w:noWrap w:val="0"/>
                  <w:vAlign w:val="center"/>
                </w:tcPr>
                <w:p w14:paraId="6E50E14B">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88%</w:t>
                  </w:r>
                </w:p>
              </w:tc>
              <w:tc>
                <w:tcPr>
                  <w:tcW w:w="956" w:type="dxa"/>
                  <w:tcBorders>
                    <w:tl2br w:val="nil"/>
                    <w:tr2bl w:val="nil"/>
                  </w:tcBorders>
                  <w:shd w:val="clear" w:color="auto" w:fill="auto"/>
                  <w:noWrap w:val="0"/>
                  <w:vAlign w:val="center"/>
                </w:tcPr>
                <w:p w14:paraId="6A39BAA8">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95%</w:t>
                  </w:r>
                </w:p>
              </w:tc>
              <w:tc>
                <w:tcPr>
                  <w:tcW w:w="956" w:type="dxa"/>
                  <w:tcBorders>
                    <w:tl2br w:val="nil"/>
                    <w:tr2bl w:val="nil"/>
                  </w:tcBorders>
                  <w:shd w:val="clear" w:color="auto" w:fill="auto"/>
                  <w:noWrap w:val="0"/>
                  <w:vAlign w:val="center"/>
                </w:tcPr>
                <w:p w14:paraId="7AC50E18">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80%</w:t>
                  </w:r>
                </w:p>
              </w:tc>
              <w:tc>
                <w:tcPr>
                  <w:tcW w:w="956" w:type="dxa"/>
                  <w:tcBorders>
                    <w:tl2br w:val="nil"/>
                    <w:tr2bl w:val="nil"/>
                  </w:tcBorders>
                  <w:shd w:val="clear" w:color="auto" w:fill="auto"/>
                  <w:noWrap w:val="0"/>
                  <w:vAlign w:val="center"/>
                </w:tcPr>
                <w:p w14:paraId="3FEFEA91">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93%</w:t>
                  </w:r>
                </w:p>
              </w:tc>
              <w:tc>
                <w:tcPr>
                  <w:tcW w:w="956" w:type="dxa"/>
                  <w:tcBorders>
                    <w:tl2br w:val="nil"/>
                    <w:tr2bl w:val="nil"/>
                  </w:tcBorders>
                  <w:shd w:val="clear" w:color="auto" w:fill="auto"/>
                  <w:noWrap w:val="0"/>
                  <w:vAlign w:val="center"/>
                </w:tcPr>
                <w:p w14:paraId="158476FC">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83%</w:t>
                  </w:r>
                </w:p>
              </w:tc>
              <w:tc>
                <w:tcPr>
                  <w:tcW w:w="957" w:type="dxa"/>
                  <w:tcBorders>
                    <w:right w:val="single" w:color="auto" w:sz="4" w:space="0"/>
                    <w:tl2br w:val="nil"/>
                    <w:tr2bl w:val="nil"/>
                  </w:tcBorders>
                  <w:shd w:val="clear" w:color="auto" w:fill="auto"/>
                  <w:noWrap w:val="0"/>
                  <w:vAlign w:val="center"/>
                </w:tcPr>
                <w:p w14:paraId="63E2EC58">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85%</w:t>
                  </w:r>
                </w:p>
              </w:tc>
            </w:tr>
            <w:tr w14:paraId="79D645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8" w:type="pct"/>
                  <w:vMerge w:val="restart"/>
                  <w:tcBorders>
                    <w:left w:val="single" w:color="auto" w:sz="4" w:space="0"/>
                    <w:tl2br w:val="nil"/>
                    <w:tr2bl w:val="nil"/>
                  </w:tcBorders>
                  <w:shd w:val="clear" w:color="auto" w:fill="auto"/>
                  <w:noWrap w:val="0"/>
                  <w:vAlign w:val="center"/>
                </w:tcPr>
                <w:p w14:paraId="7723913B">
                  <w:pPr>
                    <w:keepNext w:val="0"/>
                    <w:keepLines w:val="0"/>
                    <w:widowControl/>
                    <w:suppressLineNumbers w:val="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磁混凝沉淀池</w:t>
                  </w:r>
                </w:p>
              </w:tc>
              <w:tc>
                <w:tcPr>
                  <w:tcW w:w="707" w:type="pct"/>
                  <w:tcBorders>
                    <w:tl2br w:val="nil"/>
                    <w:tr2bl w:val="nil"/>
                  </w:tcBorders>
                  <w:shd w:val="clear" w:color="auto" w:fill="auto"/>
                  <w:noWrap w:val="0"/>
                  <w:vAlign w:val="center"/>
                </w:tcPr>
                <w:p w14:paraId="650FFA6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进水水质</w:t>
                  </w:r>
                </w:p>
              </w:tc>
              <w:tc>
                <w:tcPr>
                  <w:tcW w:w="956" w:type="dxa"/>
                  <w:tcBorders>
                    <w:tl2br w:val="nil"/>
                    <w:tr2bl w:val="nil"/>
                  </w:tcBorders>
                  <w:shd w:val="clear" w:color="auto" w:fill="auto"/>
                  <w:noWrap w:val="0"/>
                  <w:vAlign w:val="center"/>
                </w:tcPr>
                <w:p w14:paraId="7037516D">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58.14</w:t>
                  </w:r>
                </w:p>
              </w:tc>
              <w:tc>
                <w:tcPr>
                  <w:tcW w:w="956" w:type="dxa"/>
                  <w:tcBorders>
                    <w:tl2br w:val="nil"/>
                    <w:tr2bl w:val="nil"/>
                  </w:tcBorders>
                  <w:shd w:val="clear" w:color="auto" w:fill="auto"/>
                  <w:noWrap w:val="0"/>
                  <w:vAlign w:val="center"/>
                </w:tcPr>
                <w:p w14:paraId="45D5825D">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18 </w:t>
                  </w:r>
                </w:p>
              </w:tc>
              <w:tc>
                <w:tcPr>
                  <w:tcW w:w="956" w:type="dxa"/>
                  <w:tcBorders>
                    <w:tl2br w:val="nil"/>
                    <w:tr2bl w:val="nil"/>
                  </w:tcBorders>
                  <w:shd w:val="clear" w:color="auto" w:fill="auto"/>
                  <w:noWrap w:val="0"/>
                  <w:vAlign w:val="center"/>
                </w:tcPr>
                <w:p w14:paraId="2253B59C">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70</w:t>
                  </w:r>
                </w:p>
              </w:tc>
              <w:tc>
                <w:tcPr>
                  <w:tcW w:w="956" w:type="dxa"/>
                  <w:tcBorders>
                    <w:tl2br w:val="nil"/>
                    <w:tr2bl w:val="nil"/>
                  </w:tcBorders>
                  <w:shd w:val="clear" w:color="auto" w:fill="auto"/>
                  <w:noWrap w:val="0"/>
                  <w:vAlign w:val="center"/>
                </w:tcPr>
                <w:p w14:paraId="645F3D64">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956" w:type="dxa"/>
                  <w:tcBorders>
                    <w:tl2br w:val="nil"/>
                    <w:tr2bl w:val="nil"/>
                  </w:tcBorders>
                  <w:shd w:val="clear" w:color="auto" w:fill="auto"/>
                  <w:noWrap w:val="0"/>
                  <w:vAlign w:val="center"/>
                </w:tcPr>
                <w:p w14:paraId="39DB9F78">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957" w:type="dxa"/>
                  <w:tcBorders>
                    <w:right w:val="single" w:color="auto" w:sz="4" w:space="0"/>
                    <w:tl2br w:val="nil"/>
                    <w:tr2bl w:val="nil"/>
                  </w:tcBorders>
                  <w:shd w:val="clear" w:color="auto" w:fill="auto"/>
                  <w:noWrap w:val="0"/>
                  <w:vAlign w:val="center"/>
                </w:tcPr>
                <w:p w14:paraId="33F007E5">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1.1 </w:t>
                  </w:r>
                </w:p>
              </w:tc>
            </w:tr>
            <w:tr w14:paraId="7FC01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8" w:type="pct"/>
                  <w:vMerge w:val="continue"/>
                  <w:tcBorders>
                    <w:left w:val="single" w:color="auto" w:sz="4" w:space="0"/>
                    <w:tl2br w:val="nil"/>
                    <w:tr2bl w:val="nil"/>
                  </w:tcBorders>
                  <w:noWrap w:val="0"/>
                  <w:vAlign w:val="center"/>
                </w:tcPr>
                <w:p w14:paraId="09D5498E">
                  <w:pPr>
                    <w:spacing w:line="240" w:lineRule="auto"/>
                    <w:ind w:firstLine="0" w:firstLineChars="0"/>
                    <w:jc w:val="center"/>
                    <w:rPr>
                      <w:rFonts w:hint="default" w:ascii="Times New Roman" w:hAnsi="Times New Roman" w:eastAsia="宋体" w:cs="Times New Roman"/>
                      <w:b/>
                      <w:bCs w:val="0"/>
                      <w:color w:val="auto"/>
                      <w:sz w:val="21"/>
                      <w:szCs w:val="21"/>
                    </w:rPr>
                  </w:pPr>
                </w:p>
              </w:tc>
              <w:tc>
                <w:tcPr>
                  <w:tcW w:w="707" w:type="pct"/>
                  <w:tcBorders>
                    <w:tl2br w:val="nil"/>
                    <w:tr2bl w:val="nil"/>
                  </w:tcBorders>
                  <w:shd w:val="clear" w:color="auto" w:fill="auto"/>
                  <w:noWrap w:val="0"/>
                  <w:vAlign w:val="center"/>
                </w:tcPr>
                <w:p w14:paraId="667C3E7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处理效率</w:t>
                  </w:r>
                </w:p>
              </w:tc>
              <w:tc>
                <w:tcPr>
                  <w:tcW w:w="956" w:type="dxa"/>
                  <w:tcBorders>
                    <w:tl2br w:val="nil"/>
                    <w:tr2bl w:val="nil"/>
                  </w:tcBorders>
                  <w:shd w:val="clear" w:color="auto" w:fill="auto"/>
                  <w:noWrap w:val="0"/>
                  <w:vAlign w:val="center"/>
                </w:tcPr>
                <w:p w14:paraId="7FEF496E">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w:t>
                  </w:r>
                </w:p>
              </w:tc>
              <w:tc>
                <w:tcPr>
                  <w:tcW w:w="956" w:type="dxa"/>
                  <w:tcBorders>
                    <w:tl2br w:val="nil"/>
                    <w:tr2bl w:val="nil"/>
                  </w:tcBorders>
                  <w:shd w:val="clear" w:color="auto" w:fill="auto"/>
                  <w:noWrap w:val="0"/>
                  <w:vAlign w:val="center"/>
                </w:tcPr>
                <w:p w14:paraId="12160829">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43%</w:t>
                  </w:r>
                </w:p>
              </w:tc>
              <w:tc>
                <w:tcPr>
                  <w:tcW w:w="956" w:type="dxa"/>
                  <w:tcBorders>
                    <w:tl2br w:val="nil"/>
                    <w:tr2bl w:val="nil"/>
                  </w:tcBorders>
                  <w:shd w:val="clear" w:color="auto" w:fill="auto"/>
                  <w:noWrap w:val="0"/>
                  <w:vAlign w:val="center"/>
                </w:tcPr>
                <w:p w14:paraId="33F74BA6">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956" w:type="dxa"/>
                  <w:tcBorders>
                    <w:tl2br w:val="nil"/>
                    <w:tr2bl w:val="nil"/>
                  </w:tcBorders>
                  <w:shd w:val="clear" w:color="auto" w:fill="auto"/>
                  <w:noWrap w:val="0"/>
                  <w:vAlign w:val="center"/>
                </w:tcPr>
                <w:p w14:paraId="691B10E3">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56" w:type="dxa"/>
                  <w:tcBorders>
                    <w:tl2br w:val="nil"/>
                    <w:tr2bl w:val="nil"/>
                  </w:tcBorders>
                  <w:shd w:val="clear" w:color="auto" w:fill="auto"/>
                  <w:noWrap w:val="0"/>
                  <w:vAlign w:val="center"/>
                </w:tcPr>
                <w:p w14:paraId="60FC0E85">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57" w:type="dxa"/>
                  <w:tcBorders>
                    <w:right w:val="single" w:color="auto" w:sz="4" w:space="0"/>
                    <w:tl2br w:val="nil"/>
                    <w:tr2bl w:val="nil"/>
                  </w:tcBorders>
                  <w:shd w:val="clear" w:color="auto" w:fill="auto"/>
                  <w:noWrap w:val="0"/>
                  <w:vAlign w:val="center"/>
                </w:tcPr>
                <w:p w14:paraId="1193AB66">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52%</w:t>
                  </w:r>
                </w:p>
              </w:tc>
            </w:tr>
            <w:tr w14:paraId="591FC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8" w:type="pct"/>
                  <w:vMerge w:val="restart"/>
                  <w:tcBorders>
                    <w:left w:val="single" w:color="auto" w:sz="4" w:space="0"/>
                    <w:tl2br w:val="nil"/>
                    <w:tr2bl w:val="nil"/>
                  </w:tcBorders>
                  <w:shd w:val="clear" w:color="auto" w:fill="auto"/>
                  <w:noWrap w:val="0"/>
                  <w:vAlign w:val="center"/>
                </w:tcPr>
                <w:p w14:paraId="28192E1A">
                  <w:pPr>
                    <w:keepNext w:val="0"/>
                    <w:keepLines w:val="0"/>
                    <w:widowControl/>
                    <w:suppressLineNumbers w:val="0"/>
                    <w:jc w:val="center"/>
                    <w:textAlignment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i w:val="0"/>
                      <w:iCs w:val="0"/>
                      <w:color w:val="auto"/>
                      <w:kern w:val="0"/>
                      <w:sz w:val="21"/>
                      <w:szCs w:val="21"/>
                      <w:u w:val="none"/>
                      <w:lang w:val="en-US" w:eastAsia="zh-CN" w:bidi="ar"/>
                    </w:rPr>
                    <w:t>V型滤池</w:t>
                  </w:r>
                </w:p>
              </w:tc>
              <w:tc>
                <w:tcPr>
                  <w:tcW w:w="707" w:type="pct"/>
                  <w:tcBorders>
                    <w:tl2br w:val="nil"/>
                    <w:tr2bl w:val="nil"/>
                  </w:tcBorders>
                  <w:shd w:val="clear" w:color="auto" w:fill="auto"/>
                  <w:noWrap w:val="0"/>
                  <w:vAlign w:val="center"/>
                </w:tcPr>
                <w:p w14:paraId="2ADEBF4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进水水质</w:t>
                  </w:r>
                </w:p>
              </w:tc>
              <w:tc>
                <w:tcPr>
                  <w:tcW w:w="956" w:type="dxa"/>
                  <w:tcBorders>
                    <w:tl2br w:val="nil"/>
                    <w:tr2bl w:val="nil"/>
                  </w:tcBorders>
                  <w:shd w:val="clear" w:color="auto" w:fill="auto"/>
                  <w:noWrap w:val="0"/>
                  <w:vAlign w:val="center"/>
                </w:tcPr>
                <w:p w14:paraId="466FD3D1">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w:t>
                  </w:r>
                </w:p>
              </w:tc>
              <w:tc>
                <w:tcPr>
                  <w:tcW w:w="956" w:type="dxa"/>
                  <w:tcBorders>
                    <w:tl2br w:val="nil"/>
                    <w:tr2bl w:val="nil"/>
                  </w:tcBorders>
                  <w:shd w:val="clear" w:color="auto" w:fill="auto"/>
                  <w:noWrap w:val="0"/>
                  <w:vAlign w:val="center"/>
                </w:tcPr>
                <w:p w14:paraId="166907C1">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956" w:type="dxa"/>
                  <w:tcBorders>
                    <w:tl2br w:val="nil"/>
                    <w:tr2bl w:val="nil"/>
                  </w:tcBorders>
                  <w:shd w:val="clear" w:color="auto" w:fill="auto"/>
                  <w:noWrap w:val="0"/>
                  <w:vAlign w:val="center"/>
                </w:tcPr>
                <w:p w14:paraId="38B7BC2E">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28 </w:t>
                  </w:r>
                </w:p>
              </w:tc>
              <w:tc>
                <w:tcPr>
                  <w:tcW w:w="956" w:type="dxa"/>
                  <w:tcBorders>
                    <w:tl2br w:val="nil"/>
                    <w:tr2bl w:val="nil"/>
                  </w:tcBorders>
                  <w:shd w:val="clear" w:color="auto" w:fill="auto"/>
                  <w:noWrap w:val="0"/>
                  <w:vAlign w:val="center"/>
                </w:tcPr>
                <w:p w14:paraId="5673149D">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956" w:type="dxa"/>
                  <w:tcBorders>
                    <w:tl2br w:val="nil"/>
                    <w:tr2bl w:val="nil"/>
                  </w:tcBorders>
                  <w:shd w:val="clear" w:color="auto" w:fill="auto"/>
                  <w:noWrap w:val="0"/>
                  <w:vAlign w:val="center"/>
                </w:tcPr>
                <w:p w14:paraId="7939E5EE">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957" w:type="dxa"/>
                  <w:tcBorders>
                    <w:right w:val="single" w:color="auto" w:sz="4" w:space="0"/>
                    <w:tl2br w:val="nil"/>
                    <w:tr2bl w:val="nil"/>
                  </w:tcBorders>
                  <w:shd w:val="clear" w:color="auto" w:fill="auto"/>
                  <w:noWrap w:val="0"/>
                  <w:vAlign w:val="center"/>
                </w:tcPr>
                <w:p w14:paraId="6FCB96E6">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0.50 </w:t>
                  </w:r>
                </w:p>
              </w:tc>
            </w:tr>
            <w:tr w14:paraId="1C19B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58" w:type="pct"/>
                  <w:vMerge w:val="continue"/>
                  <w:tcBorders>
                    <w:left w:val="single" w:color="auto" w:sz="4" w:space="0"/>
                    <w:tl2br w:val="nil"/>
                    <w:tr2bl w:val="nil"/>
                  </w:tcBorders>
                  <w:shd w:val="clear" w:color="auto" w:fill="auto"/>
                  <w:noWrap w:val="0"/>
                  <w:vAlign w:val="center"/>
                </w:tcPr>
                <w:p w14:paraId="48CAF3F9">
                  <w:pPr>
                    <w:jc w:val="center"/>
                    <w:rPr>
                      <w:rFonts w:hint="default" w:ascii="Times New Roman" w:hAnsi="Times New Roman" w:eastAsia="宋体" w:cs="Times New Roman"/>
                      <w:b/>
                      <w:bCs/>
                      <w:i w:val="0"/>
                      <w:iCs w:val="0"/>
                      <w:color w:val="auto"/>
                      <w:sz w:val="21"/>
                      <w:szCs w:val="21"/>
                      <w:u w:val="none"/>
                    </w:rPr>
                  </w:pPr>
                </w:p>
              </w:tc>
              <w:tc>
                <w:tcPr>
                  <w:tcW w:w="707" w:type="pct"/>
                  <w:tcBorders>
                    <w:tl2br w:val="nil"/>
                    <w:tr2bl w:val="nil"/>
                  </w:tcBorders>
                  <w:shd w:val="clear" w:color="auto" w:fill="auto"/>
                  <w:noWrap w:val="0"/>
                  <w:vAlign w:val="center"/>
                </w:tcPr>
                <w:p w14:paraId="79680FA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处理效率</w:t>
                  </w:r>
                </w:p>
              </w:tc>
              <w:tc>
                <w:tcPr>
                  <w:tcW w:w="956" w:type="dxa"/>
                  <w:tcBorders>
                    <w:tl2br w:val="nil"/>
                    <w:tr2bl w:val="nil"/>
                  </w:tcBorders>
                  <w:shd w:val="clear" w:color="auto" w:fill="auto"/>
                  <w:noWrap w:val="0"/>
                  <w:vAlign w:val="center"/>
                </w:tcPr>
                <w:p w14:paraId="4D0209AE">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56" w:type="dxa"/>
                  <w:tcBorders>
                    <w:tl2br w:val="nil"/>
                    <w:tr2bl w:val="nil"/>
                  </w:tcBorders>
                  <w:shd w:val="clear" w:color="auto" w:fill="auto"/>
                  <w:noWrap w:val="0"/>
                  <w:vAlign w:val="center"/>
                </w:tcPr>
                <w:p w14:paraId="0BA3081B">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56" w:type="dxa"/>
                  <w:tcBorders>
                    <w:tl2br w:val="nil"/>
                    <w:tr2bl w:val="nil"/>
                  </w:tcBorders>
                  <w:shd w:val="clear" w:color="auto" w:fill="auto"/>
                  <w:noWrap w:val="0"/>
                  <w:vAlign w:val="center"/>
                </w:tcPr>
                <w:p w14:paraId="28BF5B83">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64%</w:t>
                  </w:r>
                </w:p>
              </w:tc>
              <w:tc>
                <w:tcPr>
                  <w:tcW w:w="956" w:type="dxa"/>
                  <w:tcBorders>
                    <w:tl2br w:val="nil"/>
                    <w:tr2bl w:val="nil"/>
                  </w:tcBorders>
                  <w:shd w:val="clear" w:color="auto" w:fill="auto"/>
                  <w:noWrap w:val="0"/>
                  <w:vAlign w:val="center"/>
                </w:tcPr>
                <w:p w14:paraId="4736FEB3">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56" w:type="dxa"/>
                  <w:tcBorders>
                    <w:tl2br w:val="nil"/>
                    <w:tr2bl w:val="nil"/>
                  </w:tcBorders>
                  <w:shd w:val="clear" w:color="auto" w:fill="auto"/>
                  <w:noWrap w:val="0"/>
                  <w:vAlign w:val="center"/>
                </w:tcPr>
                <w:p w14:paraId="4D1F7C19">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957" w:type="dxa"/>
                  <w:tcBorders>
                    <w:right w:val="single" w:color="auto" w:sz="4" w:space="0"/>
                    <w:tl2br w:val="nil"/>
                    <w:tr2bl w:val="nil"/>
                  </w:tcBorders>
                  <w:shd w:val="clear" w:color="auto" w:fill="auto"/>
                  <w:noWrap w:val="0"/>
                  <w:vAlign w:val="center"/>
                </w:tcPr>
                <w:p w14:paraId="350151D1">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1F7A41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66" w:type="pct"/>
                  <w:gridSpan w:val="2"/>
                  <w:tcBorders>
                    <w:left w:val="single" w:color="auto" w:sz="4" w:space="0"/>
                    <w:tl2br w:val="nil"/>
                    <w:tr2bl w:val="nil"/>
                  </w:tcBorders>
                  <w:shd w:val="clear" w:color="auto" w:fill="auto"/>
                  <w:noWrap w:val="0"/>
                  <w:vAlign w:val="center"/>
                </w:tcPr>
                <w:p w14:paraId="62861BE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出厂水质（mg/L）</w:t>
                  </w:r>
                </w:p>
              </w:tc>
              <w:tc>
                <w:tcPr>
                  <w:tcW w:w="956" w:type="dxa"/>
                  <w:tcBorders>
                    <w:tl2br w:val="nil"/>
                    <w:tr2bl w:val="nil"/>
                  </w:tcBorders>
                  <w:shd w:val="clear" w:color="auto" w:fill="auto"/>
                  <w:noWrap w:val="0"/>
                  <w:vAlign w:val="center"/>
                </w:tcPr>
                <w:p w14:paraId="2D854CC7">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w:t>
                  </w:r>
                </w:p>
              </w:tc>
              <w:tc>
                <w:tcPr>
                  <w:tcW w:w="956" w:type="dxa"/>
                  <w:tcBorders>
                    <w:tl2br w:val="nil"/>
                    <w:tr2bl w:val="nil"/>
                  </w:tcBorders>
                  <w:shd w:val="clear" w:color="auto" w:fill="auto"/>
                  <w:noWrap w:val="0"/>
                  <w:vAlign w:val="center"/>
                </w:tcPr>
                <w:p w14:paraId="66B4B629">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956" w:type="dxa"/>
                  <w:tcBorders>
                    <w:tl2br w:val="nil"/>
                    <w:tr2bl w:val="nil"/>
                  </w:tcBorders>
                  <w:shd w:val="clear" w:color="auto" w:fill="auto"/>
                  <w:noWrap w:val="0"/>
                  <w:vAlign w:val="center"/>
                </w:tcPr>
                <w:p w14:paraId="3AA893FD">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956" w:type="dxa"/>
                  <w:tcBorders>
                    <w:tl2br w:val="nil"/>
                    <w:tr2bl w:val="nil"/>
                  </w:tcBorders>
                  <w:shd w:val="clear" w:color="auto" w:fill="auto"/>
                  <w:noWrap w:val="0"/>
                  <w:vAlign w:val="center"/>
                </w:tcPr>
                <w:p w14:paraId="14922DF3">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956" w:type="dxa"/>
                  <w:tcBorders>
                    <w:tl2br w:val="nil"/>
                    <w:tr2bl w:val="nil"/>
                  </w:tcBorders>
                  <w:shd w:val="clear" w:color="auto" w:fill="auto"/>
                  <w:noWrap w:val="0"/>
                  <w:vAlign w:val="center"/>
                </w:tcPr>
                <w:p w14:paraId="4EEC6BF6">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957" w:type="dxa"/>
                  <w:tcBorders>
                    <w:right w:val="single" w:color="auto" w:sz="4" w:space="0"/>
                    <w:tl2br w:val="nil"/>
                    <w:tr2bl w:val="nil"/>
                  </w:tcBorders>
                  <w:shd w:val="clear" w:color="auto" w:fill="auto"/>
                  <w:noWrap w:val="0"/>
                  <w:vAlign w:val="center"/>
                </w:tcPr>
                <w:p w14:paraId="6BCA5198">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r>
            <w:tr w14:paraId="7170B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66" w:type="pct"/>
                  <w:gridSpan w:val="2"/>
                  <w:tcBorders>
                    <w:left w:val="single" w:color="auto" w:sz="4" w:space="0"/>
                    <w:bottom w:val="single" w:color="auto" w:sz="4" w:space="0"/>
                    <w:tl2br w:val="nil"/>
                    <w:tr2bl w:val="nil"/>
                  </w:tcBorders>
                  <w:shd w:val="clear" w:color="auto" w:fill="auto"/>
                  <w:noWrap w:val="0"/>
                  <w:vAlign w:val="center"/>
                </w:tcPr>
                <w:p w14:paraId="627447D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21"/>
                      <w:szCs w:val="21"/>
                      <w:u w:val="none"/>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污染物总去除率</w:t>
                  </w:r>
                </w:p>
              </w:tc>
              <w:tc>
                <w:tcPr>
                  <w:tcW w:w="956" w:type="dxa"/>
                  <w:tcBorders>
                    <w:bottom w:val="single" w:color="auto" w:sz="4" w:space="0"/>
                    <w:tl2br w:val="nil"/>
                    <w:tr2bl w:val="nil"/>
                  </w:tcBorders>
                  <w:shd w:val="clear" w:color="auto" w:fill="auto"/>
                  <w:noWrap w:val="0"/>
                  <w:vAlign w:val="center"/>
                </w:tcPr>
                <w:p w14:paraId="6E08CF9E">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90.2%</w:t>
                  </w:r>
                </w:p>
              </w:tc>
              <w:tc>
                <w:tcPr>
                  <w:tcW w:w="956" w:type="dxa"/>
                  <w:tcBorders>
                    <w:bottom w:val="single" w:color="auto" w:sz="4" w:space="0"/>
                    <w:tl2br w:val="nil"/>
                    <w:tr2bl w:val="nil"/>
                  </w:tcBorders>
                  <w:shd w:val="clear" w:color="auto" w:fill="auto"/>
                  <w:noWrap w:val="0"/>
                  <w:vAlign w:val="center"/>
                </w:tcPr>
                <w:p w14:paraId="10D9BAFD">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97.4%</w:t>
                  </w:r>
                </w:p>
              </w:tc>
              <w:tc>
                <w:tcPr>
                  <w:tcW w:w="956" w:type="dxa"/>
                  <w:tcBorders>
                    <w:bottom w:val="single" w:color="auto" w:sz="4" w:space="0"/>
                    <w:tl2br w:val="nil"/>
                    <w:tr2bl w:val="nil"/>
                  </w:tcBorders>
                  <w:shd w:val="clear" w:color="auto" w:fill="auto"/>
                  <w:noWrap w:val="0"/>
                  <w:vAlign w:val="center"/>
                </w:tcPr>
                <w:p w14:paraId="31D8A738">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97.1%</w:t>
                  </w:r>
                </w:p>
              </w:tc>
              <w:tc>
                <w:tcPr>
                  <w:tcW w:w="956" w:type="dxa"/>
                  <w:tcBorders>
                    <w:bottom w:val="single" w:color="auto" w:sz="4" w:space="0"/>
                    <w:tl2br w:val="nil"/>
                    <w:tr2bl w:val="nil"/>
                  </w:tcBorders>
                  <w:shd w:val="clear" w:color="auto" w:fill="auto"/>
                  <w:noWrap w:val="0"/>
                  <w:vAlign w:val="center"/>
                </w:tcPr>
                <w:p w14:paraId="569C5A50">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92.8%</w:t>
                  </w:r>
                </w:p>
              </w:tc>
              <w:tc>
                <w:tcPr>
                  <w:tcW w:w="956" w:type="dxa"/>
                  <w:tcBorders>
                    <w:bottom w:val="single" w:color="auto" w:sz="4" w:space="0"/>
                    <w:tl2br w:val="nil"/>
                    <w:tr2bl w:val="nil"/>
                  </w:tcBorders>
                  <w:shd w:val="clear" w:color="auto" w:fill="auto"/>
                  <w:noWrap w:val="0"/>
                  <w:vAlign w:val="center"/>
                </w:tcPr>
                <w:p w14:paraId="102163CD">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82.8%</w:t>
                  </w:r>
                </w:p>
              </w:tc>
              <w:tc>
                <w:tcPr>
                  <w:tcW w:w="957" w:type="dxa"/>
                  <w:tcBorders>
                    <w:bottom w:val="single" w:color="auto" w:sz="4" w:space="0"/>
                    <w:right w:val="single" w:color="auto" w:sz="4" w:space="0"/>
                    <w:tl2br w:val="nil"/>
                    <w:tr2bl w:val="nil"/>
                  </w:tcBorders>
                  <w:shd w:val="clear" w:color="auto" w:fill="auto"/>
                  <w:noWrap w:val="0"/>
                  <w:vAlign w:val="center"/>
                </w:tcPr>
                <w:p w14:paraId="29DB8FEC">
                  <w:pPr>
                    <w:widowControl w:val="0"/>
                    <w:bidi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92.9%</w:t>
                  </w:r>
                </w:p>
              </w:tc>
            </w:tr>
          </w:tbl>
          <w:p w14:paraId="6E1BDAFC">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由上述分析可知，在有效控制污水处理厂进水水质的情况下，进水经预处理、生化处理及深度处理，出水水质可达到《城镇污水处理厂污染物排放标准》（</w:t>
            </w:r>
            <w:r>
              <w:rPr>
                <w:rFonts w:hint="default" w:ascii="Times New Roman" w:hAnsi="Times New Roman" w:cs="Times New Roman"/>
                <w:bCs/>
                <w:color w:val="auto"/>
                <w:sz w:val="24"/>
                <w:highlight w:val="none"/>
                <w:lang w:val="en-US" w:eastAsia="zh-CN"/>
              </w:rPr>
              <w:t xml:space="preserve">GB </w:t>
            </w:r>
            <w:r>
              <w:rPr>
                <w:rFonts w:hint="eastAsia" w:ascii="Times New Roman" w:hAnsi="Times New Roman" w:cs="Times New Roman"/>
                <w:bCs/>
                <w:color w:val="auto"/>
                <w:sz w:val="24"/>
                <w:highlight w:val="none"/>
                <w:lang w:val="en-US" w:eastAsia="zh-CN"/>
              </w:rPr>
              <w:t>18918—</w:t>
            </w:r>
            <w:r>
              <w:rPr>
                <w:rFonts w:hint="default" w:ascii="Times New Roman" w:hAnsi="Times New Roman" w:eastAsia="宋体" w:cs="Times New Roman"/>
                <w:bCs/>
                <w:color w:val="auto"/>
                <w:sz w:val="24"/>
                <w:highlight w:val="none"/>
                <w:lang w:val="en-US" w:eastAsia="zh-CN"/>
              </w:rPr>
              <w:t>2002）及其修改单中一级A标准、《城市污水再生利用工业用水水质》（</w:t>
            </w:r>
            <w:r>
              <w:rPr>
                <w:rFonts w:hint="default" w:ascii="Times New Roman" w:hAnsi="Times New Roman" w:cs="Times New Roman"/>
                <w:bCs/>
                <w:color w:val="auto"/>
                <w:sz w:val="24"/>
                <w:highlight w:val="none"/>
                <w:lang w:val="en-US" w:eastAsia="zh-CN"/>
              </w:rPr>
              <w:t xml:space="preserve">GB/T </w:t>
            </w:r>
            <w:r>
              <w:rPr>
                <w:rFonts w:hint="eastAsia" w:ascii="Times New Roman" w:hAnsi="Times New Roman" w:cs="Times New Roman"/>
                <w:bCs/>
                <w:color w:val="auto"/>
                <w:sz w:val="24"/>
                <w:highlight w:val="none"/>
                <w:lang w:val="en-US" w:eastAsia="zh-CN"/>
              </w:rPr>
              <w:t>19923—</w:t>
            </w:r>
            <w:r>
              <w:rPr>
                <w:rFonts w:hint="default" w:ascii="Times New Roman" w:hAnsi="Times New Roman" w:eastAsia="宋体" w:cs="Times New Roman"/>
                <w:bCs/>
                <w:color w:val="auto"/>
                <w:sz w:val="24"/>
                <w:highlight w:val="none"/>
                <w:lang w:val="en-US" w:eastAsia="zh-CN"/>
              </w:rPr>
              <w:t>2024）、《城市污水再生利用城市杂用水水质》（</w:t>
            </w:r>
            <w:r>
              <w:rPr>
                <w:rFonts w:hint="default" w:ascii="Times New Roman" w:hAnsi="Times New Roman" w:cs="Times New Roman"/>
                <w:bCs/>
                <w:color w:val="auto"/>
                <w:sz w:val="24"/>
                <w:highlight w:val="none"/>
                <w:lang w:val="en-US" w:eastAsia="zh-CN"/>
              </w:rPr>
              <w:t>GB/T 18920</w:t>
            </w:r>
            <w:r>
              <w:rPr>
                <w:rFonts w:hint="eastAsia" w:ascii="Times New Roman" w:hAnsi="Times New Roman" w:cs="Times New Roman"/>
                <w:bCs/>
                <w:color w:val="auto"/>
                <w:sz w:val="24"/>
                <w:highlight w:val="none"/>
                <w:lang w:val="en-US" w:eastAsia="zh-CN"/>
              </w:rPr>
              <w:t>—2020</w:t>
            </w:r>
            <w:r>
              <w:rPr>
                <w:rFonts w:hint="default" w:ascii="Times New Roman" w:hAnsi="Times New Roman" w:eastAsia="宋体" w:cs="Times New Roman"/>
                <w:bCs/>
                <w:color w:val="auto"/>
                <w:sz w:val="24"/>
                <w:highlight w:val="none"/>
                <w:lang w:val="en-US" w:eastAsia="zh-CN"/>
              </w:rPr>
              <w:t>）。因此，厂区接收的生活污水经本项目污水处理工艺处理后可实现达标排放。</w:t>
            </w:r>
          </w:p>
          <w:p w14:paraId="18FF8D1B">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综上，本次污水处理厂三期工程污水处理工艺可行。</w:t>
            </w:r>
          </w:p>
          <w:p w14:paraId="4C84EA3C">
            <w:pPr>
              <w:spacing w:line="360" w:lineRule="auto"/>
              <w:ind w:firstLine="42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7.3中水回用可行性分析</w:t>
            </w:r>
          </w:p>
          <w:p w14:paraId="3D14328E">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本次V型滤池按现状工程与本次设计总规模14000t/d统一规划设计，一期、二期及三期污水进入V型滤池处理后，全厂处理后的中水混合后统一调配利用。</w:t>
            </w:r>
          </w:p>
          <w:p w14:paraId="0524862E">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鄂尔多斯市同圆水务有限公司于2025年4月30日与本项目运营单位内蒙古德源水务有限公司签订《中水回用合同》，通过现有中水回用管网，</w:t>
            </w:r>
            <w:r>
              <w:rPr>
                <w:rFonts w:hint="default" w:ascii="Times New Roman" w:hAnsi="Times New Roman" w:cs="Times New Roman"/>
                <w:bCs/>
                <w:color w:val="auto"/>
                <w:sz w:val="24"/>
                <w:highlight w:val="none"/>
                <w:lang w:val="en-US" w:eastAsia="zh-CN"/>
              </w:rPr>
              <w:t>将中水提供</w:t>
            </w:r>
            <w:r>
              <w:rPr>
                <w:rFonts w:hint="default" w:ascii="Times New Roman" w:hAnsi="Times New Roman" w:eastAsia="宋体" w:cs="Times New Roman"/>
                <w:bCs/>
                <w:color w:val="auto"/>
                <w:sz w:val="24"/>
                <w:highlight w:val="none"/>
                <w:lang w:val="en-US" w:eastAsia="zh-CN"/>
              </w:rPr>
              <w:t>给鄂尔多斯新能源产业示范区企业及内蒙古能源发电杭锦发电有限公司</w:t>
            </w:r>
            <w:r>
              <w:rPr>
                <w:rFonts w:hint="default" w:ascii="Times New Roman" w:hAnsi="Times New Roman" w:cs="Times New Roman"/>
                <w:bCs/>
                <w:color w:val="auto"/>
                <w:sz w:val="24"/>
                <w:highlight w:val="none"/>
                <w:lang w:val="en-US" w:eastAsia="zh-CN"/>
              </w:rPr>
              <w:t>作为工业用水</w:t>
            </w:r>
            <w:r>
              <w:rPr>
                <w:rFonts w:hint="default" w:ascii="Times New Roman" w:hAnsi="Times New Roman" w:eastAsia="宋体" w:cs="Times New Roman"/>
                <w:bCs/>
                <w:color w:val="auto"/>
                <w:sz w:val="24"/>
                <w:highlight w:val="none"/>
                <w:lang w:val="en-US" w:eastAsia="zh-CN"/>
              </w:rPr>
              <w:t>。</w:t>
            </w:r>
          </w:p>
          <w:p w14:paraId="3D92936F">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2022年9月30日，鄂尔多斯市生态环境局杭锦旗分局以鄂杭环审字〔2022〕27号对杭锦旗锡尼镇污水处理厂尾水水质净化工程环境影响报告表进行批复。该项目位于鄂尔多斯市杭锦旗锡尼镇污水处理厂上游3.6</w:t>
            </w:r>
            <w:r>
              <w:rPr>
                <w:rFonts w:hint="eastAsia" w:cs="Times New Roman"/>
                <w:bCs/>
                <w:color w:val="auto"/>
                <w:sz w:val="24"/>
                <w:highlight w:val="none"/>
                <w:lang w:val="en-US" w:eastAsia="zh-CN"/>
              </w:rPr>
              <w:t>公里</w:t>
            </w:r>
            <w:r>
              <w:rPr>
                <w:rFonts w:hint="default" w:ascii="Times New Roman" w:hAnsi="Times New Roman" w:eastAsia="宋体" w:cs="Times New Roman"/>
                <w:bCs/>
                <w:color w:val="auto"/>
                <w:sz w:val="24"/>
                <w:highlight w:val="none"/>
                <w:lang w:val="en-US" w:eastAsia="zh-CN"/>
              </w:rPr>
              <w:t>处。工程通过对杭锦旗锡尼镇污水处理厂尾水进行深度净化处理后，逐步改善陶赖沟水库水质，最终使其水质达到或优于《地表水环境质量标准》（GB</w:t>
            </w:r>
            <w:r>
              <w:rPr>
                <w:rFonts w:hint="default" w:ascii="Times New Roman" w:hAnsi="Times New Roman" w:cs="Times New Roman"/>
                <w:bCs/>
                <w:color w:val="auto"/>
                <w:sz w:val="24"/>
                <w:highlight w:val="none"/>
                <w:lang w:val="en-US" w:eastAsia="zh-CN"/>
              </w:rPr>
              <w:t xml:space="preserve"> </w:t>
            </w:r>
            <w:r>
              <w:rPr>
                <w:rFonts w:hint="default" w:ascii="Times New Roman" w:hAnsi="Times New Roman" w:eastAsia="宋体" w:cs="Times New Roman"/>
                <w:bCs/>
                <w:color w:val="auto"/>
                <w:sz w:val="24"/>
                <w:highlight w:val="none"/>
                <w:lang w:val="en-US" w:eastAsia="zh-CN"/>
              </w:rPr>
              <w:t>3838-2002）V类标准要求，项目设计处理规模为8500t/d。</w:t>
            </w:r>
          </w:p>
          <w:p w14:paraId="2EBB3595">
            <w:pPr>
              <w:spacing w:line="360" w:lineRule="auto"/>
              <w:ind w:firstLine="420"/>
              <w:rPr>
                <w:rFonts w:hint="default" w:ascii="Times New Roman" w:hAnsi="Times New Roman"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截至2026年5</w:t>
            </w:r>
            <w:r>
              <w:rPr>
                <w:rFonts w:hint="default" w:ascii="Times New Roman" w:hAnsi="Times New Roman" w:eastAsia="宋体" w:cs="Times New Roman"/>
                <w:bCs/>
                <w:color w:val="auto"/>
                <w:sz w:val="24"/>
                <w:highlight w:val="none"/>
                <w:lang w:val="en-US" w:eastAsia="zh-CN"/>
              </w:rPr>
              <w:t>月</w:t>
            </w:r>
            <w:r>
              <w:rPr>
                <w:rFonts w:hint="default" w:ascii="Times New Roman" w:hAnsi="Times New Roman" w:cs="Times New Roman"/>
                <w:bCs/>
                <w:color w:val="auto"/>
                <w:sz w:val="24"/>
                <w:highlight w:val="none"/>
                <w:lang w:val="en-US" w:eastAsia="zh-CN"/>
              </w:rPr>
              <w:t>，该项目处于试运行阶段。本项目一二期现状处理能力为8500t/d，其中3000</w:t>
            </w:r>
            <w:r>
              <w:rPr>
                <w:rFonts w:hint="eastAsia" w:cs="Times New Roman"/>
                <w:bCs/>
                <w:color w:val="auto"/>
                <w:sz w:val="24"/>
                <w:highlight w:val="none"/>
                <w:lang w:val="en-US" w:eastAsia="zh-CN"/>
              </w:rPr>
              <w:t>吨</w:t>
            </w:r>
            <w:r>
              <w:rPr>
                <w:rFonts w:hint="default" w:ascii="Times New Roman" w:hAnsi="Times New Roman" w:cs="Times New Roman"/>
                <w:bCs/>
                <w:color w:val="auto"/>
                <w:sz w:val="24"/>
                <w:highlight w:val="none"/>
                <w:lang w:val="en-US" w:eastAsia="zh-CN"/>
              </w:rPr>
              <w:t>送往处于试运行阶段的杭锦旗锡尼镇污水处理厂尾水水质净化工程，其余5500</w:t>
            </w:r>
            <w:r>
              <w:rPr>
                <w:rFonts w:hint="eastAsia" w:cs="Times New Roman"/>
                <w:bCs/>
                <w:color w:val="auto"/>
                <w:sz w:val="24"/>
                <w:highlight w:val="none"/>
                <w:lang w:val="en-US" w:eastAsia="zh-CN"/>
              </w:rPr>
              <w:t>吨</w:t>
            </w:r>
            <w:r>
              <w:rPr>
                <w:rFonts w:hint="default" w:ascii="Times New Roman" w:hAnsi="Times New Roman" w:cs="Times New Roman"/>
                <w:bCs/>
                <w:color w:val="auto"/>
                <w:sz w:val="24"/>
                <w:highlight w:val="none"/>
                <w:lang w:val="en-US" w:eastAsia="zh-CN"/>
              </w:rPr>
              <w:t>统筹用于园林绿化、鄂尔多斯市新能源产业示范区企业及内蒙古能源发电杭锦发电有限公司工业用水，不外排。</w:t>
            </w:r>
          </w:p>
          <w:p w14:paraId="34E4091C">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本项目施工期为2.5年，预计于2028年12月完工。届时，杭锦旗锡尼镇污水处理厂尾水水质净化工程已</w:t>
            </w:r>
            <w:r>
              <w:rPr>
                <w:rFonts w:hint="default" w:ascii="Times New Roman" w:hAnsi="Times New Roman" w:cs="Times New Roman"/>
                <w:bCs/>
                <w:color w:val="auto"/>
                <w:sz w:val="24"/>
                <w:highlight w:val="none"/>
                <w:lang w:val="en-US" w:eastAsia="zh-CN"/>
              </w:rPr>
              <w:t>完成</w:t>
            </w:r>
            <w:r>
              <w:rPr>
                <w:rFonts w:hint="default" w:ascii="Times New Roman" w:hAnsi="Times New Roman" w:eastAsia="宋体" w:cs="Times New Roman"/>
                <w:bCs/>
                <w:color w:val="auto"/>
                <w:sz w:val="24"/>
                <w:highlight w:val="none"/>
                <w:lang w:val="en-US" w:eastAsia="zh-CN"/>
              </w:rPr>
              <w:t>验收工作并投入使用。</w:t>
            </w:r>
            <w:r>
              <w:rPr>
                <w:rFonts w:hint="default" w:ascii="Times New Roman" w:hAnsi="Times New Roman" w:eastAsia="宋体" w:cs="Times New Roman"/>
                <w:color w:val="auto"/>
                <w:lang w:val="en-US" w:eastAsia="zh-CN"/>
              </w:rPr>
              <w:t>本次</w:t>
            </w:r>
            <w:r>
              <w:rPr>
                <w:rFonts w:hint="default" w:ascii="Times New Roman" w:hAnsi="Times New Roman" w:eastAsia="宋体" w:cs="Times New Roman"/>
                <w:color w:val="auto"/>
                <w:lang w:eastAsia="zh-CN"/>
              </w:rPr>
              <w:t>三期建设工程</w:t>
            </w:r>
            <w:r>
              <w:rPr>
                <w:rFonts w:hint="default" w:ascii="Times New Roman" w:hAnsi="Times New Roman" w:eastAsia="宋体" w:cs="Times New Roman"/>
                <w:color w:val="auto"/>
                <w:lang w:val="en-US" w:eastAsia="zh-CN"/>
              </w:rPr>
              <w:t>建成后</w:t>
            </w:r>
            <w:r>
              <w:rPr>
                <w:rFonts w:hint="default" w:ascii="Times New Roman" w:hAnsi="Times New Roman" w:cs="Times New Roman"/>
                <w:color w:val="auto"/>
                <w:lang w:val="en-US" w:eastAsia="zh-CN"/>
              </w:rPr>
              <w:t>全厂处理</w:t>
            </w:r>
            <w:r>
              <w:rPr>
                <w:rFonts w:hint="default" w:ascii="Times New Roman" w:hAnsi="Times New Roman" w:eastAsia="宋体" w:cs="Times New Roman"/>
                <w:color w:val="auto"/>
                <w:lang w:val="en-US" w:eastAsia="zh-CN"/>
              </w:rPr>
              <w:t>中水能力为14000t/d，其中</w:t>
            </w:r>
            <w:r>
              <w:rPr>
                <w:rFonts w:hint="default" w:ascii="Times New Roman" w:hAnsi="Times New Roman" w:cs="Times New Roman"/>
                <w:color w:val="auto"/>
                <w:lang w:val="en-US" w:eastAsia="zh-CN"/>
              </w:rPr>
              <w:t>原一二期的3000</w:t>
            </w:r>
            <w:r>
              <w:rPr>
                <w:rFonts w:hint="eastAsia" w:cs="Times New Roman"/>
                <w:color w:val="auto"/>
                <w:lang w:val="en-US" w:eastAsia="zh-CN"/>
              </w:rPr>
              <w:t>吨</w:t>
            </w:r>
            <w:r>
              <w:rPr>
                <w:rFonts w:hint="default" w:ascii="Times New Roman" w:hAnsi="Times New Roman" w:cs="Times New Roman"/>
                <w:color w:val="auto"/>
                <w:lang w:val="en-US" w:eastAsia="zh-CN"/>
              </w:rPr>
              <w:t>及本次新增的5500</w:t>
            </w:r>
            <w:r>
              <w:rPr>
                <w:rFonts w:hint="eastAsia" w:cs="Times New Roman"/>
                <w:color w:val="auto"/>
                <w:lang w:val="en-US" w:eastAsia="zh-CN"/>
              </w:rPr>
              <w:t>吨</w:t>
            </w:r>
            <w:r>
              <w:rPr>
                <w:rFonts w:hint="default" w:ascii="Times New Roman" w:hAnsi="Times New Roman" w:eastAsia="宋体" w:cs="Times New Roman"/>
                <w:color w:val="auto"/>
                <w:lang w:val="en-US" w:eastAsia="zh-CN"/>
              </w:rPr>
              <w:t>排入杭锦旗锡尼镇污水处理厂尾水水质净化工程进行深度处理，处理达标后用于周边企业回用及陶赖沟生态补水。其余</w:t>
            </w:r>
            <w:r>
              <w:rPr>
                <w:rFonts w:hint="default" w:ascii="Times New Roman" w:hAnsi="Times New Roman" w:cs="Times New Roman"/>
                <w:color w:val="auto"/>
                <w:lang w:val="en-US" w:eastAsia="zh-CN"/>
              </w:rPr>
              <w:t>5500</w:t>
            </w:r>
            <w:r>
              <w:rPr>
                <w:rFonts w:hint="eastAsia" w:cs="Times New Roman"/>
                <w:color w:val="auto"/>
                <w:lang w:val="en-US" w:eastAsia="zh-CN"/>
              </w:rPr>
              <w:t>吨</w:t>
            </w:r>
            <w:r>
              <w:rPr>
                <w:rFonts w:hint="default" w:ascii="Times New Roman" w:hAnsi="Times New Roman" w:eastAsia="宋体" w:cs="Times New Roman"/>
                <w:color w:val="auto"/>
                <w:lang w:val="en-US" w:eastAsia="zh-CN"/>
              </w:rPr>
              <w:t>统筹用于园林绿化、鄂尔多斯市新能源产业示范区企业及内蒙古能源发电杭锦发电有限公司工业用水</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不外排</w:t>
            </w:r>
            <w:r>
              <w:rPr>
                <w:rFonts w:hint="default" w:ascii="Times New Roman" w:hAnsi="Times New Roman" w:cs="Times New Roman"/>
                <w:color w:val="auto"/>
                <w:lang w:val="en-US" w:eastAsia="zh-CN"/>
              </w:rPr>
              <w:t>。</w:t>
            </w:r>
          </w:p>
          <w:p w14:paraId="40BDDAF3">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综上</w:t>
            </w:r>
            <w:r>
              <w:rPr>
                <w:rFonts w:hint="eastAsia" w:cs="Times New Roman"/>
                <w:bCs/>
                <w:color w:val="auto"/>
                <w:sz w:val="24"/>
                <w:highlight w:val="none"/>
                <w:lang w:val="en-US" w:eastAsia="zh-CN"/>
              </w:rPr>
              <w:t>所述</w:t>
            </w:r>
            <w:r>
              <w:rPr>
                <w:rFonts w:hint="default" w:ascii="Times New Roman" w:hAnsi="Times New Roman" w:eastAsia="宋体" w:cs="Times New Roman"/>
                <w:bCs/>
                <w:color w:val="auto"/>
                <w:sz w:val="24"/>
                <w:highlight w:val="none"/>
                <w:lang w:val="en-US" w:eastAsia="zh-CN"/>
              </w:rPr>
              <w:t>，本项目中水回用具有可行性。</w:t>
            </w:r>
          </w:p>
          <w:p w14:paraId="3A15F507">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jc w:val="left"/>
              <w:textAlignment w:val="auto"/>
              <w:rPr>
                <w:rFonts w:hint="default" w:ascii="Times New Roman" w:hAnsi="Times New Roman" w:eastAsia="宋体" w:cs="Times New Roman"/>
                <w:b/>
                <w:bCs/>
                <w:color w:val="auto"/>
                <w:sz w:val="24"/>
                <w:highlight w:val="none"/>
              </w:rPr>
            </w:pPr>
            <w:r>
              <w:rPr>
                <w:rFonts w:hint="default" w:ascii="Times New Roman" w:hAnsi="Times New Roman"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rPr>
              <w:t>劳动定员及生产制度</w:t>
            </w:r>
          </w:p>
          <w:p w14:paraId="66B074BA">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本项目新增劳动定员</w:t>
            </w:r>
            <w:r>
              <w:rPr>
                <w:rFonts w:hint="default" w:ascii="Times New Roman" w:hAnsi="Times New Roman" w:cs="Times New Roman"/>
                <w:bCs/>
                <w:color w:val="auto"/>
                <w:sz w:val="24"/>
                <w:highlight w:val="none"/>
                <w:lang w:val="en-US" w:eastAsia="zh-CN"/>
              </w:rPr>
              <w:t>5人</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年工作天数为</w:t>
            </w:r>
            <w:r>
              <w:rPr>
                <w:rFonts w:hint="default" w:ascii="Times New Roman" w:hAnsi="Times New Roman" w:eastAsia="宋体" w:cs="Times New Roman"/>
                <w:bCs/>
                <w:color w:val="auto"/>
                <w:sz w:val="24"/>
                <w:highlight w:val="none"/>
                <w:lang w:val="en-US" w:eastAsia="zh-CN"/>
              </w:rPr>
              <w:t>365</w:t>
            </w:r>
            <w:r>
              <w:rPr>
                <w:rFonts w:hint="default" w:ascii="Times New Roman" w:hAnsi="Times New Roman" w:eastAsia="宋体" w:cs="Times New Roman"/>
                <w:bCs/>
                <w:color w:val="auto"/>
                <w:sz w:val="24"/>
                <w:highlight w:val="none"/>
              </w:rPr>
              <w:t>天</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为三班制，每班</w:t>
            </w:r>
            <w:r>
              <w:rPr>
                <w:rFonts w:hint="default" w:ascii="Times New Roman" w:hAnsi="Times New Roman" w:eastAsia="宋体" w:cs="Times New Roman"/>
                <w:bCs/>
                <w:color w:val="auto"/>
                <w:sz w:val="24"/>
                <w:highlight w:val="none"/>
              </w:rPr>
              <w:t>工作8小时。</w:t>
            </w:r>
          </w:p>
          <w:p w14:paraId="20B597E0">
            <w:pPr>
              <w:adjustRightInd w:val="0"/>
              <w:snapToGrid w:val="0"/>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cs="Times New Roman"/>
                <w:b/>
                <w:bCs/>
                <w:color w:val="auto"/>
                <w:sz w:val="24"/>
                <w:highlight w:val="none"/>
                <w:lang w:val="en-US" w:eastAsia="zh-CN"/>
              </w:rPr>
              <w:t>9</w:t>
            </w:r>
            <w:r>
              <w:rPr>
                <w:rFonts w:hint="default" w:ascii="Times New Roman" w:hAnsi="Times New Roman" w:eastAsia="宋体" w:cs="Times New Roman"/>
                <w:b/>
                <w:bCs/>
                <w:color w:val="auto"/>
                <w:sz w:val="24"/>
                <w:highlight w:val="none"/>
              </w:rPr>
              <w:t>.公用工程</w:t>
            </w:r>
          </w:p>
          <w:p w14:paraId="0D660097">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（1）供水</w:t>
            </w:r>
          </w:p>
          <w:p w14:paraId="3A252F08">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cs="Times New Roman"/>
                <w:bCs/>
                <w:color w:val="auto"/>
                <w:sz w:val="24"/>
                <w:highlight w:val="none"/>
                <w:lang w:val="en-US" w:eastAsia="zh-CN"/>
              </w:rPr>
              <w:t>生活用水：</w:t>
            </w:r>
            <w:r>
              <w:rPr>
                <w:rFonts w:hint="default" w:ascii="Times New Roman" w:hAnsi="Times New Roman" w:eastAsia="宋体" w:cs="Times New Roman"/>
                <w:bCs/>
                <w:color w:val="auto"/>
                <w:sz w:val="24"/>
                <w:highlight w:val="none"/>
              </w:rPr>
              <w:t>本项目劳动定员5人，根据《行业用水定额》（DB15/T</w:t>
            </w:r>
            <w:r>
              <w:rPr>
                <w:rFonts w:hint="eastAsia" w:ascii="Times New Roman" w:hAnsi="Times New Roman" w:cs="Times New Roman"/>
                <w:bCs/>
                <w:color w:val="auto"/>
                <w:sz w:val="24"/>
                <w:highlight w:val="none"/>
                <w:lang w:val="en-US" w:eastAsia="zh-CN"/>
              </w:rPr>
              <w:t xml:space="preserve"> </w:t>
            </w:r>
            <w:r>
              <w:rPr>
                <w:rFonts w:hint="default" w:ascii="Times New Roman" w:hAnsi="Times New Roman" w:eastAsia="宋体" w:cs="Times New Roman"/>
                <w:bCs/>
                <w:color w:val="auto"/>
                <w:sz w:val="24"/>
                <w:highlight w:val="none"/>
              </w:rPr>
              <w:t>385</w:t>
            </w:r>
            <w:r>
              <w:rPr>
                <w:rFonts w:hint="eastAsia" w:ascii="Times New Roman" w:hAnsi="Times New Roman" w:cs="Times New Roman"/>
                <w:bCs/>
                <w:color w:val="auto"/>
                <w:sz w:val="24"/>
                <w:highlight w:val="none"/>
                <w:lang w:val="en-US" w:eastAsia="zh-CN"/>
              </w:rPr>
              <w:t>—2025</w:t>
            </w:r>
            <w:r>
              <w:rPr>
                <w:rFonts w:hint="default" w:ascii="Times New Roman" w:hAnsi="Times New Roman" w:eastAsia="宋体" w:cs="Times New Roman"/>
                <w:bCs/>
                <w:color w:val="auto"/>
                <w:sz w:val="24"/>
                <w:highlight w:val="none"/>
              </w:rPr>
              <w:t>），本项目年工作</w:t>
            </w:r>
            <w:r>
              <w:rPr>
                <w:rFonts w:hint="default" w:ascii="Times New Roman" w:hAnsi="Times New Roman" w:cs="Times New Roman"/>
                <w:bCs/>
                <w:color w:val="auto"/>
                <w:sz w:val="24"/>
                <w:highlight w:val="none"/>
                <w:lang w:val="en-US" w:eastAsia="zh-CN"/>
              </w:rPr>
              <w:t>365</w:t>
            </w:r>
            <w:r>
              <w:rPr>
                <w:rFonts w:hint="default" w:ascii="Times New Roman" w:hAnsi="Times New Roman" w:cs="Times New Roman"/>
                <w:bCs/>
                <w:color w:val="auto"/>
                <w:sz w:val="24"/>
                <w:highlight w:val="none"/>
                <w:lang w:eastAsia="zh-CN"/>
              </w:rPr>
              <w:t>天</w:t>
            </w:r>
            <w:r>
              <w:rPr>
                <w:rFonts w:hint="default" w:ascii="Times New Roman" w:hAnsi="Times New Roman" w:eastAsia="宋体" w:cs="Times New Roman"/>
                <w:bCs/>
                <w:color w:val="auto"/>
                <w:sz w:val="24"/>
                <w:highlight w:val="none"/>
              </w:rPr>
              <w:t>，职工生活用水量按40L/人·d计，则用水量为0.2</w:t>
            </w:r>
            <w:r>
              <w:rPr>
                <w:rFonts w:hint="default" w:ascii="Times New Roman" w:hAnsi="Times New Roman" w:cs="Times New Roman"/>
                <w:bCs/>
                <w:color w:val="auto"/>
                <w:sz w:val="24"/>
                <w:highlight w:val="none"/>
                <w:lang w:val="en-US" w:eastAsia="zh-CN"/>
              </w:rPr>
              <w:t>t</w:t>
            </w:r>
            <w:r>
              <w:rPr>
                <w:rFonts w:hint="default" w:ascii="Times New Roman" w:hAnsi="Times New Roman" w:eastAsia="宋体" w:cs="Times New Roman"/>
                <w:bCs/>
                <w:color w:val="auto"/>
                <w:sz w:val="24"/>
                <w:highlight w:val="none"/>
              </w:rPr>
              <w:t>/d（</w:t>
            </w:r>
            <w:r>
              <w:rPr>
                <w:rFonts w:hint="default" w:ascii="Times New Roman" w:hAnsi="Times New Roman" w:cs="Times New Roman"/>
                <w:bCs/>
                <w:color w:val="auto"/>
                <w:sz w:val="24"/>
                <w:highlight w:val="none"/>
                <w:lang w:val="en-US" w:eastAsia="zh-CN"/>
              </w:rPr>
              <w:t>73t</w:t>
            </w:r>
            <w:r>
              <w:rPr>
                <w:rFonts w:hint="default" w:ascii="Times New Roman" w:hAnsi="Times New Roman" w:eastAsia="宋体" w:cs="Times New Roman"/>
                <w:bCs/>
                <w:color w:val="auto"/>
                <w:sz w:val="24"/>
                <w:highlight w:val="none"/>
              </w:rPr>
              <w:t>/a）。</w:t>
            </w:r>
          </w:p>
          <w:p w14:paraId="678DFF96">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cs="Times New Roman"/>
                <w:color w:val="auto"/>
                <w:sz w:val="24"/>
                <w:highlight w:val="none"/>
                <w:lang w:val="en-US" w:eastAsia="zh-CN"/>
              </w:rPr>
              <w:t>生产用水：三期</w:t>
            </w:r>
            <w:r>
              <w:rPr>
                <w:rFonts w:hint="default" w:ascii="Times New Roman" w:hAnsi="Times New Roman" w:eastAsia="宋体" w:cs="Times New Roman"/>
                <w:color w:val="auto"/>
                <w:sz w:val="24"/>
                <w:highlight w:val="none"/>
                <w:lang w:val="en-US" w:eastAsia="zh-CN"/>
              </w:rPr>
              <w:t>新增生产用水</w:t>
            </w:r>
            <w:r>
              <w:rPr>
                <w:rFonts w:hint="default" w:ascii="Times New Roman" w:hAnsi="Times New Roman" w:eastAsia="宋体" w:cs="Times New Roman"/>
                <w:bCs/>
                <w:color w:val="auto"/>
                <w:sz w:val="24"/>
                <w:highlight w:val="none"/>
              </w:rPr>
              <w:t>主要是</w:t>
            </w:r>
            <w:r>
              <w:rPr>
                <w:rFonts w:hint="default" w:ascii="Times New Roman" w:hAnsi="Times New Roman" w:eastAsia="宋体" w:cs="Times New Roman"/>
                <w:bCs/>
                <w:color w:val="auto"/>
                <w:sz w:val="24"/>
                <w:highlight w:val="none"/>
                <w:lang w:val="en-US" w:eastAsia="zh-CN"/>
              </w:rPr>
              <w:t>溶药用水、</w:t>
            </w:r>
            <w:r>
              <w:rPr>
                <w:rFonts w:hint="default" w:ascii="Times New Roman" w:hAnsi="Times New Roman" w:cs="Times New Roman"/>
                <w:bCs/>
                <w:color w:val="auto"/>
                <w:sz w:val="24"/>
                <w:highlight w:val="none"/>
                <w:lang w:val="en-US" w:eastAsia="zh-CN"/>
              </w:rPr>
              <w:t>V型滤池</w:t>
            </w:r>
            <w:r>
              <w:rPr>
                <w:rFonts w:hint="default" w:ascii="Times New Roman" w:hAnsi="Times New Roman" w:eastAsia="宋体" w:cs="Times New Roman"/>
                <w:bCs/>
                <w:color w:val="auto"/>
                <w:sz w:val="24"/>
                <w:highlight w:val="none"/>
                <w:lang w:val="en-US" w:eastAsia="zh-CN"/>
              </w:rPr>
              <w:t>反冲洗用水</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为污水厂处理后的中水</w:t>
            </w:r>
            <w:r>
              <w:rPr>
                <w:rFonts w:hint="default" w:ascii="Times New Roman" w:hAnsi="Times New Roman" w:eastAsia="宋体" w:cs="Times New Roman"/>
                <w:bCs/>
                <w:color w:val="auto"/>
                <w:sz w:val="24"/>
                <w:highlight w:val="none"/>
              </w:rPr>
              <w:t>。</w:t>
            </w:r>
          </w:p>
          <w:p w14:paraId="44FC0596">
            <w:pPr>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val="en-US" w:eastAsia="zh-CN"/>
              </w:rPr>
              <w:t>①溶药用水：</w:t>
            </w:r>
            <w:r>
              <w:rPr>
                <w:rFonts w:hint="default" w:ascii="Times New Roman" w:hAnsi="Times New Roman" w:eastAsia="宋体" w:cs="Times New Roman"/>
                <w:color w:val="auto"/>
                <w:sz w:val="24"/>
                <w:highlight w:val="none"/>
              </w:rPr>
              <w:t>根据药剂用量及</w:t>
            </w:r>
            <w:r>
              <w:rPr>
                <w:rFonts w:hint="default" w:ascii="Times New Roman" w:hAnsi="Times New Roman" w:cs="Times New Roman"/>
                <w:color w:val="auto"/>
                <w:sz w:val="24"/>
                <w:highlight w:val="none"/>
                <w:lang w:eastAsia="zh-CN"/>
              </w:rPr>
              <w:t>其</w:t>
            </w:r>
            <w:r>
              <w:rPr>
                <w:rFonts w:hint="default" w:ascii="Times New Roman" w:hAnsi="Times New Roman" w:eastAsia="宋体" w:cs="Times New Roman"/>
                <w:color w:val="auto"/>
                <w:sz w:val="24"/>
                <w:highlight w:val="none"/>
              </w:rPr>
              <w:t>对应的重溶百分比</w:t>
            </w:r>
            <w:r>
              <w:rPr>
                <w:rFonts w:hint="default" w:ascii="Times New Roman" w:hAnsi="Times New Roman" w:cs="Times New Roman"/>
                <w:color w:val="auto"/>
                <w:sz w:val="24"/>
                <w:highlight w:val="none"/>
                <w:lang w:eastAsia="zh-CN"/>
              </w:rPr>
              <w:t>可以得出</w:t>
            </w:r>
            <w:r>
              <w:rPr>
                <w:rFonts w:hint="default" w:ascii="Times New Roman" w:hAnsi="Times New Roman" w:eastAsia="宋体" w:cs="Times New Roman"/>
                <w:color w:val="auto"/>
                <w:sz w:val="24"/>
                <w:highlight w:val="none"/>
              </w:rPr>
              <w:t>配药用水量为</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t/d</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3650t/a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p w14:paraId="42182539">
            <w:pPr>
              <w:spacing w:line="360" w:lineRule="auto"/>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②反冲洗用水：根据设计参数，V型滤池反冲洗周期为24小时/次，每次反冲洗持续时间为10分钟，反冲洗水强度按5L/（</w:t>
            </w:r>
            <w:r>
              <w:rPr>
                <w:rFonts w:hint="default" w:ascii="Times New Roman" w:hAnsi="Times New Roman" w:cs="Times New Roman"/>
                <w:color w:val="auto"/>
                <w:sz w:val="24"/>
                <w:highlight w:val="none"/>
                <w:vertAlign w:val="baseline"/>
                <w:lang w:val="en-US" w:eastAsia="zh-CN"/>
              </w:rPr>
              <w:t>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val="en-US" w:eastAsia="zh-CN"/>
              </w:rPr>
              <w:t>·s）计算，滤池过滤面积为70</w:t>
            </w:r>
            <w:r>
              <w:rPr>
                <w:rFonts w:hint="default" w:ascii="Times New Roman" w:hAnsi="Times New Roman" w:cs="Times New Roman"/>
                <w:color w:val="auto"/>
                <w:sz w:val="24"/>
                <w:highlight w:val="none"/>
                <w:vertAlign w:val="baseline"/>
                <w:lang w:val="en-US" w:eastAsia="zh-CN"/>
              </w:rPr>
              <w:t>m</w:t>
            </w:r>
            <w:r>
              <w:rPr>
                <w:rFonts w:hint="default" w:ascii="Times New Roman" w:hAnsi="Times New Roman" w:cs="Times New Roman"/>
                <w:color w:val="auto"/>
                <w:sz w:val="24"/>
                <w:highlight w:val="none"/>
                <w:vertAlign w:val="superscript"/>
                <w:lang w:val="en-US" w:eastAsia="zh-CN"/>
              </w:rPr>
              <w:t>2</w:t>
            </w:r>
            <w:r>
              <w:rPr>
                <w:rFonts w:hint="default" w:ascii="Times New Roman" w:hAnsi="Times New Roman" w:cs="Times New Roman"/>
                <w:color w:val="auto"/>
                <w:sz w:val="24"/>
                <w:highlight w:val="none"/>
                <w:lang w:val="en-US" w:eastAsia="zh-CN"/>
              </w:rPr>
              <w:t>。经核算，单次反冲洗用水量为210m³，每日反冲洗用水量为210t/d（76650t/a）。</w:t>
            </w:r>
          </w:p>
          <w:p w14:paraId="4DCE39B3">
            <w:pPr>
              <w:spacing w:line="360" w:lineRule="auto"/>
              <w:ind w:firstLine="48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合计总用水量为220.2t/d（80373t/a）。</w:t>
            </w:r>
          </w:p>
          <w:p w14:paraId="7E03AB43">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（2）排水工程</w:t>
            </w:r>
          </w:p>
          <w:p w14:paraId="541F926F">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生活污水量按用水量的80%计算，则职工生活污水产生量为</w:t>
            </w:r>
            <w:r>
              <w:rPr>
                <w:rFonts w:hint="default" w:ascii="Times New Roman" w:hAnsi="Times New Roman" w:eastAsia="宋体" w:cs="Times New Roman"/>
                <w:bCs/>
                <w:color w:val="auto"/>
                <w:sz w:val="24"/>
                <w:highlight w:val="none"/>
                <w:lang w:val="en-US" w:eastAsia="zh-CN"/>
              </w:rPr>
              <w:t>0.16t/d（58.4t/a）</w:t>
            </w:r>
            <w:r>
              <w:rPr>
                <w:rFonts w:hint="default" w:ascii="Times New Roman" w:hAnsi="Times New Roman" w:cs="Times New Roman"/>
                <w:bCs/>
                <w:color w:val="auto"/>
                <w:sz w:val="24"/>
                <w:highlight w:val="none"/>
                <w:lang w:val="en-US" w:eastAsia="zh-CN"/>
              </w:rPr>
              <w:t>，</w:t>
            </w:r>
            <w:r>
              <w:rPr>
                <w:rFonts w:hint="default" w:ascii="Times New Roman" w:hAnsi="Times New Roman" w:eastAsia="宋体" w:cs="Times New Roman"/>
                <w:bCs/>
                <w:color w:val="auto"/>
                <w:sz w:val="24"/>
                <w:highlight w:val="none"/>
              </w:rPr>
              <w:t>生活污水</w:t>
            </w:r>
            <w:r>
              <w:rPr>
                <w:rFonts w:hint="default" w:ascii="Times New Roman" w:hAnsi="Times New Roman" w:cs="Times New Roman"/>
                <w:bCs/>
                <w:color w:val="auto"/>
                <w:sz w:val="24"/>
                <w:highlight w:val="none"/>
                <w:lang w:val="en-US" w:eastAsia="zh-CN"/>
              </w:rPr>
              <w:t>进入本项目污水处理系统</w:t>
            </w:r>
            <w:r>
              <w:rPr>
                <w:rFonts w:hint="default" w:ascii="Times New Roman" w:hAnsi="Times New Roman" w:eastAsia="宋体" w:cs="Times New Roman"/>
                <w:bCs/>
                <w:color w:val="auto"/>
                <w:sz w:val="24"/>
                <w:highlight w:val="none"/>
              </w:rPr>
              <w:t>。</w:t>
            </w:r>
          </w:p>
          <w:p w14:paraId="4252A5E3">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项目生产过程中无生产废水排放，V型滤池反冲洗用水为中水，反冲洗排水回流至污水处理厂前端进行处理，不外排</w:t>
            </w:r>
            <w:r>
              <w:rPr>
                <w:rFonts w:hint="default" w:ascii="Times New Roman" w:hAnsi="Times New Roman" w:eastAsia="宋体" w:cs="Times New Roman"/>
                <w:bCs/>
                <w:color w:val="auto"/>
                <w:sz w:val="24"/>
                <w:highlight w:val="none"/>
              </w:rPr>
              <w:t>。</w:t>
            </w:r>
          </w:p>
          <w:p w14:paraId="75E0DE1E">
            <w:pPr>
              <w:adjustRightInd w:val="0"/>
              <w:snapToGrid w:val="0"/>
              <w:spacing w:line="360" w:lineRule="auto"/>
              <w:ind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污泥处理方案采用</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机械浓缩+高压板框压滤脱水</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工艺，含水率降至60%。类比现有工程，预计三期工程脱水污泥产生量约980t/a，</w:t>
            </w:r>
            <w:r>
              <w:rPr>
                <w:rFonts w:hint="default" w:ascii="Times New Roman" w:hAnsi="Times New Roman" w:cs="Times New Roman"/>
                <w:bCs/>
                <w:color w:val="auto"/>
                <w:sz w:val="24"/>
                <w:highlight w:val="none"/>
                <w:lang w:val="en-US" w:eastAsia="zh-CN"/>
              </w:rPr>
              <w:t>则</w:t>
            </w:r>
            <w:r>
              <w:rPr>
                <w:rFonts w:hint="default" w:ascii="Times New Roman" w:hAnsi="Times New Roman" w:eastAsia="宋体" w:cs="Times New Roman"/>
                <w:bCs/>
                <w:color w:val="auto"/>
                <w:sz w:val="24"/>
                <w:highlight w:val="none"/>
                <w:lang w:val="en-US" w:eastAsia="zh-CN"/>
              </w:rPr>
              <w:t>污泥压滤水</w:t>
            </w:r>
            <w:r>
              <w:rPr>
                <w:rFonts w:hint="default" w:ascii="Times New Roman" w:hAnsi="Times New Roman" w:cs="Times New Roman"/>
                <w:bCs/>
                <w:color w:val="auto"/>
                <w:sz w:val="24"/>
                <w:highlight w:val="none"/>
                <w:lang w:val="en-US" w:eastAsia="zh-CN"/>
              </w:rPr>
              <w:t>产生量约为1.75t/d（640t/a），全部回流至项目污水处理厂前端处理，不外排。</w:t>
            </w:r>
          </w:p>
          <w:p w14:paraId="4C2FA2D4">
            <w:pPr>
              <w:adjustRightInd w:val="0"/>
              <w:snapToGrid w:val="0"/>
              <w:spacing w:line="360" w:lineRule="auto"/>
              <w:jc w:val="center"/>
              <w:rPr>
                <w:rFonts w:hint="default" w:ascii="Times New Roman" w:hAnsi="Times New Roman" w:eastAsia="宋体" w:cs="Times New Roman"/>
                <w:b/>
                <w:bCs w:val="0"/>
                <w:color w:val="auto"/>
                <w:sz w:val="24"/>
                <w:highlight w:val="none"/>
              </w:rPr>
            </w:pPr>
            <w:r>
              <w:rPr>
                <w:rFonts w:hint="default" w:ascii="Times New Roman" w:hAnsi="Times New Roman" w:cs="Times New Roman"/>
                <w:b/>
                <w:bCs w:val="0"/>
                <w:color w:val="auto"/>
                <w:sz w:val="24"/>
                <w:highlight w:val="none"/>
                <w:lang w:val="en-US" w:eastAsia="zh-CN"/>
              </w:rPr>
              <w:t>表2-12 三期项目</w:t>
            </w:r>
            <w:r>
              <w:rPr>
                <w:rFonts w:hint="default" w:ascii="Times New Roman" w:hAnsi="Times New Roman" w:eastAsia="宋体" w:cs="Times New Roman"/>
                <w:b/>
                <w:bCs w:val="0"/>
                <w:color w:val="auto"/>
                <w:sz w:val="24"/>
                <w:highlight w:val="none"/>
              </w:rPr>
              <w:t>用排水情况一览表</w:t>
            </w:r>
          </w:p>
          <w:tbl>
            <w:tblPr>
              <w:tblStyle w:val="11"/>
              <w:tblW w:w="79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22"/>
              <w:gridCol w:w="1323"/>
              <w:gridCol w:w="1323"/>
              <w:gridCol w:w="1323"/>
              <w:gridCol w:w="1323"/>
              <w:gridCol w:w="1323"/>
            </w:tblGrid>
            <w:tr w14:paraId="5FA53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960" w:type="dxa"/>
                  <w:vMerge w:val="restart"/>
                  <w:tcBorders>
                    <w:top w:val="single" w:color="auto" w:sz="4" w:space="0"/>
                    <w:left w:val="single" w:color="auto" w:sz="0" w:space="0"/>
                    <w:bottom w:val="single" w:color="000000" w:sz="8" w:space="0"/>
                    <w:right w:val="single" w:color="000000" w:sz="8" w:space="0"/>
                  </w:tcBorders>
                  <w:shd w:val="clear" w:color="auto" w:fill="auto"/>
                  <w:vAlign w:val="center"/>
                </w:tcPr>
                <w:p w14:paraId="38B271E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项目</w:t>
                  </w:r>
                </w:p>
              </w:tc>
              <w:tc>
                <w:tcPr>
                  <w:tcW w:w="1920" w:type="dxa"/>
                  <w:gridSpan w:val="2"/>
                  <w:tcBorders>
                    <w:top w:val="single" w:color="auto" w:sz="4" w:space="0"/>
                    <w:left w:val="single" w:color="000000" w:sz="8" w:space="0"/>
                    <w:bottom w:val="single" w:color="000000" w:sz="8" w:space="0"/>
                    <w:right w:val="single" w:color="000000" w:sz="8" w:space="0"/>
                  </w:tcBorders>
                  <w:shd w:val="clear" w:color="auto" w:fill="auto"/>
                  <w:noWrap/>
                  <w:vAlign w:val="center"/>
                </w:tcPr>
                <w:p w14:paraId="0078A17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用水</w:t>
                  </w:r>
                </w:p>
              </w:tc>
              <w:tc>
                <w:tcPr>
                  <w:tcW w:w="960" w:type="dxa"/>
                  <w:vMerge w:val="restart"/>
                  <w:tcBorders>
                    <w:top w:val="single" w:color="auto" w:sz="4" w:space="0"/>
                    <w:left w:val="single" w:color="000000" w:sz="8" w:space="0"/>
                    <w:bottom w:val="single" w:color="000000" w:sz="8" w:space="0"/>
                    <w:right w:val="single" w:color="000000" w:sz="8" w:space="0"/>
                  </w:tcBorders>
                  <w:shd w:val="clear" w:color="auto" w:fill="auto"/>
                  <w:noWrap/>
                  <w:vAlign w:val="center"/>
                </w:tcPr>
                <w:p w14:paraId="7CE817E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排污系数</w:t>
                  </w:r>
                </w:p>
              </w:tc>
              <w:tc>
                <w:tcPr>
                  <w:tcW w:w="960" w:type="dxa"/>
                  <w:tcBorders>
                    <w:top w:val="single" w:color="auto" w:sz="4" w:space="0"/>
                    <w:left w:val="single" w:color="000000" w:sz="8" w:space="0"/>
                    <w:bottom w:val="single" w:color="000000" w:sz="8" w:space="0"/>
                    <w:right w:val="single" w:color="000000" w:sz="8" w:space="0"/>
                  </w:tcBorders>
                  <w:shd w:val="clear" w:color="auto" w:fill="auto"/>
                  <w:noWrap/>
                  <w:vAlign w:val="center"/>
                </w:tcPr>
                <w:p w14:paraId="2C4C149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废水</w:t>
                  </w:r>
                </w:p>
              </w:tc>
              <w:tc>
                <w:tcPr>
                  <w:tcW w:w="960" w:type="dxa"/>
                  <w:vMerge w:val="restart"/>
                  <w:tcBorders>
                    <w:top w:val="single" w:color="auto" w:sz="4" w:space="0"/>
                    <w:left w:val="single" w:color="000000" w:sz="8" w:space="0"/>
                    <w:bottom w:val="single" w:color="000000" w:sz="8" w:space="0"/>
                    <w:right w:val="single" w:color="auto" w:sz="4" w:space="0"/>
                  </w:tcBorders>
                  <w:shd w:val="clear" w:color="auto" w:fill="auto"/>
                  <w:vAlign w:val="center"/>
                </w:tcPr>
                <w:p w14:paraId="6EDC0EC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损耗量（</w:t>
                  </w:r>
                  <w:r>
                    <w:rPr>
                      <w:rFonts w:hint="default" w:ascii="Times New Roman" w:hAnsi="Times New Roman" w:eastAsia="宋体" w:cs="Times New Roman"/>
                      <w:b/>
                      <w:bCs/>
                      <w:i w:val="0"/>
                      <w:iCs w:val="0"/>
                      <w:color w:val="auto"/>
                      <w:kern w:val="0"/>
                      <w:sz w:val="21"/>
                      <w:szCs w:val="21"/>
                      <w:u w:val="none"/>
                      <w:vertAlign w:val="baseli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/d）</w:t>
                  </w:r>
                </w:p>
              </w:tc>
            </w:tr>
            <w:tr w14:paraId="30CE1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60" w:type="dxa"/>
                  <w:vMerge w:val="continue"/>
                  <w:tcBorders>
                    <w:top w:val="single" w:color="000000" w:sz="12" w:space="0"/>
                    <w:left w:val="single" w:color="auto" w:sz="4" w:space="0"/>
                    <w:bottom w:val="single" w:color="000000" w:sz="8" w:space="0"/>
                    <w:right w:val="single" w:color="000000" w:sz="8" w:space="0"/>
                  </w:tcBorders>
                  <w:shd w:val="clear" w:color="auto" w:fill="auto"/>
                  <w:vAlign w:val="center"/>
                </w:tcPr>
                <w:p w14:paraId="2AAD4184">
                  <w:pPr>
                    <w:jc w:val="center"/>
                    <w:rPr>
                      <w:rFonts w:hint="default" w:ascii="Times New Roman" w:hAnsi="Times New Roman" w:eastAsia="宋体" w:cs="Times New Roman"/>
                      <w:b/>
                      <w:bCs/>
                      <w:i w:val="0"/>
                      <w:iCs w:val="0"/>
                      <w:color w:val="auto"/>
                      <w:sz w:val="21"/>
                      <w:szCs w:val="21"/>
                      <w:u w:val="none"/>
                    </w:rPr>
                  </w:pP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60B2D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新鲜水用水量（</w:t>
                  </w:r>
                  <w:r>
                    <w:rPr>
                      <w:rFonts w:hint="default" w:ascii="Times New Roman" w:hAnsi="Times New Roman" w:eastAsia="宋体" w:cs="Times New Roman"/>
                      <w:b/>
                      <w:bCs/>
                      <w:i w:val="0"/>
                      <w:iCs w:val="0"/>
                      <w:color w:val="auto"/>
                      <w:kern w:val="0"/>
                      <w:sz w:val="21"/>
                      <w:szCs w:val="21"/>
                      <w:u w:val="none"/>
                      <w:vertAlign w:val="baseli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/d）</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F5B73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中水</w:t>
                  </w:r>
                </w:p>
              </w:tc>
              <w:tc>
                <w:tcPr>
                  <w:tcW w:w="960" w:type="dxa"/>
                  <w:vMerge w:val="continue"/>
                  <w:tcBorders>
                    <w:top w:val="single" w:color="000000" w:sz="12" w:space="0"/>
                    <w:left w:val="single" w:color="000000" w:sz="8" w:space="0"/>
                    <w:bottom w:val="single" w:color="000000" w:sz="8" w:space="0"/>
                    <w:right w:val="single" w:color="000000" w:sz="8" w:space="0"/>
                  </w:tcBorders>
                  <w:shd w:val="clear" w:color="auto" w:fill="auto"/>
                  <w:noWrap/>
                  <w:vAlign w:val="center"/>
                </w:tcPr>
                <w:p w14:paraId="5028D8BD">
                  <w:pPr>
                    <w:jc w:val="center"/>
                    <w:rPr>
                      <w:rFonts w:hint="default" w:ascii="Times New Roman" w:hAnsi="Times New Roman" w:eastAsia="宋体" w:cs="Times New Roman"/>
                      <w:b/>
                      <w:bCs/>
                      <w:i w:val="0"/>
                      <w:iCs w:val="0"/>
                      <w:color w:val="auto"/>
                      <w:sz w:val="21"/>
                      <w:szCs w:val="21"/>
                      <w:u w:val="none"/>
                    </w:rPr>
                  </w:pP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FDBB8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排水量（</w:t>
                  </w:r>
                  <w:r>
                    <w:rPr>
                      <w:rFonts w:hint="default" w:ascii="Times New Roman" w:hAnsi="Times New Roman" w:eastAsia="宋体" w:cs="Times New Roman"/>
                      <w:b/>
                      <w:bCs/>
                      <w:i w:val="0"/>
                      <w:iCs w:val="0"/>
                      <w:color w:val="auto"/>
                      <w:kern w:val="0"/>
                      <w:sz w:val="21"/>
                      <w:szCs w:val="21"/>
                      <w:u w:val="none"/>
                      <w:vertAlign w:val="baseli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/d）</w:t>
                  </w:r>
                </w:p>
              </w:tc>
              <w:tc>
                <w:tcPr>
                  <w:tcW w:w="960" w:type="dxa"/>
                  <w:vMerge w:val="continue"/>
                  <w:tcBorders>
                    <w:top w:val="single" w:color="000000" w:sz="12" w:space="0"/>
                    <w:left w:val="single" w:color="000000" w:sz="8" w:space="0"/>
                    <w:bottom w:val="single" w:color="000000" w:sz="8" w:space="0"/>
                    <w:right w:val="single" w:color="auto" w:sz="4" w:space="0"/>
                  </w:tcBorders>
                  <w:shd w:val="clear" w:color="auto" w:fill="auto"/>
                  <w:vAlign w:val="center"/>
                </w:tcPr>
                <w:p w14:paraId="0C3A71C3">
                  <w:pPr>
                    <w:jc w:val="center"/>
                    <w:rPr>
                      <w:rFonts w:hint="default" w:ascii="Times New Roman" w:hAnsi="Times New Roman" w:eastAsia="宋体" w:cs="Times New Roman"/>
                      <w:b/>
                      <w:bCs/>
                      <w:i w:val="0"/>
                      <w:iCs w:val="0"/>
                      <w:color w:val="auto"/>
                      <w:sz w:val="21"/>
                      <w:szCs w:val="21"/>
                      <w:u w:val="none"/>
                    </w:rPr>
                  </w:pPr>
                </w:p>
              </w:tc>
            </w:tr>
            <w:tr w14:paraId="52309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60" w:type="dxa"/>
                  <w:tcBorders>
                    <w:top w:val="single" w:color="000000" w:sz="8" w:space="0"/>
                    <w:left w:val="single" w:color="auto" w:sz="4" w:space="0"/>
                    <w:bottom w:val="single" w:color="000000" w:sz="8" w:space="0"/>
                    <w:right w:val="single" w:color="000000" w:sz="8" w:space="0"/>
                  </w:tcBorders>
                  <w:shd w:val="clear" w:color="auto" w:fill="auto"/>
                  <w:vAlign w:val="center"/>
                </w:tcPr>
                <w:p w14:paraId="659929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生活用水</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775D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B93A8C">
                  <w:pPr>
                    <w:jc w:val="center"/>
                    <w:rPr>
                      <w:rFonts w:hint="default" w:ascii="Times New Roman" w:hAnsi="Times New Roman" w:eastAsia="宋体" w:cs="Times New Roman"/>
                      <w:i w:val="0"/>
                      <w:iCs w:val="0"/>
                      <w:color w:val="auto"/>
                      <w:sz w:val="21"/>
                      <w:szCs w:val="21"/>
                      <w:u w:val="none"/>
                    </w:rPr>
                  </w:pP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768D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113E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0.16</w:t>
                  </w:r>
                </w:p>
              </w:tc>
              <w:tc>
                <w:tcPr>
                  <w:tcW w:w="960" w:type="dxa"/>
                  <w:tcBorders>
                    <w:top w:val="single" w:color="000000" w:sz="8" w:space="0"/>
                    <w:left w:val="single" w:color="000000" w:sz="8" w:space="0"/>
                    <w:bottom w:val="single" w:color="000000" w:sz="8" w:space="0"/>
                    <w:right w:val="single" w:color="auto" w:sz="4" w:space="0"/>
                  </w:tcBorders>
                  <w:shd w:val="clear" w:color="auto" w:fill="auto"/>
                  <w:vAlign w:val="center"/>
                </w:tcPr>
                <w:p w14:paraId="48911B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w:t>
                  </w:r>
                </w:p>
              </w:tc>
            </w:tr>
            <w:tr w14:paraId="40D9A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60" w:type="dxa"/>
                  <w:tcBorders>
                    <w:top w:val="single" w:color="000000" w:sz="8" w:space="0"/>
                    <w:left w:val="single" w:color="auto" w:sz="4" w:space="0"/>
                    <w:bottom w:val="single" w:color="000000" w:sz="8" w:space="0"/>
                    <w:right w:val="single" w:color="000000" w:sz="8" w:space="0"/>
                  </w:tcBorders>
                  <w:shd w:val="clear" w:color="auto" w:fill="auto"/>
                  <w:vAlign w:val="center"/>
                </w:tcPr>
                <w:p w14:paraId="72DA85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溶药用水</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120AD9">
                  <w:pPr>
                    <w:jc w:val="center"/>
                    <w:rPr>
                      <w:rFonts w:hint="default" w:ascii="Times New Roman" w:hAnsi="Times New Roman" w:eastAsia="宋体" w:cs="Times New Roman"/>
                      <w:i w:val="0"/>
                      <w:iCs w:val="0"/>
                      <w:color w:val="auto"/>
                      <w:sz w:val="21"/>
                      <w:szCs w:val="21"/>
                      <w:u w:val="none"/>
                    </w:rPr>
                  </w:pP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44CB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F460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CDF2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60" w:type="dxa"/>
                  <w:tcBorders>
                    <w:top w:val="single" w:color="000000" w:sz="8" w:space="0"/>
                    <w:left w:val="single" w:color="000000" w:sz="8" w:space="0"/>
                    <w:bottom w:val="single" w:color="000000" w:sz="8" w:space="0"/>
                    <w:right w:val="single" w:color="auto" w:sz="4" w:space="0"/>
                  </w:tcBorders>
                  <w:shd w:val="clear" w:color="auto" w:fill="auto"/>
                  <w:vAlign w:val="center"/>
                </w:tcPr>
                <w:p w14:paraId="49D106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F472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60" w:type="dxa"/>
                  <w:tcBorders>
                    <w:top w:val="single" w:color="000000" w:sz="8" w:space="0"/>
                    <w:left w:val="single" w:color="auto" w:sz="4" w:space="0"/>
                    <w:bottom w:val="single" w:color="000000" w:sz="8" w:space="0"/>
                    <w:right w:val="single" w:color="000000" w:sz="8" w:space="0"/>
                  </w:tcBorders>
                  <w:shd w:val="clear" w:color="auto" w:fill="auto"/>
                  <w:vAlign w:val="center"/>
                </w:tcPr>
                <w:p w14:paraId="78B064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V型滤池反冲洗用水</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D19745">
                  <w:pPr>
                    <w:jc w:val="center"/>
                    <w:rPr>
                      <w:rFonts w:hint="default" w:ascii="Times New Roman" w:hAnsi="Times New Roman" w:eastAsia="宋体" w:cs="Times New Roman"/>
                      <w:i w:val="0"/>
                      <w:iCs w:val="0"/>
                      <w:color w:val="auto"/>
                      <w:sz w:val="21"/>
                      <w:szCs w:val="21"/>
                      <w:u w:val="none"/>
                    </w:rPr>
                  </w:pP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0EA1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210</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5FD2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6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D848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210</w:t>
                  </w:r>
                </w:p>
              </w:tc>
              <w:tc>
                <w:tcPr>
                  <w:tcW w:w="960" w:type="dxa"/>
                  <w:tcBorders>
                    <w:top w:val="single" w:color="000000" w:sz="8" w:space="0"/>
                    <w:left w:val="single" w:color="000000" w:sz="8" w:space="0"/>
                    <w:bottom w:val="single" w:color="000000" w:sz="8" w:space="0"/>
                    <w:right w:val="single" w:color="auto" w:sz="4" w:space="0"/>
                  </w:tcBorders>
                  <w:shd w:val="clear" w:color="auto" w:fill="auto"/>
                  <w:vAlign w:val="center"/>
                </w:tcPr>
                <w:p w14:paraId="57CEDA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9383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60" w:type="dxa"/>
                  <w:tcBorders>
                    <w:top w:val="single" w:color="000000" w:sz="8" w:space="0"/>
                    <w:left w:val="single" w:color="auto" w:sz="4" w:space="0"/>
                    <w:bottom w:val="single" w:color="000000" w:sz="8" w:space="0"/>
                    <w:right w:val="single" w:color="000000" w:sz="8" w:space="0"/>
                  </w:tcBorders>
                  <w:shd w:val="clear" w:color="auto" w:fill="auto"/>
                  <w:noWrap/>
                  <w:vAlign w:val="center"/>
                </w:tcPr>
                <w:p w14:paraId="4482F5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污泥压滤</w:t>
                  </w:r>
                </w:p>
              </w:tc>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F446B2">
                  <w:pPr>
                    <w:jc w:val="center"/>
                    <w:rPr>
                      <w:rFonts w:hint="default" w:ascii="Times New Roman" w:hAnsi="Times New Roman" w:eastAsia="宋体" w:cs="Times New Roman"/>
                      <w:i w:val="0"/>
                      <w:iCs w:val="0"/>
                      <w:color w:val="auto"/>
                      <w:sz w:val="21"/>
                      <w:szCs w:val="21"/>
                      <w:u w:val="none"/>
                    </w:rPr>
                  </w:pPr>
                </w:p>
              </w:tc>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7C7802">
                  <w:pPr>
                    <w:jc w:val="center"/>
                    <w:rPr>
                      <w:rFonts w:hint="default" w:ascii="Times New Roman" w:hAnsi="Times New Roman" w:eastAsia="宋体" w:cs="Times New Roman"/>
                      <w:i w:val="0"/>
                      <w:iCs w:val="0"/>
                      <w:color w:val="auto"/>
                      <w:sz w:val="21"/>
                      <w:szCs w:val="21"/>
                      <w:u w:val="none"/>
                    </w:rPr>
                  </w:pPr>
                </w:p>
              </w:tc>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01CC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6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84A5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1.75</w:t>
                  </w:r>
                </w:p>
              </w:tc>
              <w:tc>
                <w:tcPr>
                  <w:tcW w:w="960" w:type="dxa"/>
                  <w:tcBorders>
                    <w:top w:val="single" w:color="000000" w:sz="8" w:space="0"/>
                    <w:left w:val="single" w:color="000000" w:sz="8" w:space="0"/>
                    <w:bottom w:val="single" w:color="000000" w:sz="8" w:space="0"/>
                    <w:right w:val="single" w:color="auto" w:sz="4" w:space="0"/>
                  </w:tcBorders>
                  <w:shd w:val="clear" w:color="auto" w:fill="auto"/>
                  <w:vAlign w:val="center"/>
                </w:tcPr>
                <w:p w14:paraId="2E4200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FFB3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960" w:type="dxa"/>
                  <w:tcBorders>
                    <w:top w:val="single" w:color="000000" w:sz="8" w:space="0"/>
                    <w:left w:val="single" w:color="auto" w:sz="4" w:space="0"/>
                    <w:bottom w:val="single" w:color="auto" w:sz="4" w:space="0"/>
                    <w:right w:val="single" w:color="000000" w:sz="8" w:space="0"/>
                  </w:tcBorders>
                  <w:shd w:val="clear" w:color="auto" w:fill="auto"/>
                  <w:vAlign w:val="center"/>
                </w:tcPr>
                <w:p w14:paraId="7916DE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合计</w:t>
                  </w:r>
                </w:p>
              </w:tc>
              <w:tc>
                <w:tcPr>
                  <w:tcW w:w="960" w:type="dxa"/>
                  <w:tcBorders>
                    <w:top w:val="single" w:color="000000" w:sz="8" w:space="0"/>
                    <w:left w:val="single" w:color="000000" w:sz="8" w:space="0"/>
                    <w:bottom w:val="single" w:color="auto" w:sz="4" w:space="0"/>
                    <w:right w:val="single" w:color="000000" w:sz="8" w:space="0"/>
                  </w:tcBorders>
                  <w:shd w:val="clear" w:color="auto" w:fill="auto"/>
                  <w:vAlign w:val="center"/>
                </w:tcPr>
                <w:p w14:paraId="0547DB9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w:t>
                  </w:r>
                </w:p>
              </w:tc>
              <w:tc>
                <w:tcPr>
                  <w:tcW w:w="960" w:type="dxa"/>
                  <w:tcBorders>
                    <w:top w:val="single" w:color="000000" w:sz="8" w:space="0"/>
                    <w:left w:val="single" w:color="000000" w:sz="8" w:space="0"/>
                    <w:bottom w:val="single" w:color="auto" w:sz="4" w:space="0"/>
                    <w:right w:val="single" w:color="000000" w:sz="8" w:space="0"/>
                  </w:tcBorders>
                  <w:shd w:val="clear" w:color="auto" w:fill="auto"/>
                  <w:vAlign w:val="center"/>
                </w:tcPr>
                <w:p w14:paraId="117583F1">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220</w:t>
                  </w:r>
                </w:p>
              </w:tc>
              <w:tc>
                <w:tcPr>
                  <w:tcW w:w="960" w:type="dxa"/>
                  <w:tcBorders>
                    <w:top w:val="single" w:color="000000" w:sz="8" w:space="0"/>
                    <w:left w:val="single" w:color="000000" w:sz="8" w:space="0"/>
                    <w:bottom w:val="single" w:color="auto" w:sz="4" w:space="0"/>
                    <w:right w:val="single" w:color="000000" w:sz="8" w:space="0"/>
                  </w:tcBorders>
                  <w:shd w:val="clear" w:color="auto" w:fill="auto"/>
                  <w:vAlign w:val="center"/>
                </w:tcPr>
                <w:p w14:paraId="74F117A9">
                  <w:pPr>
                    <w:jc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60" w:type="dxa"/>
                  <w:tcBorders>
                    <w:top w:val="single" w:color="000000" w:sz="8" w:space="0"/>
                    <w:left w:val="single" w:color="000000" w:sz="8" w:space="0"/>
                    <w:bottom w:val="single" w:color="auto" w:sz="4" w:space="0"/>
                    <w:right w:val="single" w:color="000000" w:sz="8" w:space="0"/>
                  </w:tcBorders>
                  <w:shd w:val="clear" w:color="auto" w:fill="auto"/>
                  <w:vAlign w:val="center"/>
                </w:tcPr>
                <w:p w14:paraId="22B16E3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lang w:val="en-US" w:eastAsia="zh-CN"/>
                    </w:rPr>
                  </w:pPr>
                  <w:r>
                    <w:rPr>
                      <w:rFonts w:hint="default" w:ascii="Times New Roman" w:hAnsi="Times New Roman" w:eastAsia="宋体" w:cs="Times New Roman"/>
                      <w:i w:val="0"/>
                      <w:iCs w:val="0"/>
                      <w:color w:val="auto"/>
                      <w:sz w:val="22"/>
                      <w:szCs w:val="22"/>
                      <w:u w:val="none"/>
                      <w:lang w:val="en-US" w:eastAsia="zh-CN"/>
                    </w:rPr>
                    <w:t>221.91</w:t>
                  </w:r>
                </w:p>
              </w:tc>
              <w:tc>
                <w:tcPr>
                  <w:tcW w:w="960" w:type="dxa"/>
                  <w:tcBorders>
                    <w:top w:val="single" w:color="000000" w:sz="8" w:space="0"/>
                    <w:left w:val="single" w:color="000000" w:sz="8" w:space="0"/>
                    <w:bottom w:val="single" w:color="auto" w:sz="4" w:space="0"/>
                    <w:right w:val="single" w:color="auto" w:sz="4" w:space="0"/>
                  </w:tcBorders>
                  <w:shd w:val="clear" w:color="auto" w:fill="auto"/>
                  <w:vAlign w:val="center"/>
                </w:tcPr>
                <w:p w14:paraId="1668CC1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0.04</w:t>
                  </w:r>
                </w:p>
              </w:tc>
            </w:tr>
          </w:tbl>
          <w:p w14:paraId="5F60DA54">
            <w:pPr>
              <w:adjustRightInd w:val="0"/>
              <w:snapToGrid w:val="0"/>
              <w:spacing w:line="360" w:lineRule="auto"/>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drawing>
                <wp:inline distT="0" distB="0" distL="114300" distR="114300">
                  <wp:extent cx="5029200" cy="2156460"/>
                  <wp:effectExtent l="0" t="0" r="0" b="6985"/>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6"/>
                          <a:stretch>
                            <a:fillRect/>
                          </a:stretch>
                        </pic:blipFill>
                        <pic:spPr>
                          <a:xfrm>
                            <a:off x="0" y="0"/>
                            <a:ext cx="5029200" cy="2156460"/>
                          </a:xfrm>
                          <a:prstGeom prst="rect">
                            <a:avLst/>
                          </a:prstGeom>
                        </pic:spPr>
                      </pic:pic>
                    </a:graphicData>
                  </a:graphic>
                </wp:inline>
              </w:drawing>
            </w:r>
          </w:p>
          <w:p w14:paraId="5BA3FFE1">
            <w:pPr>
              <w:adjustRightInd w:val="0"/>
              <w:snapToGrid w:val="0"/>
              <w:spacing w:line="360" w:lineRule="auto"/>
              <w:jc w:val="center"/>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cs="Times New Roman"/>
                <w:b/>
                <w:bCs w:val="0"/>
                <w:color w:val="auto"/>
                <w:sz w:val="24"/>
                <w:highlight w:val="none"/>
                <w:lang w:val="en-US" w:eastAsia="zh-CN"/>
              </w:rPr>
              <w:t xml:space="preserve">图2-1 三期项目用水平衡图  </w:t>
            </w:r>
            <w:r>
              <w:rPr>
                <w:rFonts w:hint="default" w:ascii="Times New Roman" w:hAnsi="Times New Roman" w:cs="Times New Roman"/>
                <w:b/>
                <w:bCs w:val="0"/>
                <w:color w:val="auto"/>
                <w:sz w:val="24"/>
                <w:highlight w:val="none"/>
                <w:vertAlign w:val="baseline"/>
                <w:lang w:val="en-US" w:eastAsia="zh-CN"/>
              </w:rPr>
              <w:t>m</w:t>
            </w:r>
            <w:r>
              <w:rPr>
                <w:rFonts w:hint="default" w:ascii="Times New Roman" w:hAnsi="Times New Roman" w:cs="Times New Roman"/>
                <w:b/>
                <w:bCs w:val="0"/>
                <w:color w:val="auto"/>
                <w:sz w:val="24"/>
                <w:highlight w:val="none"/>
                <w:vertAlign w:val="superscript"/>
                <w:lang w:val="en-US" w:eastAsia="zh-CN"/>
              </w:rPr>
              <w:t>3</w:t>
            </w:r>
            <w:r>
              <w:rPr>
                <w:rFonts w:hint="default" w:ascii="Times New Roman" w:hAnsi="Times New Roman" w:cs="Times New Roman"/>
                <w:b/>
                <w:bCs w:val="0"/>
                <w:color w:val="auto"/>
                <w:sz w:val="24"/>
                <w:highlight w:val="none"/>
                <w:lang w:val="en-US" w:eastAsia="zh-CN"/>
              </w:rPr>
              <w:t>/d</w:t>
            </w:r>
          </w:p>
          <w:p w14:paraId="63CDE3EF">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（3）供电工程</w:t>
            </w:r>
          </w:p>
          <w:p w14:paraId="7A53027A">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项目总用电量为648.77</w:t>
            </w:r>
            <w:r>
              <w:rPr>
                <w:rFonts w:hint="default" w:ascii="Times New Roman" w:hAnsi="Times New Roman" w:cs="Times New Roman"/>
                <w:bCs/>
                <w:color w:val="auto"/>
                <w:sz w:val="24"/>
                <w:highlight w:val="none"/>
                <w:lang w:val="en-US" w:eastAsia="zh-CN"/>
              </w:rPr>
              <w:t>万kW</w:t>
            </w:r>
            <w:r>
              <w:rPr>
                <w:rFonts w:hint="default" w:ascii="Times New Roman" w:hAnsi="Times New Roman" w:cs="Times New Roman"/>
                <w:bCs/>
                <w:color w:val="auto"/>
                <w:sz w:val="24"/>
                <w:highlight w:val="none"/>
                <w:lang w:eastAsia="zh-CN"/>
              </w:rPr>
              <w:t xml:space="preserve"> h</w:t>
            </w:r>
            <w:r>
              <w:rPr>
                <w:rFonts w:hint="default" w:ascii="Times New Roman" w:hAnsi="Times New Roman" w:eastAsia="宋体" w:cs="Times New Roman"/>
                <w:bCs/>
                <w:color w:val="auto"/>
                <w:sz w:val="24"/>
                <w:highlight w:val="none"/>
              </w:rPr>
              <w:t>，由</w:t>
            </w:r>
            <w:r>
              <w:rPr>
                <w:rFonts w:hint="default" w:ascii="Times New Roman" w:hAnsi="Times New Roman" w:eastAsia="宋体" w:cs="Times New Roman"/>
                <w:bCs/>
                <w:color w:val="auto"/>
                <w:sz w:val="24"/>
                <w:highlight w:val="none"/>
                <w:lang w:val="en-US" w:eastAsia="zh-CN"/>
              </w:rPr>
              <w:t>污水厂原有</w:t>
            </w:r>
            <w:r>
              <w:rPr>
                <w:rFonts w:hint="default" w:ascii="Times New Roman" w:hAnsi="Times New Roman" w:eastAsia="宋体" w:cs="Times New Roman"/>
                <w:bCs/>
                <w:color w:val="auto"/>
                <w:sz w:val="24"/>
                <w:highlight w:val="none"/>
              </w:rPr>
              <w:t>电网供给。</w:t>
            </w:r>
          </w:p>
          <w:p w14:paraId="391D9331">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（4）供暖工程</w:t>
            </w:r>
          </w:p>
          <w:p w14:paraId="506FA0E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cs="Times New Roman"/>
                <w:color w:val="auto"/>
                <w:sz w:val="24"/>
                <w:highlight w:val="none"/>
                <w:lang w:val="en-US" w:eastAsia="zh-CN"/>
              </w:rPr>
              <w:t>采用</w:t>
            </w:r>
            <w:r>
              <w:rPr>
                <w:rFonts w:hint="default" w:ascii="Times New Roman" w:hAnsi="Times New Roman" w:eastAsia="宋体" w:cs="Times New Roman"/>
                <w:color w:val="auto"/>
                <w:sz w:val="24"/>
                <w:highlight w:val="none"/>
                <w:lang w:val="en-US" w:eastAsia="zh-CN"/>
              </w:rPr>
              <w:t>市政集中</w:t>
            </w:r>
            <w:r>
              <w:rPr>
                <w:rFonts w:hint="default" w:ascii="Times New Roman" w:hAnsi="Times New Roman" w:eastAsia="宋体" w:cs="Times New Roman"/>
                <w:color w:val="auto"/>
                <w:sz w:val="24"/>
                <w:highlight w:val="none"/>
                <w:lang w:eastAsia="zh-CN"/>
              </w:rPr>
              <w:t>供暖</w:t>
            </w:r>
            <w:r>
              <w:rPr>
                <w:rFonts w:hint="default" w:ascii="Times New Roman" w:hAnsi="Times New Roman" w:cs="Times New Roman"/>
                <w:color w:val="auto"/>
                <w:sz w:val="24"/>
                <w:highlight w:val="none"/>
                <w:lang w:eastAsia="zh-CN"/>
              </w:rPr>
              <w:t>方式</w:t>
            </w:r>
            <w:r>
              <w:rPr>
                <w:rFonts w:hint="default" w:ascii="Times New Roman" w:hAnsi="Times New Roman" w:eastAsia="宋体" w:cs="Times New Roman"/>
                <w:color w:val="auto"/>
                <w:sz w:val="24"/>
                <w:highlight w:val="none"/>
              </w:rPr>
              <w:t>。</w:t>
            </w:r>
          </w:p>
          <w:p w14:paraId="6D043108">
            <w:pPr>
              <w:adjustRightInd w:val="0"/>
              <w:snapToGrid w:val="0"/>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10</w:t>
            </w: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总平面布置</w:t>
            </w:r>
          </w:p>
          <w:p w14:paraId="3A72019E">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根据各建构筑物及设施的使用功能，考虑生产工艺及进出水管的方向，</w:t>
            </w:r>
            <w:r>
              <w:rPr>
                <w:rFonts w:hint="default" w:ascii="Times New Roman" w:hAnsi="Times New Roman" w:cs="Times New Roman"/>
                <w:bCs/>
                <w:color w:val="auto"/>
                <w:sz w:val="24"/>
                <w:highlight w:val="none"/>
                <w:lang w:val="en-US" w:eastAsia="zh-CN"/>
              </w:rPr>
              <w:t>三期工程</w:t>
            </w:r>
            <w:r>
              <w:rPr>
                <w:rFonts w:hint="default" w:ascii="Times New Roman" w:hAnsi="Times New Roman" w:eastAsia="宋体" w:cs="Times New Roman"/>
                <w:bCs/>
                <w:color w:val="auto"/>
                <w:sz w:val="24"/>
                <w:highlight w:val="none"/>
                <w:lang w:val="en-US" w:eastAsia="zh-CN"/>
              </w:rPr>
              <w:t>厂区具体布置如下：</w:t>
            </w:r>
          </w:p>
          <w:p w14:paraId="6C27B0F5">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由南至北设置预处理间、生物池、配水集泥井、二沉池及提升泵站；加氯加药间、磁混凝沉淀间；污泥脱水机房、V型滤池间、清水池、送水泵房。鼓风机房及配电室布</w:t>
            </w:r>
            <w:r>
              <w:rPr>
                <w:rFonts w:hint="default" w:ascii="Times New Roman" w:hAnsi="Times New Roman" w:cs="Times New Roman"/>
                <w:bCs/>
                <w:color w:val="auto"/>
                <w:sz w:val="24"/>
                <w:highlight w:val="none"/>
                <w:lang w:val="en-US" w:eastAsia="zh-CN"/>
              </w:rPr>
              <w:t>置于</w:t>
            </w:r>
            <w:r>
              <w:rPr>
                <w:rFonts w:hint="default" w:ascii="Times New Roman" w:hAnsi="Times New Roman" w:eastAsia="宋体" w:cs="Times New Roman"/>
                <w:bCs/>
                <w:color w:val="auto"/>
                <w:sz w:val="24"/>
                <w:highlight w:val="none"/>
                <w:lang w:val="en-US" w:eastAsia="zh-CN"/>
              </w:rPr>
              <w:t>二沉池东侧，使得鼓风机房靠近二沉池；加药间至各个单体的管线综合距离较短；变配电室靠近负荷中心。污泥脱水机房布置在厂区</w:t>
            </w:r>
            <w:r>
              <w:rPr>
                <w:rFonts w:hint="default" w:ascii="Times New Roman" w:hAnsi="Times New Roman" w:cs="Times New Roman"/>
                <w:bCs/>
                <w:color w:val="auto"/>
                <w:sz w:val="24"/>
                <w:highlight w:val="none"/>
                <w:lang w:val="en-US" w:eastAsia="zh-CN"/>
              </w:rPr>
              <w:t>北侧</w:t>
            </w:r>
            <w:r>
              <w:rPr>
                <w:rFonts w:hint="default" w:ascii="Times New Roman" w:hAnsi="Times New Roman" w:eastAsia="宋体" w:cs="Times New Roman"/>
                <w:bCs/>
                <w:color w:val="auto"/>
                <w:sz w:val="24"/>
                <w:highlight w:val="none"/>
                <w:lang w:val="en-US" w:eastAsia="zh-CN"/>
              </w:rPr>
              <w:t>，远离厂前区。整个布置形式工艺顺畅、满足直接的防火间距要求，较为合理。</w:t>
            </w:r>
          </w:p>
          <w:p w14:paraId="1BF1AAF3">
            <w:pPr>
              <w:adjustRightInd w:val="0"/>
              <w:snapToGri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厂区现状出入口共有两处，均在厂区南侧，东西各一处。本次建设区域靠近西侧出入口，考虑利旧。在各主要建构筑物间通道内新建永久道路并相互回环畅通</w:t>
            </w:r>
            <w:r>
              <w:rPr>
                <w:rFonts w:hint="default" w:ascii="Times New Roman" w:hAnsi="Times New Roman"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道路宽度4米，主路口转弯半径9米。整个路网布置</w:t>
            </w:r>
            <w:r>
              <w:rPr>
                <w:rFonts w:hint="default" w:ascii="Times New Roman" w:hAnsi="Times New Roman" w:cs="Times New Roman"/>
                <w:bCs/>
                <w:color w:val="auto"/>
                <w:sz w:val="24"/>
                <w:highlight w:val="none"/>
                <w:lang w:val="en-US" w:eastAsia="zh-CN"/>
              </w:rPr>
              <w:t>能够</w:t>
            </w:r>
            <w:r>
              <w:rPr>
                <w:rFonts w:hint="default" w:ascii="Times New Roman" w:hAnsi="Times New Roman" w:eastAsia="宋体" w:cs="Times New Roman"/>
                <w:bCs/>
                <w:color w:val="auto"/>
                <w:sz w:val="24"/>
                <w:highlight w:val="none"/>
                <w:lang w:val="en-US" w:eastAsia="zh-CN"/>
              </w:rPr>
              <w:t>满足运输及消防的需要。</w:t>
            </w:r>
          </w:p>
          <w:p w14:paraId="0A41A200">
            <w:pPr>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项目总平面布置图见附图3。</w:t>
            </w:r>
          </w:p>
        </w:tc>
      </w:tr>
      <w:tr w14:paraId="03805F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296" w:type="pct"/>
            <w:vAlign w:val="center"/>
          </w:tcPr>
          <w:p w14:paraId="442DAA47">
            <w:pPr>
              <w:pStyle w:val="9"/>
              <w:adjustRightInd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工艺流程和产排污环节</w:t>
            </w:r>
          </w:p>
        </w:tc>
        <w:tc>
          <w:tcPr>
            <w:tcW w:w="4703" w:type="pct"/>
          </w:tcPr>
          <w:p w14:paraId="6E37507F">
            <w:pPr>
              <w:spacing w:line="360" w:lineRule="auto"/>
              <w:jc w:val="left"/>
              <w:rPr>
                <w:rFonts w:hint="default" w:ascii="Times New Roman" w:hAnsi="Times New Roman" w:eastAsia="宋体" w:cs="Times New Roman"/>
                <w:b/>
                <w:color w:val="auto"/>
                <w:sz w:val="24"/>
                <w:highlight w:val="none"/>
              </w:rPr>
            </w:pPr>
            <w:bookmarkStart w:id="6" w:name="_Toc65446908"/>
            <w:r>
              <w:rPr>
                <w:rFonts w:hint="default" w:ascii="Times New Roman" w:hAnsi="Times New Roman" w:eastAsia="宋体" w:cs="Times New Roman"/>
                <w:b/>
                <w:color w:val="auto"/>
                <w:sz w:val="24"/>
                <w:highlight w:val="none"/>
              </w:rPr>
              <w:t>项目生产工艺及流程</w:t>
            </w:r>
            <w:bookmarkEnd w:id="6"/>
          </w:p>
          <w:p w14:paraId="3ADF9574">
            <w:pPr>
              <w:spacing w:line="360" w:lineRule="auto"/>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一、施工期工程分析</w:t>
            </w:r>
          </w:p>
          <w:p w14:paraId="6B04B254">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施工流程及各阶段主要污染物产生</w:t>
            </w:r>
            <w:r>
              <w:rPr>
                <w:rFonts w:hint="default" w:ascii="Times New Roman" w:hAnsi="Times New Roman" w:cs="Times New Roman"/>
                <w:color w:val="auto"/>
                <w:sz w:val="24"/>
                <w:highlight w:val="none"/>
                <w:lang w:eastAsia="zh-CN"/>
              </w:rPr>
              <w:t>情况</w:t>
            </w:r>
            <w:r>
              <w:rPr>
                <w:rFonts w:hint="default" w:ascii="Times New Roman" w:hAnsi="Times New Roman" w:eastAsia="宋体" w:cs="Times New Roman"/>
                <w:color w:val="auto"/>
                <w:sz w:val="24"/>
                <w:highlight w:val="none"/>
              </w:rPr>
              <w:t>见图2-</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w:t>
            </w:r>
          </w:p>
          <w:p w14:paraId="65BF392D">
            <w:pPr>
              <w:pStyle w:val="18"/>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25" o:spt="75" type="#_x0000_t75" style="height:135.8pt;width:352.15pt;" o:ole="t" filled="f" o:preferrelative="t" stroked="f" coordsize="21600,21600">
                  <v:path/>
                  <v:fill on="f" focussize="0,0"/>
                  <v:stroke on="f" weight="3pt"/>
                  <v:imagedata r:id="rId8" o:title=""/>
                  <o:lock v:ext="edit" aspectratio="t"/>
                  <w10:wrap type="none"/>
                  <w10:anchorlock/>
                </v:shape>
                <o:OLEObject Type="Embed" ProgID="Visio.Drawing.11" ShapeID="_x0000_i1025" DrawAspect="Content" ObjectID="_1468075725" r:id="rId7">
                  <o:LockedField>false</o:LockedField>
                </o:OLEObject>
              </w:object>
            </w:r>
          </w:p>
          <w:p w14:paraId="1B0F1590">
            <w:pPr>
              <w:pStyle w:val="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图2-</w:t>
            </w:r>
            <w:r>
              <w:rPr>
                <w:rFonts w:hint="default" w:ascii="Times New Roman" w:hAnsi="Times New Roman" w:cs="Times New Roman"/>
                <w:color w:val="auto"/>
                <w:highlight w:val="none"/>
                <w:lang w:val="en-US" w:eastAsia="zh-CN"/>
              </w:rPr>
              <w:t>2</w:t>
            </w:r>
            <w:r>
              <w:rPr>
                <w:rFonts w:hint="default" w:ascii="Times New Roman" w:hAnsi="Times New Roman" w:eastAsia="宋体" w:cs="Times New Roman"/>
                <w:color w:val="auto"/>
                <w:highlight w:val="none"/>
              </w:rPr>
              <w:t xml:space="preserve"> 施工期工艺流程图</w:t>
            </w:r>
          </w:p>
          <w:p w14:paraId="6F120006">
            <w:pPr>
              <w:adjustRightInd w:val="0"/>
              <w:snapToGrid w:val="0"/>
              <w:spacing w:line="360" w:lineRule="auto"/>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二、运营期工程分析</w:t>
            </w:r>
          </w:p>
          <w:p w14:paraId="6A17E8E5">
            <w:pPr>
              <w:adjustRightInd w:val="0"/>
              <w:snapToGrid w:val="0"/>
              <w:spacing w:line="360" w:lineRule="auto"/>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drawing>
                <wp:inline distT="0" distB="0" distL="0" distR="0">
                  <wp:extent cx="5175885" cy="3177540"/>
                  <wp:effectExtent l="0" t="0" r="5715" b="7620"/>
                  <wp:docPr id="21" name="IM 68"/>
                  <wp:cNvGraphicFramePr/>
                  <a:graphic xmlns:a="http://schemas.openxmlformats.org/drawingml/2006/main">
                    <a:graphicData uri="http://schemas.openxmlformats.org/drawingml/2006/picture">
                      <pic:pic xmlns:pic="http://schemas.openxmlformats.org/drawingml/2006/picture">
                        <pic:nvPicPr>
                          <pic:cNvPr id="21" name="IM 68"/>
                          <pic:cNvPicPr/>
                        </pic:nvPicPr>
                        <pic:blipFill>
                          <a:blip r:embed="rId9"/>
                          <a:srcRect r="5241"/>
                          <a:stretch>
                            <a:fillRect/>
                          </a:stretch>
                        </pic:blipFill>
                        <pic:spPr>
                          <a:xfrm>
                            <a:off x="0" y="0"/>
                            <a:ext cx="5175885" cy="3177540"/>
                          </a:xfrm>
                          <a:prstGeom prst="rect">
                            <a:avLst/>
                          </a:prstGeom>
                        </pic:spPr>
                      </pic:pic>
                    </a:graphicData>
                  </a:graphic>
                </wp:inline>
              </w:drawing>
            </w:r>
          </w:p>
          <w:p w14:paraId="03CA88B2">
            <w:pPr>
              <w:pStyle w:val="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图2-</w:t>
            </w: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 xml:space="preserve"> </w:t>
            </w:r>
            <w:r>
              <w:rPr>
                <w:rFonts w:hint="default" w:ascii="Times New Roman" w:hAnsi="Times New Roman" w:cs="Times New Roman"/>
                <w:color w:val="auto"/>
                <w:highlight w:val="none"/>
                <w:lang w:val="en-US" w:eastAsia="zh-CN"/>
              </w:rPr>
              <w:t>三期工程</w:t>
            </w:r>
            <w:r>
              <w:rPr>
                <w:rFonts w:hint="default" w:ascii="Times New Roman" w:hAnsi="Times New Roman" w:eastAsia="宋体" w:cs="Times New Roman"/>
                <w:color w:val="auto"/>
                <w:highlight w:val="none"/>
              </w:rPr>
              <w:t>工艺流程及产污环节图</w:t>
            </w:r>
          </w:p>
          <w:p w14:paraId="07990C01">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w:t>
            </w:r>
            <w:r>
              <w:rPr>
                <w:rFonts w:hint="default" w:ascii="Times New Roman" w:hAnsi="Times New Roman"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污水处理部分</w:t>
            </w:r>
          </w:p>
          <w:p w14:paraId="5E8EE59E">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1</w:t>
            </w:r>
            <w:r>
              <w:rPr>
                <w:rFonts w:hint="default" w:ascii="Times New Roman" w:hAnsi="Times New Roman" w:cs="Times New Roman"/>
                <w:bCs/>
                <w:color w:val="auto"/>
                <w:sz w:val="24"/>
                <w:highlight w:val="none"/>
                <w:lang w:eastAsia="zh-CN"/>
              </w:rPr>
              <w:t>）预处理间</w:t>
            </w:r>
          </w:p>
          <w:p w14:paraId="151E36DE">
            <w:pPr>
              <w:adjustRightInd w:val="0"/>
              <w:snapToGrid w:val="0"/>
              <w:spacing w:line="360" w:lineRule="auto"/>
              <w:ind w:firstLine="480" w:firstLineChars="200"/>
              <w:jc w:val="left"/>
              <w:rPr>
                <w:rFonts w:hint="default" w:ascii="Times New Roman" w:hAnsi="Times New Roman" w:cs="Times New Roman"/>
                <w:bCs/>
                <w:color w:val="auto"/>
                <w:sz w:val="24"/>
                <w:highlight w:val="none"/>
                <w:lang w:eastAsia="zh-CN"/>
              </w:rPr>
            </w:pPr>
            <w:r>
              <w:rPr>
                <w:rFonts w:hint="default" w:ascii="Times New Roman" w:hAnsi="Times New Roman" w:eastAsia="宋体" w:cs="Times New Roman"/>
                <w:bCs/>
                <w:color w:val="auto"/>
                <w:sz w:val="24"/>
                <w:highlight w:val="none"/>
              </w:rPr>
              <w:t>粗格栅</w:t>
            </w:r>
            <w:r>
              <w:rPr>
                <w:rFonts w:hint="default" w:ascii="Times New Roman" w:hAnsi="Times New Roman" w:cs="Times New Roman"/>
                <w:bCs/>
                <w:color w:val="auto"/>
                <w:sz w:val="24"/>
                <w:highlight w:val="none"/>
                <w:lang w:eastAsia="zh-CN"/>
              </w:rPr>
              <w:t>：去除污水中较大漂浮物，并拦截直径大于20mm的杂物，以保证污水提升系统的正常运行。</w:t>
            </w:r>
          </w:p>
          <w:p w14:paraId="076641C7">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lang w:eastAsia="zh-CN"/>
              </w:rPr>
              <w:t>进水泵房</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lang w:eastAsia="zh-CN"/>
              </w:rPr>
              <w:t>半地下式</w:t>
            </w:r>
            <w:r>
              <w:rPr>
                <w:rFonts w:hint="default" w:ascii="Times New Roman" w:hAnsi="Times New Roman" w:cs="Times New Roman"/>
                <w:bCs/>
                <w:color w:val="auto"/>
                <w:sz w:val="24"/>
                <w:highlight w:val="none"/>
                <w:lang w:eastAsia="zh-CN"/>
              </w:rPr>
              <w:t>钢筋混凝土</w:t>
            </w:r>
            <w:r>
              <w:rPr>
                <w:rFonts w:hint="default" w:ascii="Times New Roman" w:hAnsi="Times New Roman" w:eastAsia="宋体" w:cs="Times New Roman"/>
                <w:bCs/>
                <w:color w:val="auto"/>
                <w:sz w:val="24"/>
                <w:highlight w:val="none"/>
                <w:lang w:eastAsia="zh-CN"/>
              </w:rPr>
              <w:t>构筑物，与粗格栅渠合建，将污水提升，以满足进水调节池调节水位需求。</w:t>
            </w:r>
          </w:p>
          <w:p w14:paraId="134FD698">
            <w:pPr>
              <w:adjustRightInd w:val="0"/>
              <w:snapToGrid w:val="0"/>
              <w:spacing w:line="360" w:lineRule="auto"/>
              <w:ind w:firstLine="480" w:firstLineChars="200"/>
              <w:jc w:val="left"/>
              <w:rPr>
                <w:rFonts w:hint="default" w:ascii="Times New Roman" w:hAnsi="Times New Roman" w:cs="Times New Roman"/>
                <w:bCs/>
                <w:color w:val="auto"/>
                <w:sz w:val="24"/>
                <w:highlight w:val="none"/>
                <w:lang w:eastAsia="zh-CN"/>
              </w:rPr>
            </w:pPr>
            <w:r>
              <w:rPr>
                <w:rFonts w:hint="default" w:ascii="Times New Roman" w:hAnsi="Times New Roman" w:eastAsia="宋体" w:cs="Times New Roman"/>
                <w:bCs/>
                <w:color w:val="auto"/>
                <w:sz w:val="24"/>
                <w:highlight w:val="none"/>
              </w:rPr>
              <w:t>细格栅</w:t>
            </w:r>
            <w:r>
              <w:rPr>
                <w:rFonts w:hint="default" w:ascii="Times New Roman" w:hAnsi="Times New Roman" w:cs="Times New Roman"/>
                <w:bCs/>
                <w:color w:val="auto"/>
                <w:sz w:val="24"/>
                <w:highlight w:val="none"/>
                <w:lang w:eastAsia="zh-CN"/>
              </w:rPr>
              <w:t>：去除污水中漂浮物及直径大于3.5mm的较大固体物质，以保证生物处理及污泥处理系统正常运行。钢筋混凝土平行渠道，与曝气沉砂池合建。</w:t>
            </w:r>
          </w:p>
          <w:p w14:paraId="608C7929">
            <w:pPr>
              <w:adjustRightInd w:val="0"/>
              <w:snapToGrid w:val="0"/>
              <w:spacing w:line="360" w:lineRule="auto"/>
              <w:ind w:firstLine="480" w:firstLineChars="200"/>
              <w:jc w:val="left"/>
              <w:rPr>
                <w:rFonts w:hint="default" w:ascii="Times New Roman" w:hAnsi="Times New Roman" w:cs="Times New Roman"/>
                <w:bCs/>
                <w:color w:val="auto"/>
                <w:sz w:val="24"/>
                <w:highlight w:val="none"/>
                <w:lang w:eastAsia="zh-CN"/>
              </w:rPr>
            </w:pPr>
            <w:r>
              <w:rPr>
                <w:rFonts w:hint="default" w:ascii="Times New Roman" w:hAnsi="Times New Roman" w:cs="Times New Roman"/>
                <w:bCs/>
                <w:color w:val="auto"/>
                <w:sz w:val="24"/>
                <w:highlight w:val="none"/>
                <w:lang w:eastAsia="zh-CN"/>
              </w:rPr>
              <w:t>曝气沉砂池：去除污水中0.2mm以上无机砂粒，去除浮渣和部分油脂，以保证后续流程的正常进行。</w:t>
            </w:r>
          </w:p>
          <w:p w14:paraId="4498301F">
            <w:pPr>
              <w:adjustRightInd w:val="0"/>
              <w:snapToGrid w:val="0"/>
              <w:spacing w:line="360" w:lineRule="auto"/>
              <w:ind w:firstLine="480" w:firstLineChars="200"/>
              <w:jc w:val="left"/>
              <w:rPr>
                <w:rFonts w:hint="default" w:ascii="Times New Roman" w:hAnsi="Times New Roman" w:cs="Times New Roman"/>
                <w:bCs/>
                <w:color w:val="auto"/>
                <w:sz w:val="24"/>
                <w:highlight w:val="none"/>
                <w:lang w:eastAsia="zh-CN"/>
              </w:rPr>
            </w:pPr>
            <w:r>
              <w:rPr>
                <w:rFonts w:hint="default" w:ascii="Times New Roman" w:hAnsi="Times New Roman" w:cs="Times New Roman"/>
                <w:bCs/>
                <w:color w:val="auto"/>
                <w:sz w:val="24"/>
                <w:highlight w:val="none"/>
                <w:lang w:eastAsia="zh-CN"/>
              </w:rPr>
              <w:t>项目沉砂池与细格栅合建，采用曝气沉砂，由于曝气作用，废水中有机颗粒处于悬浮状态，砂粒互相摩擦并承受曝气的剪切力，砂粒上附着的有机污染物能够去除，有利于取得较为纯净的砂粒。在旋流的离心力作用下，这些密度较大的砂粒被甩向外部沉入集砂槽，而密度较小的有机物随水流向前流动被带到下一处理单元。另外，在水中曝气可脱臭，改善水质，有利于后续处理，还可起到预曝气作用。</w:t>
            </w:r>
          </w:p>
          <w:p w14:paraId="560D6D91">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lang w:eastAsia="zh-CN"/>
              </w:rPr>
              <w:t>）生物池</w:t>
            </w:r>
          </w:p>
          <w:p w14:paraId="63635658">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去除污水中可生化降解的大部分污染物，是污水处理厂的核心处理构筑物</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池内设置潜水泵结合管道用于放空。</w:t>
            </w:r>
          </w:p>
          <w:p w14:paraId="65465C12">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生化组合池主要由厌氧区、前缺氧区、好氧区、后缺氧区组成，其主要功能是去除污水中的有机污染物及氮、磷等污染物。</w:t>
            </w:r>
          </w:p>
          <w:p w14:paraId="226F404A">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3</w:t>
            </w:r>
            <w:r>
              <w:rPr>
                <w:rFonts w:hint="default" w:ascii="Times New Roman" w:hAnsi="Times New Roman" w:cs="Times New Roman"/>
                <w:bCs/>
                <w:color w:val="auto"/>
                <w:sz w:val="24"/>
                <w:highlight w:val="none"/>
                <w:lang w:eastAsia="zh-CN"/>
              </w:rPr>
              <w:t>）配水集泥井、二沉池及提升泵池</w:t>
            </w:r>
          </w:p>
          <w:p w14:paraId="04506ECC">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eastAsia="zh-CN"/>
              </w:rPr>
              <w:t>配水集泥井</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在完成二沉池的集配水功能外，将一定数量的活性污泥回流到生化处理系统，以维持生化系统活性污泥的浓度，保证其生化反应能力，同时将生化系统产生的剩余污泥排出系统外。</w:t>
            </w:r>
          </w:p>
          <w:p w14:paraId="4155035A">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rPr>
              <w:t>二沉池</w:t>
            </w:r>
            <w:r>
              <w:rPr>
                <w:rFonts w:hint="default" w:ascii="Times New Roman" w:hAnsi="Times New Roman" w:cs="Times New Roman"/>
                <w:bCs/>
                <w:color w:val="auto"/>
                <w:sz w:val="24"/>
                <w:highlight w:val="none"/>
                <w:lang w:eastAsia="zh-CN"/>
              </w:rPr>
              <w:t>：将生化处理后混合液进行固液分离，以保证最终出水水质。生物池出水后进入沉淀池，其作用是泥水分离。考虑到杭锦旗冬季比较寒冷，且二沉池规模较小，因此沉淀池采用中心驱动普通辐流式沉淀池。每座二沉池上设中心驱动式单管刮吸泥机、出水渠、浮渣去除系统等。池底污泥靠虹吸排泥，剩余污泥通过泵排至回流池。出水进入磁混凝澄清池。</w:t>
            </w:r>
          </w:p>
          <w:p w14:paraId="2B8ED2B0">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eastAsia="宋体" w:cs="Times New Roman"/>
                <w:bCs/>
                <w:color w:val="auto"/>
                <w:sz w:val="24"/>
                <w:highlight w:val="none"/>
              </w:rPr>
              <w:t>提升泵池</w:t>
            </w:r>
            <w:r>
              <w:rPr>
                <w:rFonts w:hint="default" w:ascii="Times New Roman" w:hAnsi="Times New Roman" w:cs="Times New Roman"/>
                <w:bCs/>
                <w:color w:val="auto"/>
                <w:sz w:val="24"/>
                <w:highlight w:val="none"/>
                <w:lang w:eastAsia="zh-CN"/>
              </w:rPr>
              <w:t>：将污水二次提升，以满足污水深度处理厂竖向水力流程的要求。</w:t>
            </w:r>
          </w:p>
          <w:p w14:paraId="4F285861">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4</w:t>
            </w:r>
            <w:r>
              <w:rPr>
                <w:rFonts w:hint="default" w:ascii="Times New Roman" w:hAnsi="Times New Roman" w:cs="Times New Roman"/>
                <w:bCs/>
                <w:color w:val="auto"/>
                <w:sz w:val="24"/>
                <w:highlight w:val="none"/>
                <w:lang w:eastAsia="zh-CN"/>
              </w:rPr>
              <w:t>）磁混凝沉淀间</w:t>
            </w:r>
          </w:p>
          <w:p w14:paraId="3A795CA2">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混凝沉淀，进一步降低TP，部分SS，COD。</w:t>
            </w:r>
          </w:p>
          <w:p w14:paraId="05E0CD8B">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磁混凝澄清池是一种新型的深度处理工艺。磁混凝澄清工艺</w:t>
            </w:r>
            <w:r>
              <w:rPr>
                <w:rFonts w:hint="default" w:ascii="Times New Roman" w:hAnsi="Times New Roman" w:eastAsia="宋体" w:cs="Times New Roman"/>
                <w:bCs/>
                <w:color w:val="auto"/>
                <w:sz w:val="24"/>
                <w:highlight w:val="none"/>
                <w:lang w:eastAsia="zh-CN"/>
              </w:rPr>
              <w:t>是</w:t>
            </w:r>
            <w:r>
              <w:rPr>
                <w:rFonts w:hint="default" w:ascii="Times New Roman" w:hAnsi="Times New Roman" w:eastAsia="宋体" w:cs="Times New Roman"/>
                <w:bCs/>
                <w:color w:val="auto"/>
                <w:sz w:val="24"/>
                <w:highlight w:val="none"/>
              </w:rPr>
              <w:t>在常规混凝沉淀工艺中添加了磁粉。磁粉</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50µ</w:t>
            </w:r>
            <w:r>
              <w:rPr>
                <w:rFonts w:hint="default" w:ascii="Times New Roman" w:hAnsi="Times New Roman" w:cs="Times New Roman"/>
                <w:bCs/>
                <w:color w:val="auto"/>
                <w:sz w:val="24"/>
                <w:highlight w:val="none"/>
                <w:lang w:eastAsia="zh-CN"/>
              </w:rPr>
              <w:t>m</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作为沉淀析出晶核，使得水中胶体颗粒与磁粉颗粒很容易碰撞脱稳而形成絮体，晶核众多能够使得每一粒微小的悬浮物颗粒能够形成絮体，并且在每一个絮体中包裹有磁粉，从而悬浮物去除效率也大为提高；同时由于磁粉密度~6.5，因而絮体密度远大于常规混凝絮体，也大幅提高沉淀速度。</w:t>
            </w:r>
          </w:p>
          <w:p w14:paraId="21938B72">
            <w:pPr>
              <w:adjustRightInd w:val="0"/>
              <w:snapToGrid w:val="0"/>
              <w:spacing w:line="360" w:lineRule="auto"/>
              <w:ind w:firstLine="480" w:firstLineChars="200"/>
              <w:jc w:val="left"/>
              <w:rPr>
                <w:rFonts w:hint="default" w:ascii="Times New Roman" w:hAnsi="Times New Roman" w:cs="Times New Roman"/>
                <w:bCs/>
                <w:color w:val="auto"/>
                <w:sz w:val="24"/>
                <w:highlight w:val="none"/>
                <w:lang w:val="en-US" w:eastAsia="zh-CN"/>
              </w:rPr>
            </w:pPr>
            <w:r>
              <w:rPr>
                <w:rFonts w:hint="default" w:ascii="Times New Roman" w:hAnsi="Times New Roman" w:eastAsia="宋体" w:cs="Times New Roman"/>
                <w:bCs/>
                <w:color w:val="auto"/>
                <w:sz w:val="24"/>
                <w:highlight w:val="none"/>
              </w:rPr>
              <w:t>磁混凝产生</w:t>
            </w:r>
            <w:r>
              <w:rPr>
                <w:rFonts w:hint="default" w:ascii="Times New Roman" w:hAnsi="Times New Roman" w:eastAsia="宋体" w:cs="Times New Roman"/>
                <w:bCs/>
                <w:color w:val="auto"/>
                <w:sz w:val="24"/>
                <w:highlight w:val="none"/>
                <w:lang w:eastAsia="zh-CN"/>
              </w:rPr>
              <w:t>的</w:t>
            </w:r>
            <w:r>
              <w:rPr>
                <w:rFonts w:hint="default" w:ascii="Times New Roman" w:hAnsi="Times New Roman" w:eastAsia="宋体" w:cs="Times New Roman"/>
                <w:bCs/>
                <w:color w:val="auto"/>
                <w:sz w:val="24"/>
                <w:highlight w:val="none"/>
              </w:rPr>
              <w:t>污泥中含有磁粉，不能直接排放。由专门的剩余污泥泵，将污泥输送至磁粉回收系统。</w:t>
            </w:r>
            <w:r>
              <w:rPr>
                <w:rFonts w:hint="default" w:ascii="Times New Roman" w:hAnsi="Times New Roman" w:eastAsia="宋体" w:cs="Times New Roman"/>
                <w:bCs/>
                <w:color w:val="auto"/>
                <w:sz w:val="24"/>
                <w:highlight w:val="none"/>
                <w:lang w:val="en-US" w:eastAsia="zh-CN"/>
              </w:rPr>
              <w:t>磁粉回收系统</w:t>
            </w:r>
            <w:r>
              <w:rPr>
                <w:rFonts w:hint="default" w:ascii="Times New Roman" w:hAnsi="Times New Roman" w:cs="Times New Roman"/>
                <w:bCs/>
                <w:color w:val="auto"/>
                <w:sz w:val="24"/>
                <w:highlight w:val="none"/>
                <w:lang w:val="en-US" w:eastAsia="zh-CN"/>
              </w:rPr>
              <w:t>设置在磁混凝沉淀间内，磁粉回收系统主要由磁分离机、磁鼓和投加泵组成。含磁粉的污泥进入磁分离机后，通过高速剪切打散絮体，使磁粉与污泥分离，分离出的磁粉被磁鼓吸附回收，经输送装置送回磁混凝系统重新投加使用，无法回收的磁粉损耗量极小，日常仅需定期补充少量新磁粉即可，脱磁后的剩余污泥排入污泥处理单元进行处理。</w:t>
            </w:r>
          </w:p>
          <w:p w14:paraId="58E2C71D">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磁混凝澄清池工艺见图</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cs="Times New Roman"/>
                <w:bCs/>
                <w:color w:val="auto"/>
                <w:sz w:val="24"/>
                <w:highlight w:val="none"/>
                <w:lang w:val="en-US" w:eastAsia="zh-CN"/>
              </w:rPr>
              <w:t>4</w:t>
            </w:r>
            <w:r>
              <w:rPr>
                <w:rFonts w:hint="default" w:ascii="Times New Roman" w:hAnsi="Times New Roman" w:eastAsia="宋体" w:cs="Times New Roman"/>
                <w:bCs/>
                <w:color w:val="auto"/>
                <w:sz w:val="24"/>
                <w:highlight w:val="none"/>
              </w:rPr>
              <w:t>。</w:t>
            </w:r>
          </w:p>
          <w:p w14:paraId="657D6F22">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drawing>
                <wp:inline distT="0" distB="0" distL="114300" distR="114300">
                  <wp:extent cx="4961890" cy="3301365"/>
                  <wp:effectExtent l="0" t="0" r="6350" b="5715"/>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
                          <pic:cNvPicPr>
                            <a:picLocks noChangeAspect="1"/>
                          </pic:cNvPicPr>
                        </pic:nvPicPr>
                        <pic:blipFill>
                          <a:blip r:embed="rId10"/>
                          <a:srcRect t="5456"/>
                          <a:stretch>
                            <a:fillRect/>
                          </a:stretch>
                        </pic:blipFill>
                        <pic:spPr>
                          <a:xfrm>
                            <a:off x="0" y="0"/>
                            <a:ext cx="4961890" cy="3301365"/>
                          </a:xfrm>
                          <a:prstGeom prst="rect">
                            <a:avLst/>
                          </a:prstGeom>
                          <a:noFill/>
                          <a:ln>
                            <a:noFill/>
                          </a:ln>
                        </pic:spPr>
                      </pic:pic>
                    </a:graphicData>
                  </a:graphic>
                </wp:inline>
              </w:drawing>
            </w:r>
          </w:p>
          <w:p w14:paraId="281633CF">
            <w:pPr>
              <w:adjustRightInd w:val="0"/>
              <w:snapToGrid w:val="0"/>
              <w:spacing w:line="360" w:lineRule="auto"/>
              <w:jc w:val="center"/>
              <w:rPr>
                <w:rFonts w:hint="default"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lang w:val="en-US" w:eastAsia="zh-CN"/>
              </w:rPr>
              <w:t>图2-</w:t>
            </w:r>
            <w:r>
              <w:rPr>
                <w:rFonts w:hint="default" w:ascii="Times New Roman" w:hAnsi="Times New Roman" w:cs="Times New Roman"/>
                <w:b/>
                <w:bCs w:val="0"/>
                <w:color w:val="auto"/>
                <w:sz w:val="24"/>
                <w:highlight w:val="none"/>
                <w:lang w:val="en-US" w:eastAsia="zh-CN"/>
              </w:rPr>
              <w:t>5</w:t>
            </w:r>
            <w:r>
              <w:rPr>
                <w:rFonts w:hint="default" w:ascii="Times New Roman" w:hAnsi="Times New Roman" w:eastAsia="宋体" w:cs="Times New Roman"/>
                <w:b/>
                <w:bCs w:val="0"/>
                <w:color w:val="auto"/>
                <w:sz w:val="24"/>
                <w:highlight w:val="none"/>
                <w:lang w:val="en-US" w:eastAsia="zh-CN"/>
              </w:rPr>
              <w:t xml:space="preserve"> </w:t>
            </w:r>
            <w:r>
              <w:rPr>
                <w:rFonts w:hint="default" w:ascii="Times New Roman" w:hAnsi="Times New Roman" w:eastAsia="宋体" w:cs="Times New Roman"/>
                <w:b/>
                <w:bCs w:val="0"/>
                <w:color w:val="auto"/>
                <w:sz w:val="24"/>
                <w:highlight w:val="none"/>
              </w:rPr>
              <w:t>磁混凝沉淀池工艺流程图</w:t>
            </w:r>
          </w:p>
          <w:p w14:paraId="2D837162">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5</w:t>
            </w:r>
            <w:r>
              <w:rPr>
                <w:rFonts w:hint="default" w:ascii="Times New Roman" w:hAnsi="Times New Roman" w:cs="Times New Roman"/>
                <w:bCs/>
                <w:color w:val="auto"/>
                <w:sz w:val="24"/>
                <w:highlight w:val="none"/>
                <w:lang w:eastAsia="zh-CN"/>
              </w:rPr>
              <w:t>）V型滤池间</w:t>
            </w:r>
          </w:p>
          <w:p w14:paraId="4795F83A">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现状一期、二期工程未配套建设滤池设施，导致出水SS等关键水质指标稳定性不足。为有效保障出水水质，本次V型滤池按现状工程与本次设计总规模</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1.4万t/d</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统一规划设计，用于进一步去除污水中的悬浮及胶体类污染物。</w:t>
            </w:r>
          </w:p>
          <w:p w14:paraId="7DCF054A">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现状一期、二期深度处理间出水以重力流方式输送至本次新建V型滤池前端</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经水泵提升后与本次工程处理水量混合，一并进入V型滤池进行深度过滤</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过滤后的达标出水，</w:t>
            </w:r>
            <w:r>
              <w:rPr>
                <w:rFonts w:hint="default" w:ascii="Times New Roman" w:hAnsi="Times New Roman" w:cs="Times New Roman"/>
                <w:bCs/>
                <w:color w:val="auto"/>
                <w:sz w:val="24"/>
                <w:highlight w:val="none"/>
                <w:lang w:val="en-US" w:eastAsia="zh-CN"/>
              </w:rPr>
              <w:t>进入污水厂2座清水池</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1座为二期已建，1座为本次新建</w:t>
            </w:r>
            <w:r>
              <w:rPr>
                <w:rFonts w:hint="default" w:ascii="Times New Roman" w:hAnsi="Times New Roman" w:cs="Times New Roman"/>
                <w:color w:val="auto"/>
                <w:lang w:eastAsia="zh-CN"/>
              </w:rPr>
              <w:t>）</w:t>
            </w:r>
            <w:r>
              <w:rPr>
                <w:rFonts w:hint="default" w:ascii="Times New Roman" w:hAnsi="Times New Roman" w:eastAsia="宋体" w:cs="Times New Roman"/>
                <w:bCs/>
                <w:color w:val="auto"/>
                <w:sz w:val="24"/>
                <w:highlight w:val="none"/>
              </w:rPr>
              <w:t>。</w:t>
            </w:r>
          </w:p>
          <w:p w14:paraId="040F7B83">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6</w:t>
            </w:r>
            <w:r>
              <w:rPr>
                <w:rFonts w:hint="default" w:ascii="Times New Roman" w:hAnsi="Times New Roman" w:cs="Times New Roman"/>
                <w:bCs/>
                <w:color w:val="auto"/>
                <w:sz w:val="24"/>
                <w:highlight w:val="none"/>
                <w:lang w:eastAsia="zh-CN"/>
              </w:rPr>
              <w:t>）清水池</w:t>
            </w:r>
          </w:p>
          <w:p w14:paraId="6EA8E6F6">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清水池的功能是消毒剂与处理出水有充分的接触时间，保证消毒效果，本项目采用次氯酸钠消毒。</w:t>
            </w:r>
          </w:p>
          <w:p w14:paraId="74EE9663">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7</w:t>
            </w:r>
            <w:r>
              <w:rPr>
                <w:rFonts w:hint="default" w:ascii="Times New Roman" w:hAnsi="Times New Roman" w:cs="Times New Roman"/>
                <w:bCs/>
                <w:color w:val="auto"/>
                <w:sz w:val="24"/>
                <w:highlight w:val="none"/>
                <w:lang w:eastAsia="zh-CN"/>
              </w:rPr>
              <w:t>）</w:t>
            </w:r>
            <w:r>
              <w:rPr>
                <w:rFonts w:hint="default" w:ascii="Times New Roman" w:hAnsi="Times New Roman" w:eastAsia="宋体" w:cs="Times New Roman"/>
                <w:bCs/>
                <w:color w:val="auto"/>
                <w:sz w:val="24"/>
                <w:highlight w:val="none"/>
              </w:rPr>
              <w:t>送水泵房</w:t>
            </w:r>
          </w:p>
          <w:p w14:paraId="32CD31B9">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用于给再生水加压，使其出厂压力满足使用要求。</w:t>
            </w:r>
          </w:p>
          <w:p w14:paraId="799641D5">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8</w:t>
            </w:r>
            <w:r>
              <w:rPr>
                <w:rFonts w:hint="default" w:ascii="Times New Roman" w:hAnsi="Times New Roman" w:cs="Times New Roman"/>
                <w:bCs/>
                <w:color w:val="auto"/>
                <w:sz w:val="24"/>
                <w:highlight w:val="none"/>
                <w:lang w:eastAsia="zh-CN"/>
              </w:rPr>
              <w:t>）加氯加药间</w:t>
            </w:r>
          </w:p>
          <w:p w14:paraId="6994C531">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加药系统包括PAC投加装置、PAM投加装置、碳源（乙酸钠）投加系统，</w:t>
            </w:r>
            <w:r>
              <w:rPr>
                <w:rFonts w:hint="default" w:ascii="Times New Roman" w:hAnsi="Times New Roman" w:eastAsia="宋体" w:cs="Times New Roman"/>
                <w:bCs/>
                <w:color w:val="auto"/>
                <w:sz w:val="24"/>
                <w:highlight w:val="none"/>
              </w:rPr>
              <w:t>消毒剂</w:t>
            </w:r>
            <w:r>
              <w:rPr>
                <w:rFonts w:hint="default" w:ascii="Times New Roman" w:hAnsi="Times New Roman" w:cs="Times New Roman"/>
                <w:bCs/>
                <w:color w:val="auto"/>
                <w:sz w:val="24"/>
                <w:highlight w:val="none"/>
                <w:lang w:val="en-US" w:eastAsia="zh-CN"/>
              </w:rPr>
              <w:t>（次氯酸钠）</w:t>
            </w:r>
            <w:r>
              <w:rPr>
                <w:rFonts w:hint="default" w:ascii="Times New Roman" w:hAnsi="Times New Roman" w:eastAsia="宋体" w:cs="Times New Roman"/>
                <w:bCs/>
                <w:color w:val="auto"/>
                <w:sz w:val="24"/>
                <w:highlight w:val="none"/>
                <w:lang w:val="en-US" w:eastAsia="zh-CN"/>
              </w:rPr>
              <w:t>投加系统</w:t>
            </w:r>
            <w:r>
              <w:rPr>
                <w:rFonts w:hint="default" w:ascii="Times New Roman" w:hAnsi="Times New Roman" w:eastAsia="宋体" w:cs="Times New Roman"/>
                <w:bCs/>
                <w:color w:val="auto"/>
                <w:sz w:val="24"/>
                <w:highlight w:val="none"/>
              </w:rPr>
              <w:t>。</w:t>
            </w:r>
          </w:p>
          <w:p w14:paraId="3F57F7BF">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9</w:t>
            </w:r>
            <w:r>
              <w:rPr>
                <w:rFonts w:hint="default" w:ascii="Times New Roman" w:hAnsi="Times New Roman" w:cs="Times New Roman"/>
                <w:bCs/>
                <w:color w:val="auto"/>
                <w:sz w:val="24"/>
                <w:highlight w:val="none"/>
                <w:lang w:eastAsia="zh-CN"/>
              </w:rPr>
              <w:t>）鼓风机房</w:t>
            </w:r>
          </w:p>
          <w:p w14:paraId="03B4B2D5">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鼓风机房内设置曝气鼓风机。曝气鼓风机主要作用是为生物池提供氧气。</w:t>
            </w:r>
          </w:p>
          <w:p w14:paraId="0D9AD96D">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lang w:val="en-US" w:eastAsia="zh-CN"/>
              </w:rPr>
              <w:t>2</w:t>
            </w:r>
            <w:r>
              <w:rPr>
                <w:rFonts w:hint="default" w:ascii="Times New Roman" w:hAnsi="Times New Roman" w:cs="Times New Roman"/>
                <w:color w:val="auto"/>
                <w:sz w:val="24"/>
                <w:szCs w:val="20"/>
                <w:lang w:val="en-US" w:eastAsia="zh-CN"/>
              </w:rPr>
              <w:t>.</w:t>
            </w:r>
            <w:r>
              <w:rPr>
                <w:rFonts w:hint="default" w:ascii="Times New Roman" w:hAnsi="Times New Roman" w:eastAsia="宋体" w:cs="Times New Roman"/>
                <w:color w:val="auto"/>
                <w:sz w:val="24"/>
                <w:szCs w:val="20"/>
              </w:rPr>
              <w:t>污泥处理部分</w:t>
            </w:r>
          </w:p>
          <w:p w14:paraId="2DF389BF">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1</w:t>
            </w:r>
            <w:r>
              <w:rPr>
                <w:rFonts w:hint="default" w:ascii="Times New Roman" w:hAnsi="Times New Roman" w:cs="Times New Roman"/>
                <w:bCs/>
                <w:color w:val="auto"/>
                <w:sz w:val="24"/>
                <w:highlight w:val="none"/>
                <w:lang w:eastAsia="zh-CN"/>
              </w:rPr>
              <w:t>）贮泥池</w:t>
            </w:r>
          </w:p>
          <w:p w14:paraId="60C2F700">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贮泥池共1座，内设搅拌器，暂存产生的剩余污泥与化学污泥，可以调整污泥的排放时间与脱水机工作时间上的偏差，为运行管理带来方便。</w:t>
            </w:r>
          </w:p>
          <w:p w14:paraId="73D07B74">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lang w:eastAsia="zh-CN"/>
              </w:rPr>
            </w:pP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2</w:t>
            </w:r>
            <w:r>
              <w:rPr>
                <w:rFonts w:hint="default" w:ascii="Times New Roman" w:hAnsi="Times New Roman" w:cs="Times New Roman"/>
                <w:bCs/>
                <w:color w:val="auto"/>
                <w:sz w:val="24"/>
                <w:highlight w:val="none"/>
                <w:lang w:eastAsia="zh-CN"/>
              </w:rPr>
              <w:t>）污泥脱水机房</w:t>
            </w:r>
          </w:p>
          <w:p w14:paraId="62D3C9A2">
            <w:p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生物污泥需经过机械浓缩后脱水，本次设计采用板框脱水工艺，脱水后污泥</w:t>
            </w:r>
            <w:r>
              <w:rPr>
                <w:rFonts w:hint="default" w:ascii="Times New Roman" w:hAnsi="Times New Roman" w:eastAsia="宋体" w:cs="Times New Roman"/>
                <w:bCs/>
                <w:color w:val="auto"/>
                <w:sz w:val="24"/>
                <w:highlight w:val="none"/>
                <w:lang w:val="en-US" w:eastAsia="zh-CN"/>
              </w:rPr>
              <w:t>直接进入污泥车外运</w:t>
            </w:r>
            <w:r>
              <w:rPr>
                <w:rFonts w:hint="default" w:ascii="Times New Roman" w:hAnsi="Times New Roman" w:cs="Times New Roman"/>
                <w:bCs/>
                <w:color w:val="auto"/>
                <w:sz w:val="24"/>
                <w:highlight w:val="none"/>
                <w:lang w:val="en-US" w:eastAsia="zh-CN"/>
              </w:rPr>
              <w:t>，不在厂区内暂存</w:t>
            </w:r>
            <w:r>
              <w:rPr>
                <w:rFonts w:hint="default" w:ascii="Times New Roman" w:hAnsi="Times New Roman" w:eastAsia="宋体" w:cs="Times New Roman"/>
                <w:bCs/>
                <w:color w:val="auto"/>
                <w:sz w:val="24"/>
                <w:highlight w:val="none"/>
              </w:rPr>
              <w:t>。</w:t>
            </w:r>
          </w:p>
          <w:p w14:paraId="6D4F45E1">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3</w:t>
            </w:r>
            <w:r>
              <w:rPr>
                <w:rFonts w:hint="default" w:ascii="Times New Roman" w:hAnsi="Times New Roman" w:cs="Times New Roman"/>
                <w:color w:val="auto"/>
                <w:sz w:val="24"/>
                <w:szCs w:val="20"/>
                <w:lang w:val="en-US" w:eastAsia="zh-CN"/>
              </w:rPr>
              <w:t>.</w:t>
            </w:r>
            <w:r>
              <w:rPr>
                <w:rFonts w:hint="default" w:ascii="Times New Roman" w:hAnsi="Times New Roman" w:eastAsia="宋体" w:cs="Times New Roman"/>
                <w:color w:val="auto"/>
                <w:sz w:val="24"/>
                <w:szCs w:val="20"/>
                <w:lang w:val="en-US" w:eastAsia="zh-CN"/>
              </w:rPr>
              <w:t>除臭部分</w:t>
            </w:r>
          </w:p>
          <w:p w14:paraId="0F427C06">
            <w:pPr>
              <w:spacing w:line="360" w:lineRule="auto"/>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项目对产生恶臭气体的格栅、生化池、污泥脱水等工序布置于全封闭厂房内。</w:t>
            </w:r>
            <w:r>
              <w:rPr>
                <w:rFonts w:hint="default" w:ascii="Times New Roman" w:hAnsi="Times New Roman" w:cs="Times New Roman"/>
                <w:color w:val="auto"/>
                <w:lang w:eastAsia="zh-CN"/>
              </w:rPr>
              <w:t>并</w:t>
            </w:r>
            <w:r>
              <w:rPr>
                <w:rFonts w:hint="default" w:ascii="Times New Roman" w:hAnsi="Times New Roman" w:eastAsia="宋体" w:cs="Times New Roman"/>
                <w:color w:val="auto"/>
                <w:sz w:val="24"/>
                <w:szCs w:val="20"/>
                <w:lang w:val="en-US" w:eastAsia="zh-CN"/>
              </w:rPr>
              <w:t>在生物池的缺氧段安装微生物培养箱4台，采用全流程除臭工艺。利用微生物填料和培养箱，在污水处理厂生物池中培养出高效除臭微生物，将含高效除臭微生物的污泥回流于污水厂预处理段，除臭微生物与水中的恶臭物质发生吸附、凝聚和生物转化降解等作用，使得污水厂各构筑物恶臭物质在水中得到</w:t>
            </w:r>
            <w:r>
              <w:rPr>
                <w:rFonts w:hint="default" w:ascii="Times New Roman" w:hAnsi="Times New Roman" w:cs="Times New Roman"/>
                <w:color w:val="auto"/>
                <w:sz w:val="24"/>
                <w:szCs w:val="20"/>
                <w:lang w:val="en-US" w:eastAsia="zh-CN"/>
              </w:rPr>
              <w:t>去除</w:t>
            </w:r>
            <w:r>
              <w:rPr>
                <w:rFonts w:hint="default" w:ascii="Times New Roman" w:hAnsi="Times New Roman" w:eastAsia="宋体" w:cs="Times New Roman"/>
                <w:color w:val="auto"/>
                <w:sz w:val="24"/>
                <w:szCs w:val="20"/>
                <w:lang w:val="en-US" w:eastAsia="zh-CN"/>
              </w:rPr>
              <w:t>，实现污水厂恶臭的全过程控制。</w:t>
            </w:r>
          </w:p>
          <w:p w14:paraId="64E7DB45">
            <w:pPr>
              <w:spacing w:line="360" w:lineRule="auto"/>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drawing>
                <wp:inline distT="0" distB="0" distL="114300" distR="114300">
                  <wp:extent cx="5161915" cy="1544320"/>
                  <wp:effectExtent l="0" t="0" r="4445" b="1016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161915" cy="1544320"/>
                          </a:xfrm>
                          <a:prstGeom prst="rect">
                            <a:avLst/>
                          </a:prstGeom>
                          <a:noFill/>
                          <a:ln>
                            <a:noFill/>
                          </a:ln>
                        </pic:spPr>
                      </pic:pic>
                    </a:graphicData>
                  </a:graphic>
                </wp:inline>
              </w:drawing>
            </w:r>
          </w:p>
          <w:p w14:paraId="0341CE1C">
            <w:pPr>
              <w:spacing w:line="360" w:lineRule="auto"/>
              <w:jc w:val="center"/>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图2-</w:t>
            </w:r>
            <w:r>
              <w:rPr>
                <w:rFonts w:hint="default" w:ascii="Times New Roman" w:hAnsi="Times New Roman" w:cs="Times New Roman"/>
                <w:color w:val="auto"/>
                <w:sz w:val="24"/>
                <w:szCs w:val="20"/>
                <w:lang w:val="en-US" w:eastAsia="zh-CN"/>
              </w:rPr>
              <w:t>6</w:t>
            </w:r>
            <w:r>
              <w:rPr>
                <w:rFonts w:hint="default" w:ascii="Times New Roman" w:hAnsi="Times New Roman" w:eastAsia="宋体" w:cs="Times New Roman"/>
                <w:color w:val="auto"/>
                <w:sz w:val="24"/>
                <w:szCs w:val="20"/>
                <w:lang w:val="en-US" w:eastAsia="zh-CN"/>
              </w:rPr>
              <w:t xml:space="preserve"> 全过程除臭工艺示意图</w:t>
            </w:r>
          </w:p>
          <w:p w14:paraId="222A4905">
            <w:pPr>
              <w:adjustRightInd w:val="0"/>
              <w:snapToGrid w:val="0"/>
              <w:spacing w:line="360" w:lineRule="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三期建成后，全厂污水处理工艺流程图如下：</w:t>
            </w:r>
          </w:p>
          <w:p w14:paraId="6894895B">
            <w:pPr>
              <w:adjustRightInd w:val="0"/>
              <w:snapToGrid w:val="0"/>
              <w:spacing w:line="360" w:lineRule="auto"/>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drawing>
                <wp:inline distT="0" distB="0" distL="114300" distR="114300">
                  <wp:extent cx="4886960" cy="5343525"/>
                  <wp:effectExtent l="0" t="0" r="5080" b="571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2"/>
                          <a:stretch>
                            <a:fillRect/>
                          </a:stretch>
                        </pic:blipFill>
                        <pic:spPr>
                          <a:xfrm>
                            <a:off x="0" y="0"/>
                            <a:ext cx="4886960" cy="5343525"/>
                          </a:xfrm>
                          <a:prstGeom prst="rect">
                            <a:avLst/>
                          </a:prstGeom>
                        </pic:spPr>
                      </pic:pic>
                    </a:graphicData>
                  </a:graphic>
                </wp:inline>
              </w:drawing>
            </w:r>
          </w:p>
          <w:p w14:paraId="16B6344E">
            <w:pPr>
              <w:adjustRightInd w:val="0"/>
              <w:snapToGrid w:val="0"/>
              <w:spacing w:line="360" w:lineRule="auto"/>
              <w:jc w:val="center"/>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图2-7 全厂污水处理工艺流程图</w:t>
            </w:r>
          </w:p>
          <w:p w14:paraId="37CABDF8">
            <w:pPr>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主要污染工序</w:t>
            </w:r>
          </w:p>
          <w:p w14:paraId="0657242B">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1.施工期主要污染工序</w:t>
            </w:r>
          </w:p>
          <w:p w14:paraId="7ED82D4D">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（1）废气：主要为扬尘以及施工机械、运输车辆</w:t>
            </w:r>
            <w:r>
              <w:rPr>
                <w:rFonts w:hint="default" w:ascii="Times New Roman" w:hAnsi="Times New Roman" w:cs="Times New Roman"/>
                <w:bCs/>
                <w:color w:val="auto"/>
                <w:sz w:val="24"/>
                <w:highlight w:val="none"/>
                <w:lang w:eastAsia="zh-CN"/>
              </w:rPr>
              <w:t>产生的</w:t>
            </w:r>
            <w:r>
              <w:rPr>
                <w:rFonts w:hint="default" w:ascii="Times New Roman" w:hAnsi="Times New Roman" w:eastAsia="宋体" w:cs="Times New Roman"/>
                <w:bCs/>
                <w:color w:val="auto"/>
                <w:sz w:val="24"/>
                <w:highlight w:val="none"/>
              </w:rPr>
              <w:t>废气。</w:t>
            </w:r>
          </w:p>
          <w:p w14:paraId="592E3A25">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（2）废水：主要为施工人员生活污水和施工废水。</w:t>
            </w:r>
          </w:p>
          <w:p w14:paraId="6E7DB33C">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（3）噪声：主要为施工过程中作业机械运行时产生的噪声。</w:t>
            </w:r>
          </w:p>
          <w:p w14:paraId="3F0C6833">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（4）固体废物：主要为建筑垃圾和施工人员</w:t>
            </w:r>
            <w:r>
              <w:rPr>
                <w:rFonts w:hint="default" w:ascii="Times New Roman" w:hAnsi="Times New Roman" w:cs="Times New Roman"/>
                <w:bCs/>
                <w:color w:val="auto"/>
                <w:sz w:val="24"/>
                <w:highlight w:val="none"/>
                <w:lang w:eastAsia="zh-CN"/>
              </w:rPr>
              <w:t>的</w:t>
            </w:r>
            <w:r>
              <w:rPr>
                <w:rFonts w:hint="default" w:ascii="Times New Roman" w:hAnsi="Times New Roman" w:eastAsia="宋体" w:cs="Times New Roman"/>
                <w:bCs/>
                <w:color w:val="auto"/>
                <w:sz w:val="24"/>
                <w:highlight w:val="none"/>
              </w:rPr>
              <w:t>生活垃圾。</w:t>
            </w:r>
          </w:p>
          <w:p w14:paraId="735B5D86">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2.运营期主要污染工序</w:t>
            </w:r>
          </w:p>
          <w:p w14:paraId="46BE6743">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（1）废气：</w:t>
            </w:r>
            <w:r>
              <w:rPr>
                <w:rFonts w:hint="default" w:ascii="Times New Roman" w:hAnsi="Times New Roman" w:eastAsia="宋体" w:cs="Times New Roman"/>
                <w:bCs/>
                <w:color w:val="auto"/>
                <w:sz w:val="24"/>
                <w:highlight w:val="none"/>
                <w:lang w:val="en-US" w:eastAsia="zh-CN"/>
              </w:rPr>
              <w:t>本项目的大气污染物主要是恶臭气体</w:t>
            </w:r>
            <w:r>
              <w:rPr>
                <w:rFonts w:hint="default" w:ascii="Times New Roman" w:hAnsi="Times New Roman" w:eastAsia="宋体" w:cs="Times New Roman"/>
                <w:bCs/>
                <w:color w:val="auto"/>
                <w:sz w:val="24"/>
                <w:highlight w:val="none"/>
              </w:rPr>
              <w:t>。</w:t>
            </w:r>
          </w:p>
          <w:p w14:paraId="7ECA86AD">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（2）废水：</w:t>
            </w:r>
            <w:r>
              <w:rPr>
                <w:rFonts w:hint="default" w:ascii="Times New Roman" w:hAnsi="Times New Roman" w:eastAsia="宋体" w:cs="Times New Roman"/>
                <w:bCs/>
                <w:color w:val="auto"/>
                <w:sz w:val="24"/>
                <w:highlight w:val="none"/>
                <w:lang w:val="en-US" w:eastAsia="zh-CN"/>
              </w:rPr>
              <w:t>本项目</w:t>
            </w:r>
            <w:r>
              <w:rPr>
                <w:rFonts w:hint="default" w:ascii="Times New Roman" w:hAnsi="Times New Roman" w:eastAsia="宋体" w:cs="Times New Roman"/>
                <w:bCs/>
                <w:color w:val="auto"/>
                <w:sz w:val="24"/>
                <w:highlight w:val="none"/>
              </w:rPr>
              <w:t>生活污水</w:t>
            </w:r>
            <w:r>
              <w:rPr>
                <w:rFonts w:hint="default" w:ascii="Times New Roman" w:hAnsi="Times New Roman" w:cs="Times New Roman"/>
                <w:bCs/>
                <w:color w:val="auto"/>
                <w:sz w:val="24"/>
                <w:highlight w:val="none"/>
                <w:lang w:eastAsia="zh-CN"/>
              </w:rPr>
              <w:t>、V型滤池反冲洗</w:t>
            </w:r>
            <w:r>
              <w:rPr>
                <w:rFonts w:hint="default" w:ascii="Times New Roman" w:hAnsi="Times New Roman" w:cs="Times New Roman"/>
                <w:bCs/>
                <w:color w:val="auto"/>
                <w:sz w:val="24"/>
                <w:highlight w:val="none"/>
                <w:lang w:val="en-US" w:eastAsia="zh-CN"/>
              </w:rPr>
              <w:t>废水和污泥压滤水</w:t>
            </w:r>
            <w:r>
              <w:rPr>
                <w:rFonts w:hint="default" w:ascii="Times New Roman" w:hAnsi="Times New Roman" w:eastAsia="宋体" w:cs="Times New Roman"/>
                <w:bCs/>
                <w:color w:val="auto"/>
                <w:sz w:val="24"/>
                <w:highlight w:val="none"/>
                <w:lang w:val="en-US" w:eastAsia="zh-CN"/>
              </w:rPr>
              <w:t>进入本污水厂污水处理系统</w:t>
            </w:r>
            <w:r>
              <w:rPr>
                <w:rFonts w:hint="default" w:ascii="Times New Roman" w:hAnsi="Times New Roman" w:eastAsia="宋体" w:cs="Times New Roman"/>
                <w:bCs/>
                <w:color w:val="auto"/>
                <w:sz w:val="24"/>
                <w:highlight w:val="none"/>
              </w:rPr>
              <w:t>。</w:t>
            </w:r>
          </w:p>
          <w:p w14:paraId="2B93DDA0">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（3）噪声：主要为设备运转过程中产生的噪声。</w:t>
            </w:r>
          </w:p>
          <w:p w14:paraId="2B2D8939">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（4）固体废物：主要为栅渣</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沉砂</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污泥</w:t>
            </w:r>
            <w:r>
              <w:rPr>
                <w:rFonts w:hint="default" w:ascii="Times New Roman" w:hAnsi="Times New Roman" w:cs="Times New Roman"/>
                <w:bCs/>
                <w:color w:val="auto"/>
                <w:sz w:val="24"/>
                <w:highlight w:val="none"/>
                <w:lang w:eastAsia="zh-CN"/>
              </w:rPr>
              <w:t>、</w:t>
            </w:r>
            <w:r>
              <w:rPr>
                <w:rFonts w:hint="default" w:ascii="Times New Roman" w:hAnsi="Times New Roman" w:cs="Times New Roman"/>
                <w:bCs/>
                <w:color w:val="auto"/>
                <w:sz w:val="24"/>
                <w:highlight w:val="none"/>
                <w:lang w:val="en-US" w:eastAsia="zh-CN"/>
              </w:rPr>
              <w:t>职工生活垃圾</w:t>
            </w:r>
            <w:r>
              <w:rPr>
                <w:rFonts w:hint="default" w:ascii="Times New Roman" w:hAnsi="Times New Roman" w:eastAsia="宋体" w:cs="Times New Roman"/>
                <w:bCs/>
                <w:color w:val="auto"/>
                <w:sz w:val="24"/>
                <w:highlight w:val="none"/>
              </w:rPr>
              <w:t>等。</w:t>
            </w:r>
          </w:p>
        </w:tc>
      </w:tr>
      <w:tr w14:paraId="787A5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9" w:hRule="atLeast"/>
          <w:jc w:val="center"/>
        </w:trPr>
        <w:tc>
          <w:tcPr>
            <w:tcW w:w="296" w:type="pct"/>
            <w:vAlign w:val="center"/>
          </w:tcPr>
          <w:p w14:paraId="13AFC305">
            <w:pPr>
              <w:pStyle w:val="9"/>
              <w:adjustRightInd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kern w:val="2"/>
                <w:sz w:val="21"/>
                <w:szCs w:val="21"/>
                <w:highlight w:val="none"/>
              </w:rPr>
              <w:t>与项目有关的原有环境污染问题</w:t>
            </w:r>
          </w:p>
        </w:tc>
        <w:tc>
          <w:tcPr>
            <w:tcW w:w="4703" w:type="pct"/>
            <w:vAlign w:val="center"/>
          </w:tcPr>
          <w:p w14:paraId="2FDEFE15">
            <w:pPr>
              <w:spacing w:line="360"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1.环保手续履行情况</w:t>
            </w:r>
          </w:p>
          <w:p w14:paraId="39B1942D">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杭锦旗锡尼镇污水处理厂最初于2006年4月24日取得《鄂尔多斯市环境保护局关于鄂尔多斯市杭锦旗锡尼镇排水工程项目环境影响报告表的批复》（鄂环监发〔2006〕55号），并于2010年9月15日取得《鄂尔多斯市环境保护局关于鄂尔多斯市杭锦旗锡尼镇排水工程竣工环境保护验收意见的批复》（鄂环察验〔2010〕27号）完成验收工作，设计处理能力为5000t/d。该污水厂于2015年6月23日取得《鄂尔多斯市环境保护局关于鄂尔多斯市杭锦旗污水处理厂提标改造工程环境影响报告表的批复》（鄂环评字〔2015〕227号），对</w:t>
            </w:r>
            <w:r>
              <w:rPr>
                <w:rFonts w:hint="default" w:ascii="Times New Roman" w:hAnsi="Times New Roman" w:cs="Times New Roman"/>
                <w:color w:val="auto"/>
                <w:kern w:val="0"/>
                <w:sz w:val="24"/>
                <w:highlight w:val="none"/>
                <w:lang w:val="en-US" w:eastAsia="zh-CN"/>
              </w:rPr>
              <w:t>该</w:t>
            </w:r>
            <w:r>
              <w:rPr>
                <w:rFonts w:hint="default" w:ascii="Times New Roman" w:hAnsi="Times New Roman" w:eastAsia="宋体" w:cs="Times New Roman"/>
                <w:color w:val="auto"/>
                <w:kern w:val="0"/>
                <w:sz w:val="24"/>
                <w:highlight w:val="none"/>
                <w:lang w:val="en-US" w:eastAsia="zh-CN"/>
              </w:rPr>
              <w:t>污水厂进行了提标改造</w:t>
            </w:r>
            <w:r>
              <w:rPr>
                <w:rFonts w:hint="default" w:ascii="Times New Roman" w:hAnsi="Times New Roman"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本次改造不扩大处理能力，对处理工艺进行改造。2018年对新增污水厂进行扩建，于2018年4月23日取得《杭锦旗环境保护局关于杭锦旗锡尼镇污水处理厂扩建工程环境影响报告表的批复》（杭环评字〔2018〕9号），并于2019年8月14日完成自主验收工作。该扩建工程完成后处理能力为6500t/d（二期），原有污水厂处理能力减为原设计规模（5000t/d，一期）的40%，即2000t/d，从而提高水</w:t>
            </w:r>
            <w:r>
              <w:rPr>
                <w:rFonts w:hint="default" w:ascii="Times New Roman" w:hAnsi="Times New Roman" w:cs="Times New Roman"/>
                <w:color w:val="auto"/>
                <w:kern w:val="0"/>
                <w:sz w:val="24"/>
                <w:highlight w:val="none"/>
                <w:lang w:val="en-US" w:eastAsia="zh-CN"/>
              </w:rPr>
              <w:t>力停</w:t>
            </w:r>
            <w:r>
              <w:rPr>
                <w:rFonts w:hint="default" w:ascii="Times New Roman" w:hAnsi="Times New Roman" w:eastAsia="宋体" w:cs="Times New Roman"/>
                <w:color w:val="auto"/>
                <w:kern w:val="0"/>
                <w:sz w:val="24"/>
                <w:highlight w:val="none"/>
                <w:lang w:val="en-US" w:eastAsia="zh-CN"/>
              </w:rPr>
              <w:t>留时间，从而保证污水可以稳定达标，全厂</w:t>
            </w:r>
            <w:r>
              <w:rPr>
                <w:rFonts w:hint="default" w:ascii="Times New Roman" w:hAnsi="Times New Roman" w:cs="Times New Roman"/>
                <w:color w:val="auto"/>
                <w:kern w:val="0"/>
                <w:sz w:val="24"/>
                <w:highlight w:val="none"/>
                <w:lang w:val="en-US" w:eastAsia="zh-CN"/>
              </w:rPr>
              <w:t>现状</w:t>
            </w:r>
            <w:r>
              <w:rPr>
                <w:rFonts w:hint="default" w:ascii="Times New Roman" w:hAnsi="Times New Roman" w:eastAsia="宋体" w:cs="Times New Roman"/>
                <w:color w:val="auto"/>
                <w:kern w:val="0"/>
                <w:sz w:val="24"/>
                <w:highlight w:val="none"/>
                <w:lang w:val="en-US" w:eastAsia="zh-CN"/>
              </w:rPr>
              <w:t>处理能力为8500t/d。</w:t>
            </w:r>
          </w:p>
          <w:p w14:paraId="45EA5503">
            <w:pPr>
              <w:spacing w:line="360"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2.现有工程概况</w:t>
            </w:r>
          </w:p>
          <w:p w14:paraId="500ED42B">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一期工程现有处理能力为2000</w:t>
            </w:r>
            <w:r>
              <w:rPr>
                <w:rFonts w:hint="default" w:ascii="Times New Roman" w:hAnsi="Times New Roman" w:cs="Times New Roman"/>
                <w:color w:val="auto"/>
                <w:kern w:val="0"/>
                <w:sz w:val="24"/>
                <w:highlight w:val="none"/>
                <w:vertAlign w:val="baseline"/>
                <w:lang w:val="en-US" w:eastAsia="zh-CN"/>
              </w:rPr>
              <w:t>t/d</w:t>
            </w:r>
            <w:r>
              <w:rPr>
                <w:rFonts w:hint="default" w:ascii="Times New Roman" w:hAnsi="Times New Roman" w:eastAsia="宋体" w:cs="Times New Roman"/>
                <w:color w:val="auto"/>
                <w:kern w:val="0"/>
                <w:sz w:val="24"/>
                <w:highlight w:val="none"/>
                <w:lang w:val="en-US" w:eastAsia="zh-CN"/>
              </w:rPr>
              <w:t>，处理工艺采用AAO法+磁混凝澄清池工艺，主要由预处理、AAO池、二沉池、磁混凝澄清池、消毒池和污泥处理等几部分组成。</w:t>
            </w:r>
          </w:p>
          <w:p w14:paraId="6B662536">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二期工程处理能力为6500</w:t>
            </w:r>
            <w:r>
              <w:rPr>
                <w:rFonts w:hint="default" w:ascii="Times New Roman" w:hAnsi="Times New Roman" w:cs="Times New Roman"/>
                <w:color w:val="auto"/>
                <w:kern w:val="0"/>
                <w:sz w:val="24"/>
                <w:highlight w:val="none"/>
                <w:vertAlign w:val="baseline"/>
                <w:lang w:val="en-US" w:eastAsia="zh-CN"/>
              </w:rPr>
              <w:t>t/d</w:t>
            </w:r>
            <w:r>
              <w:rPr>
                <w:rFonts w:hint="default" w:ascii="Times New Roman" w:hAnsi="Times New Roman" w:eastAsia="宋体" w:cs="Times New Roman"/>
                <w:color w:val="auto"/>
                <w:kern w:val="0"/>
                <w:sz w:val="24"/>
                <w:highlight w:val="none"/>
                <w:lang w:val="en-US" w:eastAsia="zh-CN"/>
              </w:rPr>
              <w:t>，选择五段Bardenpho+磁混凝澄清池作为本工程的污水处理工艺，即生物处理段采用五段Bardenpho工艺（A/A/O/A/O五段工艺，采用能独立分别控制厌氧、第一缺氧、第一好氧、第二缺氧、第二好氧区域组成的生物除磷脱氮反应池），后续深度处理采用磁混凝澄清池，最后再用O</w:t>
            </w:r>
            <w:r>
              <w:rPr>
                <w:rFonts w:hint="default" w:ascii="Times New Roman" w:hAnsi="Times New Roman" w:eastAsia="宋体" w:cs="Times New Roman"/>
                <w:color w:val="auto"/>
                <w:kern w:val="0"/>
                <w:sz w:val="24"/>
                <w:highlight w:val="none"/>
                <w:vertAlign w:val="subscript"/>
                <w:lang w:val="en-US" w:eastAsia="zh-CN"/>
              </w:rPr>
              <w:t>3</w:t>
            </w:r>
            <w:r>
              <w:rPr>
                <w:rFonts w:hint="default" w:ascii="Times New Roman" w:hAnsi="Times New Roman" w:eastAsia="宋体" w:cs="Times New Roman"/>
                <w:color w:val="auto"/>
                <w:kern w:val="0"/>
                <w:sz w:val="24"/>
                <w:highlight w:val="none"/>
                <w:lang w:val="en-US" w:eastAsia="zh-CN"/>
              </w:rPr>
              <w:t>进行去除色度，二氧化氯消毒的方案。</w:t>
            </w:r>
          </w:p>
          <w:p w14:paraId="1648CB6E">
            <w:pPr>
              <w:spacing w:line="360" w:lineRule="auto"/>
              <w:ind w:firstLine="482" w:firstLineChars="200"/>
              <w:rPr>
                <w:rFonts w:hint="default" w:ascii="Times New Roman" w:hAnsi="Times New Roman" w:eastAsia="宋体" w:cs="Times New Roman"/>
                <w:b/>
                <w:bCs/>
                <w:color w:val="auto"/>
                <w:kern w:val="0"/>
                <w:sz w:val="24"/>
                <w:highlight w:val="none"/>
                <w:lang w:val="zh-CN" w:eastAsia="zh-CN"/>
              </w:rPr>
            </w:pPr>
            <w:r>
              <w:rPr>
                <w:rFonts w:hint="default" w:ascii="Times New Roman" w:hAnsi="Times New Roman" w:eastAsia="宋体" w:cs="Times New Roman"/>
                <w:b/>
                <w:bCs/>
                <w:color w:val="auto"/>
                <w:kern w:val="0"/>
                <w:sz w:val="24"/>
                <w:highlight w:val="none"/>
                <w:lang w:val="en-US" w:eastAsia="zh-CN"/>
              </w:rPr>
              <w:t>3.</w:t>
            </w:r>
            <w:r>
              <w:rPr>
                <w:rFonts w:hint="default" w:ascii="Times New Roman" w:hAnsi="Times New Roman" w:eastAsia="宋体" w:cs="Times New Roman"/>
                <w:b/>
                <w:bCs/>
                <w:color w:val="auto"/>
                <w:kern w:val="0"/>
                <w:sz w:val="24"/>
                <w:highlight w:val="none"/>
                <w:lang w:val="zh-CN" w:eastAsia="zh-CN"/>
              </w:rPr>
              <w:t>现有工程污染物排放情况</w:t>
            </w:r>
          </w:p>
          <w:p w14:paraId="40C5D3C8">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根据《杭锦旗锡尼镇污水处理厂扩建工程竣工环境保护自主验收意见</w:t>
            </w:r>
            <w:r>
              <w:rPr>
                <w:rFonts w:hint="default" w:ascii="Times New Roman" w:hAnsi="Times New Roman"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内蒙古德源水务有限公司</w:t>
            </w:r>
            <w:r>
              <w:rPr>
                <w:rFonts w:hint="default" w:ascii="Times New Roman" w:hAnsi="Times New Roman" w:cs="Times New Roman"/>
                <w:color w:val="auto"/>
                <w:kern w:val="0"/>
                <w:sz w:val="24"/>
                <w:highlight w:val="none"/>
                <w:lang w:val="en-US" w:eastAsia="zh-CN"/>
              </w:rPr>
              <w:t>废气检测（</w:t>
            </w:r>
            <w:r>
              <w:rPr>
                <w:rFonts w:hint="default" w:ascii="Times New Roman" w:hAnsi="Times New Roman" w:eastAsia="宋体" w:cs="Times New Roman"/>
                <w:color w:val="auto"/>
                <w:kern w:val="0"/>
                <w:sz w:val="24"/>
                <w:highlight w:val="none"/>
                <w:lang w:val="en-US" w:eastAsia="zh-CN"/>
              </w:rPr>
              <w:t>202</w:t>
            </w:r>
            <w:r>
              <w:rPr>
                <w:rFonts w:hint="default" w:ascii="Times New Roman" w:hAnsi="Times New Roman" w:cs="Times New Roman"/>
                <w:color w:val="auto"/>
                <w:kern w:val="0"/>
                <w:sz w:val="24"/>
                <w:highlight w:val="none"/>
                <w:lang w:val="en-US" w:eastAsia="zh-CN"/>
              </w:rPr>
              <w:t>6</w:t>
            </w:r>
            <w:r>
              <w:rPr>
                <w:rFonts w:hint="default" w:ascii="Times New Roman" w:hAnsi="Times New Roman" w:eastAsia="宋体" w:cs="Times New Roman"/>
                <w:color w:val="auto"/>
                <w:kern w:val="0"/>
                <w:sz w:val="24"/>
                <w:highlight w:val="none"/>
                <w:lang w:val="en-US" w:eastAsia="zh-CN"/>
              </w:rPr>
              <w:t>年</w:t>
            </w:r>
            <w:r>
              <w:rPr>
                <w:rFonts w:hint="default" w:ascii="Times New Roman" w:hAnsi="Times New Roman" w:cs="Times New Roman"/>
                <w:color w:val="auto"/>
                <w:kern w:val="0"/>
                <w:sz w:val="24"/>
                <w:highlight w:val="none"/>
                <w:lang w:val="en-US" w:eastAsia="zh-CN"/>
              </w:rPr>
              <w:t>2月5日</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内蒙古德源水务有限公司</w:t>
            </w:r>
            <w:r>
              <w:rPr>
                <w:rFonts w:hint="default" w:ascii="Times New Roman" w:hAnsi="Times New Roman" w:cs="Times New Roman"/>
                <w:color w:val="auto"/>
                <w:kern w:val="0"/>
                <w:sz w:val="24"/>
                <w:highlight w:val="none"/>
                <w:lang w:val="en-US" w:eastAsia="zh-CN"/>
              </w:rPr>
              <w:t>3</w:t>
            </w:r>
            <w:r>
              <w:rPr>
                <w:rFonts w:hint="default" w:ascii="Times New Roman" w:hAnsi="Times New Roman" w:eastAsia="宋体" w:cs="Times New Roman"/>
                <w:color w:val="auto"/>
                <w:kern w:val="0"/>
                <w:sz w:val="24"/>
                <w:highlight w:val="none"/>
                <w:lang w:val="en-US" w:eastAsia="zh-CN"/>
              </w:rPr>
              <w:t>月份污水检测（20</w:t>
            </w:r>
            <w:r>
              <w:rPr>
                <w:rFonts w:hint="default" w:ascii="Times New Roman" w:hAnsi="Times New Roman" w:cs="Times New Roman"/>
                <w:color w:val="auto"/>
                <w:kern w:val="0"/>
                <w:sz w:val="24"/>
                <w:highlight w:val="none"/>
                <w:lang w:val="en-US" w:eastAsia="zh-CN"/>
              </w:rPr>
              <w:t>26</w:t>
            </w:r>
            <w:r>
              <w:rPr>
                <w:rFonts w:hint="default" w:ascii="Times New Roman" w:hAnsi="Times New Roman" w:eastAsia="宋体" w:cs="Times New Roman"/>
                <w:color w:val="auto"/>
                <w:kern w:val="0"/>
                <w:sz w:val="24"/>
                <w:highlight w:val="none"/>
                <w:lang w:val="en-US" w:eastAsia="zh-CN"/>
              </w:rPr>
              <w:t>年</w:t>
            </w:r>
            <w:r>
              <w:rPr>
                <w:rFonts w:hint="default" w:ascii="Times New Roman" w:hAnsi="Times New Roman" w:cs="Times New Roman"/>
                <w:color w:val="auto"/>
                <w:kern w:val="0"/>
                <w:sz w:val="24"/>
                <w:highlight w:val="none"/>
                <w:lang w:val="en-US" w:eastAsia="zh-CN"/>
              </w:rPr>
              <w:t>3月27日</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《内蒙古德源水务有限公司第一季度噪声检测（2026年3月30日）》</w:t>
            </w:r>
            <w:r>
              <w:rPr>
                <w:rFonts w:hint="default" w:ascii="Times New Roman" w:hAnsi="Times New Roman" w:eastAsia="宋体" w:cs="Times New Roman"/>
                <w:color w:val="auto"/>
                <w:kern w:val="0"/>
                <w:sz w:val="24"/>
                <w:highlight w:val="none"/>
                <w:lang w:val="en-US" w:eastAsia="zh-CN"/>
              </w:rPr>
              <w:t>监测数据</w:t>
            </w:r>
            <w:r>
              <w:rPr>
                <w:rFonts w:hint="default" w:ascii="Times New Roman" w:hAnsi="Times New Roman" w:cs="Times New Roman"/>
                <w:color w:val="auto"/>
                <w:kern w:val="0"/>
                <w:sz w:val="24"/>
                <w:highlight w:val="none"/>
                <w:lang w:val="en-US" w:eastAsia="zh-CN"/>
              </w:rPr>
              <w:t>显示</w:t>
            </w:r>
            <w:r>
              <w:rPr>
                <w:rFonts w:hint="default" w:ascii="Times New Roman" w:hAnsi="Times New Roman" w:eastAsia="宋体" w:cs="Times New Roman"/>
                <w:color w:val="auto"/>
                <w:kern w:val="0"/>
                <w:sz w:val="24"/>
                <w:highlight w:val="none"/>
                <w:lang w:val="en-US" w:eastAsia="zh-CN"/>
              </w:rPr>
              <w:t>，污水厂现有工程污染物产生及排放</w:t>
            </w:r>
            <w:r>
              <w:rPr>
                <w:rFonts w:hint="default" w:ascii="Times New Roman" w:hAnsi="Times New Roman" w:cs="Times New Roman"/>
                <w:color w:val="auto"/>
                <w:kern w:val="0"/>
                <w:sz w:val="24"/>
                <w:highlight w:val="none"/>
                <w:lang w:val="en-US" w:eastAsia="zh-CN"/>
              </w:rPr>
              <w:t>情况</w:t>
            </w:r>
            <w:r>
              <w:rPr>
                <w:rFonts w:hint="default" w:ascii="Times New Roman" w:hAnsi="Times New Roman" w:eastAsia="宋体" w:cs="Times New Roman"/>
                <w:color w:val="auto"/>
                <w:kern w:val="0"/>
                <w:sz w:val="24"/>
                <w:highlight w:val="none"/>
                <w:lang w:val="en-US" w:eastAsia="zh-CN"/>
              </w:rPr>
              <w:t>如下：</w:t>
            </w:r>
          </w:p>
          <w:p w14:paraId="44455C15">
            <w:pPr>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eastAsia="zh-CN"/>
              </w:rPr>
              <w:t>）废气</w:t>
            </w:r>
          </w:p>
          <w:p w14:paraId="0EC2574C">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一期</w:t>
            </w:r>
            <w:r>
              <w:rPr>
                <w:rFonts w:hint="default" w:ascii="Times New Roman" w:hAnsi="Times New Roman"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二期工程项目对产生恶臭气体的格栅、污泥脱水工序布置于全封闭厂房内，并在两座生物池的缺氧段安装微生物培养箱4台，采用全流程除臭工艺，利用微生物填料和培养箱，在污水处理厂生物池中培养出高效除臭微生物，将含高效除臭微生物的污泥回流于污水厂预处理段，除臭微生物与水中的恶臭物质发生吸附、凝聚和生物转化降解等作用，使得污水厂各构筑物</w:t>
            </w:r>
            <w:r>
              <w:rPr>
                <w:rFonts w:hint="default" w:ascii="Times New Roman" w:hAnsi="Times New Roman" w:cs="Times New Roman"/>
                <w:color w:val="auto"/>
                <w:kern w:val="0"/>
                <w:sz w:val="24"/>
                <w:highlight w:val="none"/>
                <w:lang w:val="en-US" w:eastAsia="zh-CN"/>
              </w:rPr>
              <w:t>中的</w:t>
            </w:r>
            <w:r>
              <w:rPr>
                <w:rFonts w:hint="default" w:ascii="Times New Roman" w:hAnsi="Times New Roman" w:eastAsia="宋体" w:cs="Times New Roman"/>
                <w:color w:val="auto"/>
                <w:kern w:val="0"/>
                <w:sz w:val="24"/>
                <w:highlight w:val="none"/>
                <w:lang w:val="en-US" w:eastAsia="zh-CN"/>
              </w:rPr>
              <w:t>恶臭物质在水中得到</w:t>
            </w:r>
            <w:r>
              <w:rPr>
                <w:rFonts w:hint="default" w:ascii="Times New Roman" w:hAnsi="Times New Roman" w:cs="Times New Roman"/>
                <w:color w:val="auto"/>
                <w:kern w:val="0"/>
                <w:sz w:val="24"/>
                <w:highlight w:val="none"/>
                <w:lang w:val="en-US" w:eastAsia="zh-CN"/>
              </w:rPr>
              <w:t>去除</w:t>
            </w:r>
            <w:r>
              <w:rPr>
                <w:rFonts w:hint="default" w:ascii="Times New Roman" w:hAnsi="Times New Roman" w:eastAsia="宋体" w:cs="Times New Roman"/>
                <w:color w:val="auto"/>
                <w:kern w:val="0"/>
                <w:sz w:val="24"/>
                <w:highlight w:val="none"/>
                <w:lang w:val="en-US" w:eastAsia="zh-CN"/>
              </w:rPr>
              <w:t>，实现污水厂二期工程恶臭</w:t>
            </w:r>
            <w:r>
              <w:rPr>
                <w:rFonts w:hint="default" w:ascii="Times New Roman" w:hAnsi="Times New Roman" w:cs="Times New Roman"/>
                <w:color w:val="auto"/>
                <w:kern w:val="0"/>
                <w:sz w:val="24"/>
                <w:highlight w:val="none"/>
                <w:lang w:val="en-US" w:eastAsia="zh-CN"/>
              </w:rPr>
              <w:t>物质</w:t>
            </w:r>
            <w:r>
              <w:rPr>
                <w:rFonts w:hint="default" w:ascii="Times New Roman" w:hAnsi="Times New Roman" w:eastAsia="宋体" w:cs="Times New Roman"/>
                <w:color w:val="auto"/>
                <w:kern w:val="0"/>
                <w:sz w:val="24"/>
                <w:highlight w:val="none"/>
                <w:lang w:val="en-US" w:eastAsia="zh-CN"/>
              </w:rPr>
              <w:t>的全过程控制。</w:t>
            </w:r>
          </w:p>
          <w:p w14:paraId="29BC6296">
            <w:pPr>
              <w:spacing w:line="360" w:lineRule="auto"/>
              <w:ind w:firstLine="480" w:firstLineChars="200"/>
              <w:jc w:val="both"/>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根据杭锦旗锡尼镇污水厂202</w:t>
            </w:r>
            <w:r>
              <w:rPr>
                <w:rFonts w:hint="default" w:ascii="Times New Roman" w:hAnsi="Times New Roman"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val="en-US" w:eastAsia="zh-CN"/>
              </w:rPr>
              <w:t>年度在线监测系统运行记录，202</w:t>
            </w:r>
            <w:r>
              <w:rPr>
                <w:rFonts w:hint="default" w:ascii="Times New Roman" w:hAnsi="Times New Roman"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lang w:val="en-US" w:eastAsia="zh-CN"/>
              </w:rPr>
              <w:t>年度平均处理水量</w:t>
            </w:r>
            <w:r>
              <w:rPr>
                <w:rFonts w:hint="default" w:ascii="Times New Roman" w:hAnsi="Times New Roman" w:cs="Times New Roman"/>
                <w:color w:val="auto"/>
                <w:kern w:val="0"/>
                <w:sz w:val="24"/>
                <w:highlight w:val="none"/>
                <w:lang w:val="en-US" w:eastAsia="zh-CN"/>
              </w:rPr>
              <w:t>8700</w:t>
            </w:r>
            <w:r>
              <w:rPr>
                <w:rFonts w:hint="default" w:ascii="Times New Roman" w:hAnsi="Times New Roman" w:eastAsia="宋体" w:cs="Times New Roman"/>
                <w:color w:val="auto"/>
                <w:kern w:val="0"/>
                <w:sz w:val="24"/>
                <w:highlight w:val="none"/>
                <w:lang w:val="en-US" w:eastAsia="zh-CN"/>
              </w:rPr>
              <w:t>t/d，根据年评价进出水水质指标，估算现有工程N</w:t>
            </w:r>
            <w:r>
              <w:rPr>
                <w:rFonts w:hint="default" w:ascii="Times New Roman" w:hAnsi="Times New Roman" w:cs="Times New Roman"/>
                <w:color w:val="auto"/>
                <w:kern w:val="0"/>
                <w:sz w:val="24"/>
                <w:highlight w:val="none"/>
                <w:lang w:val="en-US" w:eastAsia="zh-CN"/>
              </w:rPr>
              <w:t>H</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cs="Times New Roman"/>
                <w:color w:val="auto"/>
                <w:kern w:val="0"/>
                <w:sz w:val="24"/>
                <w:highlight w:val="none"/>
                <w:vertAlign w:val="baseline"/>
                <w:lang w:val="en-US" w:eastAsia="zh-CN"/>
              </w:rPr>
              <w:t>H</w:t>
            </w:r>
            <w:r>
              <w:rPr>
                <w:rFonts w:hint="default" w:ascii="Times New Roman" w:hAnsi="Times New Roman" w:cs="Times New Roman"/>
                <w:color w:val="auto"/>
                <w:kern w:val="0"/>
                <w:sz w:val="24"/>
                <w:highlight w:val="none"/>
                <w:vertAlign w:val="subscript"/>
                <w:lang w:val="en-US" w:eastAsia="zh-CN"/>
              </w:rPr>
              <w:t>2</w:t>
            </w:r>
            <w:r>
              <w:rPr>
                <w:rFonts w:hint="default" w:ascii="Times New Roman" w:hAnsi="Times New Roman" w:eastAsia="宋体" w:cs="Times New Roman"/>
                <w:color w:val="auto"/>
                <w:kern w:val="0"/>
                <w:sz w:val="24"/>
                <w:highlight w:val="none"/>
                <w:lang w:val="en-US" w:eastAsia="zh-CN"/>
              </w:rPr>
              <w:t>S的排放量如下。</w:t>
            </w:r>
          </w:p>
          <w:p w14:paraId="58A4F9D9">
            <w:pPr>
              <w:spacing w:line="360" w:lineRule="auto"/>
              <w:jc w:val="center"/>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表2-</w:t>
            </w:r>
            <w:r>
              <w:rPr>
                <w:rFonts w:hint="default" w:ascii="Times New Roman" w:hAnsi="Times New Roman" w:cs="Times New Roman"/>
                <w:b/>
                <w:bCs/>
                <w:color w:val="auto"/>
                <w:kern w:val="0"/>
                <w:sz w:val="24"/>
                <w:highlight w:val="none"/>
                <w:lang w:val="en-US" w:eastAsia="zh-CN"/>
              </w:rPr>
              <w:t>13</w:t>
            </w:r>
            <w:r>
              <w:rPr>
                <w:rFonts w:hint="default" w:ascii="Times New Roman" w:hAnsi="Times New Roman" w:eastAsia="宋体" w:cs="Times New Roman"/>
                <w:b/>
                <w:bCs/>
                <w:color w:val="auto"/>
                <w:kern w:val="0"/>
                <w:sz w:val="24"/>
                <w:highlight w:val="none"/>
                <w:lang w:val="en-US" w:eastAsia="zh-CN"/>
              </w:rPr>
              <w:t xml:space="preserve"> 现有工程大气污染物排放量汇总表</w:t>
            </w:r>
          </w:p>
          <w:tbl>
            <w:tblPr>
              <w:tblStyle w:val="11"/>
              <w:tblW w:w="5000"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67"/>
              <w:gridCol w:w="1218"/>
              <w:gridCol w:w="1832"/>
              <w:gridCol w:w="1824"/>
              <w:gridCol w:w="1698"/>
            </w:tblGrid>
            <w:tr w14:paraId="2F9D4F7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1567" w:type="dxa"/>
                  <w:vMerge w:val="restart"/>
                  <w:tcBorders>
                    <w:top w:val="single" w:color="auto" w:sz="4" w:space="0"/>
                    <w:left w:val="single" w:color="auto" w:sz="0" w:space="0"/>
                    <w:tl2br w:val="nil"/>
                    <w:tr2bl w:val="nil"/>
                  </w:tcBorders>
                  <w:shd w:val="clear" w:color="auto" w:fill="auto"/>
                  <w:vAlign w:val="center"/>
                </w:tcPr>
                <w:p w14:paraId="428F5F4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污染类型</w:t>
                  </w:r>
                </w:p>
              </w:tc>
              <w:tc>
                <w:tcPr>
                  <w:tcW w:w="1218" w:type="dxa"/>
                  <w:vMerge w:val="restart"/>
                  <w:tcBorders>
                    <w:top w:val="single" w:color="auto" w:sz="4" w:space="0"/>
                    <w:tl2br w:val="nil"/>
                    <w:tr2bl w:val="nil"/>
                  </w:tcBorders>
                  <w:shd w:val="clear" w:color="auto" w:fill="auto"/>
                  <w:vAlign w:val="center"/>
                </w:tcPr>
                <w:p w14:paraId="045DA33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5354" w:type="dxa"/>
                  <w:gridSpan w:val="3"/>
                  <w:tcBorders>
                    <w:top w:val="single" w:color="auto" w:sz="4" w:space="0"/>
                    <w:right w:val="single" w:color="auto" w:sz="4" w:space="0"/>
                    <w:tl2br w:val="nil"/>
                    <w:tr2bl w:val="nil"/>
                  </w:tcBorders>
                  <w:shd w:val="clear" w:color="auto" w:fill="auto"/>
                  <w:vAlign w:val="center"/>
                </w:tcPr>
                <w:p w14:paraId="2B5CDFE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排放量（t/a）</w:t>
                  </w:r>
                </w:p>
              </w:tc>
            </w:tr>
            <w:tr w14:paraId="6890C6C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567" w:type="dxa"/>
                  <w:vMerge w:val="continue"/>
                  <w:tcBorders>
                    <w:left w:val="single" w:color="auto" w:sz="4" w:space="0"/>
                    <w:tl2br w:val="nil"/>
                    <w:tr2bl w:val="nil"/>
                  </w:tcBorders>
                  <w:shd w:val="clear" w:color="auto" w:fill="auto"/>
                  <w:vAlign w:val="center"/>
                </w:tcPr>
                <w:p w14:paraId="01893782">
                  <w:pPr>
                    <w:jc w:val="center"/>
                    <w:rPr>
                      <w:rFonts w:hint="default" w:ascii="Times New Roman" w:hAnsi="Times New Roman" w:eastAsia="宋体" w:cs="Times New Roman"/>
                      <w:b/>
                      <w:bCs/>
                      <w:i w:val="0"/>
                      <w:iCs w:val="0"/>
                      <w:color w:val="auto"/>
                      <w:sz w:val="21"/>
                      <w:szCs w:val="21"/>
                      <w:u w:val="none"/>
                    </w:rPr>
                  </w:pPr>
                </w:p>
              </w:tc>
              <w:tc>
                <w:tcPr>
                  <w:tcW w:w="1218" w:type="dxa"/>
                  <w:vMerge w:val="continue"/>
                  <w:tcBorders>
                    <w:tl2br w:val="nil"/>
                    <w:tr2bl w:val="nil"/>
                  </w:tcBorders>
                  <w:shd w:val="clear" w:color="auto" w:fill="auto"/>
                  <w:vAlign w:val="center"/>
                </w:tcPr>
                <w:p w14:paraId="4703468C">
                  <w:pPr>
                    <w:jc w:val="center"/>
                    <w:rPr>
                      <w:rFonts w:hint="default" w:ascii="Times New Roman" w:hAnsi="Times New Roman" w:eastAsia="宋体" w:cs="Times New Roman"/>
                      <w:b/>
                      <w:bCs/>
                      <w:i w:val="0"/>
                      <w:iCs w:val="0"/>
                      <w:color w:val="auto"/>
                      <w:sz w:val="21"/>
                      <w:szCs w:val="21"/>
                      <w:u w:val="none"/>
                    </w:rPr>
                  </w:pPr>
                </w:p>
              </w:tc>
              <w:tc>
                <w:tcPr>
                  <w:tcW w:w="1832" w:type="dxa"/>
                  <w:tcBorders>
                    <w:tl2br w:val="nil"/>
                    <w:tr2bl w:val="nil"/>
                  </w:tcBorders>
                  <w:shd w:val="clear" w:color="auto" w:fill="auto"/>
                  <w:noWrap/>
                  <w:vAlign w:val="center"/>
                </w:tcPr>
                <w:p w14:paraId="42D3D64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一期</w:t>
                  </w:r>
                </w:p>
              </w:tc>
              <w:tc>
                <w:tcPr>
                  <w:tcW w:w="1824" w:type="dxa"/>
                  <w:tcBorders>
                    <w:tl2br w:val="nil"/>
                    <w:tr2bl w:val="nil"/>
                  </w:tcBorders>
                  <w:shd w:val="clear" w:color="auto" w:fill="auto"/>
                  <w:noWrap/>
                  <w:vAlign w:val="center"/>
                </w:tcPr>
                <w:p w14:paraId="2C72C91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二期</w:t>
                  </w:r>
                </w:p>
              </w:tc>
              <w:tc>
                <w:tcPr>
                  <w:tcW w:w="1698" w:type="dxa"/>
                  <w:tcBorders>
                    <w:right w:val="single" w:color="auto" w:sz="4" w:space="0"/>
                    <w:tl2br w:val="nil"/>
                    <w:tr2bl w:val="nil"/>
                  </w:tcBorders>
                  <w:shd w:val="clear" w:color="auto" w:fill="auto"/>
                  <w:noWrap/>
                  <w:vAlign w:val="center"/>
                </w:tcPr>
                <w:p w14:paraId="64DF905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合计</w:t>
                  </w:r>
                </w:p>
              </w:tc>
            </w:tr>
            <w:tr w14:paraId="53F0357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567" w:type="dxa"/>
                  <w:vMerge w:val="restart"/>
                  <w:tcBorders>
                    <w:left w:val="single" w:color="auto" w:sz="4" w:space="0"/>
                    <w:tl2br w:val="nil"/>
                    <w:tr2bl w:val="nil"/>
                  </w:tcBorders>
                  <w:shd w:val="clear" w:color="auto" w:fill="auto"/>
                  <w:vAlign w:val="center"/>
                </w:tcPr>
                <w:p w14:paraId="279EA9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w:t>
                  </w:r>
                </w:p>
              </w:tc>
              <w:tc>
                <w:tcPr>
                  <w:tcW w:w="1218" w:type="dxa"/>
                  <w:tcBorders>
                    <w:tl2br w:val="nil"/>
                    <w:tr2bl w:val="nil"/>
                  </w:tcBorders>
                  <w:shd w:val="clear" w:color="auto" w:fill="auto"/>
                  <w:vAlign w:val="center"/>
                </w:tcPr>
                <w:p w14:paraId="23E8B4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t>
                  </w:r>
                  <w:r>
                    <w:rPr>
                      <w:rFonts w:hint="default" w:ascii="Times New Roman" w:hAnsi="Times New Roman" w:cs="Times New Roman"/>
                      <w:i w:val="0"/>
                      <w:iCs w:val="0"/>
                      <w:color w:val="auto"/>
                      <w:kern w:val="0"/>
                      <w:sz w:val="21"/>
                      <w:szCs w:val="21"/>
                      <w:u w:val="none"/>
                      <w:vertAlign w:val="baseline"/>
                      <w:lang w:val="en-US" w:eastAsia="zh-CN" w:bidi="ar"/>
                    </w:rPr>
                    <w:t>H</w:t>
                  </w:r>
                  <w:r>
                    <w:rPr>
                      <w:rFonts w:hint="default" w:ascii="Times New Roman" w:hAnsi="Times New Roman" w:cs="Times New Roman"/>
                      <w:i w:val="0"/>
                      <w:iCs w:val="0"/>
                      <w:color w:val="auto"/>
                      <w:kern w:val="0"/>
                      <w:sz w:val="21"/>
                      <w:szCs w:val="21"/>
                      <w:u w:val="none"/>
                      <w:vertAlign w:val="subscript"/>
                      <w:lang w:val="en-US" w:eastAsia="zh-CN" w:bidi="ar"/>
                    </w:rPr>
                    <w:t>3</w:t>
                  </w:r>
                </w:p>
              </w:tc>
              <w:tc>
                <w:tcPr>
                  <w:tcW w:w="1832" w:type="dxa"/>
                  <w:tcBorders>
                    <w:tl2br w:val="nil"/>
                    <w:tr2bl w:val="nil"/>
                  </w:tcBorders>
                  <w:shd w:val="clear" w:color="auto" w:fill="auto"/>
                  <w:vAlign w:val="center"/>
                </w:tcPr>
                <w:p w14:paraId="3FBF14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0.043</w:t>
                  </w:r>
                </w:p>
              </w:tc>
              <w:tc>
                <w:tcPr>
                  <w:tcW w:w="1824" w:type="dxa"/>
                  <w:tcBorders>
                    <w:tl2br w:val="nil"/>
                    <w:tr2bl w:val="nil"/>
                  </w:tcBorders>
                  <w:shd w:val="clear" w:color="auto" w:fill="auto"/>
                  <w:vAlign w:val="center"/>
                </w:tcPr>
                <w:p w14:paraId="7977D3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0.140</w:t>
                  </w:r>
                </w:p>
              </w:tc>
              <w:tc>
                <w:tcPr>
                  <w:tcW w:w="1698" w:type="dxa"/>
                  <w:tcBorders>
                    <w:right w:val="single" w:color="auto" w:sz="4" w:space="0"/>
                    <w:tl2br w:val="nil"/>
                    <w:tr2bl w:val="nil"/>
                  </w:tcBorders>
                  <w:shd w:val="clear" w:color="auto" w:fill="auto"/>
                  <w:noWrap/>
                  <w:vAlign w:val="center"/>
                </w:tcPr>
                <w:p w14:paraId="222A01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0.183</w:t>
                  </w:r>
                </w:p>
              </w:tc>
            </w:tr>
            <w:tr w14:paraId="7334633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567" w:type="dxa"/>
                  <w:vMerge w:val="continue"/>
                  <w:tcBorders>
                    <w:left w:val="single" w:color="auto" w:sz="4" w:space="0"/>
                    <w:bottom w:val="single" w:color="auto" w:sz="4" w:space="0"/>
                    <w:tl2br w:val="nil"/>
                    <w:tr2bl w:val="nil"/>
                  </w:tcBorders>
                  <w:shd w:val="clear" w:color="auto" w:fill="auto"/>
                  <w:vAlign w:val="center"/>
                </w:tcPr>
                <w:p w14:paraId="21DD01ED">
                  <w:pPr>
                    <w:jc w:val="center"/>
                    <w:rPr>
                      <w:rFonts w:hint="default" w:ascii="Times New Roman" w:hAnsi="Times New Roman" w:eastAsia="宋体" w:cs="Times New Roman"/>
                      <w:i w:val="0"/>
                      <w:iCs w:val="0"/>
                      <w:color w:val="auto"/>
                      <w:sz w:val="21"/>
                      <w:szCs w:val="21"/>
                      <w:u w:val="none"/>
                    </w:rPr>
                  </w:pPr>
                </w:p>
              </w:tc>
              <w:tc>
                <w:tcPr>
                  <w:tcW w:w="1218" w:type="dxa"/>
                  <w:tcBorders>
                    <w:bottom w:val="single" w:color="auto" w:sz="4" w:space="0"/>
                    <w:tl2br w:val="nil"/>
                    <w:tr2bl w:val="nil"/>
                  </w:tcBorders>
                  <w:shd w:val="clear" w:color="auto" w:fill="auto"/>
                  <w:vAlign w:val="center"/>
                </w:tcPr>
                <w:p w14:paraId="48933B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vertAlign w:val="baseline"/>
                      <w:lang w:val="en-US" w:eastAsia="zh-CN" w:bidi="ar"/>
                    </w:rPr>
                    <w:t>H</w:t>
                  </w:r>
                  <w:r>
                    <w:rPr>
                      <w:rFonts w:hint="default" w:ascii="Times New Roman" w:hAnsi="Times New Roman" w:cs="Times New Roman"/>
                      <w:i w:val="0"/>
                      <w:iCs w:val="0"/>
                      <w:color w:val="auto"/>
                      <w:kern w:val="0"/>
                      <w:sz w:val="21"/>
                      <w:szCs w:val="21"/>
                      <w:u w:val="none"/>
                      <w:vertAlign w:val="sub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S</w:t>
                  </w:r>
                </w:p>
              </w:tc>
              <w:tc>
                <w:tcPr>
                  <w:tcW w:w="1832" w:type="dxa"/>
                  <w:tcBorders>
                    <w:bottom w:val="single" w:color="auto" w:sz="4" w:space="0"/>
                    <w:tl2br w:val="nil"/>
                    <w:tr2bl w:val="nil"/>
                  </w:tcBorders>
                  <w:shd w:val="clear" w:color="auto" w:fill="auto"/>
                  <w:vAlign w:val="center"/>
                </w:tcPr>
                <w:p w14:paraId="497B67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1824" w:type="dxa"/>
                  <w:tcBorders>
                    <w:bottom w:val="single" w:color="auto" w:sz="4" w:space="0"/>
                    <w:tl2br w:val="nil"/>
                    <w:tr2bl w:val="nil"/>
                  </w:tcBorders>
                  <w:shd w:val="clear" w:color="auto" w:fill="auto"/>
                  <w:vAlign w:val="center"/>
                </w:tcPr>
                <w:p w14:paraId="6BEABF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698" w:type="dxa"/>
                  <w:tcBorders>
                    <w:bottom w:val="single" w:color="auto" w:sz="4" w:space="0"/>
                    <w:right w:val="single" w:color="auto" w:sz="4" w:space="0"/>
                    <w:tl2br w:val="nil"/>
                    <w:tr2bl w:val="nil"/>
                  </w:tcBorders>
                  <w:shd w:val="clear" w:color="auto" w:fill="auto"/>
                  <w:noWrap/>
                  <w:vAlign w:val="center"/>
                </w:tcPr>
                <w:p w14:paraId="05F387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0.007</w:t>
                  </w:r>
                </w:p>
              </w:tc>
            </w:tr>
          </w:tbl>
          <w:p w14:paraId="6CE178CB">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项目现有工程臭气以无组织形式排放，根据《内蒙古德源水务有限公司废气检测（2026年2月5日）》，污水厂厂界氨、硫化氢的1小时平均值检测结果均可满足《城镇污水处理厂污染物排放标准》（</w:t>
            </w:r>
            <w:r>
              <w:rPr>
                <w:rFonts w:hint="default" w:ascii="Times New Roman" w:hAnsi="Times New Roman" w:cs="Times New Roman"/>
                <w:color w:val="auto"/>
                <w:kern w:val="0"/>
                <w:sz w:val="24"/>
                <w:highlight w:val="none"/>
                <w:lang w:val="en-US" w:eastAsia="zh-CN"/>
              </w:rPr>
              <w:t xml:space="preserve">GB </w:t>
            </w:r>
            <w:r>
              <w:rPr>
                <w:rFonts w:hint="eastAsia" w:ascii="Times New Roman" w:hAnsi="Times New Roman" w:cs="Times New Roman"/>
                <w:color w:val="auto"/>
                <w:kern w:val="0"/>
                <w:sz w:val="24"/>
                <w:highlight w:val="none"/>
                <w:lang w:val="en-US" w:eastAsia="zh-CN"/>
              </w:rPr>
              <w:t>18918—</w:t>
            </w:r>
            <w:r>
              <w:rPr>
                <w:rFonts w:hint="default" w:ascii="Times New Roman" w:hAnsi="Times New Roman" w:eastAsia="宋体" w:cs="Times New Roman"/>
                <w:color w:val="auto"/>
                <w:kern w:val="0"/>
                <w:sz w:val="24"/>
                <w:highlight w:val="none"/>
                <w:lang w:val="en-US" w:eastAsia="zh-CN"/>
              </w:rPr>
              <w:t>2002）及其修改单表4二级标准：N</w:t>
            </w:r>
            <w:r>
              <w:rPr>
                <w:rFonts w:hint="default" w:ascii="Times New Roman" w:hAnsi="Times New Roman" w:cs="Times New Roman"/>
                <w:color w:val="auto"/>
                <w:kern w:val="0"/>
                <w:sz w:val="24"/>
                <w:highlight w:val="none"/>
                <w:vertAlign w:val="baseline"/>
                <w:lang w:val="en-US" w:eastAsia="zh-CN"/>
              </w:rPr>
              <w:t>H</w:t>
            </w:r>
            <w:r>
              <w:rPr>
                <w:rFonts w:hint="default" w:ascii="Times New Roman" w:hAnsi="Times New Roman" w:cs="Times New Roman"/>
                <w:color w:val="auto"/>
                <w:kern w:val="0"/>
                <w:sz w:val="24"/>
                <w:highlight w:val="none"/>
                <w:vertAlign w:val="subscript"/>
                <w:lang w:val="en-US" w:eastAsia="zh-CN"/>
              </w:rPr>
              <w:t>3</w:t>
            </w:r>
            <w:r>
              <w:rPr>
                <w:rFonts w:hint="default" w:ascii="Times New Roman" w:hAnsi="Times New Roman" w:eastAsia="宋体" w:cs="Times New Roman"/>
                <w:color w:val="auto"/>
                <w:kern w:val="0"/>
                <w:sz w:val="24"/>
                <w:highlight w:val="none"/>
                <w:lang w:val="en-US" w:eastAsia="zh-CN"/>
              </w:rPr>
              <w:t>≤1.5</w:t>
            </w:r>
            <w:r>
              <w:rPr>
                <w:rFonts w:hint="default" w:ascii="Times New Roman" w:hAnsi="Times New Roman" w:cs="Times New Roman"/>
                <w:color w:val="auto"/>
                <w:kern w:val="0"/>
                <w:sz w:val="24"/>
                <w:highlight w:val="none"/>
                <w:lang w:val="en-US" w:eastAsia="zh-CN"/>
              </w:rPr>
              <w:t>m</w:t>
            </w:r>
            <w:r>
              <w:rPr>
                <w:rFonts w:hint="default" w:ascii="Times New Roman" w:hAnsi="Times New Roman" w:eastAsia="宋体" w:cs="Times New Roman"/>
                <w:color w:val="auto"/>
                <w:kern w:val="0"/>
                <w:sz w:val="24"/>
                <w:highlight w:val="none"/>
                <w:lang w:val="en-US" w:eastAsia="zh-CN"/>
              </w:rPr>
              <w:t>g/</w:t>
            </w:r>
            <w:r>
              <w:rPr>
                <w:rFonts w:hint="default" w:ascii="Times New Roman" w:hAnsi="Times New Roman" w:cs="Times New Roman"/>
                <w:color w:val="auto"/>
                <w:kern w:val="0"/>
                <w:sz w:val="24"/>
                <w:highlight w:val="none"/>
                <w:vertAlign w:val="baseline"/>
                <w:lang w:val="en-US" w:eastAsia="zh-CN"/>
              </w:rPr>
              <w:t>m</w:t>
            </w:r>
            <w:r>
              <w:rPr>
                <w:rFonts w:hint="default" w:ascii="Times New Roman" w:hAnsi="Times New Roman"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cs="Times New Roman"/>
                <w:color w:val="auto"/>
                <w:kern w:val="0"/>
                <w:sz w:val="24"/>
                <w:highlight w:val="none"/>
                <w:vertAlign w:val="baseline"/>
                <w:lang w:val="en-US" w:eastAsia="zh-CN"/>
              </w:rPr>
              <w:t>H</w:t>
            </w:r>
            <w:r>
              <w:rPr>
                <w:rFonts w:hint="default" w:ascii="Times New Roman" w:hAnsi="Times New Roman" w:cs="Times New Roman"/>
                <w:color w:val="auto"/>
                <w:kern w:val="0"/>
                <w:sz w:val="24"/>
                <w:highlight w:val="none"/>
                <w:vertAlign w:val="subscript"/>
                <w:lang w:val="en-US" w:eastAsia="zh-CN"/>
              </w:rPr>
              <w:t>2</w:t>
            </w:r>
            <w:r>
              <w:rPr>
                <w:rFonts w:hint="default" w:ascii="Times New Roman" w:hAnsi="Times New Roman" w:eastAsia="宋体" w:cs="Times New Roman"/>
                <w:color w:val="auto"/>
                <w:kern w:val="0"/>
                <w:sz w:val="24"/>
                <w:highlight w:val="none"/>
                <w:lang w:val="en-US" w:eastAsia="zh-CN"/>
              </w:rPr>
              <w:t>S≤0.06</w:t>
            </w:r>
            <w:r>
              <w:rPr>
                <w:rFonts w:hint="default" w:ascii="Times New Roman" w:hAnsi="Times New Roman" w:cs="Times New Roman"/>
                <w:color w:val="auto"/>
                <w:kern w:val="0"/>
                <w:sz w:val="24"/>
                <w:highlight w:val="none"/>
                <w:lang w:val="en-US" w:eastAsia="zh-CN"/>
              </w:rPr>
              <w:t>m</w:t>
            </w:r>
            <w:r>
              <w:rPr>
                <w:rFonts w:hint="default" w:ascii="Times New Roman" w:hAnsi="Times New Roman" w:eastAsia="宋体" w:cs="Times New Roman"/>
                <w:color w:val="auto"/>
                <w:kern w:val="0"/>
                <w:sz w:val="24"/>
                <w:highlight w:val="none"/>
                <w:lang w:val="en-US" w:eastAsia="zh-CN"/>
              </w:rPr>
              <w:t>g/</w:t>
            </w:r>
            <w:r>
              <w:rPr>
                <w:rFonts w:hint="default" w:ascii="Times New Roman" w:hAnsi="Times New Roman" w:cs="Times New Roman"/>
                <w:color w:val="auto"/>
                <w:kern w:val="0"/>
                <w:sz w:val="24"/>
                <w:highlight w:val="none"/>
                <w:vertAlign w:val="baseline"/>
                <w:lang w:val="en-US" w:eastAsia="zh-CN"/>
              </w:rPr>
              <w:t>m</w:t>
            </w:r>
            <w:r>
              <w:rPr>
                <w:rFonts w:hint="default" w:ascii="Times New Roman" w:hAnsi="Times New Roman"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w:t>
            </w:r>
          </w:p>
          <w:p w14:paraId="6FB4FE30">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（2）废水</w:t>
            </w:r>
          </w:p>
          <w:p w14:paraId="1E12409A">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污水厂现有处理能力为8500t/d，根据《杭锦旗锡尼镇污水处理厂扩建工程竣工环境保护自主验收意见》及《内蒙古德源水务有限公司3月份污水检测（2026年3月27日）》，污水处理厂处理后中水可达到《城镇污水处理厂污染物排放标准》（GB</w:t>
            </w:r>
            <w:r>
              <w:rPr>
                <w:rFonts w:hint="eastAsia"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lang w:val="en-US" w:eastAsia="zh-CN"/>
              </w:rPr>
              <w:t>18918—2002）及其修改单中一级A标准、《城市污水再生利用 工业用水水质》（GB/T</w:t>
            </w:r>
            <w:r>
              <w:rPr>
                <w:rFonts w:hint="eastAsia"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lang w:val="en-US" w:eastAsia="zh-CN"/>
              </w:rPr>
              <w:t>19923—2024）、《城市污水再生利用 城市杂用水水质》（GB/T</w:t>
            </w:r>
            <w:r>
              <w:rPr>
                <w:rFonts w:hint="eastAsia"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lang w:val="en-US" w:eastAsia="zh-CN"/>
              </w:rPr>
              <w:t>18920—2020）标准要求。处理后的中水项目处理后的中水夏季用于园林绿化、鄂尔多斯市新能源产业示范区企业及内蒙古能源发电杭锦发电有限公司工业用水，冬季用于鄂尔多斯市新能源产业示范区生产用水，剩余部分排入陶赖沟水库暂存，冬储夏灌。</w:t>
            </w:r>
          </w:p>
          <w:p w14:paraId="4EAFAD52">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污水厂职工生活污水进入本项目污水处理系统。</w:t>
            </w:r>
          </w:p>
          <w:p w14:paraId="7F9D36AB">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（3）噪声</w:t>
            </w:r>
          </w:p>
          <w:p w14:paraId="3836B051">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项目采用低噪声设备，噪声较大的设备均安装了基础减振，均置于厂房中，风机安装隔声板隔声。</w:t>
            </w:r>
          </w:p>
          <w:p w14:paraId="76460FD5">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根据《内蒙古德源水务有限公司第一季度噪声检测（2026年3月30日）》监测数据，厂界昼间噪声值满足《工业企业厂界环境噪声排放标准》</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GB 12348-2008</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中2类标准。</w:t>
            </w:r>
          </w:p>
          <w:p w14:paraId="7D50DF85">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4</w:t>
            </w:r>
            <w:r>
              <w:rPr>
                <w:rFonts w:hint="default" w:ascii="Times New Roman" w:hAnsi="Times New Roman" w:eastAsia="宋体" w:cs="Times New Roman"/>
                <w:color w:val="auto"/>
                <w:kern w:val="0"/>
                <w:sz w:val="24"/>
                <w:highlight w:val="none"/>
                <w:lang w:val="en-US" w:eastAsia="zh-CN"/>
              </w:rPr>
              <w:t>）固废</w:t>
            </w:r>
          </w:p>
          <w:p w14:paraId="322A1F4B">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现有工程固体废物主要为栅渣25.5t/a、脱水泥饼1530t/a、生活垃圾3.3t/a，均送至锡尼镇垃圾填埋场统一收集处理。危险废物产生量为分析废液0.8t/a、废机油0.2t/a。实验室分析废液定期交由通辽市轩鼎鸿泰环保科技有限公司拉运处置。废矿物油定期交由鄂尔多斯市蒙鸿再生资源回收有限公司拉运处置。</w:t>
            </w:r>
          </w:p>
          <w:p w14:paraId="5BC1DF7D">
            <w:pPr>
              <w:spacing w:line="360"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4.现有工程排污许可情况</w:t>
            </w:r>
          </w:p>
          <w:p w14:paraId="7383DAC0">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排污许可证证书编号：91150625MA0Q2</w:t>
            </w:r>
            <w:r>
              <w:rPr>
                <w:rFonts w:hint="default" w:ascii="Times New Roman" w:hAnsi="Times New Roman" w:cs="Times New Roman"/>
                <w:color w:val="auto"/>
                <w:kern w:val="0"/>
                <w:sz w:val="24"/>
                <w:highlight w:val="none"/>
                <w:lang w:val="en-US" w:eastAsia="zh-CN"/>
              </w:rPr>
              <w:t>H</w:t>
            </w:r>
            <w:r>
              <w:rPr>
                <w:rFonts w:hint="default" w:ascii="Times New Roman" w:hAnsi="Times New Roman" w:eastAsia="宋体" w:cs="Times New Roman"/>
                <w:color w:val="auto"/>
                <w:kern w:val="0"/>
                <w:sz w:val="24"/>
                <w:highlight w:val="none"/>
                <w:lang w:val="en-US" w:eastAsia="zh-CN"/>
              </w:rPr>
              <w:t>WE6G001Z</w:t>
            </w:r>
          </w:p>
          <w:p w14:paraId="27F74223">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单位名称：内蒙古德源水务有限公司</w:t>
            </w:r>
          </w:p>
          <w:p w14:paraId="68DFFE3E">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行业类别：污水处理及其再生利用</w:t>
            </w:r>
          </w:p>
          <w:p w14:paraId="77F7A8EF">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有效期限：自2022年6月30日至2027年6月29日止</w:t>
            </w:r>
          </w:p>
          <w:p w14:paraId="5F88E717">
            <w:pPr>
              <w:spacing w:line="360" w:lineRule="auto"/>
              <w:ind w:firstLine="482" w:firstLineChars="200"/>
              <w:rPr>
                <w:rFonts w:hint="default" w:ascii="Times New Roman" w:hAnsi="Times New Roman" w:eastAsia="宋体" w:cs="Times New Roman"/>
                <w:b/>
                <w:bCs/>
                <w:color w:val="auto"/>
                <w:kern w:val="0"/>
                <w:sz w:val="24"/>
                <w:highlight w:val="none"/>
                <w:lang w:val="en-US"/>
              </w:rPr>
            </w:pPr>
            <w:r>
              <w:rPr>
                <w:rFonts w:hint="default" w:ascii="Times New Roman" w:hAnsi="Times New Roman" w:eastAsia="宋体" w:cs="Times New Roman"/>
                <w:b/>
                <w:bCs/>
                <w:color w:val="auto"/>
                <w:kern w:val="0"/>
                <w:sz w:val="24"/>
                <w:highlight w:val="none"/>
                <w:lang w:val="en-US" w:eastAsia="zh-CN"/>
              </w:rPr>
              <w:t>5.</w:t>
            </w:r>
            <w:r>
              <w:rPr>
                <w:rFonts w:hint="default" w:ascii="Times New Roman" w:hAnsi="Times New Roman" w:eastAsia="宋体" w:cs="Times New Roman"/>
                <w:b/>
                <w:bCs/>
                <w:color w:val="auto"/>
                <w:kern w:val="0"/>
                <w:sz w:val="24"/>
                <w:highlight w:val="none"/>
                <w:lang w:val="en-US"/>
              </w:rPr>
              <w:t>现有工程存在主要环境问题及整改措施</w:t>
            </w:r>
          </w:p>
          <w:p w14:paraId="087640A9">
            <w:pPr>
              <w:spacing w:line="360" w:lineRule="auto"/>
              <w:ind w:firstLine="480" w:firstLineChars="200"/>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根据现状污水厂近3年水量监测数据，2023年平均日进水量为0.79万</w:t>
            </w:r>
            <w:r>
              <w:rPr>
                <w:rFonts w:hint="default" w:ascii="Times New Roman" w:hAnsi="Times New Roman" w:cs="Times New Roman"/>
                <w:color w:val="auto"/>
                <w:kern w:val="0"/>
                <w:sz w:val="24"/>
                <w:highlight w:val="none"/>
                <w:vertAlign w:val="baseline"/>
                <w:lang w:eastAsia="zh-CN"/>
              </w:rPr>
              <w:t>m</w:t>
            </w:r>
            <w:r>
              <w:rPr>
                <w:rFonts w:hint="default" w:ascii="Times New Roman" w:hAnsi="Times New Roman" w:cs="Times New Roman"/>
                <w:color w:val="auto"/>
                <w:kern w:val="0"/>
                <w:sz w:val="24"/>
                <w:highlight w:val="none"/>
                <w:vertAlign w:val="superscript"/>
                <w:lang w:eastAsia="zh-CN"/>
              </w:rPr>
              <w:t>3</w:t>
            </w:r>
            <w:r>
              <w:rPr>
                <w:rFonts w:hint="default" w:ascii="Times New Roman" w:hAnsi="Times New Roman" w:eastAsia="宋体" w:cs="Times New Roman"/>
                <w:color w:val="auto"/>
                <w:kern w:val="0"/>
                <w:sz w:val="24"/>
                <w:highlight w:val="none"/>
              </w:rPr>
              <w:t>/d，2024年为0.82万</w:t>
            </w:r>
            <w:r>
              <w:rPr>
                <w:rFonts w:hint="default" w:ascii="Times New Roman" w:hAnsi="Times New Roman" w:cs="Times New Roman"/>
                <w:color w:val="auto"/>
                <w:kern w:val="0"/>
                <w:sz w:val="24"/>
                <w:highlight w:val="none"/>
                <w:vertAlign w:val="baseline"/>
                <w:lang w:eastAsia="zh-CN"/>
              </w:rPr>
              <w:t>m</w:t>
            </w:r>
            <w:r>
              <w:rPr>
                <w:rFonts w:hint="default" w:ascii="Times New Roman" w:hAnsi="Times New Roman" w:cs="Times New Roman"/>
                <w:color w:val="auto"/>
                <w:kern w:val="0"/>
                <w:sz w:val="24"/>
                <w:highlight w:val="none"/>
                <w:vertAlign w:val="superscript"/>
                <w:lang w:eastAsia="zh-CN"/>
              </w:rPr>
              <w:t>3</w:t>
            </w:r>
            <w:r>
              <w:rPr>
                <w:rFonts w:hint="default" w:ascii="Times New Roman" w:hAnsi="Times New Roman" w:eastAsia="宋体" w:cs="Times New Roman"/>
                <w:color w:val="auto"/>
                <w:kern w:val="0"/>
                <w:sz w:val="24"/>
                <w:highlight w:val="none"/>
              </w:rPr>
              <w:t>/d，2025年为0.87万</w:t>
            </w:r>
            <w:r>
              <w:rPr>
                <w:rFonts w:hint="default" w:ascii="Times New Roman" w:hAnsi="Times New Roman" w:cs="Times New Roman"/>
                <w:color w:val="auto"/>
                <w:kern w:val="0"/>
                <w:sz w:val="24"/>
                <w:highlight w:val="none"/>
                <w:vertAlign w:val="baseline"/>
                <w:lang w:eastAsia="zh-CN"/>
              </w:rPr>
              <w:t>m</w:t>
            </w:r>
            <w:r>
              <w:rPr>
                <w:rFonts w:hint="default" w:ascii="Times New Roman" w:hAnsi="Times New Roman" w:cs="Times New Roman"/>
                <w:color w:val="auto"/>
                <w:kern w:val="0"/>
                <w:sz w:val="24"/>
                <w:highlight w:val="none"/>
                <w:vertAlign w:val="superscript"/>
                <w:lang w:eastAsia="zh-CN"/>
              </w:rPr>
              <w:t>3</w:t>
            </w:r>
            <w:r>
              <w:rPr>
                <w:rFonts w:hint="default" w:ascii="Times New Roman" w:hAnsi="Times New Roman" w:eastAsia="宋体" w:cs="Times New Roman"/>
                <w:color w:val="auto"/>
                <w:kern w:val="0"/>
                <w:sz w:val="24"/>
                <w:highlight w:val="none"/>
              </w:rPr>
              <w:t>/d，现有污水厂一、二期总规模8500</w:t>
            </w:r>
            <w:r>
              <w:rPr>
                <w:rFonts w:hint="default" w:ascii="Times New Roman" w:hAnsi="Times New Roman" w:cs="Times New Roman"/>
                <w:color w:val="auto"/>
                <w:kern w:val="0"/>
                <w:sz w:val="24"/>
                <w:highlight w:val="none"/>
                <w:lang w:eastAsia="zh-CN"/>
              </w:rPr>
              <w:t>m</w:t>
            </w:r>
            <w:r>
              <w:rPr>
                <w:rFonts w:hint="default" w:ascii="Times New Roman" w:hAnsi="Times New Roman" w:eastAsia="宋体" w:cs="Times New Roman"/>
                <w:color w:val="auto"/>
                <w:kern w:val="0"/>
                <w:sz w:val="24"/>
                <w:highlight w:val="none"/>
              </w:rPr>
              <w:t>³/d已处于满负荷、超负荷运行状态，急需对</w:t>
            </w:r>
            <w:r>
              <w:rPr>
                <w:rFonts w:hint="eastAsia" w:cs="Times New Roman"/>
                <w:color w:val="auto"/>
                <w:kern w:val="0"/>
                <w:sz w:val="24"/>
                <w:highlight w:val="none"/>
                <w:lang w:eastAsia="zh-CN"/>
              </w:rPr>
              <w:t>污</w:t>
            </w:r>
            <w:r>
              <w:rPr>
                <w:rFonts w:hint="default" w:ascii="Times New Roman" w:hAnsi="Times New Roman" w:eastAsia="宋体" w:cs="Times New Roman"/>
                <w:color w:val="auto"/>
                <w:kern w:val="0"/>
                <w:sz w:val="24"/>
                <w:highlight w:val="none"/>
              </w:rPr>
              <w:t>水厂进行扩建</w:t>
            </w:r>
            <w:r>
              <w:rPr>
                <w:rFonts w:hint="default" w:ascii="Times New Roman" w:hAnsi="Times New Roman" w:cs="Times New Roman"/>
                <w:color w:val="auto"/>
                <w:lang w:val="en-US" w:eastAsia="zh-CN"/>
              </w:rPr>
              <w:t>。</w:t>
            </w:r>
            <w:r>
              <w:rPr>
                <w:rFonts w:hint="default" w:ascii="Times New Roman" w:hAnsi="Times New Roman" w:eastAsia="宋体" w:cs="Times New Roman"/>
                <w:color w:val="auto"/>
                <w:kern w:val="0"/>
                <w:sz w:val="24"/>
                <w:highlight w:val="none"/>
                <w:lang w:eastAsia="zh-CN"/>
              </w:rPr>
              <w:t>现状一期、二期工程未配套建设滤池设施，导致出水SS等关键水质指标稳定性不足。</w:t>
            </w:r>
          </w:p>
          <w:p w14:paraId="3AEAB3D9">
            <w:pPr>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综上，污水处理厂</w:t>
            </w:r>
            <w:r>
              <w:rPr>
                <w:rFonts w:hint="default" w:ascii="Times New Roman" w:hAnsi="Times New Roman" w:cs="Times New Roman"/>
                <w:color w:val="auto"/>
                <w:kern w:val="0"/>
                <w:sz w:val="24"/>
                <w:highlight w:val="none"/>
                <w:lang w:val="en-US" w:eastAsia="zh-CN"/>
              </w:rPr>
              <w:t>三</w:t>
            </w:r>
            <w:r>
              <w:rPr>
                <w:rFonts w:hint="default" w:ascii="Times New Roman" w:hAnsi="Times New Roman" w:eastAsia="宋体" w:cs="Times New Roman"/>
                <w:color w:val="auto"/>
                <w:kern w:val="0"/>
                <w:sz w:val="24"/>
                <w:highlight w:val="none"/>
                <w:lang w:val="en-US" w:eastAsia="zh-CN"/>
              </w:rPr>
              <w:t>期工程</w:t>
            </w:r>
            <w:r>
              <w:rPr>
                <w:rFonts w:hint="default" w:ascii="Times New Roman" w:hAnsi="Times New Roman" w:cs="Times New Roman"/>
                <w:color w:val="auto"/>
                <w:kern w:val="0"/>
                <w:sz w:val="24"/>
                <w:highlight w:val="none"/>
                <w:lang w:val="en-US" w:eastAsia="zh-CN"/>
              </w:rPr>
              <w:t>建设</w:t>
            </w:r>
            <w:r>
              <w:rPr>
                <w:rFonts w:hint="default" w:ascii="Times New Roman" w:hAnsi="Times New Roman" w:eastAsia="宋体" w:cs="Times New Roman"/>
                <w:color w:val="auto"/>
                <w:kern w:val="0"/>
                <w:sz w:val="24"/>
                <w:highlight w:val="none"/>
              </w:rPr>
              <w:t>迫在眉睫</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杭锦旗锡尼镇污水处理厂一期工程现有处理能力为2000t/d，处理工艺采用</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AAO法+磁混凝澄清池</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工艺</w:t>
            </w:r>
            <w:r>
              <w:rPr>
                <w:rFonts w:hint="default" w:ascii="Times New Roman" w:hAnsi="Times New Roman"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二期工程现有处理能力为6500t/d，处理工艺采用</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五段Bardenpho+磁混凝澄清池</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工艺</w:t>
            </w:r>
            <w:r>
              <w:rPr>
                <w:rFonts w:hint="default" w:ascii="Times New Roman" w:hAnsi="Times New Roman" w:eastAsia="宋体" w:cs="Times New Roman"/>
                <w:color w:val="auto"/>
                <w:kern w:val="0"/>
                <w:sz w:val="24"/>
                <w:highlight w:val="none"/>
                <w:lang w:val="en-US" w:eastAsia="zh-CN"/>
              </w:rPr>
              <w:t>。本次三期新增处理规模为5500t/d，处理工艺采用</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粗格栅+细格栅+曝气沉砂池+改良Bardenpho+二沉池+磁混凝沉淀池+V型滤池+消毒</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工艺；污泥处理方案采用</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机械浓缩+高压板框压滤脱水</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工艺。</w:t>
            </w:r>
            <w:r>
              <w:rPr>
                <w:rFonts w:hint="default" w:ascii="Times New Roman" w:hAnsi="Times New Roman" w:eastAsia="宋体" w:cs="Times New Roman"/>
                <w:color w:val="auto"/>
                <w:kern w:val="0"/>
                <w:sz w:val="24"/>
                <w:highlight w:val="none"/>
                <w:lang w:eastAsia="zh-CN"/>
              </w:rPr>
              <w:t>本次V型滤池按现状工程与本次设计总规模统一规划设计。</w:t>
            </w:r>
            <w:r>
              <w:rPr>
                <w:rFonts w:hint="default" w:ascii="Times New Roman" w:hAnsi="Times New Roman" w:eastAsia="宋体" w:cs="Times New Roman"/>
                <w:color w:val="auto"/>
                <w:kern w:val="0"/>
                <w:sz w:val="24"/>
                <w:highlight w:val="none"/>
                <w:lang w:val="en-US" w:eastAsia="zh-CN"/>
              </w:rPr>
              <w:t>本项目建成后污水厂总规模达到1.4万t/d，设计出水水质达到《城镇污水处理厂污染物排放标准》（</w:t>
            </w:r>
            <w:r>
              <w:rPr>
                <w:rFonts w:hint="default" w:ascii="Times New Roman" w:hAnsi="Times New Roman" w:cs="Times New Roman"/>
                <w:color w:val="auto"/>
                <w:kern w:val="0"/>
                <w:sz w:val="24"/>
                <w:highlight w:val="none"/>
                <w:lang w:val="en-US" w:eastAsia="zh-CN"/>
              </w:rPr>
              <w:t xml:space="preserve">GB </w:t>
            </w:r>
            <w:r>
              <w:rPr>
                <w:rFonts w:hint="eastAsia" w:ascii="Times New Roman" w:hAnsi="Times New Roman" w:cs="Times New Roman"/>
                <w:color w:val="auto"/>
                <w:kern w:val="0"/>
                <w:sz w:val="24"/>
                <w:highlight w:val="none"/>
                <w:lang w:val="en-US" w:eastAsia="zh-CN"/>
              </w:rPr>
              <w:t>18918—</w:t>
            </w:r>
            <w:r>
              <w:rPr>
                <w:rFonts w:hint="default" w:ascii="Times New Roman" w:hAnsi="Times New Roman" w:eastAsia="宋体" w:cs="Times New Roman"/>
                <w:color w:val="auto"/>
                <w:kern w:val="0"/>
                <w:sz w:val="24"/>
                <w:highlight w:val="none"/>
                <w:lang w:val="en-US" w:eastAsia="zh-CN"/>
              </w:rPr>
              <w:t>2002）及其修改单中的一级A标准及《城市污水再生利用 工业用水水质》（</w:t>
            </w:r>
            <w:r>
              <w:rPr>
                <w:rFonts w:hint="default" w:ascii="Times New Roman" w:hAnsi="Times New Roman" w:cs="Times New Roman"/>
                <w:color w:val="auto"/>
                <w:kern w:val="0"/>
                <w:sz w:val="24"/>
                <w:highlight w:val="none"/>
                <w:lang w:val="en-US" w:eastAsia="zh-CN"/>
              </w:rPr>
              <w:t xml:space="preserve">GB/T </w:t>
            </w:r>
            <w:r>
              <w:rPr>
                <w:rFonts w:hint="eastAsia" w:ascii="Times New Roman" w:hAnsi="Times New Roman" w:cs="Times New Roman"/>
                <w:color w:val="auto"/>
                <w:kern w:val="0"/>
                <w:sz w:val="24"/>
                <w:highlight w:val="none"/>
                <w:lang w:val="en-US" w:eastAsia="zh-CN"/>
              </w:rPr>
              <w:t>19923—</w:t>
            </w:r>
            <w:r>
              <w:rPr>
                <w:rFonts w:hint="default" w:ascii="Times New Roman" w:hAnsi="Times New Roman" w:eastAsia="宋体" w:cs="Times New Roman"/>
                <w:color w:val="auto"/>
                <w:kern w:val="0"/>
                <w:sz w:val="24"/>
                <w:highlight w:val="none"/>
                <w:lang w:val="en-US" w:eastAsia="zh-CN"/>
              </w:rPr>
              <w:t>2024）、《城市污水再生利用 城市杂用水水质》（</w:t>
            </w:r>
            <w:r>
              <w:rPr>
                <w:rFonts w:hint="default" w:ascii="Times New Roman" w:hAnsi="Times New Roman" w:cs="Times New Roman"/>
                <w:color w:val="auto"/>
                <w:kern w:val="0"/>
                <w:sz w:val="24"/>
                <w:highlight w:val="none"/>
                <w:lang w:val="en-US" w:eastAsia="zh-CN"/>
              </w:rPr>
              <w:t>GB/T 18920</w:t>
            </w:r>
            <w:r>
              <w:rPr>
                <w:rFonts w:hint="eastAsia" w:ascii="Times New Roman" w:hAnsi="Times New Roman" w:cs="Times New Roman"/>
                <w:color w:val="auto"/>
                <w:kern w:val="0"/>
                <w:sz w:val="24"/>
                <w:highlight w:val="none"/>
                <w:lang w:val="en-US" w:eastAsia="zh-CN"/>
              </w:rPr>
              <w:t>—2020</w:t>
            </w:r>
            <w:r>
              <w:rPr>
                <w:rFonts w:hint="default" w:ascii="Times New Roman" w:hAnsi="Times New Roman" w:eastAsia="宋体" w:cs="Times New Roman"/>
                <w:color w:val="auto"/>
                <w:kern w:val="0"/>
                <w:sz w:val="24"/>
                <w:highlight w:val="none"/>
                <w:lang w:val="en-US" w:eastAsia="zh-CN"/>
              </w:rPr>
              <w:t>）标准。</w:t>
            </w:r>
          </w:p>
        </w:tc>
      </w:tr>
    </w:tbl>
    <w:p w14:paraId="2BC17756">
      <w:pPr>
        <w:pStyle w:val="9"/>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D775470">
      <w:pPr>
        <w:pStyle w:val="9"/>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三、区域环境质量现状、环境保护目标及评价标准</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34"/>
        <w:gridCol w:w="8527"/>
      </w:tblGrid>
      <w:tr w14:paraId="65B971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0" w:hRule="atLeast"/>
          <w:jc w:val="center"/>
        </w:trPr>
        <w:tc>
          <w:tcPr>
            <w:tcW w:w="534" w:type="dxa"/>
            <w:vAlign w:val="center"/>
          </w:tcPr>
          <w:p w14:paraId="65EF5847">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区域</w:t>
            </w:r>
          </w:p>
          <w:p w14:paraId="2A1A84EB">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环境</w:t>
            </w:r>
          </w:p>
          <w:p w14:paraId="5669FF24">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质量</w:t>
            </w:r>
          </w:p>
          <w:p w14:paraId="3B6DE4C4">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现状</w:t>
            </w:r>
          </w:p>
        </w:tc>
        <w:tc>
          <w:tcPr>
            <w:tcW w:w="8527" w:type="dxa"/>
            <w:vAlign w:val="center"/>
          </w:tcPr>
          <w:p w14:paraId="01EE0122">
            <w:pPr>
              <w:autoSpaceDE w:val="0"/>
              <w:autoSpaceDN w:val="0"/>
              <w:spacing w:line="360" w:lineRule="auto"/>
              <w:ind w:firstLine="482" w:firstLineChars="200"/>
              <w:jc w:val="left"/>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1.环境空气质量现状监测与评价</w:t>
            </w:r>
          </w:p>
          <w:p w14:paraId="22AE253C">
            <w:pPr>
              <w:spacing w:line="360" w:lineRule="auto"/>
              <w:ind w:firstLine="482" w:firstLineChars="200"/>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1.1达标区判断及基本污染物环境空气质量</w:t>
            </w:r>
          </w:p>
          <w:p w14:paraId="0DD724E7">
            <w:pPr>
              <w:widowControl/>
              <w:spacing w:line="360" w:lineRule="auto"/>
              <w:ind w:firstLine="480" w:firstLineChars="200"/>
              <w:jc w:val="lef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Cs/>
                <w:color w:val="auto"/>
                <w:kern w:val="0"/>
                <w:sz w:val="24"/>
                <w:highlight w:val="none"/>
                <w:lang w:eastAsia="zh-CN"/>
              </w:rPr>
              <w:t>2025年6月</w:t>
            </w:r>
            <w:r>
              <w:rPr>
                <w:rFonts w:hint="default" w:ascii="Times New Roman" w:hAnsi="Times New Roman"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rPr>
              <w:t>内蒙古自治区生态环境厅发布</w:t>
            </w:r>
            <w:r>
              <w:rPr>
                <w:rFonts w:hint="default" w:ascii="Times New Roman" w:hAnsi="Times New Roman" w:eastAsia="宋体" w:cs="Times New Roman"/>
                <w:bCs/>
                <w:color w:val="auto"/>
                <w:kern w:val="0"/>
                <w:sz w:val="24"/>
                <w:highlight w:val="none"/>
                <w:lang w:eastAsia="zh-CN"/>
              </w:rPr>
              <w:t>《2024年内蒙古自治区生态环境状况公报</w:t>
            </w:r>
            <w:r>
              <w:rPr>
                <w:rFonts w:hint="default" w:ascii="Times New Roman" w:hAnsi="Times New Roman" w:eastAsia="宋体" w:cs="Times New Roman"/>
                <w:bCs/>
                <w:color w:val="auto"/>
                <w:kern w:val="0"/>
                <w:sz w:val="24"/>
                <w:highlight w:val="none"/>
              </w:rPr>
              <w:t>》，报告指出</w:t>
            </w:r>
            <w:r>
              <w:rPr>
                <w:rFonts w:hint="eastAsia"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lang w:eastAsia="zh-CN"/>
              </w:rPr>
              <w:t>2024年，全区环境空气六项污染物年均浓度均达标</w:t>
            </w:r>
            <w:r>
              <w:rPr>
                <w:rFonts w:hint="eastAsia" w:cs="Times New Roman"/>
                <w:bCs/>
                <w:color w:val="auto"/>
                <w:kern w:val="0"/>
                <w:sz w:val="24"/>
                <w:highlight w:val="none"/>
                <w:lang w:eastAsia="zh-CN"/>
              </w:rPr>
              <w:t>”</w:t>
            </w:r>
            <w:r>
              <w:rPr>
                <w:rFonts w:hint="default" w:ascii="Times New Roman" w:hAnsi="Times New Roman" w:eastAsia="宋体" w:cs="Times New Roman"/>
                <w:bCs/>
                <w:color w:val="auto"/>
                <w:kern w:val="0"/>
                <w:sz w:val="24"/>
                <w:highlight w:val="none"/>
              </w:rPr>
              <w:t>。</w:t>
            </w:r>
          </w:p>
          <w:p w14:paraId="11AF5B95">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kern w:val="0"/>
                <w:sz w:val="24"/>
                <w:highlight w:val="none"/>
              </w:rPr>
              <w:t>项目所在区域为达标区域</w:t>
            </w:r>
            <w:r>
              <w:rPr>
                <w:rFonts w:hint="default" w:ascii="Times New Roman" w:hAnsi="Times New Roman" w:eastAsia="宋体" w:cs="Times New Roman"/>
                <w:bCs/>
                <w:color w:val="auto"/>
                <w:sz w:val="24"/>
                <w:highlight w:val="none"/>
              </w:rPr>
              <w:t>。</w:t>
            </w:r>
          </w:p>
          <w:p w14:paraId="0F59164F">
            <w:pPr>
              <w:adjustRightInd w:val="0"/>
              <w:snapToGrid w:val="0"/>
              <w:spacing w:line="360" w:lineRule="auto"/>
              <w:ind w:firstLine="482" w:firstLineChars="200"/>
              <w:jc w:val="left"/>
              <w:rPr>
                <w:rFonts w:hint="default"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rPr>
              <w:t>1.2环境空气质量现状补充监测</w:t>
            </w:r>
          </w:p>
          <w:p w14:paraId="0AF12496">
            <w:pPr>
              <w:kinsoku w:val="0"/>
              <w:overflowPunct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（1）监测布点</w:t>
            </w:r>
          </w:p>
          <w:p w14:paraId="033A6FA3">
            <w:pPr>
              <w:kinsoku w:val="0"/>
              <w:overflowPunct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根据《环境影响评价技术导则 大气环境》（</w:t>
            </w:r>
            <w:r>
              <w:rPr>
                <w:rFonts w:hint="default" w:ascii="Times New Roman" w:hAnsi="Times New Roman" w:cs="Times New Roman"/>
                <w:color w:val="auto"/>
                <w:kern w:val="0"/>
                <w:sz w:val="24"/>
                <w:lang w:eastAsia="zh-CN"/>
              </w:rPr>
              <w:t>H</w:t>
            </w:r>
            <w:r>
              <w:rPr>
                <w:rFonts w:hint="default" w:ascii="Times New Roman" w:hAnsi="Times New Roman" w:eastAsia="宋体" w:cs="Times New Roman"/>
                <w:color w:val="auto"/>
                <w:kern w:val="0"/>
                <w:sz w:val="24"/>
              </w:rPr>
              <w:t>J</w:t>
            </w:r>
            <w:r>
              <w:rPr>
                <w:rFonts w:hint="eastAsia" w:ascii="Times New Roman" w:hAnsi="Times New Roman" w:cs="Times New Roman"/>
                <w:color w:val="auto"/>
                <w:kern w:val="0"/>
                <w:sz w:val="24"/>
                <w:lang w:val="en-US" w:eastAsia="zh-CN"/>
              </w:rPr>
              <w:t xml:space="preserve"> </w:t>
            </w:r>
            <w:r>
              <w:rPr>
                <w:rFonts w:hint="default" w:ascii="Times New Roman" w:hAnsi="Times New Roman" w:eastAsia="宋体" w:cs="Times New Roman"/>
                <w:color w:val="auto"/>
                <w:kern w:val="0"/>
                <w:sz w:val="24"/>
              </w:rPr>
              <w:t>2.2</w:t>
            </w:r>
            <w:r>
              <w:rPr>
                <w:rFonts w:hint="eastAsia" w:ascii="Times New Roman" w:hAnsi="Times New Roman" w:cs="Times New Roman"/>
                <w:color w:val="auto"/>
                <w:kern w:val="0"/>
                <w:sz w:val="24"/>
                <w:lang w:eastAsia="zh-CN"/>
              </w:rPr>
              <w:t>—2018</w:t>
            </w:r>
            <w:r>
              <w:rPr>
                <w:rFonts w:hint="default" w:ascii="Times New Roman" w:hAnsi="Times New Roman" w:eastAsia="宋体" w:cs="Times New Roman"/>
                <w:color w:val="auto"/>
                <w:kern w:val="0"/>
                <w:sz w:val="24"/>
              </w:rPr>
              <w:t>）和《建设项目环境影响报告表编制技术指南（污染影响类）（试行）》的要求，结合厂址所在区域的地形特点以及当地气象特征，本次评价共设置1个大气环境质量现状补充监测点</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位于项目区东南方向700m处</w:t>
            </w:r>
            <w:r>
              <w:rPr>
                <w:rFonts w:hint="default" w:ascii="Times New Roman" w:hAnsi="Times New Roman" w:eastAsia="宋体" w:cs="Times New Roman"/>
                <w:color w:val="auto"/>
                <w:kern w:val="0"/>
                <w:sz w:val="24"/>
              </w:rPr>
              <w:t>。内蒙古泽铭技术检测有限公司于202</w:t>
            </w:r>
            <w:r>
              <w:rPr>
                <w:rFonts w:hint="default" w:ascii="Times New Roman" w:hAnsi="Times New Roman" w:cs="Times New Roman"/>
                <w:color w:val="auto"/>
                <w:kern w:val="0"/>
                <w:sz w:val="24"/>
                <w:lang w:val="en-US" w:eastAsia="zh-CN"/>
              </w:rPr>
              <w:t>6</w:t>
            </w:r>
            <w:r>
              <w:rPr>
                <w:rFonts w:hint="default" w:ascii="Times New Roman" w:hAnsi="Times New Roman" w:eastAsia="宋体" w:cs="Times New Roman"/>
                <w:color w:val="auto"/>
                <w:kern w:val="0"/>
                <w:sz w:val="24"/>
              </w:rPr>
              <w:t>年</w:t>
            </w:r>
            <w:r>
              <w:rPr>
                <w:rFonts w:hint="default" w:ascii="Times New Roman" w:hAnsi="Times New Roman" w:cs="Times New Roman"/>
                <w:color w:val="auto"/>
                <w:kern w:val="0"/>
                <w:sz w:val="24"/>
                <w:lang w:val="en-US" w:eastAsia="zh-CN"/>
              </w:rPr>
              <w:t>3</w:t>
            </w:r>
            <w:r>
              <w:rPr>
                <w:rFonts w:hint="default" w:ascii="Times New Roman" w:hAnsi="Times New Roman" w:eastAsia="宋体" w:cs="Times New Roman"/>
                <w:color w:val="auto"/>
                <w:kern w:val="0"/>
                <w:sz w:val="24"/>
              </w:rPr>
              <w:t>月</w:t>
            </w:r>
            <w:r>
              <w:rPr>
                <w:rFonts w:hint="default" w:ascii="Times New Roman" w:hAnsi="Times New Roman" w:cs="Times New Roman"/>
                <w:color w:val="auto"/>
                <w:kern w:val="0"/>
                <w:sz w:val="24"/>
                <w:lang w:val="en-US" w:eastAsia="zh-CN"/>
              </w:rPr>
              <w:t>26</w:t>
            </w:r>
            <w:r>
              <w:rPr>
                <w:rFonts w:hint="default" w:ascii="Times New Roman" w:hAnsi="Times New Roman" w:eastAsia="宋体" w:cs="Times New Roman"/>
                <w:color w:val="auto"/>
                <w:kern w:val="0"/>
                <w:sz w:val="24"/>
              </w:rPr>
              <w:t>日至2</w:t>
            </w:r>
            <w:r>
              <w:rPr>
                <w:rFonts w:hint="default" w:ascii="Times New Roman" w:hAnsi="Times New Roman" w:cs="Times New Roman"/>
                <w:color w:val="auto"/>
                <w:kern w:val="0"/>
                <w:sz w:val="24"/>
                <w:lang w:val="en-US" w:eastAsia="zh-CN"/>
              </w:rPr>
              <w:t>8</w:t>
            </w:r>
            <w:r>
              <w:rPr>
                <w:rFonts w:hint="default" w:ascii="Times New Roman" w:hAnsi="Times New Roman" w:eastAsia="宋体" w:cs="Times New Roman"/>
                <w:color w:val="auto"/>
                <w:kern w:val="0"/>
                <w:sz w:val="24"/>
              </w:rPr>
              <w:t>日连续3天在项目厂区对氨、硫化氢进行采样。</w:t>
            </w:r>
          </w:p>
          <w:p w14:paraId="7E2FFF79">
            <w:pPr>
              <w:widowControl w:val="0"/>
              <w:spacing w:line="360" w:lineRule="auto"/>
              <w:ind w:firstLine="0"/>
              <w:jc w:val="center"/>
              <w:rPr>
                <w:rFonts w:hint="default" w:ascii="Times New Roman" w:hAnsi="Times New Roman" w:eastAsia="宋体" w:cs="Times New Roman"/>
                <w:b/>
                <w:bCs/>
                <w:color w:val="auto"/>
                <w:kern w:val="2"/>
                <w:sz w:val="24"/>
                <w:szCs w:val="32"/>
                <w:lang w:val="en-US" w:eastAsia="zh-CN" w:bidi="ar-SA"/>
              </w:rPr>
            </w:pPr>
            <w:r>
              <w:rPr>
                <w:rFonts w:hint="default" w:ascii="Times New Roman" w:hAnsi="Times New Roman" w:eastAsia="宋体" w:cs="Times New Roman"/>
                <w:b/>
                <w:bCs/>
                <w:color w:val="auto"/>
                <w:kern w:val="2"/>
                <w:sz w:val="24"/>
                <w:szCs w:val="32"/>
                <w:lang w:val="en-US" w:eastAsia="zh-CN" w:bidi="ar-SA"/>
              </w:rPr>
              <w:drawing>
                <wp:inline distT="0" distB="0" distL="114300" distR="114300">
                  <wp:extent cx="5021580" cy="4082415"/>
                  <wp:effectExtent l="0" t="0" r="7620" b="190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3"/>
                          <a:stretch>
                            <a:fillRect/>
                          </a:stretch>
                        </pic:blipFill>
                        <pic:spPr>
                          <a:xfrm>
                            <a:off x="0" y="0"/>
                            <a:ext cx="5021580" cy="4082415"/>
                          </a:xfrm>
                          <a:prstGeom prst="rect">
                            <a:avLst/>
                          </a:prstGeom>
                          <a:noFill/>
                          <a:ln>
                            <a:noFill/>
                          </a:ln>
                        </pic:spPr>
                      </pic:pic>
                    </a:graphicData>
                  </a:graphic>
                </wp:inline>
              </w:drawing>
            </w:r>
          </w:p>
          <w:p w14:paraId="63B728B7">
            <w:pPr>
              <w:widowControl w:val="0"/>
              <w:spacing w:line="360" w:lineRule="auto"/>
              <w:ind w:firstLine="0"/>
              <w:jc w:val="center"/>
              <w:rPr>
                <w:rFonts w:hint="default" w:ascii="Times New Roman" w:hAnsi="Times New Roman" w:eastAsia="宋体" w:cs="Times New Roman"/>
                <w:b/>
                <w:bCs/>
                <w:color w:val="auto"/>
                <w:kern w:val="2"/>
                <w:sz w:val="24"/>
                <w:szCs w:val="32"/>
                <w:lang w:val="en-US" w:eastAsia="zh-CN" w:bidi="ar-SA"/>
              </w:rPr>
            </w:pPr>
            <w:r>
              <w:rPr>
                <w:rFonts w:hint="default" w:ascii="Times New Roman" w:hAnsi="Times New Roman" w:eastAsia="宋体" w:cs="Times New Roman"/>
                <w:b/>
                <w:bCs/>
                <w:color w:val="auto"/>
                <w:kern w:val="2"/>
                <w:sz w:val="24"/>
                <w:szCs w:val="32"/>
                <w:lang w:val="en-US" w:eastAsia="zh-CN" w:bidi="ar-SA"/>
              </w:rPr>
              <w:t>图3-1</w:t>
            </w:r>
            <w:r>
              <w:rPr>
                <w:rFonts w:hint="default" w:ascii="Times New Roman" w:hAnsi="Times New Roman" w:cs="Times New Roman"/>
                <w:b/>
                <w:bCs/>
                <w:color w:val="auto"/>
                <w:kern w:val="2"/>
                <w:sz w:val="24"/>
                <w:szCs w:val="32"/>
                <w:lang w:val="en-US" w:eastAsia="zh-CN" w:bidi="ar-SA"/>
              </w:rPr>
              <w:t xml:space="preserve"> </w:t>
            </w:r>
            <w:r>
              <w:rPr>
                <w:rFonts w:hint="default" w:ascii="Times New Roman" w:hAnsi="Times New Roman" w:eastAsia="宋体" w:cs="Times New Roman"/>
                <w:b/>
                <w:bCs/>
                <w:color w:val="auto"/>
                <w:kern w:val="2"/>
                <w:sz w:val="24"/>
                <w:szCs w:val="32"/>
                <w:lang w:val="en-US" w:eastAsia="zh-CN" w:bidi="ar-SA"/>
              </w:rPr>
              <w:t>本项目与</w:t>
            </w:r>
            <w:r>
              <w:rPr>
                <w:rFonts w:hint="default" w:ascii="Times New Roman" w:hAnsi="Times New Roman" w:cs="Times New Roman"/>
                <w:b/>
                <w:bCs/>
                <w:color w:val="auto"/>
                <w:kern w:val="2"/>
                <w:sz w:val="24"/>
                <w:szCs w:val="32"/>
                <w:lang w:val="en-US" w:eastAsia="zh-CN" w:bidi="ar-SA"/>
              </w:rPr>
              <w:t>大气监测</w:t>
            </w:r>
            <w:r>
              <w:rPr>
                <w:rFonts w:hint="default" w:ascii="Times New Roman" w:hAnsi="Times New Roman" w:eastAsia="宋体" w:cs="Times New Roman"/>
                <w:b/>
                <w:bCs/>
                <w:color w:val="auto"/>
                <w:kern w:val="2"/>
                <w:sz w:val="24"/>
                <w:szCs w:val="32"/>
                <w:lang w:val="en-US" w:eastAsia="zh-CN" w:bidi="ar-SA"/>
              </w:rPr>
              <w:t>点位置关系</w:t>
            </w:r>
          </w:p>
          <w:p w14:paraId="7DF8EA80">
            <w:pPr>
              <w:kinsoku w:val="0"/>
              <w:overflowPunct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（2）环境空气质量现状评价结果</w:t>
            </w:r>
          </w:p>
          <w:p w14:paraId="6D6727A0">
            <w:pPr>
              <w:kinsoku w:val="0"/>
              <w:overflowPunct w:val="0"/>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监测期间，监测点数据统计分析结果见表3-</w:t>
            </w:r>
            <w:r>
              <w:rPr>
                <w:rFonts w:hint="default" w:ascii="Times New Roman" w:hAnsi="Times New Roman" w:cs="Times New Roman"/>
                <w:color w:val="auto"/>
                <w:kern w:val="0"/>
                <w:sz w:val="24"/>
                <w:lang w:val="en-US" w:eastAsia="zh-CN"/>
              </w:rPr>
              <w:t>1</w:t>
            </w:r>
            <w:r>
              <w:rPr>
                <w:rFonts w:hint="default" w:ascii="Times New Roman" w:hAnsi="Times New Roman" w:eastAsia="宋体" w:cs="Times New Roman"/>
                <w:color w:val="auto"/>
                <w:kern w:val="0"/>
                <w:sz w:val="24"/>
              </w:rPr>
              <w:t>。</w:t>
            </w:r>
          </w:p>
          <w:p w14:paraId="1A921160">
            <w:pPr>
              <w:adjustRightInd w:val="0"/>
              <w:snapToGrid w:val="0"/>
              <w:spacing w:before="120" w:beforeLines="5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b/>
                <w:color w:val="auto"/>
                <w:kern w:val="0"/>
                <w:sz w:val="24"/>
              </w:rPr>
              <w:t>表3-</w:t>
            </w:r>
            <w:r>
              <w:rPr>
                <w:rFonts w:hint="default" w:ascii="Times New Roman" w:hAnsi="Times New Roman" w:cs="Times New Roman"/>
                <w:b/>
                <w:color w:val="auto"/>
                <w:kern w:val="0"/>
                <w:sz w:val="24"/>
                <w:lang w:val="en-US" w:eastAsia="zh-CN"/>
              </w:rPr>
              <w:t xml:space="preserve">1 </w:t>
            </w:r>
            <w:r>
              <w:rPr>
                <w:rFonts w:hint="default" w:ascii="Times New Roman" w:hAnsi="Times New Roman" w:eastAsia="宋体" w:cs="Times New Roman"/>
                <w:b/>
                <w:color w:val="auto"/>
                <w:kern w:val="0"/>
                <w:sz w:val="24"/>
              </w:rPr>
              <w:t>环境空气质量现状监测及评价结果</w:t>
            </w:r>
          </w:p>
          <w:tbl>
            <w:tblPr>
              <w:tblStyle w:val="11"/>
              <w:tblW w:w="82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99"/>
              <w:gridCol w:w="882"/>
              <w:gridCol w:w="1286"/>
              <w:gridCol w:w="1191"/>
              <w:gridCol w:w="1117"/>
              <w:gridCol w:w="996"/>
              <w:gridCol w:w="1162"/>
              <w:gridCol w:w="889"/>
            </w:tblGrid>
            <w:tr w14:paraId="16656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99" w:type="dxa"/>
                  <w:tcBorders>
                    <w:top w:val="single" w:color="auto" w:sz="4" w:space="0"/>
                    <w:left w:val="single" w:color="auto" w:sz="0" w:space="0"/>
                  </w:tcBorders>
                  <w:noWrap w:val="0"/>
                  <w:vAlign w:val="center"/>
                </w:tcPr>
                <w:p w14:paraId="57BC0880">
                  <w:pPr>
                    <w:widowControl/>
                    <w:kinsoku w:val="0"/>
                    <w:overflowPunct w:val="0"/>
                    <w:adjustRightInd w:val="0"/>
                    <w:snapToGrid w:val="0"/>
                    <w:ind w:left="105" w:right="103"/>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882" w:type="dxa"/>
                  <w:tcBorders>
                    <w:top w:val="single" w:color="auto" w:sz="4" w:space="0"/>
                  </w:tcBorders>
                  <w:noWrap w:val="0"/>
                  <w:vAlign w:val="center"/>
                </w:tcPr>
                <w:p w14:paraId="185F46B4">
                  <w:pPr>
                    <w:widowControl/>
                    <w:kinsoku w:val="0"/>
                    <w:overflowPunct w:val="0"/>
                    <w:adjustRightInd w:val="0"/>
                    <w:snapToGrid w:val="0"/>
                    <w:ind w:left="177" w:right="173"/>
                    <w:jc w:val="center"/>
                    <w:rPr>
                      <w:rFonts w:hint="default" w:ascii="Times New Roman" w:hAnsi="Times New Roman" w:eastAsia="宋体" w:cs="Times New Roman"/>
                      <w:b/>
                      <w:color w:val="auto"/>
                      <w:spacing w:val="-103"/>
                      <w:sz w:val="21"/>
                      <w:szCs w:val="21"/>
                    </w:rPr>
                  </w:pPr>
                  <w:r>
                    <w:rPr>
                      <w:rFonts w:hint="default" w:ascii="Times New Roman" w:hAnsi="Times New Roman" w:eastAsia="宋体" w:cs="Times New Roman"/>
                      <w:b/>
                      <w:color w:val="auto"/>
                      <w:sz w:val="21"/>
                      <w:szCs w:val="21"/>
                    </w:rPr>
                    <w:t>监测</w:t>
                  </w:r>
                </w:p>
                <w:p w14:paraId="69DFE57E">
                  <w:pPr>
                    <w:widowControl/>
                    <w:kinsoku w:val="0"/>
                    <w:overflowPunct w:val="0"/>
                    <w:adjustRightInd w:val="0"/>
                    <w:snapToGrid w:val="0"/>
                    <w:ind w:left="177" w:right="173"/>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点位</w:t>
                  </w:r>
                </w:p>
              </w:tc>
              <w:tc>
                <w:tcPr>
                  <w:tcW w:w="1286" w:type="dxa"/>
                  <w:tcBorders>
                    <w:top w:val="single" w:color="auto" w:sz="4" w:space="0"/>
                  </w:tcBorders>
                  <w:noWrap w:val="0"/>
                  <w:vAlign w:val="center"/>
                </w:tcPr>
                <w:p w14:paraId="7C00EA74">
                  <w:pPr>
                    <w:widowControl/>
                    <w:kinsoku w:val="0"/>
                    <w:overflowPunct w:val="0"/>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取值类型</w:t>
                  </w:r>
                </w:p>
              </w:tc>
              <w:tc>
                <w:tcPr>
                  <w:tcW w:w="1191" w:type="dxa"/>
                  <w:tcBorders>
                    <w:top w:val="single" w:color="auto" w:sz="4" w:space="0"/>
                  </w:tcBorders>
                  <w:noWrap w:val="0"/>
                  <w:vAlign w:val="center"/>
                </w:tcPr>
                <w:p w14:paraId="42062DE0">
                  <w:pPr>
                    <w:widowControl/>
                    <w:kinsoku w:val="0"/>
                    <w:overflowPunct w:val="0"/>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浓度范围</w:t>
                  </w:r>
                </w:p>
                <w:p w14:paraId="28F070B6">
                  <w:pPr>
                    <w:widowControl/>
                    <w:kinsoku w:val="0"/>
                    <w:overflowPunct w:val="0"/>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w:t>
                  </w:r>
                  <w:r>
                    <w:rPr>
                      <w:rFonts w:hint="default" w:ascii="Times New Roman" w:hAnsi="Times New Roman" w:cs="Times New Roman"/>
                      <w:b/>
                      <w:color w:val="auto"/>
                      <w:sz w:val="21"/>
                      <w:szCs w:val="21"/>
                      <w:lang w:eastAsia="zh-CN"/>
                    </w:rPr>
                    <w:t>m</w:t>
                  </w:r>
                  <w:r>
                    <w:rPr>
                      <w:rFonts w:hint="default" w:ascii="Times New Roman" w:hAnsi="Times New Roman" w:eastAsia="宋体" w:cs="Times New Roman"/>
                      <w:b/>
                      <w:color w:val="auto"/>
                      <w:sz w:val="21"/>
                      <w:szCs w:val="21"/>
                    </w:rPr>
                    <w:t>g/</w:t>
                  </w:r>
                  <w:r>
                    <w:rPr>
                      <w:rFonts w:hint="default" w:ascii="Times New Roman" w:hAnsi="Times New Roman" w:cs="Times New Roman"/>
                      <w:b/>
                      <w:color w:val="auto"/>
                      <w:sz w:val="21"/>
                      <w:szCs w:val="21"/>
                      <w:vertAlign w:val="baseline"/>
                      <w:lang w:eastAsia="zh-CN"/>
                    </w:rPr>
                    <w:t>m</w:t>
                  </w:r>
                  <w:r>
                    <w:rPr>
                      <w:rFonts w:hint="default" w:ascii="Times New Roman" w:hAnsi="Times New Roman" w:cs="Times New Roman"/>
                      <w:b/>
                      <w:color w:val="auto"/>
                      <w:sz w:val="21"/>
                      <w:szCs w:val="21"/>
                      <w:vertAlign w:val="superscript"/>
                      <w:lang w:eastAsia="zh-CN"/>
                    </w:rPr>
                    <w:t>3</w:t>
                  </w:r>
                  <w:r>
                    <w:rPr>
                      <w:rFonts w:hint="default" w:ascii="Times New Roman" w:hAnsi="Times New Roman" w:eastAsia="宋体" w:cs="Times New Roman"/>
                      <w:b/>
                      <w:color w:val="auto"/>
                      <w:sz w:val="21"/>
                      <w:szCs w:val="21"/>
                    </w:rPr>
                    <w:t>）</w:t>
                  </w:r>
                </w:p>
              </w:tc>
              <w:tc>
                <w:tcPr>
                  <w:tcW w:w="1117" w:type="dxa"/>
                  <w:tcBorders>
                    <w:top w:val="single" w:color="auto" w:sz="4" w:space="0"/>
                  </w:tcBorders>
                  <w:noWrap w:val="0"/>
                  <w:vAlign w:val="center"/>
                </w:tcPr>
                <w:p w14:paraId="0A6B4133">
                  <w:pPr>
                    <w:widowControl/>
                    <w:kinsoku w:val="0"/>
                    <w:overflowPunct w:val="0"/>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w:t>
                  </w:r>
                </w:p>
                <w:p w14:paraId="57F098DE">
                  <w:pPr>
                    <w:widowControl/>
                    <w:kinsoku w:val="0"/>
                    <w:overflowPunct w:val="0"/>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w:t>
                  </w:r>
                  <w:r>
                    <w:rPr>
                      <w:rFonts w:hint="default" w:ascii="Times New Roman" w:hAnsi="Times New Roman" w:cs="Times New Roman"/>
                      <w:b/>
                      <w:color w:val="auto"/>
                      <w:sz w:val="21"/>
                      <w:szCs w:val="21"/>
                      <w:lang w:eastAsia="zh-CN"/>
                    </w:rPr>
                    <w:t>m</w:t>
                  </w:r>
                  <w:r>
                    <w:rPr>
                      <w:rFonts w:hint="default" w:ascii="Times New Roman" w:hAnsi="Times New Roman" w:eastAsia="宋体" w:cs="Times New Roman"/>
                      <w:b/>
                      <w:color w:val="auto"/>
                      <w:sz w:val="21"/>
                      <w:szCs w:val="21"/>
                    </w:rPr>
                    <w:t>g/</w:t>
                  </w:r>
                  <w:r>
                    <w:rPr>
                      <w:rFonts w:hint="default" w:ascii="Times New Roman" w:hAnsi="Times New Roman" w:cs="Times New Roman"/>
                      <w:b/>
                      <w:color w:val="auto"/>
                      <w:sz w:val="21"/>
                      <w:szCs w:val="21"/>
                      <w:vertAlign w:val="baseline"/>
                      <w:lang w:eastAsia="zh-CN"/>
                    </w:rPr>
                    <w:t>m</w:t>
                  </w:r>
                  <w:r>
                    <w:rPr>
                      <w:rFonts w:hint="default" w:ascii="Times New Roman" w:hAnsi="Times New Roman" w:cs="Times New Roman"/>
                      <w:b/>
                      <w:color w:val="auto"/>
                      <w:sz w:val="21"/>
                      <w:szCs w:val="21"/>
                      <w:vertAlign w:val="superscript"/>
                      <w:lang w:eastAsia="zh-CN"/>
                    </w:rPr>
                    <w:t>3</w:t>
                  </w:r>
                  <w:r>
                    <w:rPr>
                      <w:rFonts w:hint="default" w:ascii="Times New Roman" w:hAnsi="Times New Roman" w:eastAsia="宋体" w:cs="Times New Roman"/>
                      <w:b/>
                      <w:color w:val="auto"/>
                      <w:sz w:val="21"/>
                      <w:szCs w:val="21"/>
                    </w:rPr>
                    <w:t>）</w:t>
                  </w:r>
                </w:p>
              </w:tc>
              <w:tc>
                <w:tcPr>
                  <w:tcW w:w="996" w:type="dxa"/>
                  <w:tcBorders>
                    <w:top w:val="single" w:color="auto" w:sz="4" w:space="0"/>
                  </w:tcBorders>
                  <w:noWrap w:val="0"/>
                  <w:vAlign w:val="center"/>
                </w:tcPr>
                <w:p w14:paraId="4771BE90">
                  <w:pPr>
                    <w:widowControl/>
                    <w:kinsoku w:val="0"/>
                    <w:overflowPunct w:val="0"/>
                    <w:adjustRightInd w:val="0"/>
                    <w:snapToGrid w:val="0"/>
                    <w:ind w:left="141" w:right="98" w:hanging="36"/>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超标个数（个）</w:t>
                  </w:r>
                </w:p>
              </w:tc>
              <w:tc>
                <w:tcPr>
                  <w:tcW w:w="1162" w:type="dxa"/>
                  <w:tcBorders>
                    <w:top w:val="single" w:color="auto" w:sz="4" w:space="0"/>
                  </w:tcBorders>
                  <w:noWrap w:val="0"/>
                  <w:vAlign w:val="center"/>
                </w:tcPr>
                <w:p w14:paraId="265879B7">
                  <w:pPr>
                    <w:widowControl/>
                    <w:kinsoku w:val="0"/>
                    <w:overflowPunct w:val="0"/>
                    <w:adjustRightInd w:val="0"/>
                    <w:snapToGrid w:val="0"/>
                    <w:ind w:left="228" w:right="120" w:hanging="104"/>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最大</w:t>
                  </w:r>
                  <w:r>
                    <w:rPr>
                      <w:rFonts w:hint="default" w:ascii="Times New Roman" w:hAnsi="Times New Roman" w:eastAsia="宋体" w:cs="Times New Roman"/>
                      <w:b/>
                      <w:color w:val="auto"/>
                      <w:sz w:val="21"/>
                      <w:szCs w:val="21"/>
                      <w:lang w:val="en-US" w:eastAsia="zh-CN"/>
                    </w:rPr>
                    <w:t>占标率</w:t>
                  </w:r>
                  <w:r>
                    <w:rPr>
                      <w:rFonts w:hint="default" w:ascii="Times New Roman" w:hAnsi="Times New Roman" w:eastAsia="宋体" w:cs="Times New Roman"/>
                      <w:b/>
                      <w:color w:val="auto"/>
                      <w:sz w:val="21"/>
                      <w:szCs w:val="21"/>
                    </w:rPr>
                    <w:t>（％）</w:t>
                  </w:r>
                </w:p>
              </w:tc>
              <w:tc>
                <w:tcPr>
                  <w:tcW w:w="889" w:type="dxa"/>
                  <w:tcBorders>
                    <w:top w:val="single" w:color="auto" w:sz="4" w:space="0"/>
                    <w:right w:val="single" w:color="auto" w:sz="4" w:space="0"/>
                  </w:tcBorders>
                  <w:noWrap w:val="0"/>
                  <w:vAlign w:val="center"/>
                </w:tcPr>
                <w:p w14:paraId="7672B845">
                  <w:pPr>
                    <w:widowControl/>
                    <w:kinsoku w:val="0"/>
                    <w:overflowPunct w:val="0"/>
                    <w:adjustRightInd w:val="0"/>
                    <w:snapToGrid w:val="0"/>
                    <w:ind w:left="228" w:right="120" w:hanging="104"/>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超标率</w:t>
                  </w:r>
                </w:p>
                <w:p w14:paraId="4C123EC6">
                  <w:pPr>
                    <w:widowControl/>
                    <w:kinsoku w:val="0"/>
                    <w:overflowPunct w:val="0"/>
                    <w:adjustRightInd w:val="0"/>
                    <w:snapToGrid w:val="0"/>
                    <w:ind w:left="127" w:right="125"/>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w:t>
                  </w:r>
                </w:p>
              </w:tc>
            </w:tr>
            <w:tr w14:paraId="0CC5C6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99" w:type="dxa"/>
                  <w:tcBorders>
                    <w:left w:val="single" w:color="auto" w:sz="4" w:space="0"/>
                  </w:tcBorders>
                  <w:noWrap w:val="0"/>
                  <w:vAlign w:val="center"/>
                </w:tcPr>
                <w:p w14:paraId="64A364D1">
                  <w:pPr>
                    <w:widowControl/>
                    <w:kinsoku w:val="0"/>
                    <w:overflowPunct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w:t>
                  </w:r>
                </w:p>
              </w:tc>
              <w:tc>
                <w:tcPr>
                  <w:tcW w:w="882" w:type="dxa"/>
                  <w:vMerge w:val="restart"/>
                  <w:noWrap w:val="0"/>
                  <w:vAlign w:val="center"/>
                </w:tcPr>
                <w:p w14:paraId="74A8107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1#厂区东南侧700</w:t>
                  </w:r>
                  <w:r>
                    <w:rPr>
                      <w:rFonts w:hint="default" w:ascii="Times New Roman" w:hAnsi="Times New Roman" w:cs="Times New Roman"/>
                      <w:color w:val="auto"/>
                      <w:sz w:val="21"/>
                      <w:szCs w:val="21"/>
                      <w:lang w:val="en-US" w:eastAsia="zh-CN"/>
                    </w:rPr>
                    <w:t>m</w:t>
                  </w:r>
                  <w:r>
                    <w:rPr>
                      <w:rFonts w:hint="default" w:ascii="Times New Roman" w:hAnsi="Times New Roman" w:eastAsia="宋体" w:cs="Times New Roman"/>
                      <w:color w:val="auto"/>
                      <w:sz w:val="21"/>
                      <w:szCs w:val="21"/>
                      <w:lang w:val="en-US" w:eastAsia="zh-CN"/>
                    </w:rPr>
                    <w:t>处</w:t>
                  </w:r>
                </w:p>
              </w:tc>
              <w:tc>
                <w:tcPr>
                  <w:tcW w:w="1286" w:type="dxa"/>
                  <w:noWrap w:val="0"/>
                  <w:vAlign w:val="center"/>
                </w:tcPr>
                <w:p w14:paraId="37047FE5">
                  <w:pPr>
                    <w:widowControl/>
                    <w:kinsoku w:val="0"/>
                    <w:overflowPunct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191" w:type="dxa"/>
                  <w:noWrap w:val="0"/>
                  <w:vAlign w:val="center"/>
                </w:tcPr>
                <w:p w14:paraId="201986C5">
                  <w:pPr>
                    <w:widowControl/>
                    <w:kinsoku w:val="0"/>
                    <w:overflowPunct w:val="0"/>
                    <w:adjustRightInd w:val="0"/>
                    <w:snapToGrid w:val="0"/>
                    <w:spacing w:before="64"/>
                    <w:jc w:val="center"/>
                    <w:rPr>
                      <w:rFonts w:hint="default" w:ascii="Times New Roman" w:hAnsi="Times New Roman" w:eastAsia="宋体" w:cs="Times New Roman"/>
                      <w:color w:val="auto"/>
                      <w:spacing w:val="-4"/>
                      <w:position w:val="1"/>
                      <w:sz w:val="21"/>
                      <w:szCs w:val="21"/>
                      <w:lang w:eastAsia="zh-CN"/>
                    </w:rPr>
                  </w:pPr>
                  <w:r>
                    <w:rPr>
                      <w:rFonts w:hint="default" w:ascii="Times New Roman" w:hAnsi="Times New Roman" w:eastAsia="宋体" w:cs="Times New Roman"/>
                      <w:color w:val="auto"/>
                      <w:spacing w:val="-4"/>
                      <w:position w:val="1"/>
                      <w:sz w:val="21"/>
                      <w:szCs w:val="21"/>
                    </w:rPr>
                    <w:t>0.02-0.0</w:t>
                  </w:r>
                  <w:r>
                    <w:rPr>
                      <w:rFonts w:hint="default" w:ascii="Times New Roman" w:hAnsi="Times New Roman" w:cs="Times New Roman"/>
                      <w:color w:val="auto"/>
                      <w:spacing w:val="-4"/>
                      <w:position w:val="1"/>
                      <w:sz w:val="21"/>
                      <w:szCs w:val="21"/>
                      <w:lang w:val="en-US" w:eastAsia="zh-CN"/>
                    </w:rPr>
                    <w:t>5</w:t>
                  </w:r>
                </w:p>
              </w:tc>
              <w:tc>
                <w:tcPr>
                  <w:tcW w:w="1117" w:type="dxa"/>
                  <w:noWrap w:val="0"/>
                  <w:vAlign w:val="center"/>
                </w:tcPr>
                <w:p w14:paraId="77ADDFD8">
                  <w:pPr>
                    <w:widowControl/>
                    <w:kinsoku w:val="0"/>
                    <w:overflowPunct w:val="0"/>
                    <w:adjustRightInd w:val="0"/>
                    <w:snapToGrid w:val="0"/>
                    <w:spacing w:before="64"/>
                    <w:jc w:val="center"/>
                    <w:rPr>
                      <w:rFonts w:hint="default" w:ascii="Times New Roman" w:hAnsi="Times New Roman" w:eastAsia="宋体" w:cs="Times New Roman"/>
                      <w:color w:val="auto"/>
                      <w:spacing w:val="-4"/>
                      <w:position w:val="1"/>
                      <w:sz w:val="21"/>
                      <w:szCs w:val="21"/>
                    </w:rPr>
                  </w:pPr>
                  <w:r>
                    <w:rPr>
                      <w:rFonts w:hint="default" w:ascii="Times New Roman" w:hAnsi="Times New Roman" w:eastAsia="宋体" w:cs="Times New Roman"/>
                      <w:color w:val="auto"/>
                      <w:spacing w:val="-4"/>
                      <w:position w:val="1"/>
                      <w:sz w:val="21"/>
                      <w:szCs w:val="21"/>
                    </w:rPr>
                    <w:t>0.2</w:t>
                  </w:r>
                </w:p>
              </w:tc>
              <w:tc>
                <w:tcPr>
                  <w:tcW w:w="996" w:type="dxa"/>
                  <w:noWrap w:val="0"/>
                  <w:vAlign w:val="center"/>
                </w:tcPr>
                <w:p w14:paraId="29740088">
                  <w:pPr>
                    <w:widowControl/>
                    <w:kinsoku w:val="0"/>
                    <w:overflowPunct w:val="0"/>
                    <w:adjustRightInd w:val="0"/>
                    <w:snapToGrid w:val="0"/>
                    <w:spacing w:before="10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162" w:type="dxa"/>
                  <w:noWrap w:val="0"/>
                  <w:vAlign w:val="center"/>
                </w:tcPr>
                <w:p w14:paraId="1DF4F56D">
                  <w:pPr>
                    <w:widowControl/>
                    <w:kinsoku w:val="0"/>
                    <w:overflowPunct w:val="0"/>
                    <w:adjustRightInd w:val="0"/>
                    <w:snapToGrid w:val="0"/>
                    <w:spacing w:before="108"/>
                    <w:ind w:right="1"/>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25</w:t>
                  </w:r>
                </w:p>
              </w:tc>
              <w:tc>
                <w:tcPr>
                  <w:tcW w:w="889" w:type="dxa"/>
                  <w:tcBorders>
                    <w:right w:val="single" w:color="auto" w:sz="4" w:space="0"/>
                  </w:tcBorders>
                  <w:noWrap w:val="0"/>
                  <w:vAlign w:val="center"/>
                </w:tcPr>
                <w:p w14:paraId="0278BCA1">
                  <w:pPr>
                    <w:widowControl/>
                    <w:kinsoku w:val="0"/>
                    <w:overflowPunct w:val="0"/>
                    <w:adjustRightInd w:val="0"/>
                    <w:snapToGrid w:val="0"/>
                    <w:spacing w:before="10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6D0F3B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99" w:type="dxa"/>
                  <w:tcBorders>
                    <w:left w:val="single" w:color="auto" w:sz="4" w:space="0"/>
                  </w:tcBorders>
                  <w:noWrap w:val="0"/>
                  <w:vAlign w:val="center"/>
                </w:tcPr>
                <w:p w14:paraId="02C97D9B">
                  <w:pPr>
                    <w:widowControl/>
                    <w:kinsoku w:val="0"/>
                    <w:overflowPunct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882" w:type="dxa"/>
                  <w:vMerge w:val="continue"/>
                  <w:noWrap w:val="0"/>
                  <w:vAlign w:val="center"/>
                </w:tcPr>
                <w:p w14:paraId="678CB9D3">
                  <w:pPr>
                    <w:adjustRightInd w:val="0"/>
                    <w:snapToGrid w:val="0"/>
                    <w:jc w:val="center"/>
                    <w:rPr>
                      <w:rFonts w:hint="default" w:ascii="Times New Roman" w:hAnsi="Times New Roman" w:eastAsia="宋体" w:cs="Times New Roman"/>
                      <w:bCs/>
                      <w:color w:val="auto"/>
                      <w:sz w:val="21"/>
                      <w:szCs w:val="21"/>
                    </w:rPr>
                  </w:pPr>
                </w:p>
              </w:tc>
              <w:tc>
                <w:tcPr>
                  <w:tcW w:w="1286" w:type="dxa"/>
                  <w:noWrap w:val="0"/>
                  <w:vAlign w:val="center"/>
                </w:tcPr>
                <w:p w14:paraId="6773DEDB">
                  <w:pPr>
                    <w:widowControl/>
                    <w:kinsoku w:val="0"/>
                    <w:overflowPunct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191" w:type="dxa"/>
                  <w:noWrap w:val="0"/>
                  <w:vAlign w:val="center"/>
                </w:tcPr>
                <w:p w14:paraId="1D102E5A">
                  <w:pPr>
                    <w:widowControl/>
                    <w:kinsoku w:val="0"/>
                    <w:overflowPunct w:val="0"/>
                    <w:adjustRightInd w:val="0"/>
                    <w:snapToGrid w:val="0"/>
                    <w:spacing w:before="64"/>
                    <w:jc w:val="center"/>
                    <w:rPr>
                      <w:rFonts w:hint="default" w:ascii="Times New Roman" w:hAnsi="Times New Roman" w:eastAsia="宋体" w:cs="Times New Roman"/>
                      <w:color w:val="auto"/>
                      <w:spacing w:val="-4"/>
                      <w:position w:val="1"/>
                      <w:sz w:val="21"/>
                      <w:szCs w:val="21"/>
                      <w:lang w:eastAsia="zh-CN"/>
                    </w:rPr>
                  </w:pPr>
                  <w:r>
                    <w:rPr>
                      <w:rFonts w:hint="default" w:ascii="Times New Roman" w:hAnsi="Times New Roman" w:eastAsia="宋体" w:cs="Times New Roman"/>
                      <w:color w:val="auto"/>
                      <w:spacing w:val="-4"/>
                      <w:position w:val="1"/>
                      <w:sz w:val="21"/>
                      <w:szCs w:val="21"/>
                    </w:rPr>
                    <w:t>ND-0.00</w:t>
                  </w:r>
                  <w:r>
                    <w:rPr>
                      <w:rFonts w:hint="default" w:ascii="Times New Roman" w:hAnsi="Times New Roman" w:cs="Times New Roman"/>
                      <w:color w:val="auto"/>
                      <w:spacing w:val="-4"/>
                      <w:position w:val="1"/>
                      <w:sz w:val="21"/>
                      <w:szCs w:val="21"/>
                      <w:lang w:val="en-US" w:eastAsia="zh-CN"/>
                    </w:rPr>
                    <w:t>3</w:t>
                  </w:r>
                </w:p>
              </w:tc>
              <w:tc>
                <w:tcPr>
                  <w:tcW w:w="1117" w:type="dxa"/>
                  <w:noWrap w:val="0"/>
                  <w:vAlign w:val="center"/>
                </w:tcPr>
                <w:p w14:paraId="09C75B96">
                  <w:pPr>
                    <w:widowControl/>
                    <w:kinsoku w:val="0"/>
                    <w:overflowPunct w:val="0"/>
                    <w:adjustRightInd w:val="0"/>
                    <w:snapToGrid w:val="0"/>
                    <w:spacing w:before="64"/>
                    <w:jc w:val="center"/>
                    <w:rPr>
                      <w:rFonts w:hint="default" w:ascii="Times New Roman" w:hAnsi="Times New Roman" w:eastAsia="宋体" w:cs="Times New Roman"/>
                      <w:color w:val="auto"/>
                      <w:spacing w:val="-4"/>
                      <w:position w:val="1"/>
                      <w:sz w:val="21"/>
                      <w:szCs w:val="21"/>
                    </w:rPr>
                  </w:pPr>
                  <w:r>
                    <w:rPr>
                      <w:rFonts w:hint="default" w:ascii="Times New Roman" w:hAnsi="Times New Roman" w:eastAsia="宋体" w:cs="Times New Roman"/>
                      <w:color w:val="auto"/>
                      <w:spacing w:val="-4"/>
                      <w:position w:val="1"/>
                      <w:sz w:val="21"/>
                      <w:szCs w:val="21"/>
                    </w:rPr>
                    <w:t>0.01</w:t>
                  </w:r>
                </w:p>
              </w:tc>
              <w:tc>
                <w:tcPr>
                  <w:tcW w:w="996" w:type="dxa"/>
                  <w:noWrap w:val="0"/>
                  <w:vAlign w:val="center"/>
                </w:tcPr>
                <w:p w14:paraId="427AB6E1">
                  <w:pPr>
                    <w:widowControl/>
                    <w:kinsoku w:val="0"/>
                    <w:overflowPunct w:val="0"/>
                    <w:adjustRightInd w:val="0"/>
                    <w:snapToGrid w:val="0"/>
                    <w:spacing w:before="10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162" w:type="dxa"/>
                  <w:noWrap w:val="0"/>
                  <w:vAlign w:val="center"/>
                </w:tcPr>
                <w:p w14:paraId="5A1E67FF">
                  <w:pPr>
                    <w:widowControl/>
                    <w:kinsoku w:val="0"/>
                    <w:overflowPunct w:val="0"/>
                    <w:adjustRightInd w:val="0"/>
                    <w:snapToGrid w:val="0"/>
                    <w:spacing w:before="108"/>
                    <w:ind w:right="1"/>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889" w:type="dxa"/>
                  <w:tcBorders>
                    <w:right w:val="single" w:color="auto" w:sz="4" w:space="0"/>
                  </w:tcBorders>
                  <w:noWrap w:val="0"/>
                  <w:vAlign w:val="center"/>
                </w:tcPr>
                <w:p w14:paraId="30C21430">
                  <w:pPr>
                    <w:widowControl/>
                    <w:kinsoku w:val="0"/>
                    <w:overflowPunct w:val="0"/>
                    <w:adjustRightInd w:val="0"/>
                    <w:snapToGrid w:val="0"/>
                    <w:spacing w:before="10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r>
            <w:tr w14:paraId="77109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99" w:type="dxa"/>
                  <w:tcBorders>
                    <w:left w:val="single" w:color="auto" w:sz="4" w:space="0"/>
                    <w:bottom w:val="single" w:color="auto" w:sz="4" w:space="0"/>
                  </w:tcBorders>
                  <w:noWrap w:val="0"/>
                  <w:vAlign w:val="center"/>
                </w:tcPr>
                <w:p w14:paraId="29BE18A4">
                  <w:pPr>
                    <w:widowControl/>
                    <w:kinsoku w:val="0"/>
                    <w:overflowPunct w:val="0"/>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c>
                <w:tcPr>
                  <w:tcW w:w="7523" w:type="dxa"/>
                  <w:gridSpan w:val="7"/>
                  <w:tcBorders>
                    <w:bottom w:val="single" w:color="auto" w:sz="4" w:space="0"/>
                    <w:right w:val="single" w:color="auto" w:sz="4" w:space="0"/>
                  </w:tcBorders>
                  <w:noWrap w:val="0"/>
                  <w:vAlign w:val="center"/>
                </w:tcPr>
                <w:p w14:paraId="2AEBF5BE">
                  <w:pPr>
                    <w:widowControl/>
                    <w:kinsoku w:val="0"/>
                    <w:overflowPunct w:val="0"/>
                    <w:adjustRightInd w:val="0"/>
                    <w:snapToGrid w:val="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执行标准：《环境影响评价技术导则 大气环境》（</w:t>
                  </w:r>
                  <w:r>
                    <w:rPr>
                      <w:rFonts w:hint="default" w:ascii="Times New Roman" w:hAnsi="Times New Roman" w:cs="Times New Roman"/>
                      <w:color w:val="auto"/>
                      <w:sz w:val="21"/>
                      <w:szCs w:val="21"/>
                      <w:lang w:eastAsia="zh-CN"/>
                    </w:rPr>
                    <w:t>H</w:t>
                  </w:r>
                  <w:r>
                    <w:rPr>
                      <w:rFonts w:hint="default" w:ascii="Times New Roman" w:hAnsi="Times New Roman" w:eastAsia="宋体" w:cs="Times New Roman"/>
                      <w:color w:val="auto"/>
                      <w:sz w:val="21"/>
                      <w:szCs w:val="21"/>
                    </w:rPr>
                    <w:t>J</w:t>
                  </w:r>
                  <w:r>
                    <w:rPr>
                      <w:rFonts w:hint="eastAsia" w:ascii="Times New Roman" w:hAnsi="Times New Roman" w:cs="Times New Roman"/>
                      <w:color w:val="auto"/>
                      <w:sz w:val="21"/>
                      <w:szCs w:val="21"/>
                      <w:lang w:val="en-US" w:eastAsia="zh-CN"/>
                    </w:rPr>
                    <w:t xml:space="preserve"> </w:t>
                  </w:r>
                  <w:r>
                    <w:rPr>
                      <w:rFonts w:hint="default" w:ascii="Times New Roman" w:hAnsi="Times New Roman" w:eastAsia="宋体" w:cs="Times New Roman"/>
                      <w:color w:val="auto"/>
                      <w:sz w:val="21"/>
                      <w:szCs w:val="21"/>
                    </w:rPr>
                    <w:t>2.2</w:t>
                  </w:r>
                  <w:r>
                    <w:rPr>
                      <w:rFonts w:hint="eastAsia" w:ascii="Times New Roman" w:hAnsi="Times New Roman" w:cs="Times New Roman"/>
                      <w:color w:val="auto"/>
                      <w:sz w:val="21"/>
                      <w:szCs w:val="21"/>
                      <w:lang w:eastAsia="zh-CN"/>
                    </w:rPr>
                    <w:t>—2018</w:t>
                  </w:r>
                  <w:r>
                    <w:rPr>
                      <w:rFonts w:hint="default" w:ascii="Times New Roman" w:hAnsi="Times New Roman" w:eastAsia="宋体" w:cs="Times New Roman"/>
                      <w:color w:val="auto"/>
                      <w:sz w:val="21"/>
                      <w:szCs w:val="21"/>
                    </w:rPr>
                    <w:t>）附录D中最高允许浓度限值，结果中</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ND</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表示结果未检出</w:t>
                  </w:r>
                  <w:r>
                    <w:rPr>
                      <w:rFonts w:hint="default" w:ascii="Times New Roman" w:hAnsi="Times New Roman" w:cs="Times New Roman"/>
                      <w:color w:val="auto"/>
                      <w:sz w:val="21"/>
                      <w:szCs w:val="21"/>
                      <w:lang w:eastAsia="zh-CN"/>
                    </w:rPr>
                    <w:t>。</w:t>
                  </w:r>
                </w:p>
              </w:tc>
            </w:tr>
          </w:tbl>
          <w:p w14:paraId="1A2AFD8E">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textAlignment w:val="auto"/>
              <w:rPr>
                <w:rFonts w:hint="default" w:ascii="Times New Roman" w:hAnsi="Times New Roman" w:cs="Times New Roman"/>
                <w:color w:val="auto"/>
              </w:rPr>
            </w:pPr>
            <w:r>
              <w:rPr>
                <w:rFonts w:hint="default" w:ascii="Times New Roman" w:hAnsi="Times New Roman" w:eastAsia="宋体" w:cs="Times New Roman"/>
                <w:bCs/>
                <w:color w:val="auto"/>
                <w:sz w:val="24"/>
                <w:szCs w:val="20"/>
              </w:rPr>
              <w:t>根据监测结果，环境空气中氨、硫化氢的</w:t>
            </w:r>
            <w:r>
              <w:rPr>
                <w:rFonts w:hint="default" w:ascii="Times New Roman" w:hAnsi="Times New Roman" w:eastAsia="宋体" w:cs="Times New Roman"/>
                <w:bCs/>
                <w:color w:val="auto"/>
                <w:sz w:val="24"/>
                <w:szCs w:val="20"/>
                <w:lang w:eastAsia="zh-CN"/>
              </w:rPr>
              <w:t>小时均值</w:t>
            </w:r>
            <w:r>
              <w:rPr>
                <w:rFonts w:hint="default" w:ascii="Times New Roman" w:hAnsi="Times New Roman" w:eastAsia="宋体" w:cs="Times New Roman"/>
                <w:bCs/>
                <w:color w:val="auto"/>
                <w:sz w:val="24"/>
                <w:szCs w:val="20"/>
              </w:rPr>
              <w:t>检测结果均可满足《环境影响评价技术导则 大气环境》（</w:t>
            </w:r>
            <w:r>
              <w:rPr>
                <w:rFonts w:hint="default" w:ascii="Times New Roman" w:hAnsi="Times New Roman" w:cs="Times New Roman"/>
                <w:bCs/>
                <w:color w:val="auto"/>
                <w:sz w:val="24"/>
                <w:szCs w:val="20"/>
                <w:lang w:eastAsia="zh-CN"/>
              </w:rPr>
              <w:t>H</w:t>
            </w:r>
            <w:r>
              <w:rPr>
                <w:rFonts w:hint="default" w:ascii="Times New Roman" w:hAnsi="Times New Roman" w:eastAsia="宋体" w:cs="Times New Roman"/>
                <w:bCs/>
                <w:color w:val="auto"/>
                <w:sz w:val="24"/>
                <w:szCs w:val="20"/>
              </w:rPr>
              <w:t>J</w:t>
            </w:r>
            <w:r>
              <w:rPr>
                <w:rFonts w:hint="eastAsia" w:ascii="Times New Roman" w:hAnsi="Times New Roman" w:cs="Times New Roman"/>
                <w:bCs/>
                <w:color w:val="auto"/>
                <w:sz w:val="24"/>
                <w:szCs w:val="20"/>
                <w:lang w:val="en-US" w:eastAsia="zh-CN"/>
              </w:rPr>
              <w:t xml:space="preserve"> </w:t>
            </w:r>
            <w:r>
              <w:rPr>
                <w:rFonts w:hint="default" w:ascii="Times New Roman" w:hAnsi="Times New Roman" w:eastAsia="宋体" w:cs="Times New Roman"/>
                <w:bCs/>
                <w:color w:val="auto"/>
                <w:sz w:val="24"/>
                <w:szCs w:val="20"/>
              </w:rPr>
              <w:t>2.2</w:t>
            </w:r>
            <w:r>
              <w:rPr>
                <w:rFonts w:hint="eastAsia" w:ascii="Times New Roman" w:hAnsi="Times New Roman" w:cs="Times New Roman"/>
                <w:bCs/>
                <w:color w:val="auto"/>
                <w:sz w:val="24"/>
                <w:szCs w:val="20"/>
                <w:lang w:eastAsia="zh-CN"/>
              </w:rPr>
              <w:t>—2018</w:t>
            </w:r>
            <w:r>
              <w:rPr>
                <w:rFonts w:hint="default" w:ascii="Times New Roman" w:hAnsi="Times New Roman" w:eastAsia="宋体" w:cs="Times New Roman"/>
                <w:bCs/>
                <w:color w:val="auto"/>
                <w:sz w:val="24"/>
                <w:szCs w:val="20"/>
              </w:rPr>
              <w:t>）附录D中最高允许浓度限值要求，区域环境空气质量较好</w:t>
            </w:r>
            <w:r>
              <w:rPr>
                <w:rFonts w:hint="default" w:ascii="Times New Roman" w:hAnsi="Times New Roman" w:eastAsia="宋体" w:cs="Times New Roman"/>
                <w:bCs/>
                <w:color w:val="auto"/>
                <w:sz w:val="24"/>
                <w:szCs w:val="20"/>
                <w:lang w:eastAsia="zh-CN"/>
              </w:rPr>
              <w:t>。</w:t>
            </w:r>
          </w:p>
          <w:p w14:paraId="60EA0A9B">
            <w:pPr>
              <w:adjustRightInd w:val="0"/>
              <w:snapToGrid w:val="0"/>
              <w:spacing w:line="360" w:lineRule="auto"/>
              <w:ind w:firstLine="48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2.声环境质量现状</w:t>
            </w:r>
          </w:p>
          <w:p w14:paraId="0DA5D4B9">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bCs/>
                <w:color w:val="auto"/>
                <w:sz w:val="24"/>
                <w:highlight w:val="none"/>
                <w:lang w:eastAsia="zh-CN"/>
              </w:rPr>
              <w:t>根据</w:t>
            </w:r>
            <w:r>
              <w:rPr>
                <w:rFonts w:hint="default" w:ascii="Times New Roman" w:hAnsi="Times New Roman" w:eastAsia="宋体" w:cs="Times New Roman"/>
                <w:bCs/>
                <w:color w:val="auto"/>
                <w:sz w:val="24"/>
                <w:highlight w:val="none"/>
              </w:rPr>
              <w:t>《建设项目环境影响报告表编制技术指南（污染影响类）</w:t>
            </w:r>
            <w:r>
              <w:rPr>
                <w:rFonts w:hint="default" w:ascii="Times New Roman" w:hAnsi="Times New Roman" w:cs="Times New Roman"/>
                <w:bCs/>
                <w:color w:val="auto"/>
                <w:sz w:val="24"/>
                <w:highlight w:val="none"/>
                <w:lang w:eastAsia="zh-CN"/>
              </w:rPr>
              <w:t>（试行）》</w:t>
            </w:r>
            <w:r>
              <w:rPr>
                <w:rFonts w:hint="default" w:ascii="Times New Roman" w:hAnsi="Times New Roman" w:eastAsia="宋体" w:cs="Times New Roman"/>
                <w:bCs/>
                <w:color w:val="auto"/>
                <w:sz w:val="24"/>
                <w:highlight w:val="none"/>
              </w:rPr>
              <w:t>，项目厂界外50</w:t>
            </w:r>
            <w:r>
              <w:rPr>
                <w:rFonts w:hint="default" w:ascii="Times New Roman" w:hAnsi="Times New Roman" w:cs="Times New Roman"/>
                <w:bCs/>
                <w:color w:val="auto"/>
                <w:sz w:val="24"/>
                <w:highlight w:val="none"/>
                <w:lang w:eastAsia="zh-CN"/>
              </w:rPr>
              <w:t>m</w:t>
            </w:r>
            <w:r>
              <w:rPr>
                <w:rFonts w:hint="default" w:ascii="Times New Roman" w:hAnsi="Times New Roman" w:eastAsia="宋体" w:cs="Times New Roman"/>
                <w:bCs/>
                <w:color w:val="auto"/>
                <w:sz w:val="24"/>
                <w:highlight w:val="none"/>
              </w:rPr>
              <w:t>范围内无声环境敏感目标</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因此，本次未开展声环境质量现状调查</w:t>
            </w:r>
            <w:r>
              <w:rPr>
                <w:rFonts w:hint="default" w:ascii="Times New Roman" w:hAnsi="Times New Roman" w:eastAsia="宋体" w:cs="Times New Roman"/>
                <w:color w:val="auto"/>
                <w:sz w:val="24"/>
                <w:highlight w:val="none"/>
              </w:rPr>
              <w:t>。</w:t>
            </w:r>
          </w:p>
          <w:p w14:paraId="4E2E74BD">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3.地下水质量现状</w:t>
            </w:r>
          </w:p>
          <w:p w14:paraId="38BC3EF3">
            <w:pPr>
              <w:spacing w:line="360" w:lineRule="auto"/>
              <w:ind w:firstLine="480" w:firstLineChars="200"/>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根据《建设项目环境影响报告表编制技术指南（污染影响类）</w:t>
            </w:r>
            <w:r>
              <w:rPr>
                <w:rFonts w:hint="default" w:ascii="Times New Roman" w:hAnsi="Times New Roman" w:cs="Times New Roman"/>
                <w:bCs/>
                <w:color w:val="auto"/>
                <w:kern w:val="0"/>
                <w:sz w:val="24"/>
                <w:lang w:eastAsia="zh-CN"/>
              </w:rPr>
              <w:t>（试行）》</w:t>
            </w:r>
            <w:r>
              <w:rPr>
                <w:rFonts w:hint="default" w:ascii="Times New Roman" w:hAnsi="Times New Roman" w:eastAsia="宋体" w:cs="Times New Roman"/>
                <w:bCs/>
                <w:color w:val="auto"/>
                <w:kern w:val="0"/>
                <w:sz w:val="24"/>
              </w:rPr>
              <w:t>，地下水、土壤环境原则上不开展环境质量现状调查。建设项目存在土壤、地下水污染途径的，应结合污染源、保护目标分布情况开展现状调查以留作背景值，以确保项目的可持续发展。针对环境保护目标，指南中针对地下水给出的内容为：地下水环境需明确厂界外500米范围内的地下水</w:t>
            </w:r>
            <w:r>
              <w:rPr>
                <w:rFonts w:hint="default" w:ascii="Times New Roman" w:hAnsi="Times New Roman" w:cs="Times New Roman"/>
                <w:bCs/>
                <w:color w:val="auto"/>
                <w:kern w:val="0"/>
                <w:sz w:val="24"/>
                <w:lang w:eastAsia="zh-CN"/>
              </w:rPr>
              <w:t>包括</w:t>
            </w:r>
            <w:r>
              <w:rPr>
                <w:rFonts w:hint="default" w:ascii="Times New Roman" w:hAnsi="Times New Roman" w:eastAsia="宋体" w:cs="Times New Roman"/>
                <w:bCs/>
                <w:color w:val="auto"/>
                <w:kern w:val="0"/>
                <w:sz w:val="24"/>
              </w:rPr>
              <w:t>集中式饮用水水源和热水、矿泉水、温泉等特殊地下水资源。</w:t>
            </w:r>
          </w:p>
          <w:p w14:paraId="51968570">
            <w:pPr>
              <w:spacing w:line="360" w:lineRule="auto"/>
              <w:ind w:firstLine="480" w:firstLineChars="200"/>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经调查，本项目西侧1.</w:t>
            </w:r>
            <w:r>
              <w:rPr>
                <w:rFonts w:hint="default" w:ascii="Times New Roman" w:hAnsi="Times New Roman" w:eastAsia="宋体" w:cs="Times New Roman"/>
                <w:bCs/>
                <w:color w:val="auto"/>
                <w:kern w:val="0"/>
                <w:sz w:val="24"/>
                <w:lang w:val="en-US" w:eastAsia="zh-CN"/>
              </w:rPr>
              <w:t>5</w:t>
            </w:r>
            <w:r>
              <w:rPr>
                <w:rFonts w:hint="default" w:ascii="Times New Roman" w:hAnsi="Times New Roman" w:eastAsia="宋体" w:cs="Times New Roman"/>
                <w:bCs/>
                <w:color w:val="auto"/>
                <w:kern w:val="0"/>
                <w:sz w:val="24"/>
              </w:rPr>
              <w:t>k</w:t>
            </w:r>
            <w:r>
              <w:rPr>
                <w:rFonts w:hint="default" w:ascii="Times New Roman" w:hAnsi="Times New Roman" w:cs="Times New Roman"/>
                <w:bCs/>
                <w:color w:val="auto"/>
                <w:kern w:val="0"/>
                <w:sz w:val="24"/>
                <w:lang w:eastAsia="zh-CN"/>
              </w:rPr>
              <w:t>m</w:t>
            </w:r>
            <w:r>
              <w:rPr>
                <w:rFonts w:hint="default" w:ascii="Times New Roman" w:hAnsi="Times New Roman" w:eastAsia="宋体" w:cs="Times New Roman"/>
                <w:bCs/>
                <w:color w:val="auto"/>
                <w:kern w:val="0"/>
                <w:sz w:val="24"/>
              </w:rPr>
              <w:t>处为锡尼镇北水源地。202</w:t>
            </w:r>
            <w:r>
              <w:rPr>
                <w:rFonts w:hint="default" w:ascii="Times New Roman" w:hAnsi="Times New Roman" w:cs="Times New Roman"/>
                <w:bCs/>
                <w:color w:val="auto"/>
                <w:kern w:val="0"/>
                <w:sz w:val="24"/>
                <w:lang w:val="en-US" w:eastAsia="zh-CN"/>
              </w:rPr>
              <w:t>5</w:t>
            </w:r>
            <w:r>
              <w:rPr>
                <w:rFonts w:hint="default" w:ascii="Times New Roman" w:hAnsi="Times New Roman" w:eastAsia="宋体" w:cs="Times New Roman"/>
                <w:bCs/>
                <w:color w:val="auto"/>
                <w:kern w:val="0"/>
                <w:sz w:val="24"/>
              </w:rPr>
              <w:t>年</w:t>
            </w:r>
            <w:r>
              <w:rPr>
                <w:rFonts w:hint="default" w:ascii="Times New Roman" w:hAnsi="Times New Roman" w:eastAsia="宋体" w:cs="Times New Roman"/>
                <w:bCs/>
                <w:color w:val="auto"/>
                <w:kern w:val="0"/>
                <w:sz w:val="24"/>
                <w:lang w:val="en-US" w:eastAsia="zh-CN"/>
              </w:rPr>
              <w:t>4</w:t>
            </w:r>
            <w:r>
              <w:rPr>
                <w:rFonts w:hint="default" w:ascii="Times New Roman" w:hAnsi="Times New Roman" w:eastAsia="宋体" w:cs="Times New Roman"/>
                <w:bCs/>
                <w:color w:val="auto"/>
                <w:kern w:val="0"/>
                <w:sz w:val="24"/>
              </w:rPr>
              <w:t>月</w:t>
            </w:r>
            <w:r>
              <w:rPr>
                <w:rFonts w:hint="default" w:ascii="Times New Roman" w:hAnsi="Times New Roman" w:eastAsia="宋体" w:cs="Times New Roman"/>
                <w:bCs/>
                <w:color w:val="auto"/>
                <w:kern w:val="0"/>
                <w:sz w:val="24"/>
                <w:lang w:val="en-US" w:eastAsia="zh-CN"/>
              </w:rPr>
              <w:t>16</w:t>
            </w:r>
            <w:r>
              <w:rPr>
                <w:rFonts w:hint="default" w:ascii="Times New Roman" w:hAnsi="Times New Roman" w:eastAsia="宋体" w:cs="Times New Roman"/>
                <w:bCs/>
                <w:color w:val="auto"/>
                <w:kern w:val="0"/>
                <w:sz w:val="24"/>
              </w:rPr>
              <w:t>日，杭锦旗人民政府网站发布了《关于公布</w:t>
            </w:r>
            <w:r>
              <w:rPr>
                <w:rFonts w:hint="default" w:ascii="Times New Roman" w:hAnsi="Times New Roman" w:cs="Times New Roman"/>
                <w:bCs/>
                <w:color w:val="auto"/>
                <w:kern w:val="0"/>
                <w:sz w:val="24"/>
                <w:lang w:eastAsia="zh-CN"/>
              </w:rPr>
              <w:t>鄂尔多斯市同圆水务有限公司</w:t>
            </w:r>
            <w:r>
              <w:rPr>
                <w:rFonts w:hint="default" w:ascii="Times New Roman" w:hAnsi="Times New Roman" w:eastAsia="宋体" w:cs="Times New Roman"/>
                <w:bCs/>
                <w:color w:val="auto"/>
                <w:kern w:val="0"/>
                <w:sz w:val="24"/>
              </w:rPr>
              <w:t>2025年3月份水质检验报告》，对锡尼镇北水源地</w:t>
            </w:r>
            <w:r>
              <w:rPr>
                <w:rFonts w:hint="default" w:ascii="Times New Roman" w:hAnsi="Times New Roman" w:cs="Times New Roman"/>
                <w:bCs/>
                <w:color w:val="auto"/>
                <w:kern w:val="0"/>
                <w:sz w:val="24"/>
                <w:lang w:eastAsia="zh-CN"/>
              </w:rPr>
              <w:t>的</w:t>
            </w:r>
            <w:r>
              <w:rPr>
                <w:rFonts w:hint="default" w:ascii="Times New Roman" w:hAnsi="Times New Roman" w:eastAsia="宋体" w:cs="Times New Roman"/>
                <w:bCs/>
                <w:color w:val="auto"/>
                <w:kern w:val="0"/>
                <w:sz w:val="24"/>
              </w:rPr>
              <w:t>生活饮用水水源地进行了水质检测。经检测，各检测项目均满足《生活饮用水卫生标准》（GB</w:t>
            </w:r>
            <w:r>
              <w:rPr>
                <w:rFonts w:hint="default" w:ascii="Times New Roman" w:hAnsi="Times New Roman" w:cs="Times New Roman"/>
                <w:bCs/>
                <w:color w:val="auto"/>
                <w:kern w:val="0"/>
                <w:sz w:val="24"/>
                <w:lang w:val="en-US" w:eastAsia="zh-CN"/>
              </w:rPr>
              <w:t xml:space="preserve"> </w:t>
            </w:r>
            <w:r>
              <w:rPr>
                <w:rFonts w:hint="default" w:ascii="Times New Roman" w:hAnsi="Times New Roman" w:eastAsia="宋体" w:cs="Times New Roman"/>
                <w:bCs/>
                <w:color w:val="auto"/>
                <w:kern w:val="0"/>
                <w:sz w:val="24"/>
              </w:rPr>
              <w:t>5749</w:t>
            </w:r>
            <w:r>
              <w:rPr>
                <w:rFonts w:hint="eastAsia" w:ascii="Times New Roman" w:hAnsi="Times New Roman" w:cs="Times New Roman"/>
                <w:bCs/>
                <w:color w:val="auto"/>
                <w:kern w:val="0"/>
                <w:sz w:val="24"/>
                <w:lang w:eastAsia="zh-CN"/>
              </w:rPr>
              <w:t>—2022</w:t>
            </w:r>
            <w:r>
              <w:rPr>
                <w:rFonts w:hint="default" w:ascii="Times New Roman" w:hAnsi="Times New Roman" w:eastAsia="宋体" w:cs="Times New Roman"/>
                <w:bCs/>
                <w:color w:val="auto"/>
                <w:kern w:val="0"/>
                <w:sz w:val="24"/>
              </w:rPr>
              <w:t>）标准限值要求。地下水检测报告详见附件8。</w:t>
            </w:r>
          </w:p>
          <w:p w14:paraId="682DF925">
            <w:pPr>
              <w:spacing w:line="360" w:lineRule="auto"/>
              <w:ind w:firstLine="480" w:firstLineChars="200"/>
              <w:rPr>
                <w:rFonts w:hint="default" w:ascii="Times New Roman" w:hAnsi="Times New Roman" w:eastAsia="宋体" w:cs="Times New Roman"/>
                <w:bCs/>
                <w:color w:val="auto"/>
                <w:kern w:val="0"/>
                <w:sz w:val="24"/>
              </w:rPr>
            </w:pPr>
            <w:r>
              <w:rPr>
                <w:rFonts w:hint="default" w:ascii="Times New Roman" w:hAnsi="Times New Roman" w:eastAsia="宋体" w:cs="Times New Roman"/>
                <w:bCs/>
                <w:color w:val="auto"/>
                <w:kern w:val="0"/>
                <w:sz w:val="24"/>
              </w:rPr>
              <w:t>引用</w:t>
            </w:r>
            <w:r>
              <w:rPr>
                <w:rFonts w:hint="default" w:ascii="Times New Roman" w:hAnsi="Times New Roman" w:cs="Times New Roman"/>
                <w:bCs/>
                <w:color w:val="auto"/>
                <w:kern w:val="0"/>
                <w:sz w:val="24"/>
                <w:lang w:val="en-US" w:eastAsia="zh-CN"/>
              </w:rPr>
              <w:t>的</w:t>
            </w:r>
            <w:r>
              <w:rPr>
                <w:rFonts w:hint="default" w:ascii="Times New Roman" w:hAnsi="Times New Roman" w:eastAsia="宋体" w:cs="Times New Roman"/>
                <w:bCs/>
                <w:color w:val="auto"/>
                <w:kern w:val="0"/>
                <w:sz w:val="24"/>
              </w:rPr>
              <w:t>水源地水质检测结果与《地下水质量标准》（GB/T 14848</w:t>
            </w:r>
            <w:r>
              <w:rPr>
                <w:rFonts w:hint="eastAsia" w:ascii="Times New Roman" w:hAnsi="Times New Roman" w:cs="Times New Roman"/>
                <w:bCs/>
                <w:color w:val="auto"/>
                <w:kern w:val="0"/>
                <w:sz w:val="24"/>
                <w:lang w:eastAsia="zh-CN"/>
              </w:rPr>
              <w:t>—2017</w:t>
            </w:r>
            <w:r>
              <w:rPr>
                <w:rFonts w:hint="default" w:ascii="Times New Roman" w:hAnsi="Times New Roman" w:eastAsia="宋体" w:cs="Times New Roman"/>
                <w:bCs/>
                <w:color w:val="auto"/>
                <w:kern w:val="0"/>
                <w:sz w:val="24"/>
              </w:rPr>
              <w:t>）Ⅲ类标准限值分析如下。</w:t>
            </w:r>
          </w:p>
          <w:p w14:paraId="27B858C3">
            <w:pPr>
              <w:widowControl w:val="0"/>
              <w:ind w:firstLine="0"/>
              <w:jc w:val="center"/>
              <w:rPr>
                <w:rFonts w:hint="default"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表3-2</w:t>
            </w:r>
            <w:r>
              <w:rPr>
                <w:rFonts w:hint="default" w:ascii="Times New Roman" w:hAnsi="Times New Roman" w:cs="Times New Roman"/>
                <w:b/>
                <w:bCs/>
                <w:color w:val="auto"/>
                <w:kern w:val="2"/>
                <w:sz w:val="21"/>
                <w:szCs w:val="24"/>
                <w:lang w:val="en-US" w:eastAsia="zh-CN" w:bidi="ar-SA"/>
              </w:rPr>
              <w:t xml:space="preserve"> </w:t>
            </w:r>
            <w:r>
              <w:rPr>
                <w:rFonts w:hint="default" w:ascii="Times New Roman" w:hAnsi="Times New Roman" w:eastAsia="宋体" w:cs="Times New Roman"/>
                <w:b/>
                <w:bCs/>
                <w:color w:val="auto"/>
                <w:kern w:val="2"/>
                <w:sz w:val="21"/>
                <w:szCs w:val="24"/>
                <w:lang w:val="en-US" w:eastAsia="zh-CN" w:bidi="ar-SA"/>
              </w:rPr>
              <w:t>地下水现状监测与评价结果统计</w:t>
            </w:r>
          </w:p>
          <w:tbl>
            <w:tblPr>
              <w:tblStyle w:val="11"/>
              <w:tblW w:w="83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1155"/>
              <w:gridCol w:w="1255"/>
              <w:gridCol w:w="1851"/>
              <w:gridCol w:w="1842"/>
              <w:gridCol w:w="752"/>
            </w:tblGrid>
            <w:tr w14:paraId="779703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top w:val="single" w:color="auto" w:sz="4" w:space="0"/>
                    <w:left w:val="single" w:color="auto" w:sz="0" w:space="0"/>
                  </w:tcBorders>
                  <w:noWrap w:val="0"/>
                  <w:vAlign w:val="center"/>
                </w:tcPr>
                <w:p w14:paraId="3869F9EE">
                  <w:pPr>
                    <w:widowControl w:val="0"/>
                    <w:ind w:firstLine="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检测项目</w:t>
                  </w:r>
                </w:p>
              </w:tc>
              <w:tc>
                <w:tcPr>
                  <w:tcW w:w="1155" w:type="dxa"/>
                  <w:tcBorders>
                    <w:top w:val="single" w:color="auto" w:sz="4" w:space="0"/>
                  </w:tcBorders>
                  <w:noWrap w:val="0"/>
                  <w:vAlign w:val="center"/>
                </w:tcPr>
                <w:p w14:paraId="15CD8AC3">
                  <w:pPr>
                    <w:widowControl w:val="0"/>
                    <w:ind w:firstLine="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单位</w:t>
                  </w:r>
                </w:p>
              </w:tc>
              <w:tc>
                <w:tcPr>
                  <w:tcW w:w="1255" w:type="dxa"/>
                  <w:tcBorders>
                    <w:top w:val="single" w:color="auto" w:sz="4" w:space="0"/>
                  </w:tcBorders>
                  <w:noWrap w:val="0"/>
                  <w:vAlign w:val="center"/>
                </w:tcPr>
                <w:p w14:paraId="60A6FD73">
                  <w:pPr>
                    <w:widowControl w:val="0"/>
                    <w:ind w:firstLine="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检测值</w:t>
                  </w:r>
                </w:p>
              </w:tc>
              <w:tc>
                <w:tcPr>
                  <w:tcW w:w="1851" w:type="dxa"/>
                  <w:tcBorders>
                    <w:top w:val="single" w:color="auto" w:sz="4" w:space="0"/>
                  </w:tcBorders>
                  <w:noWrap w:val="0"/>
                  <w:vAlign w:val="top"/>
                </w:tcPr>
                <w:p w14:paraId="2F615D6C">
                  <w:pPr>
                    <w:widowControl w:val="0"/>
                    <w:ind w:firstLine="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《生活饮用水卫生标准》（GB</w:t>
                  </w:r>
                  <w:r>
                    <w:rPr>
                      <w:rFonts w:hint="default" w:ascii="Times New Roman" w:hAnsi="Times New Roman" w:cs="Times New Roman"/>
                      <w:b/>
                      <w:bCs/>
                      <w:color w:val="auto"/>
                      <w:kern w:val="2"/>
                      <w:sz w:val="21"/>
                      <w:szCs w:val="21"/>
                      <w:lang w:val="en-US" w:eastAsia="zh-CN" w:bidi="ar-SA"/>
                    </w:rPr>
                    <w:t xml:space="preserve"> </w:t>
                  </w:r>
                  <w:r>
                    <w:rPr>
                      <w:rFonts w:hint="default" w:ascii="Times New Roman" w:hAnsi="Times New Roman" w:eastAsia="宋体" w:cs="Times New Roman"/>
                      <w:b/>
                      <w:bCs/>
                      <w:color w:val="auto"/>
                      <w:kern w:val="2"/>
                      <w:sz w:val="21"/>
                      <w:szCs w:val="21"/>
                      <w:lang w:val="en-US" w:eastAsia="zh-CN" w:bidi="ar-SA"/>
                    </w:rPr>
                    <w:t>5749</w:t>
                  </w:r>
                  <w:r>
                    <w:rPr>
                      <w:rFonts w:hint="eastAsia" w:ascii="Times New Roman" w:hAnsi="Times New Roman" w:cs="Times New Roman"/>
                      <w:b/>
                      <w:bCs/>
                      <w:color w:val="auto"/>
                      <w:kern w:val="2"/>
                      <w:sz w:val="21"/>
                      <w:szCs w:val="21"/>
                      <w:lang w:val="en-US" w:eastAsia="zh-CN" w:bidi="ar-SA"/>
                    </w:rPr>
                    <w:t>—2022</w:t>
                  </w:r>
                  <w:r>
                    <w:rPr>
                      <w:rFonts w:hint="default" w:ascii="Times New Roman" w:hAnsi="Times New Roman" w:eastAsia="宋体" w:cs="Times New Roman"/>
                      <w:b/>
                      <w:bCs/>
                      <w:color w:val="auto"/>
                      <w:kern w:val="2"/>
                      <w:sz w:val="21"/>
                      <w:szCs w:val="21"/>
                      <w:lang w:val="en-US" w:eastAsia="zh-CN" w:bidi="ar-SA"/>
                    </w:rPr>
                    <w:t>）标准</w:t>
                  </w:r>
                </w:p>
              </w:tc>
              <w:tc>
                <w:tcPr>
                  <w:tcW w:w="1842" w:type="dxa"/>
                  <w:tcBorders>
                    <w:top w:val="single" w:color="auto" w:sz="4" w:space="0"/>
                  </w:tcBorders>
                  <w:noWrap w:val="0"/>
                  <w:vAlign w:val="center"/>
                </w:tcPr>
                <w:p w14:paraId="3A5A660C">
                  <w:pPr>
                    <w:widowControl w:val="0"/>
                    <w:ind w:firstLine="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《地下水质量标准》（GB/T 14848</w:t>
                  </w:r>
                  <w:r>
                    <w:rPr>
                      <w:rFonts w:hint="eastAsia" w:ascii="Times New Roman" w:hAnsi="Times New Roman" w:cs="Times New Roman"/>
                      <w:b/>
                      <w:bCs/>
                      <w:color w:val="auto"/>
                      <w:kern w:val="2"/>
                      <w:sz w:val="21"/>
                      <w:szCs w:val="21"/>
                      <w:lang w:val="en-US" w:eastAsia="zh-CN" w:bidi="ar-SA"/>
                    </w:rPr>
                    <w:t>—2017</w:t>
                  </w:r>
                  <w:r>
                    <w:rPr>
                      <w:rFonts w:hint="default" w:ascii="Times New Roman" w:hAnsi="Times New Roman" w:eastAsia="宋体" w:cs="Times New Roman"/>
                      <w:b/>
                      <w:bCs/>
                      <w:color w:val="auto"/>
                      <w:kern w:val="2"/>
                      <w:sz w:val="21"/>
                      <w:szCs w:val="21"/>
                      <w:lang w:val="en-US" w:eastAsia="zh-CN" w:bidi="ar-SA"/>
                    </w:rPr>
                    <w:t>）Ⅲ类标准</w:t>
                  </w:r>
                </w:p>
              </w:tc>
              <w:tc>
                <w:tcPr>
                  <w:tcW w:w="752" w:type="dxa"/>
                  <w:tcBorders>
                    <w:top w:val="single" w:color="auto" w:sz="4" w:space="0"/>
                    <w:right w:val="single" w:color="auto" w:sz="4" w:space="0"/>
                  </w:tcBorders>
                  <w:noWrap w:val="0"/>
                  <w:vAlign w:val="center"/>
                </w:tcPr>
                <w:p w14:paraId="3258F5C6">
                  <w:pPr>
                    <w:widowControl w:val="0"/>
                    <w:ind w:firstLine="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是否达标</w:t>
                  </w:r>
                </w:p>
              </w:tc>
            </w:tr>
            <w:tr w14:paraId="31B0A0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34ABAF8C">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总大肠菌群</w:t>
                  </w:r>
                </w:p>
              </w:tc>
              <w:tc>
                <w:tcPr>
                  <w:tcW w:w="1155" w:type="dxa"/>
                  <w:noWrap w:val="0"/>
                  <w:vAlign w:val="center"/>
                </w:tcPr>
                <w:p w14:paraId="04F608F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MPN/100 </w:t>
                  </w: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L</w:t>
                  </w:r>
                </w:p>
              </w:tc>
              <w:tc>
                <w:tcPr>
                  <w:tcW w:w="1255" w:type="dxa"/>
                  <w:noWrap w:val="0"/>
                  <w:vAlign w:val="center"/>
                </w:tcPr>
                <w:p w14:paraId="2B4E6415">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未检出</w:t>
                  </w:r>
                </w:p>
              </w:tc>
              <w:tc>
                <w:tcPr>
                  <w:tcW w:w="1851" w:type="dxa"/>
                  <w:noWrap w:val="0"/>
                  <w:vAlign w:val="center"/>
                </w:tcPr>
                <w:p w14:paraId="018EB978">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1842" w:type="dxa"/>
                  <w:noWrap w:val="0"/>
                  <w:vAlign w:val="center"/>
                </w:tcPr>
                <w:p w14:paraId="00EA75B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3.0</w:t>
                  </w:r>
                </w:p>
              </w:tc>
              <w:tc>
                <w:tcPr>
                  <w:tcW w:w="752" w:type="dxa"/>
                  <w:tcBorders>
                    <w:right w:val="single" w:color="auto" w:sz="4" w:space="0"/>
                  </w:tcBorders>
                  <w:noWrap w:val="0"/>
                  <w:vAlign w:val="center"/>
                </w:tcPr>
                <w:p w14:paraId="5291836D">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3F67E2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6B8D367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大肠埃希氏菌</w:t>
                  </w:r>
                </w:p>
              </w:tc>
              <w:tc>
                <w:tcPr>
                  <w:tcW w:w="1155" w:type="dxa"/>
                  <w:noWrap w:val="0"/>
                  <w:vAlign w:val="center"/>
                </w:tcPr>
                <w:p w14:paraId="5D62BCA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 xml:space="preserve">MPN/100 </w:t>
                  </w: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L</w:t>
                  </w:r>
                </w:p>
              </w:tc>
              <w:tc>
                <w:tcPr>
                  <w:tcW w:w="1255" w:type="dxa"/>
                  <w:noWrap w:val="0"/>
                  <w:vAlign w:val="center"/>
                </w:tcPr>
                <w:p w14:paraId="609F799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未检出</w:t>
                  </w:r>
                </w:p>
              </w:tc>
              <w:tc>
                <w:tcPr>
                  <w:tcW w:w="1851" w:type="dxa"/>
                  <w:noWrap w:val="0"/>
                  <w:vAlign w:val="center"/>
                </w:tcPr>
                <w:p w14:paraId="4FD2800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842" w:type="dxa"/>
                  <w:noWrap w:val="0"/>
                  <w:vAlign w:val="center"/>
                </w:tcPr>
                <w:p w14:paraId="650EAC5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tcBorders>
                    <w:right w:val="single" w:color="auto" w:sz="4" w:space="0"/>
                  </w:tcBorders>
                  <w:noWrap w:val="0"/>
                  <w:vAlign w:val="center"/>
                </w:tcPr>
                <w:p w14:paraId="01E1633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1F1AD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52731EA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菌落总数</w:t>
                  </w:r>
                </w:p>
              </w:tc>
              <w:tc>
                <w:tcPr>
                  <w:tcW w:w="1155" w:type="dxa"/>
                  <w:noWrap w:val="0"/>
                  <w:vAlign w:val="center"/>
                </w:tcPr>
                <w:p w14:paraId="759882A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CFU/</w:t>
                  </w: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L</w:t>
                  </w:r>
                </w:p>
              </w:tc>
              <w:tc>
                <w:tcPr>
                  <w:tcW w:w="1255" w:type="dxa"/>
                  <w:noWrap w:val="0"/>
                  <w:vAlign w:val="center"/>
                </w:tcPr>
                <w:p w14:paraId="1DF46C5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未检出</w:t>
                  </w:r>
                </w:p>
              </w:tc>
              <w:tc>
                <w:tcPr>
                  <w:tcW w:w="1851" w:type="dxa"/>
                  <w:noWrap w:val="0"/>
                  <w:vAlign w:val="center"/>
                </w:tcPr>
                <w:p w14:paraId="00EB454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1842" w:type="dxa"/>
                  <w:noWrap w:val="0"/>
                  <w:vAlign w:val="center"/>
                </w:tcPr>
                <w:p w14:paraId="1707306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752" w:type="dxa"/>
                  <w:tcBorders>
                    <w:right w:val="single" w:color="auto" w:sz="4" w:space="0"/>
                  </w:tcBorders>
                  <w:noWrap w:val="0"/>
                  <w:vAlign w:val="center"/>
                </w:tcPr>
                <w:p w14:paraId="0E913C4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7062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0EEBA1C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砷</w:t>
                  </w:r>
                </w:p>
              </w:tc>
              <w:tc>
                <w:tcPr>
                  <w:tcW w:w="1155" w:type="dxa"/>
                  <w:noWrap w:val="0"/>
                  <w:vAlign w:val="center"/>
                </w:tcPr>
                <w:p w14:paraId="56316AF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790A3EF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2.2</w:t>
                  </w:r>
                </w:p>
              </w:tc>
              <w:tc>
                <w:tcPr>
                  <w:tcW w:w="1851" w:type="dxa"/>
                  <w:noWrap w:val="0"/>
                  <w:vAlign w:val="center"/>
                </w:tcPr>
                <w:p w14:paraId="3954A4E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842" w:type="dxa"/>
                  <w:noWrap w:val="0"/>
                  <w:vAlign w:val="center"/>
                </w:tcPr>
                <w:p w14:paraId="49BC42C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52" w:type="dxa"/>
                  <w:tcBorders>
                    <w:right w:val="single" w:color="auto" w:sz="4" w:space="0"/>
                  </w:tcBorders>
                  <w:noWrap w:val="0"/>
                  <w:vAlign w:val="center"/>
                </w:tcPr>
                <w:p w14:paraId="22AE6C1F">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33902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6DCC71E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镉</w:t>
                  </w:r>
                </w:p>
              </w:tc>
              <w:tc>
                <w:tcPr>
                  <w:tcW w:w="1155" w:type="dxa"/>
                  <w:noWrap w:val="0"/>
                  <w:vAlign w:val="center"/>
                </w:tcPr>
                <w:p w14:paraId="31B1201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377A42E3">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&lt;0.5</w:t>
                  </w:r>
                </w:p>
              </w:tc>
              <w:tc>
                <w:tcPr>
                  <w:tcW w:w="1851" w:type="dxa"/>
                  <w:noWrap w:val="0"/>
                  <w:vAlign w:val="center"/>
                </w:tcPr>
                <w:p w14:paraId="71764EA0">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1842" w:type="dxa"/>
                  <w:noWrap w:val="0"/>
                  <w:vAlign w:val="center"/>
                </w:tcPr>
                <w:p w14:paraId="15A59918">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752" w:type="dxa"/>
                  <w:tcBorders>
                    <w:right w:val="single" w:color="auto" w:sz="4" w:space="0"/>
                  </w:tcBorders>
                  <w:noWrap w:val="0"/>
                  <w:vAlign w:val="center"/>
                </w:tcPr>
                <w:p w14:paraId="56CD3DFD">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0D8A3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55351E6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铬（六价）</w:t>
                  </w:r>
                </w:p>
              </w:tc>
              <w:tc>
                <w:tcPr>
                  <w:tcW w:w="1155" w:type="dxa"/>
                  <w:noWrap w:val="0"/>
                  <w:vAlign w:val="center"/>
                </w:tcPr>
                <w:p w14:paraId="7FB4556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28619375">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0.004</w:t>
                  </w:r>
                </w:p>
              </w:tc>
              <w:tc>
                <w:tcPr>
                  <w:tcW w:w="1851" w:type="dxa"/>
                  <w:noWrap w:val="0"/>
                  <w:vAlign w:val="center"/>
                </w:tcPr>
                <w:p w14:paraId="5122567A">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1842" w:type="dxa"/>
                  <w:noWrap w:val="0"/>
                  <w:vAlign w:val="center"/>
                </w:tcPr>
                <w:p w14:paraId="31E74C00">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752" w:type="dxa"/>
                  <w:tcBorders>
                    <w:right w:val="single" w:color="auto" w:sz="4" w:space="0"/>
                  </w:tcBorders>
                  <w:noWrap w:val="0"/>
                  <w:vAlign w:val="center"/>
                </w:tcPr>
                <w:p w14:paraId="781AFAB5">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65375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24C8847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铅</w:t>
                  </w:r>
                </w:p>
              </w:tc>
              <w:tc>
                <w:tcPr>
                  <w:tcW w:w="1155" w:type="dxa"/>
                  <w:noWrap w:val="0"/>
                  <w:vAlign w:val="center"/>
                </w:tcPr>
                <w:p w14:paraId="2AE0F38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5A811251">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&lt;2.5</w:t>
                  </w:r>
                </w:p>
              </w:tc>
              <w:tc>
                <w:tcPr>
                  <w:tcW w:w="1851" w:type="dxa"/>
                  <w:noWrap w:val="0"/>
                  <w:vAlign w:val="center"/>
                </w:tcPr>
                <w:p w14:paraId="07AADFF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842" w:type="dxa"/>
                  <w:noWrap w:val="0"/>
                  <w:vAlign w:val="center"/>
                </w:tcPr>
                <w:p w14:paraId="4200ACE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52" w:type="dxa"/>
                  <w:tcBorders>
                    <w:right w:val="single" w:color="auto" w:sz="4" w:space="0"/>
                  </w:tcBorders>
                  <w:noWrap w:val="0"/>
                  <w:vAlign w:val="center"/>
                </w:tcPr>
                <w:p w14:paraId="1FD2F0B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2F6D0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5C0F9D17">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汞</w:t>
                  </w:r>
                </w:p>
              </w:tc>
              <w:tc>
                <w:tcPr>
                  <w:tcW w:w="1155" w:type="dxa"/>
                  <w:noWrap w:val="0"/>
                  <w:vAlign w:val="center"/>
                </w:tcPr>
                <w:p w14:paraId="789D961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19221D42">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w:t>
                  </w:r>
                </w:p>
              </w:tc>
              <w:tc>
                <w:tcPr>
                  <w:tcW w:w="1851" w:type="dxa"/>
                  <w:noWrap w:val="0"/>
                  <w:vAlign w:val="center"/>
                </w:tcPr>
                <w:p w14:paraId="7392E5D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42" w:type="dxa"/>
                  <w:noWrap w:val="0"/>
                  <w:vAlign w:val="center"/>
                </w:tcPr>
                <w:p w14:paraId="12CFAFD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52" w:type="dxa"/>
                  <w:tcBorders>
                    <w:right w:val="single" w:color="auto" w:sz="4" w:space="0"/>
                  </w:tcBorders>
                  <w:noWrap w:val="0"/>
                  <w:vAlign w:val="center"/>
                </w:tcPr>
                <w:p w14:paraId="751B8FBF">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5C12C2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6EF9E04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氰化物</w:t>
                  </w:r>
                </w:p>
              </w:tc>
              <w:tc>
                <w:tcPr>
                  <w:tcW w:w="1155" w:type="dxa"/>
                  <w:noWrap w:val="0"/>
                  <w:vAlign w:val="center"/>
                </w:tcPr>
                <w:p w14:paraId="159AF37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56B725EC">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&lt;0.0016</w:t>
                  </w:r>
                </w:p>
              </w:tc>
              <w:tc>
                <w:tcPr>
                  <w:tcW w:w="1851" w:type="dxa"/>
                  <w:noWrap w:val="0"/>
                  <w:vAlign w:val="center"/>
                </w:tcPr>
                <w:p w14:paraId="795A288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1842" w:type="dxa"/>
                  <w:noWrap w:val="0"/>
                  <w:vAlign w:val="center"/>
                </w:tcPr>
                <w:p w14:paraId="2F39B09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752" w:type="dxa"/>
                  <w:tcBorders>
                    <w:right w:val="single" w:color="auto" w:sz="4" w:space="0"/>
                  </w:tcBorders>
                  <w:noWrap w:val="0"/>
                  <w:vAlign w:val="center"/>
                </w:tcPr>
                <w:p w14:paraId="5B56822B">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3A67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644B300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氟化物</w:t>
                  </w:r>
                </w:p>
              </w:tc>
              <w:tc>
                <w:tcPr>
                  <w:tcW w:w="1155" w:type="dxa"/>
                  <w:noWrap w:val="0"/>
                  <w:vAlign w:val="center"/>
                </w:tcPr>
                <w:p w14:paraId="2F924A3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5B9262B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0.8</w:t>
                  </w:r>
                </w:p>
              </w:tc>
              <w:tc>
                <w:tcPr>
                  <w:tcW w:w="1851" w:type="dxa"/>
                  <w:noWrap w:val="0"/>
                  <w:vAlign w:val="center"/>
                </w:tcPr>
                <w:p w14:paraId="7CA21DE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842" w:type="dxa"/>
                  <w:noWrap w:val="0"/>
                  <w:vAlign w:val="center"/>
                </w:tcPr>
                <w:p w14:paraId="48818AF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52" w:type="dxa"/>
                  <w:tcBorders>
                    <w:right w:val="single" w:color="auto" w:sz="4" w:space="0"/>
                  </w:tcBorders>
                  <w:noWrap w:val="0"/>
                  <w:vAlign w:val="center"/>
                </w:tcPr>
                <w:p w14:paraId="459B7203">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5CA39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06AC6A4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硝酸盐（以N计）</w:t>
                  </w:r>
                </w:p>
              </w:tc>
              <w:tc>
                <w:tcPr>
                  <w:tcW w:w="1155" w:type="dxa"/>
                  <w:noWrap w:val="0"/>
                  <w:vAlign w:val="center"/>
                </w:tcPr>
                <w:p w14:paraId="14F075F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6A4AD398">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1.49</w:t>
                  </w:r>
                </w:p>
              </w:tc>
              <w:tc>
                <w:tcPr>
                  <w:tcW w:w="1851" w:type="dxa"/>
                  <w:noWrap w:val="0"/>
                  <w:vAlign w:val="center"/>
                </w:tcPr>
                <w:p w14:paraId="1436369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842" w:type="dxa"/>
                  <w:noWrap w:val="0"/>
                  <w:vAlign w:val="center"/>
                </w:tcPr>
                <w:p w14:paraId="4DDD2A1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752" w:type="dxa"/>
                  <w:tcBorders>
                    <w:right w:val="single" w:color="auto" w:sz="4" w:space="0"/>
                  </w:tcBorders>
                  <w:noWrap w:val="0"/>
                  <w:vAlign w:val="center"/>
                </w:tcPr>
                <w:p w14:paraId="5F6172F5">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4822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20A3C91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三氯甲烷</w:t>
                  </w:r>
                </w:p>
              </w:tc>
              <w:tc>
                <w:tcPr>
                  <w:tcW w:w="1155" w:type="dxa"/>
                  <w:noWrap w:val="0"/>
                  <w:vAlign w:val="center"/>
                </w:tcPr>
                <w:p w14:paraId="5A182FE0">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1C44D206">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6.68</w:t>
                  </w:r>
                </w:p>
              </w:tc>
              <w:tc>
                <w:tcPr>
                  <w:tcW w:w="1851" w:type="dxa"/>
                  <w:noWrap w:val="0"/>
                  <w:vAlign w:val="center"/>
                </w:tcPr>
                <w:p w14:paraId="54C5FD07">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1842" w:type="dxa"/>
                  <w:noWrap w:val="0"/>
                  <w:vAlign w:val="center"/>
                </w:tcPr>
                <w:p w14:paraId="0694C7E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tcBorders>
                    <w:right w:val="single" w:color="auto" w:sz="4" w:space="0"/>
                  </w:tcBorders>
                  <w:noWrap w:val="0"/>
                  <w:vAlign w:val="center"/>
                </w:tcPr>
                <w:p w14:paraId="5625C67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071D4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3A7DDA6A">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一氯二溴甲烷</w:t>
                  </w:r>
                </w:p>
              </w:tc>
              <w:tc>
                <w:tcPr>
                  <w:tcW w:w="1155" w:type="dxa"/>
                  <w:noWrap w:val="0"/>
                  <w:vAlign w:val="center"/>
                </w:tcPr>
                <w:p w14:paraId="1F864BA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58D01DA1">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8.70</w:t>
                  </w:r>
                </w:p>
              </w:tc>
              <w:tc>
                <w:tcPr>
                  <w:tcW w:w="1851" w:type="dxa"/>
                  <w:noWrap w:val="0"/>
                  <w:vAlign w:val="center"/>
                </w:tcPr>
                <w:p w14:paraId="46DE9B4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1842" w:type="dxa"/>
                  <w:noWrap w:val="0"/>
                  <w:vAlign w:val="center"/>
                </w:tcPr>
                <w:p w14:paraId="411E4DF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tcBorders>
                    <w:right w:val="single" w:color="auto" w:sz="4" w:space="0"/>
                  </w:tcBorders>
                  <w:noWrap w:val="0"/>
                  <w:vAlign w:val="center"/>
                </w:tcPr>
                <w:p w14:paraId="4AB5BDC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6C71A1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3BFA5DC8">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二氯一溴甲烷</w:t>
                  </w:r>
                </w:p>
              </w:tc>
              <w:tc>
                <w:tcPr>
                  <w:tcW w:w="1155" w:type="dxa"/>
                  <w:noWrap w:val="0"/>
                  <w:vAlign w:val="center"/>
                </w:tcPr>
                <w:p w14:paraId="031D452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63937EF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7.89</w:t>
                  </w:r>
                </w:p>
              </w:tc>
              <w:tc>
                <w:tcPr>
                  <w:tcW w:w="1851" w:type="dxa"/>
                  <w:noWrap w:val="0"/>
                  <w:vAlign w:val="center"/>
                </w:tcPr>
                <w:p w14:paraId="65B2AE58">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60</w:t>
                  </w:r>
                </w:p>
              </w:tc>
              <w:tc>
                <w:tcPr>
                  <w:tcW w:w="1842" w:type="dxa"/>
                  <w:noWrap w:val="0"/>
                  <w:vAlign w:val="center"/>
                </w:tcPr>
                <w:p w14:paraId="1413C64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tcBorders>
                    <w:right w:val="single" w:color="auto" w:sz="4" w:space="0"/>
                  </w:tcBorders>
                  <w:noWrap w:val="0"/>
                  <w:vAlign w:val="center"/>
                </w:tcPr>
                <w:p w14:paraId="7CF88AEF">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78DC8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088DF3D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三溴甲烷</w:t>
                  </w:r>
                </w:p>
              </w:tc>
              <w:tc>
                <w:tcPr>
                  <w:tcW w:w="1155" w:type="dxa"/>
                  <w:noWrap w:val="0"/>
                  <w:vAlign w:val="center"/>
                </w:tcPr>
                <w:p w14:paraId="0660F85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7806E576">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4.04</w:t>
                  </w:r>
                </w:p>
              </w:tc>
              <w:tc>
                <w:tcPr>
                  <w:tcW w:w="1851" w:type="dxa"/>
                  <w:noWrap w:val="0"/>
                  <w:vAlign w:val="center"/>
                </w:tcPr>
                <w:p w14:paraId="0202476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1842" w:type="dxa"/>
                  <w:noWrap w:val="0"/>
                  <w:vAlign w:val="center"/>
                </w:tcPr>
                <w:p w14:paraId="132249D8">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tcBorders>
                    <w:right w:val="single" w:color="auto" w:sz="4" w:space="0"/>
                  </w:tcBorders>
                  <w:noWrap w:val="0"/>
                  <w:vAlign w:val="center"/>
                </w:tcPr>
                <w:p w14:paraId="75E51845">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16535C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6A19BB6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二氯乙酸</w:t>
                  </w:r>
                </w:p>
              </w:tc>
              <w:tc>
                <w:tcPr>
                  <w:tcW w:w="1155" w:type="dxa"/>
                  <w:noWrap w:val="0"/>
                  <w:vAlign w:val="center"/>
                </w:tcPr>
                <w:p w14:paraId="4A713AF7">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68D71B06">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&lt;3.7</w:t>
                  </w:r>
                </w:p>
              </w:tc>
              <w:tc>
                <w:tcPr>
                  <w:tcW w:w="1851" w:type="dxa"/>
                  <w:noWrap w:val="0"/>
                  <w:vAlign w:val="center"/>
                </w:tcPr>
                <w:p w14:paraId="09053D5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50</w:t>
                  </w:r>
                </w:p>
              </w:tc>
              <w:tc>
                <w:tcPr>
                  <w:tcW w:w="1842" w:type="dxa"/>
                  <w:noWrap w:val="0"/>
                  <w:vAlign w:val="center"/>
                </w:tcPr>
                <w:p w14:paraId="6B3D81A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tcBorders>
                    <w:right w:val="single" w:color="auto" w:sz="4" w:space="0"/>
                  </w:tcBorders>
                  <w:noWrap w:val="0"/>
                  <w:vAlign w:val="center"/>
                </w:tcPr>
                <w:p w14:paraId="6393A34F">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40EC54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43EA13F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三氯乙酸</w:t>
                  </w:r>
                </w:p>
              </w:tc>
              <w:tc>
                <w:tcPr>
                  <w:tcW w:w="1155" w:type="dxa"/>
                  <w:noWrap w:val="0"/>
                  <w:vAlign w:val="center"/>
                </w:tcPr>
                <w:p w14:paraId="15B9BA6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65736740">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&lt;4.4</w:t>
                  </w:r>
                </w:p>
              </w:tc>
              <w:tc>
                <w:tcPr>
                  <w:tcW w:w="1851" w:type="dxa"/>
                  <w:noWrap w:val="0"/>
                  <w:vAlign w:val="center"/>
                </w:tcPr>
                <w:p w14:paraId="382B535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w:t>
                  </w:r>
                </w:p>
              </w:tc>
              <w:tc>
                <w:tcPr>
                  <w:tcW w:w="1842" w:type="dxa"/>
                  <w:noWrap w:val="0"/>
                  <w:vAlign w:val="center"/>
                </w:tcPr>
                <w:p w14:paraId="4E7D893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tcBorders>
                    <w:right w:val="single" w:color="auto" w:sz="4" w:space="0"/>
                  </w:tcBorders>
                  <w:noWrap w:val="0"/>
                  <w:vAlign w:val="center"/>
                </w:tcPr>
                <w:p w14:paraId="27C8985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0A70D0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1B8A1ED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氯酸盐</w:t>
                  </w:r>
                </w:p>
              </w:tc>
              <w:tc>
                <w:tcPr>
                  <w:tcW w:w="1155" w:type="dxa"/>
                  <w:noWrap w:val="0"/>
                  <w:vAlign w:val="center"/>
                </w:tcPr>
                <w:p w14:paraId="743BB48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μg/L</w:t>
                  </w:r>
                </w:p>
              </w:tc>
              <w:tc>
                <w:tcPr>
                  <w:tcW w:w="1255" w:type="dxa"/>
                  <w:noWrap w:val="0"/>
                  <w:vAlign w:val="center"/>
                </w:tcPr>
                <w:p w14:paraId="68061D4C">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497</w:t>
                  </w:r>
                </w:p>
              </w:tc>
              <w:tc>
                <w:tcPr>
                  <w:tcW w:w="1851" w:type="dxa"/>
                  <w:noWrap w:val="0"/>
                  <w:vAlign w:val="center"/>
                </w:tcPr>
                <w:p w14:paraId="184361A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700</w:t>
                  </w:r>
                </w:p>
              </w:tc>
              <w:tc>
                <w:tcPr>
                  <w:tcW w:w="1842" w:type="dxa"/>
                  <w:noWrap w:val="0"/>
                  <w:vAlign w:val="center"/>
                </w:tcPr>
                <w:p w14:paraId="6897C08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tcBorders>
                    <w:right w:val="single" w:color="auto" w:sz="4" w:space="0"/>
                  </w:tcBorders>
                  <w:noWrap w:val="0"/>
                  <w:vAlign w:val="center"/>
                </w:tcPr>
                <w:p w14:paraId="203CC760">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697A4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1B4E306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色度</w:t>
                  </w:r>
                </w:p>
              </w:tc>
              <w:tc>
                <w:tcPr>
                  <w:tcW w:w="1155" w:type="dxa"/>
                  <w:noWrap w:val="0"/>
                  <w:vAlign w:val="center"/>
                </w:tcPr>
                <w:p w14:paraId="6FB3917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度</w:t>
                  </w:r>
                </w:p>
              </w:tc>
              <w:tc>
                <w:tcPr>
                  <w:tcW w:w="1255" w:type="dxa"/>
                  <w:noWrap w:val="0"/>
                  <w:vAlign w:val="center"/>
                </w:tcPr>
                <w:p w14:paraId="787B0F77">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&lt;5</w:t>
                  </w:r>
                </w:p>
              </w:tc>
              <w:tc>
                <w:tcPr>
                  <w:tcW w:w="1851" w:type="dxa"/>
                  <w:noWrap w:val="0"/>
                  <w:vAlign w:val="center"/>
                </w:tcPr>
                <w:p w14:paraId="71D7D3D2">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15</w:t>
                  </w:r>
                </w:p>
              </w:tc>
              <w:tc>
                <w:tcPr>
                  <w:tcW w:w="1842" w:type="dxa"/>
                  <w:noWrap w:val="0"/>
                  <w:vAlign w:val="center"/>
                </w:tcPr>
                <w:p w14:paraId="1B7E231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15</w:t>
                  </w:r>
                </w:p>
              </w:tc>
              <w:tc>
                <w:tcPr>
                  <w:tcW w:w="752" w:type="dxa"/>
                  <w:tcBorders>
                    <w:right w:val="single" w:color="auto" w:sz="4" w:space="0"/>
                  </w:tcBorders>
                  <w:noWrap w:val="0"/>
                  <w:vAlign w:val="center"/>
                </w:tcPr>
                <w:p w14:paraId="5A2BEC4E">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434EE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2368903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臭和味</w:t>
                  </w:r>
                </w:p>
              </w:tc>
              <w:tc>
                <w:tcPr>
                  <w:tcW w:w="1155" w:type="dxa"/>
                  <w:noWrap w:val="0"/>
                  <w:vAlign w:val="center"/>
                </w:tcPr>
                <w:p w14:paraId="74C0D6B8">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255" w:type="dxa"/>
                  <w:noWrap w:val="0"/>
                  <w:vAlign w:val="center"/>
                </w:tcPr>
                <w:p w14:paraId="44B3B951">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w:t>
                  </w:r>
                </w:p>
              </w:tc>
              <w:tc>
                <w:tcPr>
                  <w:tcW w:w="1851" w:type="dxa"/>
                  <w:noWrap w:val="0"/>
                  <w:vAlign w:val="center"/>
                </w:tcPr>
                <w:p w14:paraId="08F8602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w:t>
                  </w:r>
                </w:p>
              </w:tc>
              <w:tc>
                <w:tcPr>
                  <w:tcW w:w="1842" w:type="dxa"/>
                  <w:noWrap w:val="0"/>
                  <w:vAlign w:val="center"/>
                </w:tcPr>
                <w:p w14:paraId="2384BBF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w:t>
                  </w:r>
                </w:p>
              </w:tc>
              <w:tc>
                <w:tcPr>
                  <w:tcW w:w="752" w:type="dxa"/>
                  <w:tcBorders>
                    <w:right w:val="single" w:color="auto" w:sz="4" w:space="0"/>
                  </w:tcBorders>
                  <w:noWrap w:val="0"/>
                  <w:vAlign w:val="center"/>
                </w:tcPr>
                <w:p w14:paraId="4683EBAD">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D975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1CCA829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浑浊度</w:t>
                  </w:r>
                </w:p>
              </w:tc>
              <w:tc>
                <w:tcPr>
                  <w:tcW w:w="1155" w:type="dxa"/>
                  <w:noWrap w:val="0"/>
                  <w:vAlign w:val="center"/>
                </w:tcPr>
                <w:p w14:paraId="393906A0">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NTU</w:t>
                  </w:r>
                </w:p>
              </w:tc>
              <w:tc>
                <w:tcPr>
                  <w:tcW w:w="1255" w:type="dxa"/>
                  <w:noWrap w:val="0"/>
                  <w:vAlign w:val="center"/>
                </w:tcPr>
                <w:p w14:paraId="3B7DCCAF">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&lt;0.5</w:t>
                  </w:r>
                </w:p>
              </w:tc>
              <w:tc>
                <w:tcPr>
                  <w:tcW w:w="1851" w:type="dxa"/>
                  <w:noWrap w:val="0"/>
                  <w:vAlign w:val="center"/>
                </w:tcPr>
                <w:p w14:paraId="5D33299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42" w:type="dxa"/>
                  <w:noWrap w:val="0"/>
                  <w:vAlign w:val="center"/>
                </w:tcPr>
                <w:p w14:paraId="3515F60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752" w:type="dxa"/>
                  <w:tcBorders>
                    <w:right w:val="single" w:color="auto" w:sz="4" w:space="0"/>
                  </w:tcBorders>
                  <w:noWrap w:val="0"/>
                  <w:vAlign w:val="center"/>
                </w:tcPr>
                <w:p w14:paraId="1B992B1C">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4C8A5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2793F0E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肉眼可见物</w:t>
                  </w:r>
                </w:p>
              </w:tc>
              <w:tc>
                <w:tcPr>
                  <w:tcW w:w="1155" w:type="dxa"/>
                  <w:noWrap w:val="0"/>
                  <w:vAlign w:val="center"/>
                </w:tcPr>
                <w:p w14:paraId="67C91FE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255" w:type="dxa"/>
                  <w:noWrap w:val="0"/>
                  <w:vAlign w:val="center"/>
                </w:tcPr>
                <w:p w14:paraId="189E9140">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w:t>
                  </w:r>
                </w:p>
              </w:tc>
              <w:tc>
                <w:tcPr>
                  <w:tcW w:w="1851" w:type="dxa"/>
                  <w:noWrap w:val="0"/>
                  <w:vAlign w:val="center"/>
                </w:tcPr>
                <w:p w14:paraId="37B12DC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w:t>
                  </w:r>
                </w:p>
              </w:tc>
              <w:tc>
                <w:tcPr>
                  <w:tcW w:w="1842" w:type="dxa"/>
                  <w:noWrap w:val="0"/>
                  <w:vAlign w:val="center"/>
                </w:tcPr>
                <w:p w14:paraId="7F740210">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w:t>
                  </w:r>
                </w:p>
              </w:tc>
              <w:tc>
                <w:tcPr>
                  <w:tcW w:w="752" w:type="dxa"/>
                  <w:tcBorders>
                    <w:right w:val="single" w:color="auto" w:sz="4" w:space="0"/>
                  </w:tcBorders>
                  <w:noWrap w:val="0"/>
                  <w:vAlign w:val="center"/>
                </w:tcPr>
                <w:p w14:paraId="6F977073">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712B5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6538867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w:t>
                  </w:r>
                  <w:r>
                    <w:rPr>
                      <w:rFonts w:hint="default" w:ascii="Times New Roman" w:hAnsi="Times New Roman" w:cs="Times New Roman"/>
                      <w:color w:val="auto"/>
                      <w:kern w:val="2"/>
                      <w:sz w:val="21"/>
                      <w:szCs w:val="21"/>
                      <w:lang w:val="en-US" w:eastAsia="zh-CN" w:bidi="ar-SA"/>
                    </w:rPr>
                    <w:t>H</w:t>
                  </w:r>
                  <w:r>
                    <w:rPr>
                      <w:rFonts w:hint="default" w:ascii="Times New Roman" w:hAnsi="Times New Roman" w:eastAsia="宋体" w:cs="Times New Roman"/>
                      <w:color w:val="auto"/>
                      <w:kern w:val="2"/>
                      <w:sz w:val="21"/>
                      <w:szCs w:val="21"/>
                      <w:lang w:val="en-US" w:eastAsia="zh-CN" w:bidi="ar-SA"/>
                    </w:rPr>
                    <w:t>值</w:t>
                  </w:r>
                </w:p>
              </w:tc>
              <w:tc>
                <w:tcPr>
                  <w:tcW w:w="1155" w:type="dxa"/>
                  <w:noWrap w:val="0"/>
                  <w:vAlign w:val="center"/>
                </w:tcPr>
                <w:p w14:paraId="1D557F9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无量纲</w:t>
                  </w:r>
                </w:p>
              </w:tc>
              <w:tc>
                <w:tcPr>
                  <w:tcW w:w="1255" w:type="dxa"/>
                  <w:noWrap w:val="0"/>
                  <w:vAlign w:val="center"/>
                </w:tcPr>
                <w:p w14:paraId="01B987F2">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8.48</w:t>
                  </w:r>
                </w:p>
              </w:tc>
              <w:tc>
                <w:tcPr>
                  <w:tcW w:w="1851" w:type="dxa"/>
                  <w:noWrap w:val="0"/>
                  <w:vAlign w:val="center"/>
                </w:tcPr>
                <w:p w14:paraId="6B3F095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6.5~8.5</w:t>
                  </w:r>
                </w:p>
              </w:tc>
              <w:tc>
                <w:tcPr>
                  <w:tcW w:w="1842" w:type="dxa"/>
                  <w:noWrap w:val="0"/>
                  <w:vAlign w:val="center"/>
                </w:tcPr>
                <w:p w14:paraId="631805B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6.5~8.5</w:t>
                  </w:r>
                </w:p>
              </w:tc>
              <w:tc>
                <w:tcPr>
                  <w:tcW w:w="752" w:type="dxa"/>
                  <w:tcBorders>
                    <w:right w:val="single" w:color="auto" w:sz="4" w:space="0"/>
                  </w:tcBorders>
                  <w:noWrap w:val="0"/>
                  <w:vAlign w:val="center"/>
                </w:tcPr>
                <w:p w14:paraId="2F962D3D">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5D6EC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116D577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铝</w:t>
                  </w:r>
                </w:p>
              </w:tc>
              <w:tc>
                <w:tcPr>
                  <w:tcW w:w="1155" w:type="dxa"/>
                  <w:noWrap w:val="0"/>
                  <w:vAlign w:val="center"/>
                </w:tcPr>
                <w:p w14:paraId="11F34A7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6EB349E4">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&lt;0.008</w:t>
                  </w:r>
                </w:p>
              </w:tc>
              <w:tc>
                <w:tcPr>
                  <w:tcW w:w="1851" w:type="dxa"/>
                  <w:noWrap w:val="0"/>
                  <w:vAlign w:val="center"/>
                </w:tcPr>
                <w:p w14:paraId="2F033FF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w:t>
                  </w:r>
                </w:p>
              </w:tc>
              <w:tc>
                <w:tcPr>
                  <w:tcW w:w="1842" w:type="dxa"/>
                  <w:noWrap w:val="0"/>
                  <w:vAlign w:val="center"/>
                </w:tcPr>
                <w:p w14:paraId="79E6EC6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w:t>
                  </w:r>
                </w:p>
              </w:tc>
              <w:tc>
                <w:tcPr>
                  <w:tcW w:w="752" w:type="dxa"/>
                  <w:tcBorders>
                    <w:right w:val="single" w:color="auto" w:sz="4" w:space="0"/>
                  </w:tcBorders>
                  <w:noWrap w:val="0"/>
                  <w:vAlign w:val="center"/>
                </w:tcPr>
                <w:p w14:paraId="28A7436F">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43CF4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3BF48DAA">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铁</w:t>
                  </w:r>
                </w:p>
              </w:tc>
              <w:tc>
                <w:tcPr>
                  <w:tcW w:w="1155" w:type="dxa"/>
                  <w:noWrap w:val="0"/>
                  <w:vAlign w:val="center"/>
                </w:tcPr>
                <w:p w14:paraId="4C30B37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029018A6">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&lt;0.3</w:t>
                  </w:r>
                </w:p>
              </w:tc>
              <w:tc>
                <w:tcPr>
                  <w:tcW w:w="1851" w:type="dxa"/>
                  <w:noWrap w:val="0"/>
                  <w:vAlign w:val="center"/>
                </w:tcPr>
                <w:p w14:paraId="2FDC0D3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w:t>
                  </w:r>
                </w:p>
              </w:tc>
              <w:tc>
                <w:tcPr>
                  <w:tcW w:w="1842" w:type="dxa"/>
                  <w:noWrap w:val="0"/>
                  <w:vAlign w:val="center"/>
                </w:tcPr>
                <w:p w14:paraId="7CFE4D8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0.3</w:t>
                  </w:r>
                </w:p>
              </w:tc>
              <w:tc>
                <w:tcPr>
                  <w:tcW w:w="752" w:type="dxa"/>
                  <w:tcBorders>
                    <w:right w:val="single" w:color="auto" w:sz="4" w:space="0"/>
                  </w:tcBorders>
                  <w:noWrap w:val="0"/>
                  <w:vAlign w:val="center"/>
                </w:tcPr>
                <w:p w14:paraId="0EA9A154">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2EBB0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088CC85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锰</w:t>
                  </w:r>
                </w:p>
              </w:tc>
              <w:tc>
                <w:tcPr>
                  <w:tcW w:w="1155" w:type="dxa"/>
                  <w:noWrap w:val="0"/>
                  <w:vAlign w:val="center"/>
                </w:tcPr>
                <w:p w14:paraId="41EA9507">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4DACB092">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&lt;0.1</w:t>
                  </w:r>
                </w:p>
              </w:tc>
              <w:tc>
                <w:tcPr>
                  <w:tcW w:w="1851" w:type="dxa"/>
                  <w:noWrap w:val="0"/>
                  <w:vAlign w:val="center"/>
                </w:tcPr>
                <w:p w14:paraId="6305262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w:t>
                  </w:r>
                </w:p>
              </w:tc>
              <w:tc>
                <w:tcPr>
                  <w:tcW w:w="1842" w:type="dxa"/>
                  <w:noWrap w:val="0"/>
                  <w:vAlign w:val="center"/>
                </w:tcPr>
                <w:p w14:paraId="2117B20A">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w:t>
                  </w:r>
                </w:p>
              </w:tc>
              <w:tc>
                <w:tcPr>
                  <w:tcW w:w="752" w:type="dxa"/>
                  <w:tcBorders>
                    <w:right w:val="single" w:color="auto" w:sz="4" w:space="0"/>
                  </w:tcBorders>
                  <w:noWrap w:val="0"/>
                  <w:vAlign w:val="center"/>
                </w:tcPr>
                <w:p w14:paraId="1196DC18">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061D2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3387CF8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铜</w:t>
                  </w:r>
                </w:p>
              </w:tc>
              <w:tc>
                <w:tcPr>
                  <w:tcW w:w="1155" w:type="dxa"/>
                  <w:noWrap w:val="0"/>
                  <w:vAlign w:val="center"/>
                </w:tcPr>
                <w:p w14:paraId="417B09F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564163C7">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&lt;0.2</w:t>
                  </w:r>
                </w:p>
              </w:tc>
              <w:tc>
                <w:tcPr>
                  <w:tcW w:w="1851" w:type="dxa"/>
                  <w:noWrap w:val="0"/>
                  <w:vAlign w:val="center"/>
                </w:tcPr>
                <w:p w14:paraId="7FC5887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842" w:type="dxa"/>
                  <w:noWrap w:val="0"/>
                  <w:vAlign w:val="center"/>
                </w:tcPr>
                <w:p w14:paraId="55BFE14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52" w:type="dxa"/>
                  <w:tcBorders>
                    <w:right w:val="single" w:color="auto" w:sz="4" w:space="0"/>
                  </w:tcBorders>
                  <w:noWrap w:val="0"/>
                  <w:vAlign w:val="center"/>
                </w:tcPr>
                <w:p w14:paraId="789570F9">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514AE5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3794DD9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锌</w:t>
                  </w:r>
                </w:p>
              </w:tc>
              <w:tc>
                <w:tcPr>
                  <w:tcW w:w="1155" w:type="dxa"/>
                  <w:noWrap w:val="0"/>
                  <w:vAlign w:val="center"/>
                </w:tcPr>
                <w:p w14:paraId="2AD308B4">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260627B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&lt;0.05</w:t>
                  </w:r>
                </w:p>
              </w:tc>
              <w:tc>
                <w:tcPr>
                  <w:tcW w:w="1851" w:type="dxa"/>
                  <w:noWrap w:val="0"/>
                  <w:vAlign w:val="center"/>
                </w:tcPr>
                <w:p w14:paraId="78043077">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842" w:type="dxa"/>
                  <w:noWrap w:val="0"/>
                  <w:vAlign w:val="center"/>
                </w:tcPr>
                <w:p w14:paraId="6844FD07">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52" w:type="dxa"/>
                  <w:tcBorders>
                    <w:right w:val="single" w:color="auto" w:sz="4" w:space="0"/>
                  </w:tcBorders>
                  <w:noWrap w:val="0"/>
                  <w:vAlign w:val="center"/>
                </w:tcPr>
                <w:p w14:paraId="7FE34C20">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F5E0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0AFB4FD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氯化物</w:t>
                  </w:r>
                </w:p>
              </w:tc>
              <w:tc>
                <w:tcPr>
                  <w:tcW w:w="1155" w:type="dxa"/>
                  <w:noWrap w:val="0"/>
                  <w:vAlign w:val="center"/>
                </w:tcPr>
                <w:p w14:paraId="02FBB05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4F5FDA54">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74.7</w:t>
                  </w:r>
                </w:p>
              </w:tc>
              <w:tc>
                <w:tcPr>
                  <w:tcW w:w="1851" w:type="dxa"/>
                  <w:noWrap w:val="0"/>
                  <w:vAlign w:val="center"/>
                </w:tcPr>
                <w:p w14:paraId="0CC3A44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250</w:t>
                  </w:r>
                </w:p>
              </w:tc>
              <w:tc>
                <w:tcPr>
                  <w:tcW w:w="1842" w:type="dxa"/>
                  <w:noWrap w:val="0"/>
                  <w:vAlign w:val="center"/>
                </w:tcPr>
                <w:p w14:paraId="5FFB232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250</w:t>
                  </w:r>
                </w:p>
              </w:tc>
              <w:tc>
                <w:tcPr>
                  <w:tcW w:w="752" w:type="dxa"/>
                  <w:tcBorders>
                    <w:right w:val="single" w:color="auto" w:sz="4" w:space="0"/>
                  </w:tcBorders>
                  <w:noWrap w:val="0"/>
                  <w:vAlign w:val="center"/>
                </w:tcPr>
                <w:p w14:paraId="43D73E08">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47D38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7301E32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硫酸盐</w:t>
                  </w:r>
                </w:p>
              </w:tc>
              <w:tc>
                <w:tcPr>
                  <w:tcW w:w="1155" w:type="dxa"/>
                  <w:noWrap w:val="0"/>
                  <w:vAlign w:val="center"/>
                </w:tcPr>
                <w:p w14:paraId="710E124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34E5E627">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82.5</w:t>
                  </w:r>
                </w:p>
              </w:tc>
              <w:tc>
                <w:tcPr>
                  <w:tcW w:w="1851" w:type="dxa"/>
                  <w:noWrap w:val="0"/>
                  <w:vAlign w:val="center"/>
                </w:tcPr>
                <w:p w14:paraId="383AE56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250</w:t>
                  </w:r>
                </w:p>
              </w:tc>
              <w:tc>
                <w:tcPr>
                  <w:tcW w:w="1842" w:type="dxa"/>
                  <w:noWrap w:val="0"/>
                  <w:vAlign w:val="center"/>
                </w:tcPr>
                <w:p w14:paraId="20D48B3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250</w:t>
                  </w:r>
                </w:p>
              </w:tc>
              <w:tc>
                <w:tcPr>
                  <w:tcW w:w="752" w:type="dxa"/>
                  <w:tcBorders>
                    <w:right w:val="single" w:color="auto" w:sz="4" w:space="0"/>
                  </w:tcBorders>
                  <w:noWrap w:val="0"/>
                  <w:vAlign w:val="center"/>
                </w:tcPr>
                <w:p w14:paraId="5529626D">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72062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30C3C81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溶解性总固体</w:t>
                  </w:r>
                </w:p>
              </w:tc>
              <w:tc>
                <w:tcPr>
                  <w:tcW w:w="1155" w:type="dxa"/>
                  <w:noWrap w:val="0"/>
                  <w:vAlign w:val="center"/>
                </w:tcPr>
                <w:p w14:paraId="4DF63BB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2C7A5CAB">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557</w:t>
                  </w:r>
                </w:p>
              </w:tc>
              <w:tc>
                <w:tcPr>
                  <w:tcW w:w="1851" w:type="dxa"/>
                  <w:noWrap w:val="0"/>
                  <w:vAlign w:val="center"/>
                </w:tcPr>
                <w:p w14:paraId="3041439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1000</w:t>
                  </w:r>
                </w:p>
              </w:tc>
              <w:tc>
                <w:tcPr>
                  <w:tcW w:w="1842" w:type="dxa"/>
                  <w:noWrap w:val="0"/>
                  <w:vAlign w:val="center"/>
                </w:tcPr>
                <w:p w14:paraId="1593171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1000</w:t>
                  </w:r>
                </w:p>
              </w:tc>
              <w:tc>
                <w:tcPr>
                  <w:tcW w:w="752" w:type="dxa"/>
                  <w:tcBorders>
                    <w:right w:val="single" w:color="auto" w:sz="4" w:space="0"/>
                  </w:tcBorders>
                  <w:noWrap w:val="0"/>
                  <w:vAlign w:val="center"/>
                </w:tcPr>
                <w:p w14:paraId="01DE97C3">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01A39E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0777F93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总硬度</w:t>
                  </w:r>
                </w:p>
              </w:tc>
              <w:tc>
                <w:tcPr>
                  <w:tcW w:w="1155" w:type="dxa"/>
                  <w:noWrap w:val="0"/>
                  <w:vAlign w:val="center"/>
                </w:tcPr>
                <w:p w14:paraId="4A354EA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3C251F24">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205</w:t>
                  </w:r>
                </w:p>
              </w:tc>
              <w:tc>
                <w:tcPr>
                  <w:tcW w:w="1851" w:type="dxa"/>
                  <w:noWrap w:val="0"/>
                  <w:vAlign w:val="center"/>
                </w:tcPr>
                <w:p w14:paraId="19E7E3F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450</w:t>
                  </w:r>
                </w:p>
              </w:tc>
              <w:tc>
                <w:tcPr>
                  <w:tcW w:w="1842" w:type="dxa"/>
                  <w:noWrap w:val="0"/>
                  <w:vAlign w:val="center"/>
                </w:tcPr>
                <w:p w14:paraId="7A76999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450</w:t>
                  </w:r>
                </w:p>
              </w:tc>
              <w:tc>
                <w:tcPr>
                  <w:tcW w:w="752" w:type="dxa"/>
                  <w:tcBorders>
                    <w:right w:val="single" w:color="auto" w:sz="4" w:space="0"/>
                  </w:tcBorders>
                  <w:noWrap w:val="0"/>
                  <w:vAlign w:val="center"/>
                </w:tcPr>
                <w:p w14:paraId="3A9313C2">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1C7BE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511CBD8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高锰酸盐指数（以O</w:t>
                  </w:r>
                  <w:r>
                    <w:rPr>
                      <w:rFonts w:hint="default" w:ascii="Times New Roman" w:hAnsi="Times New Roman" w:eastAsia="宋体" w:cs="Times New Roman"/>
                      <w:color w:val="auto"/>
                      <w:kern w:val="2"/>
                      <w:sz w:val="21"/>
                      <w:szCs w:val="21"/>
                      <w:vertAlign w:val="subscript"/>
                      <w:lang w:val="en-US" w:eastAsia="zh-CN" w:bidi="ar-SA"/>
                    </w:rPr>
                    <w:t>2</w:t>
                  </w:r>
                  <w:r>
                    <w:rPr>
                      <w:rFonts w:hint="default" w:ascii="Times New Roman" w:hAnsi="Times New Roman" w:eastAsia="宋体" w:cs="Times New Roman"/>
                      <w:color w:val="auto"/>
                      <w:kern w:val="2"/>
                      <w:sz w:val="21"/>
                      <w:szCs w:val="21"/>
                      <w:lang w:val="en-US" w:eastAsia="zh-CN" w:bidi="ar-SA"/>
                    </w:rPr>
                    <w:t>计）</w:t>
                  </w:r>
                </w:p>
              </w:tc>
              <w:tc>
                <w:tcPr>
                  <w:tcW w:w="1155" w:type="dxa"/>
                  <w:noWrap w:val="0"/>
                  <w:vAlign w:val="center"/>
                </w:tcPr>
                <w:p w14:paraId="1A268D8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02AD2D3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1.10</w:t>
                  </w:r>
                </w:p>
              </w:tc>
              <w:tc>
                <w:tcPr>
                  <w:tcW w:w="1851" w:type="dxa"/>
                  <w:noWrap w:val="0"/>
                  <w:vAlign w:val="center"/>
                </w:tcPr>
                <w:p w14:paraId="226B0326">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1842" w:type="dxa"/>
                  <w:noWrap w:val="0"/>
                  <w:vAlign w:val="center"/>
                </w:tcPr>
                <w:p w14:paraId="4A67655E">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752" w:type="dxa"/>
                  <w:tcBorders>
                    <w:right w:val="single" w:color="auto" w:sz="4" w:space="0"/>
                  </w:tcBorders>
                  <w:noWrap w:val="0"/>
                  <w:vAlign w:val="center"/>
                </w:tcPr>
                <w:p w14:paraId="33BA3A10">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r>
            <w:tr w14:paraId="7BBDE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1E71B92F">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氨（以N计）</w:t>
                  </w:r>
                </w:p>
              </w:tc>
              <w:tc>
                <w:tcPr>
                  <w:tcW w:w="1155" w:type="dxa"/>
                  <w:noWrap w:val="0"/>
                  <w:vAlign w:val="center"/>
                </w:tcPr>
                <w:p w14:paraId="2DF7D7DD">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m</w:t>
                  </w:r>
                  <w:r>
                    <w:rPr>
                      <w:rFonts w:hint="default" w:ascii="Times New Roman" w:hAnsi="Times New Roman" w:eastAsia="宋体" w:cs="Times New Roman"/>
                      <w:color w:val="auto"/>
                      <w:kern w:val="2"/>
                      <w:sz w:val="21"/>
                      <w:szCs w:val="21"/>
                      <w:lang w:val="en-US" w:eastAsia="zh-CN" w:bidi="ar-SA"/>
                    </w:rPr>
                    <w:t>g/L</w:t>
                  </w:r>
                </w:p>
              </w:tc>
              <w:tc>
                <w:tcPr>
                  <w:tcW w:w="1255" w:type="dxa"/>
                  <w:noWrap w:val="0"/>
                  <w:vAlign w:val="center"/>
                </w:tcPr>
                <w:p w14:paraId="21CD8C02">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0.06</w:t>
                  </w:r>
                </w:p>
              </w:tc>
              <w:tc>
                <w:tcPr>
                  <w:tcW w:w="1851" w:type="dxa"/>
                  <w:noWrap w:val="0"/>
                  <w:vAlign w:val="center"/>
                </w:tcPr>
                <w:p w14:paraId="401BCB8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c>
                <w:tcPr>
                  <w:tcW w:w="1842" w:type="dxa"/>
                  <w:noWrap w:val="0"/>
                  <w:vAlign w:val="center"/>
                </w:tcPr>
                <w:p w14:paraId="3B4F48F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c>
                <w:tcPr>
                  <w:tcW w:w="752" w:type="dxa"/>
                  <w:tcBorders>
                    <w:right w:val="single" w:color="auto" w:sz="4" w:space="0"/>
                  </w:tcBorders>
                  <w:noWrap w:val="0"/>
                  <w:vAlign w:val="center"/>
                </w:tcPr>
                <w:p w14:paraId="58CA99AC">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25B7C4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tcBorders>
                  <w:noWrap w:val="0"/>
                  <w:vAlign w:val="center"/>
                </w:tcPr>
                <w:p w14:paraId="71D87F95">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总α放射性</w:t>
                  </w:r>
                </w:p>
              </w:tc>
              <w:tc>
                <w:tcPr>
                  <w:tcW w:w="1155" w:type="dxa"/>
                  <w:noWrap w:val="0"/>
                  <w:vAlign w:val="center"/>
                </w:tcPr>
                <w:p w14:paraId="54FBD3DC">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Bq/L</w:t>
                  </w:r>
                </w:p>
              </w:tc>
              <w:tc>
                <w:tcPr>
                  <w:tcW w:w="1255" w:type="dxa"/>
                  <w:noWrap w:val="0"/>
                  <w:vAlign w:val="center"/>
                </w:tcPr>
                <w:p w14:paraId="026B430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0.04</w:t>
                  </w:r>
                </w:p>
              </w:tc>
              <w:tc>
                <w:tcPr>
                  <w:tcW w:w="1851" w:type="dxa"/>
                  <w:noWrap w:val="0"/>
                  <w:vAlign w:val="center"/>
                </w:tcPr>
                <w:p w14:paraId="050861D1">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c>
                <w:tcPr>
                  <w:tcW w:w="1842" w:type="dxa"/>
                  <w:noWrap w:val="0"/>
                  <w:vAlign w:val="center"/>
                </w:tcPr>
                <w:p w14:paraId="055FBB1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0.5</w:t>
                  </w:r>
                </w:p>
              </w:tc>
              <w:tc>
                <w:tcPr>
                  <w:tcW w:w="752" w:type="dxa"/>
                  <w:tcBorders>
                    <w:right w:val="single" w:color="auto" w:sz="4" w:space="0"/>
                  </w:tcBorders>
                  <w:noWrap w:val="0"/>
                  <w:vAlign w:val="center"/>
                </w:tcPr>
                <w:p w14:paraId="2DD2A254">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r w14:paraId="65CC2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37" w:type="dxa"/>
                  <w:tcBorders>
                    <w:left w:val="single" w:color="auto" w:sz="4" w:space="0"/>
                    <w:bottom w:val="single" w:color="auto" w:sz="4" w:space="0"/>
                  </w:tcBorders>
                  <w:noWrap w:val="0"/>
                  <w:vAlign w:val="center"/>
                </w:tcPr>
                <w:p w14:paraId="3B1FD739">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总β放射性</w:t>
                  </w:r>
                </w:p>
              </w:tc>
              <w:tc>
                <w:tcPr>
                  <w:tcW w:w="1155" w:type="dxa"/>
                  <w:tcBorders>
                    <w:bottom w:val="single" w:color="auto" w:sz="4" w:space="0"/>
                  </w:tcBorders>
                  <w:noWrap w:val="0"/>
                  <w:vAlign w:val="center"/>
                </w:tcPr>
                <w:p w14:paraId="3E0873DB">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Bq/L</w:t>
                  </w:r>
                </w:p>
              </w:tc>
              <w:tc>
                <w:tcPr>
                  <w:tcW w:w="1255" w:type="dxa"/>
                  <w:tcBorders>
                    <w:bottom w:val="single" w:color="auto" w:sz="4" w:space="0"/>
                  </w:tcBorders>
                  <w:noWrap w:val="0"/>
                  <w:vAlign w:val="center"/>
                </w:tcPr>
                <w:p w14:paraId="6F127816">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0.15</w:t>
                  </w:r>
                </w:p>
              </w:tc>
              <w:tc>
                <w:tcPr>
                  <w:tcW w:w="1851" w:type="dxa"/>
                  <w:tcBorders>
                    <w:bottom w:val="single" w:color="auto" w:sz="4" w:space="0"/>
                  </w:tcBorders>
                  <w:noWrap w:val="0"/>
                  <w:vAlign w:val="center"/>
                </w:tcPr>
                <w:p w14:paraId="76E2A482">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1842" w:type="dxa"/>
                  <w:tcBorders>
                    <w:bottom w:val="single" w:color="auto" w:sz="4" w:space="0"/>
                  </w:tcBorders>
                  <w:noWrap w:val="0"/>
                  <w:vAlign w:val="center"/>
                </w:tcPr>
                <w:p w14:paraId="61320203">
                  <w:pPr>
                    <w:widowControl w:val="0"/>
                    <w:ind w:firstLine="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c>
                <w:tcPr>
                  <w:tcW w:w="752" w:type="dxa"/>
                  <w:tcBorders>
                    <w:bottom w:val="single" w:color="auto" w:sz="4" w:space="0"/>
                    <w:right w:val="single" w:color="auto" w:sz="4" w:space="0"/>
                  </w:tcBorders>
                  <w:noWrap w:val="0"/>
                  <w:vAlign w:val="center"/>
                </w:tcPr>
                <w:p w14:paraId="4FD77ECA">
                  <w:pPr>
                    <w:widowControl w:val="0"/>
                    <w:ind w:firstLine="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达标</w:t>
                  </w:r>
                </w:p>
              </w:tc>
            </w:tr>
          </w:tbl>
          <w:p w14:paraId="10A9F396">
            <w:pPr>
              <w:rPr>
                <w:rFonts w:hint="default" w:ascii="Times New Roman" w:hAnsi="Times New Roman" w:eastAsia="宋体" w:cs="Times New Roman"/>
                <w:color w:val="auto"/>
              </w:rPr>
            </w:pPr>
          </w:p>
          <w:p w14:paraId="3701F804">
            <w:pPr>
              <w:spacing w:line="360" w:lineRule="auto"/>
              <w:ind w:firstLine="480" w:firstLineChars="200"/>
              <w:rPr>
                <w:rFonts w:hint="default" w:ascii="Times New Roman" w:hAnsi="Times New Roman" w:eastAsia="宋体" w:cs="Times New Roman"/>
                <w:bCs/>
                <w:color w:val="auto"/>
                <w:sz w:val="24"/>
                <w:szCs w:val="20"/>
              </w:rPr>
            </w:pPr>
            <w:r>
              <w:rPr>
                <w:rFonts w:hint="default" w:ascii="Times New Roman" w:hAnsi="Times New Roman" w:eastAsia="宋体" w:cs="Times New Roman"/>
                <w:bCs/>
                <w:color w:val="auto"/>
                <w:sz w:val="24"/>
                <w:szCs w:val="20"/>
              </w:rPr>
              <w:t>经过分析，各检测项目均符合《地下水质量标准》（GB/T 14848</w:t>
            </w:r>
            <w:r>
              <w:rPr>
                <w:rFonts w:hint="eastAsia" w:ascii="Times New Roman" w:hAnsi="Times New Roman" w:cs="Times New Roman"/>
                <w:bCs/>
                <w:color w:val="auto"/>
                <w:sz w:val="24"/>
                <w:szCs w:val="20"/>
                <w:lang w:eastAsia="zh-CN"/>
              </w:rPr>
              <w:t>—2017</w:t>
            </w:r>
            <w:r>
              <w:rPr>
                <w:rFonts w:hint="default" w:ascii="Times New Roman" w:hAnsi="Times New Roman" w:eastAsia="宋体" w:cs="Times New Roman"/>
                <w:bCs/>
                <w:color w:val="auto"/>
                <w:sz w:val="24"/>
                <w:szCs w:val="20"/>
              </w:rPr>
              <w:t>）Ⅲ类标准限值要求，表明地下水环境现状良好。</w:t>
            </w:r>
          </w:p>
          <w:p w14:paraId="2DDE6CB7">
            <w:pPr>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cs="Times New Roman"/>
                <w:b/>
                <w:color w:val="auto"/>
                <w:sz w:val="24"/>
                <w:highlight w:val="none"/>
                <w:lang w:val="en-US" w:eastAsia="zh-CN"/>
              </w:rPr>
              <w:t>.</w:t>
            </w:r>
            <w:r>
              <w:rPr>
                <w:rFonts w:hint="default" w:ascii="Times New Roman" w:hAnsi="Times New Roman" w:eastAsia="宋体" w:cs="Times New Roman"/>
                <w:b/>
                <w:color w:val="auto"/>
                <w:sz w:val="24"/>
                <w:highlight w:val="none"/>
              </w:rPr>
              <w:t>土壤环境</w:t>
            </w:r>
          </w:p>
          <w:p w14:paraId="48FD621A">
            <w:pPr>
              <w:spacing w:line="360" w:lineRule="auto"/>
              <w:ind w:firstLine="480" w:firstLineChars="200"/>
              <w:rPr>
                <w:rFonts w:hint="default" w:ascii="Times New Roman" w:hAnsi="Times New Roman" w:eastAsia="宋体" w:cs="Times New Roman"/>
                <w:bCs/>
                <w:color w:val="auto"/>
                <w:sz w:val="24"/>
                <w:highlight w:val="none"/>
              </w:rPr>
            </w:pPr>
            <w:r>
              <w:rPr>
                <w:rFonts w:hint="eastAsia" w:cs="Times New Roman"/>
                <w:bCs/>
                <w:color w:val="auto"/>
                <w:sz w:val="24"/>
                <w:highlight w:val="none"/>
                <w:lang w:eastAsia="zh-CN"/>
              </w:rPr>
              <w:t>根据</w:t>
            </w:r>
            <w:r>
              <w:rPr>
                <w:rFonts w:hint="default" w:ascii="Times New Roman" w:hAnsi="Times New Roman" w:eastAsia="宋体" w:cs="Times New Roman"/>
                <w:bCs/>
                <w:color w:val="auto"/>
                <w:sz w:val="24"/>
                <w:highlight w:val="none"/>
              </w:rPr>
              <w:t>《建设项目环境影响报告表编制技术指南（污染影响类）</w:t>
            </w:r>
            <w:r>
              <w:rPr>
                <w:rFonts w:hint="default" w:ascii="Times New Roman" w:hAnsi="Times New Roman" w:cs="Times New Roman"/>
                <w:bCs/>
                <w:color w:val="auto"/>
                <w:sz w:val="24"/>
                <w:highlight w:val="none"/>
                <w:lang w:eastAsia="zh-CN"/>
              </w:rPr>
              <w:t>（试行）》</w:t>
            </w:r>
            <w:r>
              <w:rPr>
                <w:rFonts w:hint="default" w:ascii="Times New Roman" w:hAnsi="Times New Roman" w:eastAsia="宋体" w:cs="Times New Roman"/>
                <w:bCs/>
                <w:color w:val="auto"/>
                <w:sz w:val="24"/>
                <w:highlight w:val="none"/>
              </w:rPr>
              <w:t>，地下水、土壤环境原则上不开展环境质量现状调查。</w:t>
            </w:r>
          </w:p>
          <w:p w14:paraId="66E877A6">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本</w:t>
            </w: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val="en-US" w:eastAsia="zh-CN"/>
              </w:rPr>
              <w:t>为污水厂</w:t>
            </w:r>
            <w:r>
              <w:rPr>
                <w:rFonts w:hint="default" w:ascii="Times New Roman" w:hAnsi="Times New Roman" w:cs="Times New Roman"/>
                <w:bCs/>
                <w:color w:val="auto"/>
                <w:sz w:val="24"/>
                <w:highlight w:val="none"/>
                <w:lang w:val="en-US" w:eastAsia="zh-CN"/>
              </w:rPr>
              <w:t>三期</w:t>
            </w:r>
            <w:r>
              <w:rPr>
                <w:rFonts w:hint="default" w:ascii="Times New Roman" w:hAnsi="Times New Roman" w:eastAsia="宋体" w:cs="Times New Roman"/>
                <w:bCs/>
                <w:color w:val="auto"/>
                <w:sz w:val="24"/>
                <w:highlight w:val="none"/>
                <w:lang w:val="en-US" w:eastAsia="zh-CN"/>
              </w:rPr>
              <w:t>工程，</w:t>
            </w:r>
            <w:r>
              <w:rPr>
                <w:rFonts w:hint="default" w:ascii="Times New Roman" w:hAnsi="Times New Roman" w:eastAsia="宋体" w:cs="Times New Roman"/>
                <w:bCs/>
                <w:color w:val="auto"/>
                <w:sz w:val="24"/>
                <w:highlight w:val="none"/>
              </w:rPr>
              <w:t>位于内蒙古自治区鄂尔多斯市杭锦旗锡尼镇污水处理厂</w:t>
            </w:r>
            <w:r>
              <w:rPr>
                <w:rFonts w:hint="default" w:ascii="Times New Roman" w:hAnsi="Times New Roman" w:eastAsia="宋体" w:cs="Times New Roman"/>
                <w:bCs/>
                <w:color w:val="auto"/>
                <w:sz w:val="24"/>
                <w:highlight w:val="none"/>
                <w:lang w:val="en-US" w:eastAsia="zh-CN"/>
              </w:rPr>
              <w:t>厂区预留空地内</w:t>
            </w:r>
            <w:r>
              <w:rPr>
                <w:rFonts w:hint="default" w:ascii="Times New Roman" w:hAnsi="Times New Roman" w:eastAsia="宋体" w:cs="Times New Roman"/>
                <w:bCs/>
                <w:color w:val="auto"/>
                <w:sz w:val="24"/>
                <w:highlight w:val="none"/>
              </w:rPr>
              <w:t>，占地类型为公共设施用地，无土壤环境保护目标。</w:t>
            </w:r>
          </w:p>
          <w:p w14:paraId="10CECF81">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本项目为污水处理项目，为防止生活污水输送及处理过程中发生废水渗漏扩散，建构筑物、路面、管道必须落实底部硬底化、防漏防渗措施，所有水池构筑物均进行防渗处理，将污染物跑、冒、滴、漏降到最低限度。药剂间、加药间</w:t>
            </w:r>
            <w:r>
              <w:rPr>
                <w:rFonts w:hint="default" w:ascii="Times New Roman" w:hAnsi="Times New Roman" w:cs="Times New Roman"/>
                <w:bCs/>
                <w:color w:val="auto"/>
                <w:sz w:val="24"/>
                <w:highlight w:val="none"/>
                <w:lang w:val="en-US" w:eastAsia="zh-CN"/>
              </w:rPr>
              <w:t>为</w:t>
            </w:r>
            <w:r>
              <w:rPr>
                <w:rFonts w:hint="default" w:ascii="Times New Roman" w:hAnsi="Times New Roman" w:eastAsia="宋体" w:cs="Times New Roman"/>
                <w:bCs/>
                <w:color w:val="auto"/>
                <w:sz w:val="24"/>
                <w:highlight w:val="none"/>
                <w:lang w:val="en-US" w:eastAsia="zh-CN"/>
              </w:rPr>
              <w:t>重点防渗区</w:t>
            </w:r>
            <w:r>
              <w:rPr>
                <w:rFonts w:hint="default" w:ascii="Times New Roman" w:hAnsi="Times New Roman" w:cs="Times New Roman"/>
                <w:bCs/>
                <w:color w:val="auto"/>
                <w:sz w:val="24"/>
                <w:highlight w:val="none"/>
                <w:lang w:val="en-US" w:eastAsia="zh-CN"/>
              </w:rPr>
              <w:t>，等效黏土防渗层Mb≥6m，渗透系数≤1×10</w:t>
            </w:r>
            <w:r>
              <w:rPr>
                <w:rFonts w:hint="default" w:ascii="Times New Roman" w:hAnsi="Times New Roman" w:cs="Times New Roman"/>
                <w:bCs/>
                <w:color w:val="auto"/>
                <w:sz w:val="24"/>
                <w:highlight w:val="none"/>
                <w:vertAlign w:val="superscript"/>
                <w:lang w:val="en-US" w:eastAsia="zh-CN"/>
              </w:rPr>
              <w:t>-7</w:t>
            </w:r>
            <w:r>
              <w:rPr>
                <w:rFonts w:hint="default" w:ascii="Times New Roman" w:hAnsi="Times New Roman" w:cs="Times New Roman"/>
                <w:bCs/>
                <w:color w:val="auto"/>
                <w:sz w:val="24"/>
                <w:highlight w:val="none"/>
                <w:lang w:val="en-US" w:eastAsia="zh-CN"/>
              </w:rPr>
              <w:t>cm/s，采取铺设钢筋混凝土加2mm厚HDPE膜的防渗地坪；污水处理单元、污泥处理单元、各管道等生产区域为一般防渗区，等效黏土防渗层Mb≥1.5m，渗透系数≤1×10</w:t>
            </w:r>
            <w:r>
              <w:rPr>
                <w:rFonts w:hint="default" w:ascii="Times New Roman" w:hAnsi="Times New Roman" w:cs="Times New Roman"/>
                <w:bCs/>
                <w:color w:val="auto"/>
                <w:sz w:val="24"/>
                <w:highlight w:val="none"/>
                <w:vertAlign w:val="superscript"/>
                <w:lang w:val="en-US" w:eastAsia="zh-CN"/>
              </w:rPr>
              <w:t>-7</w:t>
            </w:r>
            <w:r>
              <w:rPr>
                <w:rFonts w:hint="default" w:ascii="Times New Roman" w:hAnsi="Times New Roman" w:cs="Times New Roman"/>
                <w:bCs/>
                <w:color w:val="auto"/>
                <w:sz w:val="24"/>
                <w:highlight w:val="none"/>
                <w:lang w:val="en-US" w:eastAsia="zh-CN"/>
              </w:rPr>
              <w:t>cm/s，地面、池体底部及四周均采取抗渗混凝土防渗；配电用房、厂区道路等其他区域为简单防渗区，采用混凝土进行一般地面硬化。</w:t>
            </w:r>
          </w:p>
          <w:p w14:paraId="37D0F0FA">
            <w:pPr>
              <w:spacing w:line="360" w:lineRule="auto"/>
              <w:ind w:firstLine="480" w:firstLineChars="200"/>
              <w:rPr>
                <w:rFonts w:hint="default" w:ascii="Times New Roman" w:hAnsi="Times New Roman" w:eastAsia="宋体" w:cs="Times New Roman"/>
                <w:color w:val="auto"/>
                <w:szCs w:val="21"/>
                <w:highlight w:val="none"/>
              </w:rPr>
            </w:pPr>
            <w:r>
              <w:rPr>
                <w:rFonts w:hint="default" w:ascii="Times New Roman" w:hAnsi="Times New Roman" w:cs="Times New Roman"/>
                <w:bCs/>
                <w:color w:val="auto"/>
                <w:sz w:val="24"/>
                <w:highlight w:val="none"/>
                <w:lang w:val="en-US" w:eastAsia="zh-CN"/>
              </w:rPr>
              <w:t>综上</w:t>
            </w:r>
            <w:r>
              <w:rPr>
                <w:rFonts w:hint="default" w:ascii="Times New Roman" w:hAnsi="Times New Roman" w:eastAsia="宋体" w:cs="Times New Roman"/>
                <w:bCs/>
                <w:color w:val="auto"/>
                <w:sz w:val="24"/>
                <w:highlight w:val="none"/>
              </w:rPr>
              <w:t>，本次评价不进行土壤环境质量现状监测。</w:t>
            </w:r>
          </w:p>
        </w:tc>
      </w:tr>
      <w:tr w14:paraId="18235E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51" w:hRule="atLeast"/>
          <w:jc w:val="center"/>
        </w:trPr>
        <w:tc>
          <w:tcPr>
            <w:tcW w:w="534" w:type="dxa"/>
            <w:vAlign w:val="center"/>
          </w:tcPr>
          <w:p w14:paraId="16369FD7">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环境</w:t>
            </w:r>
          </w:p>
          <w:p w14:paraId="489EB733">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保护</w:t>
            </w:r>
          </w:p>
          <w:p w14:paraId="0BE6ECEF">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目标</w:t>
            </w:r>
          </w:p>
        </w:tc>
        <w:tc>
          <w:tcPr>
            <w:tcW w:w="8527" w:type="dxa"/>
            <w:vAlign w:val="center"/>
          </w:tcPr>
          <w:p w14:paraId="351C324A">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项目拟选址在</w:t>
            </w:r>
            <w:r>
              <w:rPr>
                <w:rFonts w:hint="default" w:ascii="Times New Roman" w:hAnsi="Times New Roman" w:eastAsia="宋体" w:cs="Times New Roman"/>
                <w:bCs/>
                <w:color w:val="auto"/>
                <w:sz w:val="24"/>
                <w:highlight w:val="none"/>
                <w:lang w:eastAsia="zh-CN"/>
              </w:rPr>
              <w:t>杭锦旗</w:t>
            </w:r>
            <w:r>
              <w:rPr>
                <w:rFonts w:hint="default" w:ascii="Times New Roman" w:hAnsi="Times New Roman" w:cs="Times New Roman"/>
                <w:bCs/>
                <w:color w:val="auto"/>
                <w:sz w:val="24"/>
                <w:highlight w:val="none"/>
                <w:lang w:eastAsia="zh-CN"/>
              </w:rPr>
              <w:t>锡尼镇污水处理厂厂区预留空地内</w:t>
            </w:r>
            <w:r>
              <w:rPr>
                <w:rFonts w:hint="default" w:ascii="Times New Roman" w:hAnsi="Times New Roman" w:eastAsia="宋体" w:cs="Times New Roman"/>
                <w:color w:val="auto"/>
                <w:sz w:val="24"/>
                <w:highlight w:val="none"/>
              </w:rPr>
              <w:t>，由现场调查可知，该区域内没有珍稀动植物资源、饮用水源保护区、自然保护区、重点文物等重点保护目标。</w:t>
            </w:r>
            <w:r>
              <w:rPr>
                <w:rFonts w:hint="default" w:ascii="Times New Roman" w:hAnsi="Times New Roman" w:eastAsia="宋体" w:cs="Times New Roman"/>
                <w:bCs/>
                <w:color w:val="auto"/>
                <w:sz w:val="24"/>
                <w:highlight w:val="none"/>
              </w:rPr>
              <w:t>本项目环境保护目标见表3-</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p w14:paraId="15C213D5">
            <w:pPr>
              <w:pStyle w:val="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表3-</w:t>
            </w:r>
            <w:r>
              <w:rPr>
                <w:rFonts w:hint="default" w:ascii="Times New Roman" w:hAnsi="Times New Roman" w:eastAsia="宋体" w:cs="Times New Roman"/>
                <w:color w:val="auto"/>
                <w:highlight w:val="none"/>
                <w:lang w:val="en-US" w:eastAsia="zh-CN"/>
              </w:rPr>
              <w:t>3</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环境保护目标一览表</w:t>
            </w:r>
          </w:p>
          <w:tbl>
            <w:tblPr>
              <w:tblStyle w:val="11"/>
              <w:tblW w:w="82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41"/>
              <w:gridCol w:w="1348"/>
              <w:gridCol w:w="768"/>
              <w:gridCol w:w="932"/>
              <w:gridCol w:w="870"/>
              <w:gridCol w:w="3463"/>
            </w:tblGrid>
            <w:tr w14:paraId="1428C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vMerge w:val="restart"/>
                  <w:tcBorders>
                    <w:top w:val="single" w:color="auto" w:sz="4" w:space="0"/>
                    <w:left w:val="single" w:color="auto" w:sz="0" w:space="0"/>
                  </w:tcBorders>
                  <w:vAlign w:val="center"/>
                </w:tcPr>
                <w:p w14:paraId="517F88C7">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环境要素</w:t>
                  </w:r>
                </w:p>
              </w:tc>
              <w:tc>
                <w:tcPr>
                  <w:tcW w:w="1348" w:type="dxa"/>
                  <w:vMerge w:val="restart"/>
                  <w:tcBorders>
                    <w:top w:val="single" w:color="auto" w:sz="4" w:space="0"/>
                  </w:tcBorders>
                  <w:vAlign w:val="center"/>
                </w:tcPr>
                <w:p w14:paraId="24AF0F30">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保护目标</w:t>
                  </w:r>
                </w:p>
              </w:tc>
              <w:tc>
                <w:tcPr>
                  <w:tcW w:w="1700" w:type="dxa"/>
                  <w:gridSpan w:val="2"/>
                  <w:tcBorders>
                    <w:top w:val="single" w:color="auto" w:sz="4" w:space="0"/>
                  </w:tcBorders>
                  <w:vAlign w:val="center"/>
                </w:tcPr>
                <w:p w14:paraId="6AE6768E">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w:t>
                  </w:r>
                </w:p>
              </w:tc>
              <w:tc>
                <w:tcPr>
                  <w:tcW w:w="870" w:type="dxa"/>
                  <w:vMerge w:val="restart"/>
                  <w:tcBorders>
                    <w:top w:val="single" w:color="auto" w:sz="4" w:space="0"/>
                  </w:tcBorders>
                  <w:vAlign w:val="center"/>
                </w:tcPr>
                <w:p w14:paraId="265F28CA">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人数</w:t>
                  </w:r>
                </w:p>
              </w:tc>
              <w:tc>
                <w:tcPr>
                  <w:tcW w:w="3463" w:type="dxa"/>
                  <w:vMerge w:val="restart"/>
                  <w:tcBorders>
                    <w:top w:val="single" w:color="auto" w:sz="4" w:space="0"/>
                    <w:right w:val="single" w:color="auto" w:sz="4" w:space="0"/>
                  </w:tcBorders>
                  <w:vAlign w:val="center"/>
                </w:tcPr>
                <w:p w14:paraId="2BAC82F5">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保护级别</w:t>
                  </w:r>
                </w:p>
              </w:tc>
            </w:tr>
            <w:tr w14:paraId="0CE691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vMerge w:val="continue"/>
                  <w:tcBorders>
                    <w:left w:val="single" w:color="auto" w:sz="4" w:space="0"/>
                  </w:tcBorders>
                  <w:vAlign w:val="center"/>
                </w:tcPr>
                <w:p w14:paraId="7B3FBA8B">
                  <w:pPr>
                    <w:jc w:val="center"/>
                    <w:rPr>
                      <w:rFonts w:hint="default" w:ascii="Times New Roman" w:hAnsi="Times New Roman" w:eastAsia="宋体" w:cs="Times New Roman"/>
                      <w:color w:val="auto"/>
                      <w:sz w:val="21"/>
                      <w:szCs w:val="21"/>
                      <w:highlight w:val="none"/>
                    </w:rPr>
                  </w:pPr>
                </w:p>
              </w:tc>
              <w:tc>
                <w:tcPr>
                  <w:tcW w:w="1348" w:type="dxa"/>
                  <w:vMerge w:val="continue"/>
                  <w:vAlign w:val="center"/>
                </w:tcPr>
                <w:p w14:paraId="56E46593">
                  <w:pPr>
                    <w:jc w:val="center"/>
                    <w:rPr>
                      <w:rFonts w:hint="default" w:ascii="Times New Roman" w:hAnsi="Times New Roman" w:eastAsia="宋体" w:cs="Times New Roman"/>
                      <w:color w:val="auto"/>
                      <w:sz w:val="21"/>
                      <w:szCs w:val="21"/>
                      <w:highlight w:val="none"/>
                    </w:rPr>
                  </w:pPr>
                </w:p>
              </w:tc>
              <w:tc>
                <w:tcPr>
                  <w:tcW w:w="768" w:type="dxa"/>
                  <w:vAlign w:val="center"/>
                </w:tcPr>
                <w:p w14:paraId="131994A4">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方位</w:t>
                  </w:r>
                </w:p>
              </w:tc>
              <w:tc>
                <w:tcPr>
                  <w:tcW w:w="932" w:type="dxa"/>
                  <w:vAlign w:val="center"/>
                </w:tcPr>
                <w:p w14:paraId="5768220E">
                  <w:pP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距离（</w:t>
                  </w:r>
                  <w:r>
                    <w:rPr>
                      <w:rFonts w:hint="default" w:ascii="Times New Roman" w:hAnsi="Times New Roman" w:cs="Times New Roman"/>
                      <w:b/>
                      <w:color w:val="auto"/>
                      <w:sz w:val="21"/>
                      <w:szCs w:val="21"/>
                      <w:highlight w:val="none"/>
                      <w:lang w:eastAsia="zh-CN"/>
                    </w:rPr>
                    <w:t>m</w:t>
                  </w:r>
                  <w:r>
                    <w:rPr>
                      <w:rFonts w:hint="default" w:ascii="Times New Roman" w:hAnsi="Times New Roman" w:eastAsia="宋体" w:cs="Times New Roman"/>
                      <w:b/>
                      <w:color w:val="auto"/>
                      <w:sz w:val="21"/>
                      <w:szCs w:val="21"/>
                      <w:highlight w:val="none"/>
                    </w:rPr>
                    <w:t>）</w:t>
                  </w:r>
                </w:p>
              </w:tc>
              <w:tc>
                <w:tcPr>
                  <w:tcW w:w="870" w:type="dxa"/>
                  <w:vMerge w:val="continue"/>
                  <w:vAlign w:val="center"/>
                </w:tcPr>
                <w:p w14:paraId="50EF620E">
                  <w:pPr>
                    <w:jc w:val="center"/>
                    <w:rPr>
                      <w:rFonts w:hint="default" w:ascii="Times New Roman" w:hAnsi="Times New Roman" w:eastAsia="宋体" w:cs="Times New Roman"/>
                      <w:color w:val="auto"/>
                      <w:sz w:val="21"/>
                      <w:szCs w:val="21"/>
                      <w:highlight w:val="none"/>
                    </w:rPr>
                  </w:pPr>
                </w:p>
              </w:tc>
              <w:tc>
                <w:tcPr>
                  <w:tcW w:w="3463" w:type="dxa"/>
                  <w:vMerge w:val="continue"/>
                  <w:tcBorders>
                    <w:right w:val="single" w:color="auto" w:sz="4" w:space="0"/>
                  </w:tcBorders>
                  <w:vAlign w:val="center"/>
                </w:tcPr>
                <w:p w14:paraId="0A918D4E">
                  <w:pPr>
                    <w:jc w:val="center"/>
                    <w:rPr>
                      <w:rFonts w:hint="default" w:ascii="Times New Roman" w:hAnsi="Times New Roman" w:eastAsia="宋体" w:cs="Times New Roman"/>
                      <w:color w:val="auto"/>
                      <w:sz w:val="21"/>
                      <w:szCs w:val="21"/>
                      <w:highlight w:val="none"/>
                    </w:rPr>
                  </w:pPr>
                </w:p>
              </w:tc>
            </w:tr>
            <w:tr w14:paraId="6C5F4B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tcBorders>
                    <w:left w:val="single" w:color="auto" w:sz="4" w:space="0"/>
                  </w:tcBorders>
                  <w:vAlign w:val="center"/>
                </w:tcPr>
                <w:p w14:paraId="16CBF54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3918" w:type="dxa"/>
                  <w:gridSpan w:val="4"/>
                  <w:vAlign w:val="center"/>
                </w:tcPr>
                <w:p w14:paraId="24E883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厂界外5</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范围内无</w:t>
                  </w:r>
                  <w:r>
                    <w:rPr>
                      <w:rFonts w:hint="default" w:ascii="Times New Roman" w:hAnsi="Times New Roman" w:eastAsia="宋体" w:cs="Times New Roman"/>
                      <w:color w:val="auto"/>
                      <w:sz w:val="21"/>
                      <w:szCs w:val="21"/>
                      <w:highlight w:val="none"/>
                      <w:lang w:val="en-US" w:eastAsia="zh-CN"/>
                    </w:rPr>
                    <w:t>大气</w:t>
                  </w:r>
                  <w:r>
                    <w:rPr>
                      <w:rFonts w:hint="default" w:ascii="Times New Roman" w:hAnsi="Times New Roman" w:eastAsia="宋体" w:cs="Times New Roman"/>
                      <w:color w:val="auto"/>
                      <w:sz w:val="21"/>
                      <w:szCs w:val="21"/>
                      <w:highlight w:val="none"/>
                    </w:rPr>
                    <w:t>环境敏感目标</w:t>
                  </w:r>
                </w:p>
              </w:tc>
              <w:tc>
                <w:tcPr>
                  <w:tcW w:w="3463" w:type="dxa"/>
                  <w:tcBorders>
                    <w:right w:val="single" w:color="auto" w:sz="4" w:space="0"/>
                  </w:tcBorders>
                  <w:vAlign w:val="center"/>
                </w:tcPr>
                <w:p w14:paraId="0708819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w:t>
                  </w:r>
                  <w:r>
                    <w:rPr>
                      <w:rFonts w:hint="eastAsia" w:ascii="Times New Roman" w:hAnsi="Times New Roman" w:cs="Times New Roman"/>
                      <w:color w:val="auto"/>
                      <w:sz w:val="21"/>
                      <w:szCs w:val="21"/>
                      <w:highlight w:val="none"/>
                      <w:lang w:eastAsia="zh-CN"/>
                    </w:rPr>
                    <w:t>GB 3095—</w:t>
                  </w:r>
                  <w:r>
                    <w:rPr>
                      <w:rFonts w:hint="default" w:ascii="Times New Roman" w:hAnsi="Times New Roman" w:eastAsia="宋体" w:cs="Times New Roman"/>
                      <w:color w:val="auto"/>
                      <w:sz w:val="21"/>
                      <w:szCs w:val="21"/>
                      <w:highlight w:val="none"/>
                    </w:rPr>
                    <w:t>20</w:t>
                  </w:r>
                  <w:r>
                    <w:rPr>
                      <w:rFonts w:hint="default" w:ascii="Times New Roman" w:hAnsi="Times New Roman" w:cs="Times New Roman"/>
                      <w:color w:val="auto"/>
                      <w:sz w:val="21"/>
                      <w:szCs w:val="21"/>
                      <w:highlight w:val="none"/>
                      <w:lang w:val="en-US" w:eastAsia="zh-CN"/>
                    </w:rPr>
                    <w:t>26</w:t>
                  </w:r>
                  <w:r>
                    <w:rPr>
                      <w:rFonts w:hint="default" w:ascii="Times New Roman" w:hAnsi="Times New Roman" w:eastAsia="宋体" w:cs="Times New Roman"/>
                      <w:color w:val="auto"/>
                      <w:sz w:val="21"/>
                      <w:szCs w:val="21"/>
                      <w:highlight w:val="none"/>
                    </w:rPr>
                    <w:t>）二级标准</w:t>
                  </w:r>
                </w:p>
              </w:tc>
            </w:tr>
            <w:tr w14:paraId="251A35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tcBorders>
                    <w:left w:val="single" w:color="auto" w:sz="4" w:space="0"/>
                  </w:tcBorders>
                  <w:vAlign w:val="center"/>
                </w:tcPr>
                <w:p w14:paraId="052C40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3918" w:type="dxa"/>
                  <w:gridSpan w:val="4"/>
                  <w:vAlign w:val="center"/>
                </w:tcPr>
                <w:p w14:paraId="0DB1DA8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厂界外50</w:t>
                  </w:r>
                  <w:r>
                    <w:rPr>
                      <w:rFonts w:hint="default" w:ascii="Times New Roman" w:hAnsi="Times New Roman"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rPr>
                    <w:t>范围内无声环境敏感目标</w:t>
                  </w:r>
                </w:p>
              </w:tc>
              <w:tc>
                <w:tcPr>
                  <w:tcW w:w="3463" w:type="dxa"/>
                  <w:tcBorders>
                    <w:right w:val="single" w:color="auto" w:sz="4" w:space="0"/>
                  </w:tcBorders>
                  <w:vAlign w:val="center"/>
                </w:tcPr>
                <w:p w14:paraId="7B19BAA5">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《声环境质量标准》（GB</w:t>
                  </w:r>
                  <w:r>
                    <w:rPr>
                      <w:rFonts w:hint="default" w:ascii="Times New Roman" w:hAnsi="Times New Roman"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eastAsia="zh-CN"/>
                    </w:rPr>
                    <w:t>3096—</w:t>
                  </w:r>
                  <w:r>
                    <w:rPr>
                      <w:rFonts w:hint="default" w:ascii="Times New Roman" w:hAnsi="Times New Roman" w:eastAsia="宋体" w:cs="Times New Roman"/>
                      <w:color w:val="auto"/>
                      <w:sz w:val="21"/>
                      <w:szCs w:val="21"/>
                      <w:highlight w:val="none"/>
                    </w:rPr>
                    <w:t>2008）</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p>
              </w:tc>
            </w:tr>
            <w:tr w14:paraId="37B64E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41" w:type="dxa"/>
                  <w:tcBorders>
                    <w:left w:val="single" w:color="auto" w:sz="4" w:space="0"/>
                    <w:bottom w:val="single" w:color="auto" w:sz="4" w:space="0"/>
                  </w:tcBorders>
                  <w:vAlign w:val="center"/>
                </w:tcPr>
                <w:p w14:paraId="79951F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地下水</w:t>
                  </w:r>
                </w:p>
              </w:tc>
              <w:tc>
                <w:tcPr>
                  <w:tcW w:w="7381" w:type="dxa"/>
                  <w:gridSpan w:val="5"/>
                  <w:tcBorders>
                    <w:bottom w:val="single" w:color="auto" w:sz="4" w:space="0"/>
                    <w:right w:val="single" w:color="auto" w:sz="4" w:space="0"/>
                  </w:tcBorders>
                  <w:vAlign w:val="center"/>
                </w:tcPr>
                <w:p w14:paraId="68E51728">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厂界外500米范围内不涉及地下水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集中式饮用水水源和热水、矿泉水、温泉等特殊地下水资源</w:t>
                  </w:r>
                  <w:r>
                    <w:rPr>
                      <w:rFonts w:hint="default" w:ascii="Times New Roman" w:hAnsi="Times New Roman" w:eastAsia="宋体" w:cs="Times New Roman"/>
                      <w:color w:val="auto"/>
                      <w:sz w:val="21"/>
                      <w:szCs w:val="21"/>
                      <w:highlight w:val="none"/>
                      <w:lang w:eastAsia="zh-CN"/>
                    </w:rPr>
                    <w:t>。</w:t>
                  </w:r>
                </w:p>
              </w:tc>
            </w:tr>
          </w:tbl>
          <w:p w14:paraId="404E5518">
            <w:pPr>
              <w:spacing w:line="360" w:lineRule="auto"/>
              <w:rPr>
                <w:rFonts w:hint="default" w:ascii="Times New Roman" w:hAnsi="Times New Roman" w:eastAsia="宋体" w:cs="Times New Roman"/>
                <w:color w:val="auto"/>
                <w:kern w:val="0"/>
                <w:szCs w:val="21"/>
                <w:highlight w:val="none"/>
              </w:rPr>
            </w:pPr>
          </w:p>
        </w:tc>
      </w:tr>
      <w:tr w14:paraId="5314AD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58" w:hRule="atLeast"/>
          <w:jc w:val="center"/>
        </w:trPr>
        <w:tc>
          <w:tcPr>
            <w:tcW w:w="534" w:type="dxa"/>
            <w:tcMar>
              <w:left w:w="28" w:type="dxa"/>
              <w:right w:w="28" w:type="dxa"/>
            </w:tcMar>
            <w:vAlign w:val="center"/>
          </w:tcPr>
          <w:p w14:paraId="1FE47421">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污染</w:t>
            </w:r>
          </w:p>
          <w:p w14:paraId="1A47E185">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物排</w:t>
            </w:r>
          </w:p>
          <w:p w14:paraId="52A36263">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放控</w:t>
            </w:r>
          </w:p>
          <w:p w14:paraId="61025D35">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制标</w:t>
            </w:r>
          </w:p>
          <w:p w14:paraId="32BEB403">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准</w:t>
            </w:r>
          </w:p>
        </w:tc>
        <w:tc>
          <w:tcPr>
            <w:tcW w:w="8527" w:type="dxa"/>
            <w:vAlign w:val="center"/>
          </w:tcPr>
          <w:p w14:paraId="590CB74C">
            <w:pPr>
              <w:spacing w:line="360" w:lineRule="auto"/>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1.大气污染物排放标准</w:t>
            </w:r>
          </w:p>
          <w:p w14:paraId="255301BF">
            <w:pPr>
              <w:spacing w:line="312"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本项目施工期间产生的粉尘执行《大气污染物综合排放标准》（</w:t>
            </w:r>
            <w:r>
              <w:rPr>
                <w:rFonts w:hint="eastAsia" w:ascii="Times New Roman" w:hAnsi="Times New Roman" w:cs="Times New Roman"/>
                <w:color w:val="auto"/>
                <w:sz w:val="24"/>
                <w:lang w:eastAsia="zh-CN"/>
              </w:rPr>
              <w:t>GB 16297—</w:t>
            </w:r>
            <w:r>
              <w:rPr>
                <w:rFonts w:hint="default" w:ascii="Times New Roman" w:hAnsi="Times New Roman" w:eastAsia="宋体" w:cs="Times New Roman"/>
                <w:color w:val="auto"/>
                <w:sz w:val="24"/>
              </w:rPr>
              <w:t>1996）</w:t>
            </w:r>
            <w:r>
              <w:rPr>
                <w:rFonts w:hint="default" w:ascii="Times New Roman" w:hAnsi="Times New Roman" w:eastAsia="宋体" w:cs="Times New Roman"/>
                <w:bCs/>
                <w:color w:val="auto"/>
                <w:szCs w:val="21"/>
              </w:rPr>
              <w:t>中</w:t>
            </w:r>
            <w:r>
              <w:rPr>
                <w:rFonts w:hint="default" w:ascii="Times New Roman" w:hAnsi="Times New Roman" w:eastAsia="宋体" w:cs="Times New Roman"/>
                <w:bCs/>
                <w:color w:val="auto"/>
                <w:sz w:val="24"/>
              </w:rPr>
              <w:t>无组织排放标准限值</w:t>
            </w:r>
            <w:r>
              <w:rPr>
                <w:rFonts w:hint="default" w:ascii="Times New Roman" w:hAnsi="Times New Roman" w:eastAsia="宋体" w:cs="Times New Roman"/>
                <w:color w:val="auto"/>
                <w:kern w:val="0"/>
                <w:sz w:val="24"/>
              </w:rPr>
              <w:t>。</w:t>
            </w:r>
            <w:r>
              <w:rPr>
                <w:rFonts w:hint="default" w:ascii="Times New Roman" w:hAnsi="Times New Roman" w:eastAsia="宋体" w:cs="Times New Roman"/>
                <w:color w:val="auto"/>
                <w:sz w:val="24"/>
              </w:rPr>
              <w:t>具体标准限值见表3-</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w:t>
            </w:r>
          </w:p>
          <w:p w14:paraId="7F2188DC">
            <w:pPr>
              <w:tabs>
                <w:tab w:val="left" w:pos="0"/>
              </w:tabs>
              <w:adjustRightInd w:val="0"/>
              <w:spacing w:after="120" w:line="312" w:lineRule="atLeast"/>
              <w:jc w:val="center"/>
              <w:textAlignment w:val="baseline"/>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表3-</w:t>
            </w:r>
            <w:r>
              <w:rPr>
                <w:rFonts w:hint="default" w:ascii="Times New Roman" w:hAnsi="Times New Roman" w:eastAsia="宋体" w:cs="Times New Roman"/>
                <w:b/>
                <w:bCs/>
                <w:color w:val="auto"/>
                <w:kern w:val="0"/>
                <w:sz w:val="24"/>
                <w:lang w:val="en-US" w:eastAsia="zh-CN"/>
              </w:rPr>
              <w:t>4</w:t>
            </w:r>
            <w:r>
              <w:rPr>
                <w:rFonts w:hint="default" w:ascii="Times New Roman" w:hAnsi="Times New Roman" w:eastAsia="宋体" w:cs="Times New Roman"/>
                <w:b/>
                <w:bCs/>
                <w:color w:val="auto"/>
                <w:kern w:val="0"/>
                <w:sz w:val="24"/>
              </w:rPr>
              <w:t xml:space="preserve"> 大气污染物排放标准一览表</w:t>
            </w:r>
          </w:p>
          <w:tbl>
            <w:tblPr>
              <w:tblStyle w:val="11"/>
              <w:tblW w:w="82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85"/>
              <w:gridCol w:w="1386"/>
              <w:gridCol w:w="1416"/>
              <w:gridCol w:w="4535"/>
            </w:tblGrid>
            <w:tr w14:paraId="56662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38" w:type="pct"/>
                  <w:tcBorders>
                    <w:top w:val="single" w:color="auto" w:sz="4" w:space="0"/>
                    <w:left w:val="single" w:color="auto" w:sz="0" w:space="0"/>
                  </w:tcBorders>
                  <w:noWrap w:val="0"/>
                  <w:tcMar>
                    <w:left w:w="0" w:type="dxa"/>
                    <w:right w:w="0" w:type="dxa"/>
                  </w:tcMar>
                  <w:vAlign w:val="center"/>
                </w:tcPr>
                <w:p w14:paraId="19B7B8CD">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时期</w:t>
                  </w:r>
                </w:p>
              </w:tc>
              <w:tc>
                <w:tcPr>
                  <w:tcW w:w="843" w:type="pct"/>
                  <w:tcBorders>
                    <w:top w:val="single" w:color="auto" w:sz="4" w:space="0"/>
                  </w:tcBorders>
                  <w:noWrap w:val="0"/>
                  <w:vAlign w:val="center"/>
                </w:tcPr>
                <w:p w14:paraId="18415147">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861" w:type="pct"/>
                  <w:tcBorders>
                    <w:top w:val="single" w:color="auto" w:sz="4" w:space="0"/>
                  </w:tcBorders>
                  <w:noWrap w:val="0"/>
                  <w:tcMar>
                    <w:left w:w="0" w:type="dxa"/>
                    <w:right w:w="0" w:type="dxa"/>
                  </w:tcMar>
                  <w:vAlign w:val="center"/>
                </w:tcPr>
                <w:p w14:paraId="6506E00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rPr>
                    <w:t>排放标准值</w:t>
                  </w:r>
                </w:p>
              </w:tc>
              <w:tc>
                <w:tcPr>
                  <w:tcW w:w="2758" w:type="pct"/>
                  <w:tcBorders>
                    <w:top w:val="single" w:color="auto" w:sz="4" w:space="0"/>
                    <w:right w:val="single" w:color="auto" w:sz="4" w:space="0"/>
                  </w:tcBorders>
                  <w:noWrap w:val="0"/>
                  <w:tcMar>
                    <w:left w:w="0" w:type="dxa"/>
                    <w:right w:w="0" w:type="dxa"/>
                  </w:tcMar>
                  <w:vAlign w:val="center"/>
                </w:tcPr>
                <w:p w14:paraId="0537A3F9">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标准来源</w:t>
                  </w:r>
                </w:p>
              </w:tc>
            </w:tr>
            <w:tr w14:paraId="7B6D5B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38" w:type="pct"/>
                  <w:tcBorders>
                    <w:left w:val="single" w:color="auto" w:sz="4" w:space="0"/>
                    <w:bottom w:val="single" w:color="auto" w:sz="4" w:space="0"/>
                  </w:tcBorders>
                  <w:noWrap w:val="0"/>
                  <w:tcMar>
                    <w:left w:w="0" w:type="dxa"/>
                    <w:right w:w="0" w:type="dxa"/>
                  </w:tcMar>
                  <w:vAlign w:val="center"/>
                </w:tcPr>
                <w:p w14:paraId="66046CAB">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施工期</w:t>
                  </w:r>
                </w:p>
              </w:tc>
              <w:tc>
                <w:tcPr>
                  <w:tcW w:w="843" w:type="pct"/>
                  <w:tcBorders>
                    <w:bottom w:val="single" w:color="auto" w:sz="4" w:space="0"/>
                  </w:tcBorders>
                  <w:noWrap w:val="0"/>
                  <w:vAlign w:val="center"/>
                </w:tcPr>
                <w:p w14:paraId="16338342">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颗粒物</w:t>
                  </w:r>
                </w:p>
              </w:tc>
              <w:tc>
                <w:tcPr>
                  <w:tcW w:w="861" w:type="pct"/>
                  <w:tcBorders>
                    <w:bottom w:val="single" w:color="auto" w:sz="4" w:space="0"/>
                  </w:tcBorders>
                  <w:noWrap w:val="0"/>
                  <w:tcMar>
                    <w:left w:w="0" w:type="dxa"/>
                    <w:right w:w="0" w:type="dxa"/>
                  </w:tcMar>
                  <w:vAlign w:val="center"/>
                </w:tcPr>
                <w:p w14:paraId="513C96B7">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rPr>
                    <w:t>1.0</w:t>
                  </w:r>
                  <w:r>
                    <w:rPr>
                      <w:rFonts w:hint="default" w:ascii="Times New Roman" w:hAnsi="Times New Roman" w:cs="Times New Roman"/>
                      <w:bCs/>
                      <w:color w:val="auto"/>
                      <w:sz w:val="21"/>
                      <w:szCs w:val="21"/>
                      <w:lang w:eastAsia="zh-CN"/>
                    </w:rPr>
                    <w:t>m</w:t>
                  </w:r>
                  <w:r>
                    <w:rPr>
                      <w:rFonts w:hint="default" w:ascii="Times New Roman" w:hAnsi="Times New Roman" w:eastAsia="宋体" w:cs="Times New Roman"/>
                      <w:bCs/>
                      <w:color w:val="auto"/>
                      <w:sz w:val="21"/>
                      <w:szCs w:val="21"/>
                    </w:rPr>
                    <w:t>g/</w:t>
                  </w:r>
                  <w:r>
                    <w:rPr>
                      <w:rFonts w:hint="default" w:ascii="Times New Roman" w:hAnsi="Times New Roman" w:cs="Times New Roman"/>
                      <w:bCs/>
                      <w:color w:val="auto"/>
                      <w:sz w:val="21"/>
                      <w:szCs w:val="21"/>
                      <w:vertAlign w:val="baseline"/>
                      <w:lang w:eastAsia="zh-CN"/>
                    </w:rPr>
                    <w:t>m</w:t>
                  </w:r>
                  <w:r>
                    <w:rPr>
                      <w:rFonts w:hint="default" w:ascii="Times New Roman" w:hAnsi="Times New Roman" w:cs="Times New Roman"/>
                      <w:bCs/>
                      <w:color w:val="auto"/>
                      <w:sz w:val="21"/>
                      <w:szCs w:val="21"/>
                      <w:vertAlign w:val="superscript"/>
                      <w:lang w:eastAsia="zh-CN"/>
                    </w:rPr>
                    <w:t>3</w:t>
                  </w:r>
                </w:p>
              </w:tc>
              <w:tc>
                <w:tcPr>
                  <w:tcW w:w="2758" w:type="pct"/>
                  <w:tcBorders>
                    <w:bottom w:val="single" w:color="auto" w:sz="4" w:space="0"/>
                    <w:right w:val="single" w:color="auto" w:sz="4" w:space="0"/>
                  </w:tcBorders>
                  <w:noWrap w:val="0"/>
                  <w:tcMar>
                    <w:left w:w="0" w:type="dxa"/>
                    <w:right w:w="0" w:type="dxa"/>
                  </w:tcMar>
                  <w:vAlign w:val="center"/>
                </w:tcPr>
                <w:p w14:paraId="03BA7524">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《大气污染物综合排放标准》（</w:t>
                  </w:r>
                  <w:r>
                    <w:rPr>
                      <w:rFonts w:hint="eastAsia" w:ascii="Times New Roman" w:hAnsi="Times New Roman" w:cs="Times New Roman"/>
                      <w:bCs/>
                      <w:color w:val="auto"/>
                      <w:sz w:val="21"/>
                      <w:szCs w:val="21"/>
                      <w:lang w:eastAsia="zh-CN"/>
                    </w:rPr>
                    <w:t>GB 16297—</w:t>
                  </w:r>
                  <w:r>
                    <w:rPr>
                      <w:rFonts w:hint="default" w:ascii="Times New Roman" w:hAnsi="Times New Roman" w:eastAsia="宋体" w:cs="Times New Roman"/>
                      <w:bCs/>
                      <w:color w:val="auto"/>
                      <w:sz w:val="21"/>
                      <w:szCs w:val="21"/>
                    </w:rPr>
                    <w:t>1996）无组织排放标准限值</w:t>
                  </w:r>
                  <w:r>
                    <w:rPr>
                      <w:rFonts w:hint="default" w:ascii="Times New Roman" w:hAnsi="Times New Roman" w:cs="Times New Roman"/>
                      <w:bCs/>
                      <w:color w:val="auto"/>
                      <w:sz w:val="21"/>
                      <w:szCs w:val="21"/>
                      <w:lang w:eastAsia="zh-CN"/>
                    </w:rPr>
                    <w:t>。</w:t>
                  </w:r>
                </w:p>
              </w:tc>
            </w:tr>
          </w:tbl>
          <w:p w14:paraId="1B38235E">
            <w:pPr>
              <w:adjustRightInd w:val="0"/>
              <w:snapToGrid w:val="0"/>
              <w:spacing w:before="240" w:line="360" w:lineRule="auto"/>
              <w:ind w:firstLine="482"/>
              <w:textAlignment w:val="center"/>
              <w:rPr>
                <w:rFonts w:hint="default" w:ascii="Times New Roman" w:hAnsi="Times New Roman" w:eastAsia="宋体" w:cs="Times New Roman"/>
                <w:bCs/>
                <w:color w:val="auto"/>
                <w:sz w:val="24"/>
                <w:lang w:eastAsia="zh-CN"/>
              </w:rPr>
            </w:pPr>
            <w:r>
              <w:rPr>
                <w:rFonts w:hint="default" w:ascii="Times New Roman" w:hAnsi="Times New Roman" w:eastAsia="宋体" w:cs="Times New Roman"/>
                <w:bCs/>
                <w:color w:val="auto"/>
                <w:sz w:val="24"/>
              </w:rPr>
              <w:t>运营期恶臭气体无组织排放执行《城镇污水处理厂污染物排放标准》</w:t>
            </w:r>
            <w:r>
              <w:rPr>
                <w:rFonts w:hint="default" w:ascii="Times New Roman" w:hAnsi="Times New Roman" w:eastAsia="宋体" w:cs="Times New Roman"/>
                <w:bCs/>
                <w:color w:val="auto"/>
                <w:sz w:val="24"/>
                <w:lang w:eastAsia="zh-CN"/>
              </w:rPr>
              <w:t>（</w:t>
            </w:r>
            <w:r>
              <w:rPr>
                <w:rFonts w:hint="default" w:ascii="Times New Roman" w:hAnsi="Times New Roman" w:cs="Times New Roman"/>
                <w:bCs/>
                <w:color w:val="auto"/>
                <w:sz w:val="24"/>
                <w:lang w:eastAsia="zh-CN"/>
              </w:rPr>
              <w:t xml:space="preserve">GB </w:t>
            </w:r>
            <w:r>
              <w:rPr>
                <w:rFonts w:hint="eastAsia" w:ascii="Times New Roman" w:hAnsi="Times New Roman" w:cs="Times New Roman"/>
                <w:bCs/>
                <w:color w:val="auto"/>
                <w:sz w:val="24"/>
                <w:lang w:eastAsia="zh-CN"/>
              </w:rPr>
              <w:t>18918—</w:t>
            </w:r>
            <w:r>
              <w:rPr>
                <w:rFonts w:hint="default" w:ascii="Times New Roman" w:hAnsi="Times New Roman" w:eastAsia="宋体" w:cs="Times New Roman"/>
                <w:bCs/>
                <w:color w:val="auto"/>
                <w:sz w:val="24"/>
              </w:rPr>
              <w:t>2002）及其修改单表4中二级标准</w:t>
            </w:r>
            <w:r>
              <w:rPr>
                <w:rFonts w:hint="default" w:ascii="Times New Roman" w:hAnsi="Times New Roman" w:eastAsia="宋体" w:cs="Times New Roman"/>
                <w:bCs/>
                <w:color w:val="auto"/>
                <w:sz w:val="24"/>
                <w:lang w:eastAsia="zh-CN"/>
              </w:rPr>
              <w:t>。</w:t>
            </w:r>
          </w:p>
          <w:p w14:paraId="62A75020">
            <w:pPr>
              <w:tabs>
                <w:tab w:val="left" w:pos="0"/>
              </w:tabs>
              <w:adjustRightInd w:val="0"/>
              <w:spacing w:after="120" w:line="312" w:lineRule="atLeast"/>
              <w:jc w:val="center"/>
              <w:textAlignment w:val="baseline"/>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表3-</w:t>
            </w:r>
            <w:r>
              <w:rPr>
                <w:rFonts w:hint="default" w:ascii="Times New Roman" w:hAnsi="Times New Roman" w:eastAsia="宋体" w:cs="Times New Roman"/>
                <w:b/>
                <w:bCs/>
                <w:color w:val="auto"/>
                <w:kern w:val="0"/>
                <w:sz w:val="24"/>
                <w:lang w:val="en-US" w:eastAsia="zh-CN"/>
              </w:rPr>
              <w:t>5</w:t>
            </w:r>
            <w:r>
              <w:rPr>
                <w:rFonts w:hint="default" w:ascii="Times New Roman" w:hAnsi="Times New Roman" w:cs="Times New Roman"/>
                <w:b/>
                <w:bCs/>
                <w:color w:val="auto"/>
                <w:kern w:val="0"/>
                <w:sz w:val="24"/>
                <w:lang w:val="en-US" w:eastAsia="zh-CN"/>
              </w:rPr>
              <w:t xml:space="preserve"> </w:t>
            </w:r>
            <w:r>
              <w:rPr>
                <w:rFonts w:hint="default" w:ascii="Times New Roman" w:hAnsi="Times New Roman" w:eastAsia="宋体" w:cs="Times New Roman"/>
                <w:b/>
                <w:bCs/>
                <w:color w:val="auto"/>
                <w:kern w:val="0"/>
                <w:sz w:val="24"/>
              </w:rPr>
              <w:t>恶臭污染物厂界标准值</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00"/>
              <w:gridCol w:w="1350"/>
              <w:gridCol w:w="3241"/>
              <w:gridCol w:w="3020"/>
            </w:tblGrid>
            <w:tr w14:paraId="3BA5D2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1" w:type="pct"/>
                  <w:tcBorders>
                    <w:top w:val="single" w:color="auto" w:sz="4" w:space="0"/>
                    <w:left w:val="single" w:color="auto" w:sz="0" w:space="0"/>
                  </w:tcBorders>
                  <w:noWrap w:val="0"/>
                  <w:tcMar>
                    <w:left w:w="0" w:type="dxa"/>
                    <w:right w:w="0" w:type="dxa"/>
                  </w:tcMar>
                  <w:vAlign w:val="center"/>
                </w:tcPr>
                <w:p w14:paraId="7EF202E1">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时期</w:t>
                  </w:r>
                </w:p>
              </w:tc>
              <w:tc>
                <w:tcPr>
                  <w:tcW w:w="812" w:type="pct"/>
                  <w:tcBorders>
                    <w:top w:val="single" w:color="auto" w:sz="4" w:space="0"/>
                  </w:tcBorders>
                  <w:noWrap w:val="0"/>
                  <w:vAlign w:val="center"/>
                </w:tcPr>
                <w:p w14:paraId="6333B68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949" w:type="pct"/>
                  <w:tcBorders>
                    <w:top w:val="single" w:color="auto" w:sz="4" w:space="0"/>
                  </w:tcBorders>
                  <w:noWrap w:val="0"/>
                  <w:tcMar>
                    <w:left w:w="0" w:type="dxa"/>
                    <w:right w:w="0" w:type="dxa"/>
                  </w:tcMar>
                  <w:vAlign w:val="center"/>
                </w:tcPr>
                <w:p w14:paraId="52BFA9B1">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kern w:val="0"/>
                      <w:sz w:val="21"/>
                      <w:szCs w:val="21"/>
                    </w:rPr>
                    <w:t>厂界标准值</w:t>
                  </w:r>
                </w:p>
              </w:tc>
              <w:tc>
                <w:tcPr>
                  <w:tcW w:w="1816" w:type="pct"/>
                  <w:tcBorders>
                    <w:top w:val="single" w:color="auto" w:sz="4" w:space="0"/>
                    <w:right w:val="single" w:color="auto" w:sz="4" w:space="0"/>
                  </w:tcBorders>
                  <w:noWrap w:val="0"/>
                  <w:tcMar>
                    <w:left w:w="0" w:type="dxa"/>
                    <w:right w:w="0" w:type="dxa"/>
                  </w:tcMar>
                  <w:vAlign w:val="center"/>
                </w:tcPr>
                <w:p w14:paraId="76D39D78">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标准来源</w:t>
                  </w:r>
                </w:p>
              </w:tc>
            </w:tr>
            <w:tr w14:paraId="71E18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1" w:type="pct"/>
                  <w:vMerge w:val="restart"/>
                  <w:tcBorders>
                    <w:left w:val="single" w:color="auto" w:sz="4" w:space="0"/>
                  </w:tcBorders>
                  <w:noWrap w:val="0"/>
                  <w:tcMar>
                    <w:left w:w="0" w:type="dxa"/>
                    <w:right w:w="0" w:type="dxa"/>
                  </w:tcMar>
                  <w:vAlign w:val="center"/>
                </w:tcPr>
                <w:p w14:paraId="440A9944">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运营期</w:t>
                  </w:r>
                </w:p>
              </w:tc>
              <w:tc>
                <w:tcPr>
                  <w:tcW w:w="812" w:type="pct"/>
                  <w:noWrap w:val="0"/>
                  <w:vAlign w:val="center"/>
                </w:tcPr>
                <w:p w14:paraId="16EF0B9C">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N</w:t>
                  </w:r>
                  <w:r>
                    <w:rPr>
                      <w:rFonts w:hint="default" w:ascii="Times New Roman" w:hAnsi="Times New Roman" w:cs="Times New Roman"/>
                      <w:bCs/>
                      <w:color w:val="auto"/>
                      <w:sz w:val="21"/>
                      <w:szCs w:val="21"/>
                      <w:vertAlign w:val="baseline"/>
                      <w:lang w:eastAsia="zh-CN"/>
                    </w:rPr>
                    <w:t>H</w:t>
                  </w:r>
                  <w:r>
                    <w:rPr>
                      <w:rFonts w:hint="default" w:ascii="Times New Roman" w:hAnsi="Times New Roman" w:cs="Times New Roman"/>
                      <w:bCs/>
                      <w:color w:val="auto"/>
                      <w:sz w:val="21"/>
                      <w:szCs w:val="21"/>
                      <w:vertAlign w:val="subscript"/>
                      <w:lang w:eastAsia="zh-CN"/>
                    </w:rPr>
                    <w:t>3</w:t>
                  </w:r>
                </w:p>
              </w:tc>
              <w:tc>
                <w:tcPr>
                  <w:tcW w:w="1949" w:type="pct"/>
                  <w:noWrap w:val="0"/>
                  <w:tcMar>
                    <w:left w:w="0" w:type="dxa"/>
                    <w:right w:w="0" w:type="dxa"/>
                  </w:tcMar>
                  <w:vAlign w:val="center"/>
                </w:tcPr>
                <w:p w14:paraId="370CDFB4">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rPr>
                    <w:t>1.5</w:t>
                  </w:r>
                  <w:r>
                    <w:rPr>
                      <w:rFonts w:hint="default" w:ascii="Times New Roman" w:hAnsi="Times New Roman" w:cs="Times New Roman"/>
                      <w:bCs/>
                      <w:color w:val="auto"/>
                      <w:sz w:val="21"/>
                      <w:szCs w:val="21"/>
                      <w:lang w:eastAsia="zh-CN"/>
                    </w:rPr>
                    <w:t>m</w:t>
                  </w:r>
                  <w:r>
                    <w:rPr>
                      <w:rFonts w:hint="default" w:ascii="Times New Roman" w:hAnsi="Times New Roman" w:eastAsia="宋体" w:cs="Times New Roman"/>
                      <w:bCs/>
                      <w:color w:val="auto"/>
                      <w:sz w:val="21"/>
                      <w:szCs w:val="21"/>
                    </w:rPr>
                    <w:t>g/</w:t>
                  </w:r>
                  <w:r>
                    <w:rPr>
                      <w:rFonts w:hint="default" w:ascii="Times New Roman" w:hAnsi="Times New Roman" w:cs="Times New Roman"/>
                      <w:bCs/>
                      <w:color w:val="auto"/>
                      <w:sz w:val="21"/>
                      <w:szCs w:val="21"/>
                      <w:vertAlign w:val="baseline"/>
                      <w:lang w:eastAsia="zh-CN"/>
                    </w:rPr>
                    <w:t>m</w:t>
                  </w:r>
                  <w:r>
                    <w:rPr>
                      <w:rFonts w:hint="default" w:ascii="Times New Roman" w:hAnsi="Times New Roman" w:cs="Times New Roman"/>
                      <w:bCs/>
                      <w:color w:val="auto"/>
                      <w:sz w:val="21"/>
                      <w:szCs w:val="21"/>
                      <w:vertAlign w:val="superscript"/>
                      <w:lang w:eastAsia="zh-CN"/>
                    </w:rPr>
                    <w:t>3</w:t>
                  </w:r>
                </w:p>
              </w:tc>
              <w:tc>
                <w:tcPr>
                  <w:tcW w:w="1816" w:type="pct"/>
                  <w:vMerge w:val="restart"/>
                  <w:tcBorders>
                    <w:right w:val="single" w:color="auto" w:sz="4" w:space="0"/>
                  </w:tcBorders>
                  <w:noWrap w:val="0"/>
                  <w:tcMar>
                    <w:left w:w="0" w:type="dxa"/>
                    <w:right w:w="0" w:type="dxa"/>
                  </w:tcMar>
                  <w:vAlign w:val="center"/>
                </w:tcPr>
                <w:p w14:paraId="4B8F9A93">
                  <w:pPr>
                    <w:adjustRightInd w:val="0"/>
                    <w:snapToGrid w:val="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《城镇污水处理厂污染物排放标准》</w:t>
                  </w:r>
                  <w:r>
                    <w:rPr>
                      <w:rFonts w:hint="default" w:ascii="Times New Roman" w:hAnsi="Times New Roman" w:eastAsia="宋体" w:cs="Times New Roman"/>
                      <w:bCs/>
                      <w:color w:val="auto"/>
                      <w:sz w:val="21"/>
                      <w:szCs w:val="21"/>
                      <w:lang w:eastAsia="zh-CN"/>
                    </w:rPr>
                    <w:t>（</w:t>
                  </w:r>
                  <w:r>
                    <w:rPr>
                      <w:rFonts w:hint="default" w:ascii="Times New Roman" w:hAnsi="Times New Roman" w:cs="Times New Roman"/>
                      <w:bCs/>
                      <w:color w:val="auto"/>
                      <w:sz w:val="21"/>
                      <w:szCs w:val="21"/>
                      <w:lang w:eastAsia="zh-CN"/>
                    </w:rPr>
                    <w:t xml:space="preserve">GB </w:t>
                  </w:r>
                  <w:r>
                    <w:rPr>
                      <w:rFonts w:hint="eastAsia" w:ascii="Times New Roman" w:hAnsi="Times New Roman" w:cs="Times New Roman"/>
                      <w:bCs/>
                      <w:color w:val="auto"/>
                      <w:sz w:val="21"/>
                      <w:szCs w:val="21"/>
                      <w:lang w:eastAsia="zh-CN"/>
                    </w:rPr>
                    <w:t>18918—</w:t>
                  </w:r>
                  <w:r>
                    <w:rPr>
                      <w:rFonts w:hint="default" w:ascii="Times New Roman" w:hAnsi="Times New Roman" w:eastAsia="宋体" w:cs="Times New Roman"/>
                      <w:bCs/>
                      <w:color w:val="auto"/>
                      <w:sz w:val="21"/>
                      <w:szCs w:val="21"/>
                    </w:rPr>
                    <w:t>2002）及其修改单表4中二级标准</w:t>
                  </w:r>
                  <w:r>
                    <w:rPr>
                      <w:rFonts w:hint="default" w:ascii="Times New Roman" w:hAnsi="Times New Roman" w:cs="Times New Roman"/>
                      <w:bCs/>
                      <w:color w:val="auto"/>
                      <w:sz w:val="21"/>
                      <w:szCs w:val="21"/>
                      <w:lang w:eastAsia="zh-CN"/>
                    </w:rPr>
                    <w:t>。</w:t>
                  </w:r>
                </w:p>
              </w:tc>
            </w:tr>
            <w:tr w14:paraId="66CCA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1" w:type="pct"/>
                  <w:vMerge w:val="continue"/>
                  <w:tcBorders>
                    <w:left w:val="single" w:color="auto" w:sz="4" w:space="0"/>
                  </w:tcBorders>
                  <w:noWrap w:val="0"/>
                  <w:tcMar>
                    <w:left w:w="0" w:type="dxa"/>
                    <w:right w:w="0" w:type="dxa"/>
                  </w:tcMar>
                  <w:vAlign w:val="center"/>
                </w:tcPr>
                <w:p w14:paraId="6F0D7389">
                  <w:pPr>
                    <w:adjustRightInd w:val="0"/>
                    <w:snapToGrid w:val="0"/>
                    <w:jc w:val="center"/>
                    <w:rPr>
                      <w:rFonts w:hint="default" w:ascii="Times New Roman" w:hAnsi="Times New Roman" w:eastAsia="宋体" w:cs="Times New Roman"/>
                      <w:bCs/>
                      <w:color w:val="auto"/>
                      <w:sz w:val="21"/>
                      <w:szCs w:val="21"/>
                    </w:rPr>
                  </w:pPr>
                </w:p>
              </w:tc>
              <w:tc>
                <w:tcPr>
                  <w:tcW w:w="812" w:type="pct"/>
                  <w:noWrap w:val="0"/>
                  <w:vAlign w:val="center"/>
                </w:tcPr>
                <w:p w14:paraId="2737BEBA">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vertAlign w:val="baseline"/>
                      <w:lang w:eastAsia="zh-CN"/>
                    </w:rPr>
                    <w:t>H</w:t>
                  </w:r>
                  <w:r>
                    <w:rPr>
                      <w:rFonts w:hint="default" w:ascii="Times New Roman" w:hAnsi="Times New Roman" w:cs="Times New Roman"/>
                      <w:bCs/>
                      <w:color w:val="auto"/>
                      <w:sz w:val="21"/>
                      <w:szCs w:val="21"/>
                      <w:vertAlign w:val="subscript"/>
                      <w:lang w:eastAsia="zh-CN"/>
                    </w:rPr>
                    <w:t>2</w:t>
                  </w:r>
                  <w:r>
                    <w:rPr>
                      <w:rFonts w:hint="default" w:ascii="Times New Roman" w:hAnsi="Times New Roman" w:eastAsia="宋体" w:cs="Times New Roman"/>
                      <w:bCs/>
                      <w:color w:val="auto"/>
                      <w:sz w:val="21"/>
                      <w:szCs w:val="21"/>
                    </w:rPr>
                    <w:t>S</w:t>
                  </w:r>
                </w:p>
              </w:tc>
              <w:tc>
                <w:tcPr>
                  <w:tcW w:w="1949" w:type="pct"/>
                  <w:noWrap w:val="0"/>
                  <w:tcMar>
                    <w:left w:w="0" w:type="dxa"/>
                    <w:right w:w="0" w:type="dxa"/>
                  </w:tcMar>
                  <w:vAlign w:val="center"/>
                </w:tcPr>
                <w:p w14:paraId="65A83619">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Cs/>
                      <w:color w:val="auto"/>
                      <w:sz w:val="21"/>
                      <w:szCs w:val="21"/>
                    </w:rPr>
                    <w:t>0.06</w:t>
                  </w:r>
                  <w:r>
                    <w:rPr>
                      <w:rFonts w:hint="default" w:ascii="Times New Roman" w:hAnsi="Times New Roman" w:cs="Times New Roman"/>
                      <w:bCs/>
                      <w:color w:val="auto"/>
                      <w:sz w:val="21"/>
                      <w:szCs w:val="21"/>
                      <w:lang w:eastAsia="zh-CN"/>
                    </w:rPr>
                    <w:t>m</w:t>
                  </w:r>
                  <w:r>
                    <w:rPr>
                      <w:rFonts w:hint="default" w:ascii="Times New Roman" w:hAnsi="Times New Roman" w:eastAsia="宋体" w:cs="Times New Roman"/>
                      <w:bCs/>
                      <w:color w:val="auto"/>
                      <w:sz w:val="21"/>
                      <w:szCs w:val="21"/>
                    </w:rPr>
                    <w:t>g/</w:t>
                  </w:r>
                  <w:r>
                    <w:rPr>
                      <w:rFonts w:hint="default" w:ascii="Times New Roman" w:hAnsi="Times New Roman" w:cs="Times New Roman"/>
                      <w:bCs/>
                      <w:color w:val="auto"/>
                      <w:sz w:val="21"/>
                      <w:szCs w:val="21"/>
                      <w:vertAlign w:val="baseline"/>
                      <w:lang w:eastAsia="zh-CN"/>
                    </w:rPr>
                    <w:t>m</w:t>
                  </w:r>
                  <w:r>
                    <w:rPr>
                      <w:rFonts w:hint="default" w:ascii="Times New Roman" w:hAnsi="Times New Roman" w:cs="Times New Roman"/>
                      <w:bCs/>
                      <w:color w:val="auto"/>
                      <w:sz w:val="21"/>
                      <w:szCs w:val="21"/>
                      <w:vertAlign w:val="superscript"/>
                      <w:lang w:eastAsia="zh-CN"/>
                    </w:rPr>
                    <w:t>3</w:t>
                  </w:r>
                </w:p>
              </w:tc>
              <w:tc>
                <w:tcPr>
                  <w:tcW w:w="1816" w:type="pct"/>
                  <w:vMerge w:val="continue"/>
                  <w:tcBorders>
                    <w:right w:val="single" w:color="auto" w:sz="4" w:space="0"/>
                  </w:tcBorders>
                  <w:noWrap w:val="0"/>
                  <w:tcMar>
                    <w:left w:w="0" w:type="dxa"/>
                    <w:right w:w="0" w:type="dxa"/>
                  </w:tcMar>
                  <w:vAlign w:val="center"/>
                </w:tcPr>
                <w:p w14:paraId="4C7B1ED6">
                  <w:pPr>
                    <w:adjustRightInd w:val="0"/>
                    <w:snapToGrid w:val="0"/>
                    <w:jc w:val="center"/>
                    <w:rPr>
                      <w:rFonts w:hint="default" w:ascii="Times New Roman" w:hAnsi="Times New Roman" w:eastAsia="宋体" w:cs="Times New Roman"/>
                      <w:bCs/>
                      <w:color w:val="auto"/>
                      <w:sz w:val="21"/>
                      <w:szCs w:val="21"/>
                    </w:rPr>
                  </w:pPr>
                </w:p>
              </w:tc>
            </w:tr>
            <w:tr w14:paraId="671F76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1" w:type="pct"/>
                  <w:vMerge w:val="continue"/>
                  <w:tcBorders>
                    <w:left w:val="single" w:color="auto" w:sz="4" w:space="0"/>
                  </w:tcBorders>
                  <w:noWrap w:val="0"/>
                  <w:tcMar>
                    <w:left w:w="0" w:type="dxa"/>
                    <w:right w:w="0" w:type="dxa"/>
                  </w:tcMar>
                  <w:vAlign w:val="center"/>
                </w:tcPr>
                <w:p w14:paraId="0F67995F">
                  <w:pPr>
                    <w:adjustRightInd w:val="0"/>
                    <w:snapToGrid w:val="0"/>
                    <w:jc w:val="center"/>
                    <w:rPr>
                      <w:rFonts w:hint="default" w:ascii="Times New Roman" w:hAnsi="Times New Roman" w:eastAsia="宋体" w:cs="Times New Roman"/>
                      <w:bCs/>
                      <w:color w:val="auto"/>
                      <w:sz w:val="21"/>
                      <w:szCs w:val="21"/>
                    </w:rPr>
                  </w:pPr>
                </w:p>
              </w:tc>
              <w:tc>
                <w:tcPr>
                  <w:tcW w:w="812" w:type="pct"/>
                  <w:shd w:val="clear" w:color="auto" w:fill="auto"/>
                  <w:noWrap w:val="0"/>
                  <w:vAlign w:val="center"/>
                </w:tcPr>
                <w:p w14:paraId="7E6C0793">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臭气浓度</w:t>
                  </w:r>
                </w:p>
              </w:tc>
              <w:tc>
                <w:tcPr>
                  <w:tcW w:w="1949" w:type="pct"/>
                  <w:shd w:val="clear" w:color="auto" w:fill="auto"/>
                  <w:noWrap w:val="0"/>
                  <w:tcMar>
                    <w:left w:w="0" w:type="dxa"/>
                    <w:right w:w="0" w:type="dxa"/>
                  </w:tcMar>
                  <w:vAlign w:val="center"/>
                </w:tcPr>
                <w:p w14:paraId="530E866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20（无量纲）</w:t>
                  </w:r>
                </w:p>
              </w:tc>
              <w:tc>
                <w:tcPr>
                  <w:tcW w:w="1816" w:type="pct"/>
                  <w:vMerge w:val="continue"/>
                  <w:tcBorders>
                    <w:right w:val="single" w:color="auto" w:sz="4" w:space="0"/>
                  </w:tcBorders>
                  <w:noWrap w:val="0"/>
                  <w:tcMar>
                    <w:left w:w="0" w:type="dxa"/>
                    <w:right w:w="0" w:type="dxa"/>
                  </w:tcMar>
                  <w:vAlign w:val="center"/>
                </w:tcPr>
                <w:p w14:paraId="04B61ABF">
                  <w:pPr>
                    <w:adjustRightInd w:val="0"/>
                    <w:snapToGrid w:val="0"/>
                    <w:jc w:val="center"/>
                    <w:rPr>
                      <w:rFonts w:hint="default" w:ascii="Times New Roman" w:hAnsi="Times New Roman" w:eastAsia="宋体" w:cs="Times New Roman"/>
                      <w:bCs/>
                      <w:color w:val="auto"/>
                      <w:sz w:val="21"/>
                      <w:szCs w:val="21"/>
                    </w:rPr>
                  </w:pPr>
                </w:p>
              </w:tc>
            </w:tr>
            <w:tr w14:paraId="3E13A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421" w:type="pct"/>
                  <w:vMerge w:val="continue"/>
                  <w:tcBorders>
                    <w:left w:val="single" w:color="auto" w:sz="4" w:space="0"/>
                  </w:tcBorders>
                  <w:noWrap w:val="0"/>
                  <w:tcMar>
                    <w:left w:w="0" w:type="dxa"/>
                    <w:right w:w="0" w:type="dxa"/>
                  </w:tcMar>
                  <w:vAlign w:val="center"/>
                </w:tcPr>
                <w:p w14:paraId="53DCB186">
                  <w:pPr>
                    <w:adjustRightInd w:val="0"/>
                    <w:snapToGrid w:val="0"/>
                    <w:jc w:val="center"/>
                    <w:rPr>
                      <w:rFonts w:hint="default" w:ascii="Times New Roman" w:hAnsi="Times New Roman" w:eastAsia="宋体" w:cs="Times New Roman"/>
                      <w:bCs/>
                      <w:color w:val="auto"/>
                      <w:sz w:val="21"/>
                      <w:szCs w:val="21"/>
                    </w:rPr>
                  </w:pPr>
                </w:p>
              </w:tc>
              <w:tc>
                <w:tcPr>
                  <w:tcW w:w="812" w:type="pct"/>
                  <w:noWrap w:val="0"/>
                  <w:vAlign w:val="center"/>
                </w:tcPr>
                <w:p w14:paraId="453DF433">
                  <w:pPr>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甲烷</w:t>
                  </w:r>
                </w:p>
              </w:tc>
              <w:tc>
                <w:tcPr>
                  <w:tcW w:w="1949" w:type="pct"/>
                  <w:noWrap w:val="0"/>
                  <w:tcMar>
                    <w:left w:w="0" w:type="dxa"/>
                    <w:right w:w="0" w:type="dxa"/>
                  </w:tcMar>
                  <w:vAlign w:val="center"/>
                </w:tcPr>
                <w:p w14:paraId="10F209AF">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1（厂区最高体积浓度%）</w:t>
                  </w:r>
                </w:p>
              </w:tc>
              <w:tc>
                <w:tcPr>
                  <w:tcW w:w="1816" w:type="pct"/>
                  <w:vMerge w:val="continue"/>
                  <w:tcBorders>
                    <w:right w:val="single" w:color="auto" w:sz="4" w:space="0"/>
                  </w:tcBorders>
                  <w:noWrap w:val="0"/>
                  <w:tcMar>
                    <w:left w:w="0" w:type="dxa"/>
                    <w:right w:w="0" w:type="dxa"/>
                  </w:tcMar>
                  <w:vAlign w:val="center"/>
                </w:tcPr>
                <w:p w14:paraId="5FB70127">
                  <w:pPr>
                    <w:adjustRightInd w:val="0"/>
                    <w:snapToGrid w:val="0"/>
                    <w:jc w:val="center"/>
                    <w:rPr>
                      <w:rFonts w:hint="default" w:ascii="Times New Roman" w:hAnsi="Times New Roman" w:eastAsia="宋体" w:cs="Times New Roman"/>
                      <w:bCs/>
                      <w:color w:val="auto"/>
                      <w:sz w:val="21"/>
                      <w:szCs w:val="21"/>
                    </w:rPr>
                  </w:pPr>
                </w:p>
              </w:tc>
            </w:tr>
          </w:tbl>
          <w:p w14:paraId="4771ABDA">
            <w:pPr>
              <w:spacing w:before="240" w:line="360" w:lineRule="auto"/>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2</w:t>
            </w:r>
            <w:r>
              <w:rPr>
                <w:rFonts w:hint="default" w:ascii="Times New Roman" w:hAnsi="Times New Roman" w:cs="Times New Roman"/>
                <w:b/>
                <w:color w:val="auto"/>
                <w:sz w:val="24"/>
                <w:highlight w:val="none"/>
                <w:lang w:val="en-US" w:eastAsia="zh-CN"/>
              </w:rPr>
              <w:t>.</w:t>
            </w:r>
            <w:r>
              <w:rPr>
                <w:rFonts w:hint="default" w:ascii="Times New Roman" w:hAnsi="Times New Roman" w:eastAsia="宋体" w:cs="Times New Roman"/>
                <w:b/>
                <w:color w:val="auto"/>
                <w:sz w:val="24"/>
                <w:highlight w:val="none"/>
                <w:lang w:val="en-US" w:eastAsia="zh-CN"/>
              </w:rPr>
              <w:t>废水</w:t>
            </w:r>
            <w:r>
              <w:rPr>
                <w:rFonts w:hint="default" w:ascii="Times New Roman" w:hAnsi="Times New Roman" w:cs="Times New Roman"/>
                <w:b/>
                <w:color w:val="auto"/>
                <w:sz w:val="24"/>
                <w:highlight w:val="none"/>
                <w:lang w:eastAsia="zh-CN"/>
              </w:rPr>
              <w:t>出水标准</w:t>
            </w:r>
          </w:p>
          <w:p w14:paraId="7DA3B02A">
            <w:pPr>
              <w:spacing w:line="312"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w:t>
            </w:r>
            <w:r>
              <w:rPr>
                <w:rFonts w:hint="default" w:ascii="Times New Roman" w:hAnsi="Times New Roman" w:eastAsia="宋体" w:cs="Times New Roman"/>
                <w:color w:val="auto"/>
                <w:kern w:val="0"/>
                <w:sz w:val="24"/>
                <w:highlight w:val="none"/>
                <w:lang w:val="en-US" w:eastAsia="zh-CN"/>
              </w:rPr>
              <w:t>为污水处理厂项目，无废水排放。污水厂处理后的中水</w:t>
            </w:r>
            <w:r>
              <w:rPr>
                <w:rFonts w:hint="default" w:ascii="Times New Roman" w:hAnsi="Times New Roman" w:eastAsia="宋体" w:cs="Times New Roman"/>
                <w:color w:val="auto"/>
                <w:kern w:val="0"/>
                <w:sz w:val="24"/>
                <w:highlight w:val="none"/>
              </w:rPr>
              <w:t>水质执行《城镇污水处理厂污染物排放标准》（</w:t>
            </w:r>
            <w:r>
              <w:rPr>
                <w:rFonts w:hint="default" w:ascii="Times New Roman" w:hAnsi="Times New Roman" w:cs="Times New Roman"/>
                <w:color w:val="auto"/>
                <w:kern w:val="0"/>
                <w:sz w:val="24"/>
                <w:highlight w:val="none"/>
                <w:lang w:eastAsia="zh-CN"/>
              </w:rPr>
              <w:t xml:space="preserve">GB </w:t>
            </w:r>
            <w:r>
              <w:rPr>
                <w:rFonts w:hint="eastAsia" w:ascii="Times New Roman" w:hAnsi="Times New Roman" w:cs="Times New Roman"/>
                <w:color w:val="auto"/>
                <w:kern w:val="0"/>
                <w:sz w:val="24"/>
                <w:highlight w:val="none"/>
                <w:lang w:eastAsia="zh-CN"/>
              </w:rPr>
              <w:t>18918—</w:t>
            </w:r>
            <w:r>
              <w:rPr>
                <w:rFonts w:hint="default" w:ascii="Times New Roman" w:hAnsi="Times New Roman" w:eastAsia="宋体" w:cs="Times New Roman"/>
                <w:color w:val="auto"/>
                <w:kern w:val="0"/>
                <w:sz w:val="24"/>
                <w:highlight w:val="none"/>
              </w:rPr>
              <w:t>2002）及其修改单</w:t>
            </w:r>
            <w:r>
              <w:rPr>
                <w:rFonts w:hint="default" w:ascii="Times New Roman" w:hAnsi="Times New Roman" w:eastAsia="宋体" w:cs="Times New Roman"/>
                <w:color w:val="auto"/>
                <w:kern w:val="0"/>
                <w:sz w:val="24"/>
                <w:highlight w:val="none"/>
                <w:lang w:val="en-US" w:eastAsia="zh-CN"/>
              </w:rPr>
              <w:t>中</w:t>
            </w:r>
            <w:r>
              <w:rPr>
                <w:rFonts w:hint="default" w:ascii="Times New Roman" w:hAnsi="Times New Roman" w:cs="Times New Roman"/>
                <w:color w:val="auto"/>
                <w:kern w:val="0"/>
                <w:sz w:val="24"/>
                <w:highlight w:val="none"/>
                <w:lang w:val="en-US" w:eastAsia="zh-CN"/>
              </w:rPr>
              <w:t>的</w:t>
            </w:r>
            <w:r>
              <w:rPr>
                <w:rFonts w:hint="default" w:ascii="Times New Roman" w:hAnsi="Times New Roman" w:eastAsia="宋体" w:cs="Times New Roman"/>
                <w:color w:val="auto"/>
                <w:kern w:val="0"/>
                <w:sz w:val="24"/>
                <w:highlight w:val="none"/>
              </w:rPr>
              <w:t>一级A标准，</w:t>
            </w:r>
            <w:r>
              <w:rPr>
                <w:rFonts w:hint="default" w:ascii="Times New Roman" w:hAnsi="Times New Roman" w:eastAsia="宋体" w:cs="Times New Roman"/>
                <w:color w:val="auto"/>
                <w:kern w:val="0"/>
                <w:sz w:val="24"/>
                <w:highlight w:val="none"/>
                <w:lang w:val="en-US" w:eastAsia="zh-CN"/>
              </w:rPr>
              <w:t>同时</w:t>
            </w:r>
            <w:r>
              <w:rPr>
                <w:rFonts w:hint="default" w:ascii="Times New Roman" w:hAnsi="Times New Roman" w:eastAsia="宋体" w:cs="Times New Roman"/>
                <w:color w:val="auto"/>
                <w:kern w:val="0"/>
                <w:sz w:val="24"/>
                <w:highlight w:val="none"/>
              </w:rPr>
              <w:t>执行《城市污水再生利用</w:t>
            </w:r>
            <w:r>
              <w:rPr>
                <w:rFonts w:hint="default" w:ascii="Times New Roman" w:hAnsi="Times New Roman" w:eastAsia="宋体"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rPr>
              <w:t>工业用水水质》（</w:t>
            </w:r>
            <w:r>
              <w:rPr>
                <w:rFonts w:hint="default" w:ascii="Times New Roman" w:hAnsi="Times New Roman" w:cs="Times New Roman"/>
                <w:color w:val="auto"/>
                <w:kern w:val="0"/>
                <w:sz w:val="24"/>
                <w:highlight w:val="none"/>
                <w:lang w:eastAsia="zh-CN"/>
              </w:rPr>
              <w:t xml:space="preserve">GB/T </w:t>
            </w:r>
            <w:r>
              <w:rPr>
                <w:rFonts w:hint="eastAsia" w:ascii="Times New Roman" w:hAnsi="Times New Roman" w:cs="Times New Roman"/>
                <w:color w:val="auto"/>
                <w:kern w:val="0"/>
                <w:sz w:val="24"/>
                <w:highlight w:val="none"/>
                <w:lang w:eastAsia="zh-CN"/>
              </w:rPr>
              <w:t>19923—</w:t>
            </w:r>
            <w:r>
              <w:rPr>
                <w:rFonts w:hint="default" w:ascii="Times New Roman" w:hAnsi="Times New Roman" w:eastAsia="宋体" w:cs="Times New Roman"/>
                <w:color w:val="auto"/>
                <w:kern w:val="0"/>
                <w:sz w:val="24"/>
                <w:highlight w:val="none"/>
                <w:lang w:eastAsia="zh-CN"/>
              </w:rPr>
              <w:t>2024</w:t>
            </w:r>
            <w:r>
              <w:rPr>
                <w:rFonts w:hint="default" w:ascii="Times New Roman" w:hAnsi="Times New Roman" w:eastAsia="宋体" w:cs="Times New Roman"/>
                <w:color w:val="auto"/>
                <w:kern w:val="0"/>
                <w:sz w:val="24"/>
                <w:highlight w:val="none"/>
              </w:rPr>
              <w:t>）、《城市污水再生利用</w:t>
            </w:r>
            <w:r>
              <w:rPr>
                <w:rFonts w:hint="default" w:ascii="Times New Roman" w:hAnsi="Times New Roman" w:eastAsia="宋体" w:cs="Times New Roman"/>
                <w:color w:val="auto"/>
                <w:kern w:val="0"/>
                <w:sz w:val="24"/>
                <w:highlight w:val="none"/>
                <w:lang w:val="en-US" w:eastAsia="zh-CN"/>
              </w:rPr>
              <w:t xml:space="preserve"> </w:t>
            </w:r>
            <w:r>
              <w:rPr>
                <w:rFonts w:hint="default" w:ascii="Times New Roman" w:hAnsi="Times New Roman" w:eastAsia="宋体" w:cs="Times New Roman"/>
                <w:color w:val="auto"/>
                <w:kern w:val="0"/>
                <w:sz w:val="24"/>
                <w:highlight w:val="none"/>
                <w:lang w:eastAsia="zh-CN"/>
              </w:rPr>
              <w:t>城市杂用水水质</w:t>
            </w:r>
            <w:r>
              <w:rPr>
                <w:rFonts w:hint="default" w:ascii="Times New Roman" w:hAnsi="Times New Roman" w:eastAsia="宋体" w:cs="Times New Roman"/>
                <w:color w:val="auto"/>
                <w:kern w:val="0"/>
                <w:sz w:val="24"/>
                <w:highlight w:val="none"/>
              </w:rPr>
              <w:t>》（</w:t>
            </w:r>
            <w:r>
              <w:rPr>
                <w:rFonts w:hint="default" w:ascii="Times New Roman" w:hAnsi="Times New Roman" w:cs="Times New Roman"/>
                <w:color w:val="auto"/>
                <w:kern w:val="0"/>
                <w:sz w:val="24"/>
                <w:highlight w:val="none"/>
                <w:lang w:eastAsia="zh-CN"/>
              </w:rPr>
              <w:t>GB/T 18920</w:t>
            </w:r>
            <w:r>
              <w:rPr>
                <w:rFonts w:hint="eastAsia" w:ascii="Times New Roman" w:hAnsi="Times New Roman" w:cs="Times New Roman"/>
                <w:color w:val="auto"/>
                <w:kern w:val="0"/>
                <w:sz w:val="24"/>
                <w:highlight w:val="none"/>
                <w:lang w:eastAsia="zh-CN"/>
              </w:rPr>
              <w:t>—2020</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标准</w:t>
            </w:r>
            <w:r>
              <w:rPr>
                <w:rFonts w:hint="default" w:ascii="Times New Roman" w:hAnsi="Times New Roman" w:eastAsia="宋体" w:cs="Times New Roman"/>
                <w:color w:val="auto"/>
                <w:kern w:val="0"/>
                <w:sz w:val="24"/>
                <w:highlight w:val="none"/>
              </w:rPr>
              <w:t>。</w:t>
            </w:r>
          </w:p>
          <w:p w14:paraId="2960D7A0">
            <w:pPr>
              <w:spacing w:line="360" w:lineRule="auto"/>
              <w:ind w:firstLine="0" w:firstLineChars="0"/>
              <w:jc w:val="right"/>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表</w:t>
            </w:r>
            <w:r>
              <w:rPr>
                <w:rFonts w:hint="default" w:ascii="Times New Roman" w:hAnsi="Times New Roman" w:eastAsia="宋体" w:cs="Times New Roman"/>
                <w:b/>
                <w:bCs/>
                <w:color w:val="auto"/>
                <w:sz w:val="24"/>
                <w:szCs w:val="20"/>
                <w:lang w:val="en-US" w:eastAsia="zh-CN"/>
              </w:rPr>
              <w:t>3-6</w:t>
            </w:r>
            <w:r>
              <w:rPr>
                <w:rFonts w:hint="default" w:ascii="Times New Roman" w:hAnsi="Times New Roman" w:cs="Times New Roman"/>
                <w:b/>
                <w:bCs/>
                <w:color w:val="auto"/>
                <w:sz w:val="24"/>
                <w:szCs w:val="20"/>
                <w:lang w:val="en-US" w:eastAsia="zh-CN"/>
              </w:rPr>
              <w:t xml:space="preserve"> </w:t>
            </w:r>
            <w:r>
              <w:rPr>
                <w:rFonts w:hint="default" w:ascii="Times New Roman" w:hAnsi="Times New Roman" w:eastAsia="宋体" w:cs="Times New Roman"/>
                <w:b/>
                <w:bCs/>
                <w:color w:val="auto"/>
                <w:sz w:val="24"/>
                <w:szCs w:val="20"/>
              </w:rPr>
              <w:t>本</w:t>
            </w:r>
            <w:r>
              <w:rPr>
                <w:rFonts w:hint="default" w:ascii="Times New Roman" w:hAnsi="Times New Roman" w:eastAsia="宋体" w:cs="Times New Roman"/>
                <w:b/>
                <w:bCs/>
                <w:color w:val="auto"/>
                <w:sz w:val="24"/>
                <w:szCs w:val="20"/>
                <w:lang w:val="en-US" w:eastAsia="zh-CN"/>
              </w:rPr>
              <w:t>项目主要</w:t>
            </w:r>
            <w:r>
              <w:rPr>
                <w:rFonts w:hint="default" w:ascii="Times New Roman" w:hAnsi="Times New Roman" w:eastAsia="宋体" w:cs="Times New Roman"/>
                <w:b/>
                <w:bCs/>
                <w:color w:val="auto"/>
                <w:sz w:val="24"/>
                <w:szCs w:val="20"/>
              </w:rPr>
              <w:t>出水水质标准一览表</w:t>
            </w:r>
            <w:r>
              <w:rPr>
                <w:rFonts w:hint="default" w:ascii="Times New Roman" w:hAnsi="Times New Roman" w:eastAsia="宋体" w:cs="Times New Roman"/>
                <w:b/>
                <w:bCs/>
                <w:color w:val="auto"/>
                <w:sz w:val="24"/>
                <w:szCs w:val="20"/>
                <w:lang w:val="en-US" w:eastAsia="zh-CN"/>
              </w:rPr>
              <w:t xml:space="preserve">       </w:t>
            </w:r>
            <w:r>
              <w:rPr>
                <w:rFonts w:hint="default" w:ascii="Times New Roman" w:hAnsi="Times New Roman" w:eastAsia="宋体" w:cs="Times New Roman"/>
                <w:b/>
                <w:bCs/>
                <w:color w:val="auto"/>
                <w:sz w:val="24"/>
                <w:szCs w:val="20"/>
              </w:rPr>
              <w:t>单位：</w:t>
            </w:r>
            <w:r>
              <w:rPr>
                <w:rFonts w:hint="default" w:ascii="Times New Roman" w:hAnsi="Times New Roman" w:cs="Times New Roman"/>
                <w:b/>
                <w:bCs/>
                <w:color w:val="auto"/>
                <w:sz w:val="24"/>
                <w:szCs w:val="20"/>
                <w:lang w:eastAsia="zh-CN"/>
              </w:rPr>
              <w:t>m</w:t>
            </w:r>
            <w:r>
              <w:rPr>
                <w:rFonts w:hint="default" w:ascii="Times New Roman" w:hAnsi="Times New Roman" w:eastAsia="宋体" w:cs="Times New Roman"/>
                <w:b/>
                <w:bCs/>
                <w:color w:val="auto"/>
                <w:sz w:val="24"/>
                <w:szCs w:val="20"/>
              </w:rPr>
              <w:t>g/L</w:t>
            </w:r>
          </w:p>
          <w:tbl>
            <w:tblPr>
              <w:tblStyle w:val="11"/>
              <w:tblW w:w="5000"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955"/>
              <w:gridCol w:w="1956"/>
              <w:gridCol w:w="1310"/>
              <w:gridCol w:w="1031"/>
              <w:gridCol w:w="929"/>
              <w:gridCol w:w="1360"/>
              <w:gridCol w:w="770"/>
            </w:tblGrid>
            <w:tr w14:paraId="3B973BD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vMerge w:val="restart"/>
                  <w:tcBorders>
                    <w:top w:val="single" w:color="auto" w:sz="4" w:space="0"/>
                    <w:left w:val="single" w:color="auto" w:sz="0" w:space="0"/>
                  </w:tcBorders>
                  <w:noWrap w:val="0"/>
                  <w:vAlign w:val="center"/>
                </w:tcPr>
                <w:p w14:paraId="10AD76C9">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kern w:val="0"/>
                      <w:sz w:val="21"/>
                      <w:szCs w:val="21"/>
                      <w:lang w:val="en-US" w:eastAsia="en-US" w:bidi="ar-SA"/>
                    </w:rPr>
                  </w:pPr>
                  <w:r>
                    <w:rPr>
                      <w:rFonts w:hint="default" w:ascii="Times New Roman" w:hAnsi="Times New Roman" w:eastAsia="宋体" w:cs="Times New Roman"/>
                      <w:b/>
                      <w:bCs w:val="0"/>
                      <w:color w:val="auto"/>
                      <w:spacing w:val="1"/>
                      <w:kern w:val="0"/>
                      <w:sz w:val="21"/>
                      <w:szCs w:val="21"/>
                      <w:lang w:val="en-US" w:eastAsia="en-US" w:bidi="ar-SA"/>
                    </w:rPr>
                    <w:t>污染物名称</w:t>
                  </w:r>
                </w:p>
              </w:tc>
              <w:tc>
                <w:tcPr>
                  <w:tcW w:w="1177" w:type="pct"/>
                  <w:tcBorders>
                    <w:top w:val="single" w:color="auto" w:sz="4" w:space="0"/>
                  </w:tcBorders>
                  <w:noWrap w:val="0"/>
                  <w:vAlign w:val="center"/>
                </w:tcPr>
                <w:p w14:paraId="729690FD">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《城镇污水处理厂污染物排放标准》（</w:t>
                  </w:r>
                  <w:r>
                    <w:rPr>
                      <w:rFonts w:hint="default" w:ascii="Times New Roman" w:hAnsi="Times New Roman" w:cs="Times New Roman"/>
                      <w:b/>
                      <w:bCs w:val="0"/>
                      <w:color w:val="auto"/>
                      <w:spacing w:val="1"/>
                      <w:kern w:val="0"/>
                      <w:sz w:val="21"/>
                      <w:szCs w:val="21"/>
                      <w:lang w:val="en-US" w:eastAsia="zh-CN" w:bidi="ar-SA"/>
                    </w:rPr>
                    <w:t xml:space="preserve">GB </w:t>
                  </w:r>
                  <w:r>
                    <w:rPr>
                      <w:rFonts w:hint="eastAsia" w:ascii="Times New Roman" w:hAnsi="Times New Roman" w:cs="Times New Roman"/>
                      <w:b/>
                      <w:bCs w:val="0"/>
                      <w:color w:val="auto"/>
                      <w:spacing w:val="1"/>
                      <w:kern w:val="0"/>
                      <w:sz w:val="21"/>
                      <w:szCs w:val="21"/>
                      <w:lang w:val="en-US" w:eastAsia="zh-CN" w:bidi="ar-SA"/>
                    </w:rPr>
                    <w:t>18918—</w:t>
                  </w:r>
                  <w:r>
                    <w:rPr>
                      <w:rFonts w:hint="default" w:ascii="Times New Roman" w:hAnsi="Times New Roman" w:eastAsia="宋体" w:cs="Times New Roman"/>
                      <w:b/>
                      <w:bCs w:val="0"/>
                      <w:color w:val="auto"/>
                      <w:spacing w:val="1"/>
                      <w:kern w:val="0"/>
                      <w:sz w:val="21"/>
                      <w:szCs w:val="21"/>
                      <w:lang w:val="en-US" w:eastAsia="zh-CN" w:bidi="ar-SA"/>
                    </w:rPr>
                    <w:t>2002）及其修改单</w:t>
                  </w:r>
                </w:p>
              </w:tc>
              <w:tc>
                <w:tcPr>
                  <w:tcW w:w="1408" w:type="pct"/>
                  <w:gridSpan w:val="2"/>
                  <w:tcBorders>
                    <w:top w:val="single" w:color="auto" w:sz="4" w:space="0"/>
                  </w:tcBorders>
                  <w:noWrap w:val="0"/>
                  <w:vAlign w:val="center"/>
                </w:tcPr>
                <w:p w14:paraId="76F38D4B">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《城市污水再生利用 工业用水水质》</w:t>
                  </w:r>
                </w:p>
                <w:p w14:paraId="6E9C7003">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w:t>
                  </w:r>
                  <w:r>
                    <w:rPr>
                      <w:rFonts w:hint="default" w:ascii="Times New Roman" w:hAnsi="Times New Roman" w:cs="Times New Roman"/>
                      <w:b/>
                      <w:bCs w:val="0"/>
                      <w:color w:val="auto"/>
                      <w:spacing w:val="1"/>
                      <w:kern w:val="0"/>
                      <w:sz w:val="21"/>
                      <w:szCs w:val="21"/>
                      <w:lang w:val="en-US" w:eastAsia="zh-CN" w:bidi="ar-SA"/>
                    </w:rPr>
                    <w:t xml:space="preserve">GB/T </w:t>
                  </w:r>
                  <w:r>
                    <w:rPr>
                      <w:rFonts w:hint="eastAsia" w:ascii="Times New Roman" w:hAnsi="Times New Roman" w:cs="Times New Roman"/>
                      <w:b/>
                      <w:bCs w:val="0"/>
                      <w:color w:val="auto"/>
                      <w:spacing w:val="1"/>
                      <w:kern w:val="0"/>
                      <w:sz w:val="21"/>
                      <w:szCs w:val="21"/>
                      <w:lang w:val="en-US" w:eastAsia="zh-CN" w:bidi="ar-SA"/>
                    </w:rPr>
                    <w:t>19923—</w:t>
                  </w:r>
                  <w:r>
                    <w:rPr>
                      <w:rFonts w:hint="default" w:ascii="Times New Roman" w:hAnsi="Times New Roman" w:eastAsia="宋体" w:cs="Times New Roman"/>
                      <w:b/>
                      <w:bCs w:val="0"/>
                      <w:color w:val="auto"/>
                      <w:spacing w:val="1"/>
                      <w:kern w:val="0"/>
                      <w:sz w:val="21"/>
                      <w:szCs w:val="21"/>
                      <w:lang w:val="en-US" w:eastAsia="zh-CN" w:bidi="ar-SA"/>
                    </w:rPr>
                    <w:t>2024）标准</w:t>
                  </w:r>
                </w:p>
              </w:tc>
              <w:tc>
                <w:tcPr>
                  <w:tcW w:w="1377" w:type="pct"/>
                  <w:gridSpan w:val="2"/>
                  <w:tcBorders>
                    <w:top w:val="single" w:color="auto" w:sz="4" w:space="0"/>
                  </w:tcBorders>
                  <w:noWrap w:val="0"/>
                  <w:vAlign w:val="center"/>
                </w:tcPr>
                <w:p w14:paraId="3425E822">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《城市污水再生利用 城市杂用水水质》（</w:t>
                  </w:r>
                  <w:r>
                    <w:rPr>
                      <w:rFonts w:hint="default" w:ascii="Times New Roman" w:hAnsi="Times New Roman" w:cs="Times New Roman"/>
                      <w:b/>
                      <w:bCs w:val="0"/>
                      <w:color w:val="auto"/>
                      <w:spacing w:val="1"/>
                      <w:kern w:val="0"/>
                      <w:sz w:val="21"/>
                      <w:szCs w:val="21"/>
                      <w:lang w:val="en-US" w:eastAsia="zh-CN" w:bidi="ar-SA"/>
                    </w:rPr>
                    <w:t>GB/T 18920</w:t>
                  </w:r>
                  <w:r>
                    <w:rPr>
                      <w:rFonts w:hint="eastAsia" w:ascii="Times New Roman" w:hAnsi="Times New Roman" w:cs="Times New Roman"/>
                      <w:b/>
                      <w:bCs w:val="0"/>
                      <w:color w:val="auto"/>
                      <w:spacing w:val="1"/>
                      <w:kern w:val="0"/>
                      <w:sz w:val="21"/>
                      <w:szCs w:val="21"/>
                      <w:lang w:val="en-US" w:eastAsia="zh-CN" w:bidi="ar-SA"/>
                    </w:rPr>
                    <w:t>—2020</w:t>
                  </w:r>
                  <w:r>
                    <w:rPr>
                      <w:rFonts w:hint="default" w:ascii="Times New Roman" w:hAnsi="Times New Roman" w:eastAsia="宋体" w:cs="Times New Roman"/>
                      <w:b/>
                      <w:bCs w:val="0"/>
                      <w:color w:val="auto"/>
                      <w:spacing w:val="1"/>
                      <w:kern w:val="0"/>
                      <w:sz w:val="21"/>
                      <w:szCs w:val="21"/>
                      <w:lang w:val="en-US" w:eastAsia="zh-CN" w:bidi="ar-SA"/>
                    </w:rPr>
                    <w:t>）</w:t>
                  </w:r>
                </w:p>
              </w:tc>
              <w:tc>
                <w:tcPr>
                  <w:tcW w:w="461" w:type="pct"/>
                  <w:vMerge w:val="restart"/>
                  <w:tcBorders>
                    <w:top w:val="single" w:color="auto" w:sz="4" w:space="0"/>
                    <w:right w:val="single" w:color="auto" w:sz="4" w:space="0"/>
                  </w:tcBorders>
                  <w:noWrap w:val="0"/>
                  <w:vAlign w:val="center"/>
                </w:tcPr>
                <w:p w14:paraId="7DF1E3FD">
                  <w:pPr>
                    <w:widowControl w:val="0"/>
                    <w:kinsoku w:val="0"/>
                    <w:overflowPunct w:val="0"/>
                    <w:spacing w:line="240" w:lineRule="auto"/>
                    <w:ind w:firstLine="0" w:firstLineChars="0"/>
                    <w:contextualSpacing/>
                    <w:jc w:val="center"/>
                    <w:rPr>
                      <w:rFonts w:hint="default" w:ascii="Times New Roman" w:hAnsi="Times New Roman" w:eastAsia="宋体" w:cs="Times New Roman"/>
                      <w:bCs/>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本项目设计出水水质</w:t>
                  </w:r>
                </w:p>
              </w:tc>
            </w:tr>
            <w:tr w14:paraId="1858DF3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vMerge w:val="continue"/>
                  <w:tcBorders>
                    <w:left w:val="single" w:color="auto" w:sz="4" w:space="0"/>
                  </w:tcBorders>
                  <w:noWrap w:val="0"/>
                  <w:vAlign w:val="center"/>
                </w:tcPr>
                <w:p w14:paraId="06821EB1">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en-US" w:bidi="ar-SA"/>
                    </w:rPr>
                  </w:pPr>
                </w:p>
              </w:tc>
              <w:tc>
                <w:tcPr>
                  <w:tcW w:w="1177" w:type="pct"/>
                  <w:noWrap w:val="0"/>
                  <w:vAlign w:val="center"/>
                </w:tcPr>
                <w:p w14:paraId="5940AEF3">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一级A标准</w:t>
                  </w:r>
                </w:p>
              </w:tc>
              <w:tc>
                <w:tcPr>
                  <w:tcW w:w="788" w:type="pct"/>
                  <w:noWrap w:val="0"/>
                  <w:vAlign w:val="center"/>
                </w:tcPr>
                <w:p w14:paraId="49EC6702">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间冷开式循环冷却水补充水、锅炉补给水、工艺用水、产品用水</w:t>
                  </w:r>
                </w:p>
              </w:tc>
              <w:tc>
                <w:tcPr>
                  <w:tcW w:w="619" w:type="pct"/>
                  <w:noWrap w:val="0"/>
                  <w:vAlign w:val="center"/>
                </w:tcPr>
                <w:p w14:paraId="55944A8F">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直流冷却水、洗涤用水</w:t>
                  </w:r>
                </w:p>
              </w:tc>
              <w:tc>
                <w:tcPr>
                  <w:tcW w:w="559" w:type="pct"/>
                  <w:noWrap w:val="0"/>
                  <w:vAlign w:val="center"/>
                </w:tcPr>
                <w:p w14:paraId="60ECC1B5">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冲厕、车辆冲洗</w:t>
                  </w:r>
                </w:p>
              </w:tc>
              <w:tc>
                <w:tcPr>
                  <w:tcW w:w="818" w:type="pct"/>
                  <w:noWrap w:val="0"/>
                  <w:vAlign w:val="center"/>
                </w:tcPr>
                <w:p w14:paraId="5D9208EF">
                  <w:pPr>
                    <w:widowControl w:val="0"/>
                    <w:kinsoku w:val="0"/>
                    <w:overflowPunct w:val="0"/>
                    <w:spacing w:line="240" w:lineRule="auto"/>
                    <w:ind w:firstLine="0" w:firstLineChars="0"/>
                    <w:contextualSpacing/>
                    <w:jc w:val="center"/>
                    <w:rPr>
                      <w:rFonts w:hint="default" w:ascii="Times New Roman" w:hAnsi="Times New Roman" w:eastAsia="宋体" w:cs="Times New Roman"/>
                      <w:b/>
                      <w:bCs w:val="0"/>
                      <w:color w:val="auto"/>
                      <w:spacing w:val="1"/>
                      <w:kern w:val="0"/>
                      <w:sz w:val="21"/>
                      <w:szCs w:val="21"/>
                      <w:lang w:val="en-US" w:eastAsia="zh-CN" w:bidi="ar-SA"/>
                    </w:rPr>
                  </w:pPr>
                  <w:r>
                    <w:rPr>
                      <w:rFonts w:hint="default" w:ascii="Times New Roman" w:hAnsi="Times New Roman" w:eastAsia="宋体" w:cs="Times New Roman"/>
                      <w:b/>
                      <w:bCs w:val="0"/>
                      <w:color w:val="auto"/>
                      <w:spacing w:val="1"/>
                      <w:kern w:val="0"/>
                      <w:sz w:val="21"/>
                      <w:szCs w:val="21"/>
                      <w:lang w:val="en-US" w:eastAsia="zh-CN" w:bidi="ar-SA"/>
                    </w:rPr>
                    <w:t>城市绿化、道路清扫、消防、</w:t>
                  </w:r>
                  <w:r>
                    <w:rPr>
                      <w:rFonts w:hint="default" w:ascii="Times New Roman" w:hAnsi="Times New Roman" w:cs="Times New Roman"/>
                      <w:b/>
                      <w:bCs w:val="0"/>
                      <w:color w:val="auto"/>
                      <w:spacing w:val="1"/>
                      <w:kern w:val="0"/>
                      <w:sz w:val="21"/>
                      <w:szCs w:val="21"/>
                      <w:lang w:val="en-US" w:eastAsia="zh-CN" w:bidi="ar-SA"/>
                    </w:rPr>
                    <w:t>建筑</w:t>
                  </w:r>
                  <w:r>
                    <w:rPr>
                      <w:rFonts w:hint="default" w:ascii="Times New Roman" w:hAnsi="Times New Roman" w:eastAsia="宋体" w:cs="Times New Roman"/>
                      <w:b/>
                      <w:bCs w:val="0"/>
                      <w:color w:val="auto"/>
                      <w:spacing w:val="1"/>
                      <w:kern w:val="0"/>
                      <w:sz w:val="21"/>
                      <w:szCs w:val="21"/>
                      <w:lang w:val="en-US" w:eastAsia="zh-CN" w:bidi="ar-SA"/>
                    </w:rPr>
                    <w:t>施工</w:t>
                  </w:r>
                </w:p>
              </w:tc>
              <w:tc>
                <w:tcPr>
                  <w:tcW w:w="461" w:type="pct"/>
                  <w:vMerge w:val="continue"/>
                  <w:tcBorders>
                    <w:right w:val="single" w:color="auto" w:sz="4" w:space="0"/>
                  </w:tcBorders>
                  <w:noWrap w:val="0"/>
                  <w:vAlign w:val="center"/>
                </w:tcPr>
                <w:p w14:paraId="572E807D">
                  <w:pPr>
                    <w:widowControl w:val="0"/>
                    <w:kinsoku w:val="0"/>
                    <w:overflowPunct w:val="0"/>
                    <w:spacing w:line="240" w:lineRule="auto"/>
                    <w:ind w:firstLine="0" w:firstLineChars="0"/>
                    <w:contextualSpacing/>
                    <w:jc w:val="center"/>
                    <w:rPr>
                      <w:rFonts w:hint="default" w:ascii="Times New Roman" w:hAnsi="Times New Roman" w:eastAsia="宋体" w:cs="Times New Roman"/>
                      <w:bCs/>
                      <w:color w:val="auto"/>
                      <w:spacing w:val="1"/>
                      <w:kern w:val="0"/>
                      <w:sz w:val="21"/>
                      <w:szCs w:val="21"/>
                      <w:lang w:val="en-US" w:eastAsia="zh-CN" w:bidi="ar-SA"/>
                    </w:rPr>
                  </w:pPr>
                </w:p>
              </w:tc>
            </w:tr>
            <w:tr w14:paraId="05FCA6F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tcBorders>
                    <w:left w:val="single" w:color="auto" w:sz="4" w:space="0"/>
                  </w:tcBorders>
                  <w:noWrap w:val="0"/>
                  <w:vAlign w:val="center"/>
                </w:tcPr>
                <w:p w14:paraId="1BB2014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p</w:t>
                  </w:r>
                  <w:r>
                    <w:rPr>
                      <w:rFonts w:hint="default" w:ascii="Times New Roman" w:hAnsi="Times New Roman" w:cs="Times New Roman"/>
                      <w:color w:val="auto"/>
                      <w:kern w:val="0"/>
                      <w:sz w:val="21"/>
                      <w:szCs w:val="21"/>
                      <w:lang w:val="en-US" w:eastAsia="zh-CN" w:bidi="ar-SA"/>
                    </w:rPr>
                    <w:t>H</w:t>
                  </w:r>
                  <w:r>
                    <w:rPr>
                      <w:rFonts w:hint="default" w:ascii="Times New Roman" w:hAnsi="Times New Roman" w:eastAsia="宋体" w:cs="Times New Roman"/>
                      <w:color w:val="auto"/>
                      <w:kern w:val="0"/>
                      <w:sz w:val="21"/>
                      <w:szCs w:val="21"/>
                      <w:lang w:val="en-US" w:eastAsia="en-US" w:bidi="ar-SA"/>
                    </w:rPr>
                    <w:t>值</w:t>
                  </w:r>
                </w:p>
              </w:tc>
              <w:tc>
                <w:tcPr>
                  <w:tcW w:w="1177" w:type="pct"/>
                  <w:noWrap w:val="0"/>
                  <w:vAlign w:val="center"/>
                </w:tcPr>
                <w:p w14:paraId="0B21B4FE">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6-9</w:t>
                  </w:r>
                </w:p>
              </w:tc>
              <w:tc>
                <w:tcPr>
                  <w:tcW w:w="788" w:type="pct"/>
                  <w:noWrap w:val="0"/>
                  <w:vAlign w:val="center"/>
                </w:tcPr>
                <w:p w14:paraId="2EEB941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6.0-9.0</w:t>
                  </w:r>
                </w:p>
              </w:tc>
              <w:tc>
                <w:tcPr>
                  <w:tcW w:w="619" w:type="pct"/>
                  <w:noWrap w:val="0"/>
                  <w:vAlign w:val="center"/>
                </w:tcPr>
                <w:p w14:paraId="05D2427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6.0-9.0</w:t>
                  </w:r>
                </w:p>
              </w:tc>
              <w:tc>
                <w:tcPr>
                  <w:tcW w:w="559" w:type="pct"/>
                  <w:noWrap w:val="0"/>
                  <w:vAlign w:val="center"/>
                </w:tcPr>
                <w:p w14:paraId="10DCED7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6.0-9.0</w:t>
                  </w:r>
                </w:p>
              </w:tc>
              <w:tc>
                <w:tcPr>
                  <w:tcW w:w="818" w:type="pct"/>
                  <w:noWrap w:val="0"/>
                  <w:vAlign w:val="center"/>
                </w:tcPr>
                <w:p w14:paraId="644A081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6.0-9.0</w:t>
                  </w:r>
                </w:p>
              </w:tc>
              <w:tc>
                <w:tcPr>
                  <w:tcW w:w="461" w:type="pct"/>
                  <w:tcBorders>
                    <w:right w:val="single" w:color="auto" w:sz="4" w:space="0"/>
                  </w:tcBorders>
                  <w:noWrap w:val="0"/>
                  <w:vAlign w:val="center"/>
                </w:tcPr>
                <w:p w14:paraId="5BAE52D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6.0-9.0</w:t>
                  </w:r>
                </w:p>
              </w:tc>
            </w:tr>
            <w:tr w14:paraId="2A3ABE1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tcBorders>
                    <w:left w:val="single" w:color="auto" w:sz="4" w:space="0"/>
                  </w:tcBorders>
                  <w:noWrap w:val="0"/>
                  <w:vAlign w:val="center"/>
                </w:tcPr>
                <w:p w14:paraId="3362799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色度/度</w:t>
                  </w:r>
                </w:p>
              </w:tc>
              <w:tc>
                <w:tcPr>
                  <w:tcW w:w="1177" w:type="pct"/>
                  <w:noWrap w:val="0"/>
                  <w:vAlign w:val="center"/>
                </w:tcPr>
                <w:p w14:paraId="41EDAC0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30</w:t>
                  </w:r>
                </w:p>
              </w:tc>
              <w:tc>
                <w:tcPr>
                  <w:tcW w:w="788" w:type="pct"/>
                  <w:noWrap w:val="0"/>
                  <w:vAlign w:val="center"/>
                </w:tcPr>
                <w:p w14:paraId="1A0A9C2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w:t>
                  </w:r>
                </w:p>
              </w:tc>
              <w:tc>
                <w:tcPr>
                  <w:tcW w:w="619" w:type="pct"/>
                  <w:noWrap w:val="0"/>
                  <w:vAlign w:val="center"/>
                </w:tcPr>
                <w:p w14:paraId="73DDAB7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20</w:t>
                  </w:r>
                </w:p>
              </w:tc>
              <w:tc>
                <w:tcPr>
                  <w:tcW w:w="559" w:type="pct"/>
                  <w:noWrap w:val="0"/>
                  <w:vAlign w:val="center"/>
                </w:tcPr>
                <w:p w14:paraId="0719527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818" w:type="pct"/>
                  <w:noWrap w:val="0"/>
                  <w:vAlign w:val="center"/>
                </w:tcPr>
                <w:p w14:paraId="6ACDF82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30</w:t>
                  </w:r>
                </w:p>
              </w:tc>
              <w:tc>
                <w:tcPr>
                  <w:tcW w:w="461" w:type="pct"/>
                  <w:tcBorders>
                    <w:right w:val="single" w:color="auto" w:sz="4" w:space="0"/>
                  </w:tcBorders>
                  <w:noWrap w:val="0"/>
                  <w:vAlign w:val="center"/>
                </w:tcPr>
                <w:p w14:paraId="759E38E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r>
            <w:tr w14:paraId="05449C6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tcBorders>
                    <w:left w:val="single" w:color="auto" w:sz="4" w:space="0"/>
                  </w:tcBorders>
                  <w:noWrap w:val="0"/>
                  <w:vAlign w:val="center"/>
                </w:tcPr>
                <w:p w14:paraId="5096FC1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浊度/NTU</w:t>
                  </w:r>
                </w:p>
              </w:tc>
              <w:tc>
                <w:tcPr>
                  <w:tcW w:w="1177" w:type="pct"/>
                  <w:noWrap w:val="0"/>
                  <w:vAlign w:val="center"/>
                </w:tcPr>
                <w:p w14:paraId="666F9AF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788" w:type="pct"/>
                  <w:noWrap w:val="0"/>
                  <w:vAlign w:val="center"/>
                </w:tcPr>
                <w:p w14:paraId="0A3AA6B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619" w:type="pct"/>
                  <w:noWrap w:val="0"/>
                  <w:vAlign w:val="center"/>
                </w:tcPr>
                <w:p w14:paraId="0DA24D89">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559" w:type="pct"/>
                  <w:noWrap w:val="0"/>
                  <w:vAlign w:val="center"/>
                </w:tcPr>
                <w:p w14:paraId="5DE1BFA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818" w:type="pct"/>
                  <w:noWrap w:val="0"/>
                  <w:vAlign w:val="center"/>
                </w:tcPr>
                <w:p w14:paraId="53360B7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461" w:type="pct"/>
                  <w:tcBorders>
                    <w:right w:val="single" w:color="auto" w:sz="4" w:space="0"/>
                  </w:tcBorders>
                  <w:noWrap w:val="0"/>
                  <w:vAlign w:val="center"/>
                </w:tcPr>
                <w:p w14:paraId="7F8303C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r>
            <w:tr w14:paraId="0739221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tcBorders>
                    <w:left w:val="single" w:color="auto" w:sz="4" w:space="0"/>
                  </w:tcBorders>
                  <w:noWrap w:val="0"/>
                  <w:vAlign w:val="center"/>
                </w:tcPr>
                <w:p w14:paraId="4B56489E">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COD</w:t>
                  </w:r>
                </w:p>
              </w:tc>
              <w:tc>
                <w:tcPr>
                  <w:tcW w:w="1177" w:type="pct"/>
                  <w:noWrap w:val="0"/>
                  <w:vAlign w:val="center"/>
                </w:tcPr>
                <w:p w14:paraId="4967A6CA">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788" w:type="pct"/>
                  <w:noWrap w:val="0"/>
                  <w:vAlign w:val="center"/>
                </w:tcPr>
                <w:p w14:paraId="21B8CC9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619" w:type="pct"/>
                  <w:noWrap w:val="0"/>
                  <w:vAlign w:val="center"/>
                </w:tcPr>
                <w:p w14:paraId="70D6309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c>
                <w:tcPr>
                  <w:tcW w:w="559" w:type="pct"/>
                  <w:noWrap w:val="0"/>
                  <w:vAlign w:val="center"/>
                </w:tcPr>
                <w:p w14:paraId="50D0FC2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50E5B4C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tcBorders>
                    <w:right w:val="single" w:color="auto" w:sz="4" w:space="0"/>
                  </w:tcBorders>
                  <w:noWrap w:val="0"/>
                  <w:vAlign w:val="center"/>
                </w:tcPr>
                <w:p w14:paraId="2C364D90">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50</w:t>
                  </w:r>
                </w:p>
              </w:tc>
            </w:tr>
            <w:tr w14:paraId="2A3A7A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tcBorders>
                    <w:left w:val="single" w:color="auto" w:sz="4" w:space="0"/>
                  </w:tcBorders>
                  <w:noWrap w:val="0"/>
                  <w:vAlign w:val="center"/>
                </w:tcPr>
                <w:p w14:paraId="50140E2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position w:val="2"/>
                      <w:sz w:val="21"/>
                      <w:szCs w:val="21"/>
                      <w:vertAlign w:val="baseline"/>
                      <w:lang w:val="en-US" w:eastAsia="zh-CN" w:bidi="ar-SA"/>
                    </w:rPr>
                    <w:t>BOD</w:t>
                  </w:r>
                  <w:r>
                    <w:rPr>
                      <w:rFonts w:hint="default" w:ascii="Times New Roman" w:hAnsi="Times New Roman" w:eastAsia="宋体" w:cs="Times New Roman"/>
                      <w:color w:val="auto"/>
                      <w:kern w:val="0"/>
                      <w:position w:val="2"/>
                      <w:sz w:val="21"/>
                      <w:szCs w:val="21"/>
                      <w:vertAlign w:val="subscript"/>
                      <w:lang w:val="en-US" w:eastAsia="zh-CN" w:bidi="ar-SA"/>
                    </w:rPr>
                    <w:t>5</w:t>
                  </w:r>
                </w:p>
              </w:tc>
              <w:tc>
                <w:tcPr>
                  <w:tcW w:w="1177" w:type="pct"/>
                  <w:noWrap w:val="0"/>
                  <w:vAlign w:val="center"/>
                </w:tcPr>
                <w:p w14:paraId="56725FA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788" w:type="pct"/>
                  <w:noWrap w:val="0"/>
                  <w:vAlign w:val="center"/>
                </w:tcPr>
                <w:p w14:paraId="30A2D7F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619" w:type="pct"/>
                  <w:noWrap w:val="0"/>
                  <w:vAlign w:val="center"/>
                </w:tcPr>
                <w:p w14:paraId="2E2C67A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559" w:type="pct"/>
                  <w:noWrap w:val="0"/>
                  <w:vAlign w:val="center"/>
                </w:tcPr>
                <w:p w14:paraId="4AED68A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818" w:type="pct"/>
                  <w:noWrap w:val="0"/>
                  <w:vAlign w:val="center"/>
                </w:tcPr>
                <w:p w14:paraId="5018F52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461" w:type="pct"/>
                  <w:tcBorders>
                    <w:right w:val="single" w:color="auto" w:sz="4" w:space="0"/>
                  </w:tcBorders>
                  <w:noWrap w:val="0"/>
                  <w:vAlign w:val="center"/>
                </w:tcPr>
                <w:p w14:paraId="7F6D3F1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6</w:t>
                  </w:r>
                </w:p>
              </w:tc>
            </w:tr>
            <w:tr w14:paraId="4F904C7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tcBorders>
                    <w:left w:val="single" w:color="auto" w:sz="4" w:space="0"/>
                  </w:tcBorders>
                  <w:noWrap w:val="0"/>
                  <w:vAlign w:val="center"/>
                </w:tcPr>
                <w:p w14:paraId="076D16B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SS</w:t>
                  </w:r>
                </w:p>
              </w:tc>
              <w:tc>
                <w:tcPr>
                  <w:tcW w:w="1177" w:type="pct"/>
                  <w:noWrap w:val="0"/>
                  <w:vAlign w:val="center"/>
                </w:tcPr>
                <w:p w14:paraId="36A50B7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c>
                <w:tcPr>
                  <w:tcW w:w="788" w:type="pct"/>
                  <w:noWrap w:val="0"/>
                  <w:vAlign w:val="center"/>
                </w:tcPr>
                <w:p w14:paraId="04D00A5F">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619" w:type="pct"/>
                  <w:noWrap w:val="0"/>
                  <w:vAlign w:val="center"/>
                </w:tcPr>
                <w:p w14:paraId="47C20C5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559" w:type="pct"/>
                  <w:noWrap w:val="0"/>
                  <w:vAlign w:val="center"/>
                </w:tcPr>
                <w:p w14:paraId="6C11551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7285E16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tcBorders>
                    <w:right w:val="single" w:color="auto" w:sz="4" w:space="0"/>
                  </w:tcBorders>
                  <w:noWrap w:val="0"/>
                  <w:vAlign w:val="center"/>
                </w:tcPr>
                <w:p w14:paraId="0D555F4B">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r>
            <w:tr w14:paraId="3CCA0F2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tcBorders>
                    <w:left w:val="single" w:color="auto" w:sz="4" w:space="0"/>
                  </w:tcBorders>
                  <w:noWrap w:val="0"/>
                  <w:vAlign w:val="center"/>
                </w:tcPr>
                <w:p w14:paraId="0B2F0D7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w:t>
                  </w:r>
                  <w:r>
                    <w:rPr>
                      <w:rFonts w:hint="default" w:ascii="Times New Roman" w:hAnsi="Times New Roman" w:cs="Times New Roman"/>
                      <w:color w:val="auto"/>
                      <w:kern w:val="0"/>
                      <w:sz w:val="21"/>
                      <w:szCs w:val="21"/>
                      <w:vertAlign w:val="baseline"/>
                      <w:lang w:val="en-US" w:eastAsia="zh-CN" w:bidi="ar-SA"/>
                    </w:rPr>
                    <w:t>H</w:t>
                  </w:r>
                  <w:r>
                    <w:rPr>
                      <w:rFonts w:hint="default" w:ascii="Times New Roman" w:hAnsi="Times New Roman" w:cs="Times New Roman"/>
                      <w:color w:val="auto"/>
                      <w:kern w:val="0"/>
                      <w:sz w:val="21"/>
                      <w:szCs w:val="21"/>
                      <w:vertAlign w:val="subscript"/>
                      <w:lang w:val="en-US" w:eastAsia="zh-CN" w:bidi="ar-SA"/>
                    </w:rPr>
                    <w:t>3</w:t>
                  </w:r>
                  <w:r>
                    <w:rPr>
                      <w:rFonts w:hint="default" w:ascii="Times New Roman" w:hAnsi="Times New Roman" w:eastAsia="宋体" w:cs="Times New Roman"/>
                      <w:color w:val="auto"/>
                      <w:kern w:val="0"/>
                      <w:sz w:val="21"/>
                      <w:szCs w:val="21"/>
                      <w:lang w:val="en-US" w:eastAsia="zh-CN" w:bidi="ar-SA"/>
                    </w:rPr>
                    <w:t>-N</w:t>
                  </w:r>
                  <w:r>
                    <w:rPr>
                      <w:rFonts w:hint="default" w:ascii="Times New Roman" w:hAnsi="Times New Roman" w:eastAsia="宋体" w:cs="Times New Roman"/>
                      <w:color w:val="auto"/>
                      <w:kern w:val="0"/>
                      <w:sz w:val="21"/>
                      <w:szCs w:val="21"/>
                      <w:lang w:val="en-US" w:eastAsia="en-US" w:bidi="ar-SA"/>
                    </w:rPr>
                    <w:t>（以N计）</w:t>
                  </w:r>
                </w:p>
              </w:tc>
              <w:tc>
                <w:tcPr>
                  <w:tcW w:w="1177" w:type="pct"/>
                  <w:noWrap w:val="0"/>
                  <w:vAlign w:val="center"/>
                </w:tcPr>
                <w:p w14:paraId="5862F0C3">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r>
                    <w:rPr>
                      <w:rFonts w:hint="default" w:ascii="Times New Roman" w:hAnsi="Times New Roman" w:cs="Times New Roman"/>
                      <w:color w:val="auto"/>
                      <w:kern w:val="0"/>
                      <w:sz w:val="21"/>
                      <w:szCs w:val="21"/>
                      <w:lang w:val="en-US" w:eastAsia="zh-CN" w:bidi="ar-SA"/>
                    </w:rPr>
                    <w:t>（8）</w:t>
                  </w:r>
                  <w:r>
                    <w:rPr>
                      <w:rFonts w:hint="default" w:ascii="Times New Roman" w:hAnsi="Times New Roman" w:cs="Times New Roman"/>
                      <w:color w:val="auto"/>
                      <w:kern w:val="0"/>
                      <w:sz w:val="21"/>
                      <w:szCs w:val="21"/>
                      <w:vertAlign w:val="superscript"/>
                      <w:lang w:val="en-US" w:eastAsia="zh-CN" w:bidi="ar-SA"/>
                    </w:rPr>
                    <w:t>①</w:t>
                  </w:r>
                </w:p>
              </w:tc>
              <w:tc>
                <w:tcPr>
                  <w:tcW w:w="788" w:type="pct"/>
                  <w:noWrap w:val="0"/>
                  <w:vAlign w:val="center"/>
                </w:tcPr>
                <w:p w14:paraId="05696B4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619" w:type="pct"/>
                  <w:noWrap w:val="0"/>
                  <w:vAlign w:val="center"/>
                </w:tcPr>
                <w:p w14:paraId="23CB483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559" w:type="pct"/>
                  <w:noWrap w:val="0"/>
                  <w:vAlign w:val="center"/>
                </w:tcPr>
                <w:p w14:paraId="599F7B0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5</w:t>
                  </w:r>
                </w:p>
              </w:tc>
              <w:tc>
                <w:tcPr>
                  <w:tcW w:w="818" w:type="pct"/>
                  <w:noWrap w:val="0"/>
                  <w:vAlign w:val="center"/>
                </w:tcPr>
                <w:p w14:paraId="4D06A02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8</w:t>
                  </w:r>
                </w:p>
              </w:tc>
              <w:tc>
                <w:tcPr>
                  <w:tcW w:w="461" w:type="pct"/>
                  <w:tcBorders>
                    <w:right w:val="single" w:color="auto" w:sz="4" w:space="0"/>
                  </w:tcBorders>
                  <w:noWrap w:val="0"/>
                  <w:vAlign w:val="center"/>
                </w:tcPr>
                <w:p w14:paraId="46FC92B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5</w:t>
                  </w:r>
                </w:p>
              </w:tc>
            </w:tr>
            <w:tr w14:paraId="7764F7A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tcBorders>
                    <w:left w:val="single" w:color="auto" w:sz="4" w:space="0"/>
                  </w:tcBorders>
                  <w:noWrap w:val="0"/>
                  <w:vAlign w:val="center"/>
                </w:tcPr>
                <w:p w14:paraId="7B334C6E">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TN</w:t>
                  </w:r>
                </w:p>
              </w:tc>
              <w:tc>
                <w:tcPr>
                  <w:tcW w:w="1177" w:type="pct"/>
                  <w:noWrap w:val="0"/>
                  <w:vAlign w:val="center"/>
                </w:tcPr>
                <w:p w14:paraId="27E0FD4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788" w:type="pct"/>
                  <w:noWrap w:val="0"/>
                  <w:vAlign w:val="center"/>
                </w:tcPr>
                <w:p w14:paraId="1A0C928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619" w:type="pct"/>
                  <w:noWrap w:val="0"/>
                  <w:vAlign w:val="center"/>
                </w:tcPr>
                <w:p w14:paraId="7132A6C1">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15</w:t>
                  </w:r>
                </w:p>
              </w:tc>
              <w:tc>
                <w:tcPr>
                  <w:tcW w:w="559" w:type="pct"/>
                  <w:noWrap w:val="0"/>
                  <w:vAlign w:val="center"/>
                </w:tcPr>
                <w:p w14:paraId="272BEB75">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63435C5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tcBorders>
                    <w:right w:val="single" w:color="auto" w:sz="4" w:space="0"/>
                  </w:tcBorders>
                  <w:noWrap w:val="0"/>
                  <w:vAlign w:val="center"/>
                </w:tcPr>
                <w:p w14:paraId="0485983C">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10</w:t>
                  </w:r>
                </w:p>
              </w:tc>
            </w:tr>
            <w:tr w14:paraId="3214001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tcBorders>
                    <w:left w:val="single" w:color="auto" w:sz="4" w:space="0"/>
                  </w:tcBorders>
                  <w:noWrap w:val="0"/>
                  <w:vAlign w:val="center"/>
                </w:tcPr>
                <w:p w14:paraId="4994A2E6">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kern w:val="0"/>
                      <w:sz w:val="21"/>
                      <w:szCs w:val="21"/>
                      <w:lang w:val="en-US" w:eastAsia="en-US" w:bidi="ar-SA"/>
                    </w:rPr>
                    <w:t>TP</w:t>
                  </w:r>
                </w:p>
              </w:tc>
              <w:tc>
                <w:tcPr>
                  <w:tcW w:w="1177" w:type="pct"/>
                  <w:noWrap w:val="0"/>
                  <w:vAlign w:val="center"/>
                </w:tcPr>
                <w:p w14:paraId="5448CB27">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788" w:type="pct"/>
                  <w:noWrap w:val="0"/>
                  <w:vAlign w:val="center"/>
                </w:tcPr>
                <w:p w14:paraId="2AC6326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619" w:type="pct"/>
                  <w:noWrap w:val="0"/>
                  <w:vAlign w:val="center"/>
                </w:tcPr>
                <w:p w14:paraId="5A6C9918">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0.5</w:t>
                  </w:r>
                </w:p>
              </w:tc>
              <w:tc>
                <w:tcPr>
                  <w:tcW w:w="559" w:type="pct"/>
                  <w:noWrap w:val="0"/>
                  <w:vAlign w:val="center"/>
                </w:tcPr>
                <w:p w14:paraId="36EF3319">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818" w:type="pct"/>
                  <w:noWrap w:val="0"/>
                  <w:vAlign w:val="center"/>
                </w:tcPr>
                <w:p w14:paraId="59DF2434">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w:t>
                  </w:r>
                </w:p>
              </w:tc>
              <w:tc>
                <w:tcPr>
                  <w:tcW w:w="461" w:type="pct"/>
                  <w:tcBorders>
                    <w:right w:val="single" w:color="auto" w:sz="4" w:space="0"/>
                  </w:tcBorders>
                  <w:noWrap w:val="0"/>
                  <w:vAlign w:val="center"/>
                </w:tcPr>
                <w:p w14:paraId="28C2FE6D">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0.3</w:t>
                  </w:r>
                </w:p>
              </w:tc>
            </w:tr>
            <w:tr w14:paraId="307256C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75" w:type="pct"/>
                  <w:tcBorders>
                    <w:left w:val="single" w:color="auto" w:sz="4" w:space="0"/>
                    <w:bottom w:val="single" w:color="auto" w:sz="4" w:space="0"/>
                  </w:tcBorders>
                  <w:noWrap w:val="0"/>
                  <w:vAlign w:val="center"/>
                </w:tcPr>
                <w:p w14:paraId="7551C732">
                  <w:pPr>
                    <w:widowControl w:val="0"/>
                    <w:kinsoku w:val="0"/>
                    <w:overflowPunct w:val="0"/>
                    <w:spacing w:line="240" w:lineRule="auto"/>
                    <w:ind w:firstLine="0" w:firstLineChars="0"/>
                    <w:contextualSpacing/>
                    <w:jc w:val="center"/>
                    <w:rPr>
                      <w:rFonts w:hint="default" w:ascii="Times New Roman" w:hAnsi="Times New Roman" w:eastAsia="宋体" w:cs="Times New Roman"/>
                      <w:color w:val="auto"/>
                      <w:kern w:val="0"/>
                      <w:sz w:val="21"/>
                      <w:szCs w:val="21"/>
                      <w:lang w:val="en-US" w:eastAsia="en-US" w:bidi="ar-SA"/>
                    </w:rPr>
                  </w:pPr>
                  <w:r>
                    <w:rPr>
                      <w:rFonts w:hint="default" w:ascii="Times New Roman" w:hAnsi="Times New Roman" w:eastAsia="宋体" w:cs="Times New Roman"/>
                      <w:color w:val="auto"/>
                      <w:spacing w:val="7"/>
                      <w:kern w:val="0"/>
                      <w:sz w:val="21"/>
                      <w:szCs w:val="21"/>
                      <w:lang w:val="en-US" w:eastAsia="zh-CN" w:bidi="ar-SA"/>
                    </w:rPr>
                    <w:t>备注</w:t>
                  </w:r>
                </w:p>
              </w:tc>
              <w:tc>
                <w:tcPr>
                  <w:tcW w:w="4424" w:type="pct"/>
                  <w:gridSpan w:val="6"/>
                  <w:tcBorders>
                    <w:bottom w:val="single" w:color="auto" w:sz="4" w:space="0"/>
                    <w:right w:val="single" w:color="auto" w:sz="4" w:space="0"/>
                  </w:tcBorders>
                  <w:noWrap w:val="0"/>
                  <w:vAlign w:val="center"/>
                </w:tcPr>
                <w:p w14:paraId="1935247C">
                  <w:pPr>
                    <w:widowControl w:val="0"/>
                    <w:kinsoku w:val="0"/>
                    <w:overflowPunct w:val="0"/>
                    <w:spacing w:line="240" w:lineRule="auto"/>
                    <w:ind w:firstLine="0" w:firstLineChars="0"/>
                    <w:contextualSpacing/>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①括号外数值为水温＞12℃时的控制指标，括号内数值为水温＜12℃时的控制指标</w:t>
                  </w:r>
                  <w:r>
                    <w:rPr>
                      <w:rFonts w:hint="default" w:ascii="Times New Roman" w:hAnsi="Times New Roman" w:cs="Times New Roman"/>
                      <w:color w:val="auto"/>
                      <w:kern w:val="0"/>
                      <w:sz w:val="21"/>
                      <w:szCs w:val="21"/>
                      <w:lang w:val="en-US" w:eastAsia="zh-CN" w:bidi="ar-SA"/>
                    </w:rPr>
                    <w:t>。</w:t>
                  </w:r>
                </w:p>
              </w:tc>
            </w:tr>
          </w:tbl>
          <w:p w14:paraId="0908B16C">
            <w:pPr>
              <w:spacing w:before="240"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.噪声排放标准</w:t>
            </w:r>
          </w:p>
          <w:p w14:paraId="2D8B33E8">
            <w:pPr>
              <w:spacing w:line="312"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施工噪声执行《</w:t>
            </w:r>
            <w:r>
              <w:rPr>
                <w:rFonts w:hint="default" w:ascii="Times New Roman" w:hAnsi="Times New Roman" w:eastAsia="宋体" w:cs="Times New Roman"/>
                <w:color w:val="auto"/>
                <w:kern w:val="0"/>
                <w:sz w:val="24"/>
                <w:highlight w:val="none"/>
                <w:lang w:eastAsia="zh-CN"/>
              </w:rPr>
              <w:t>建筑施工噪声排放标准</w:t>
            </w:r>
            <w:r>
              <w:rPr>
                <w:rFonts w:hint="default" w:ascii="Times New Roman" w:hAnsi="Times New Roman" w:eastAsia="宋体" w:cs="Times New Roman"/>
                <w:color w:val="auto"/>
                <w:kern w:val="0"/>
                <w:sz w:val="24"/>
                <w:highlight w:val="none"/>
              </w:rPr>
              <w:t>》（</w:t>
            </w:r>
            <w:r>
              <w:rPr>
                <w:rFonts w:hint="eastAsia" w:ascii="Times New Roman" w:hAnsi="Times New Roman" w:cs="Times New Roman"/>
                <w:color w:val="auto"/>
                <w:kern w:val="0"/>
                <w:sz w:val="24"/>
                <w:highlight w:val="none"/>
                <w:lang w:eastAsia="zh-CN"/>
              </w:rPr>
              <w:t>GB 12523—2025</w:t>
            </w:r>
            <w:r>
              <w:rPr>
                <w:rFonts w:hint="default" w:ascii="Times New Roman" w:hAnsi="Times New Roman" w:eastAsia="宋体" w:cs="Times New Roman"/>
                <w:color w:val="auto"/>
                <w:kern w:val="0"/>
                <w:sz w:val="24"/>
                <w:highlight w:val="none"/>
              </w:rPr>
              <w:t>）的标准限值；运营期厂界噪声执行《工业企业厂界环境噪声排放标准》（</w:t>
            </w:r>
            <w:r>
              <w:rPr>
                <w:rFonts w:hint="eastAsia" w:ascii="Times New Roman" w:hAnsi="Times New Roman" w:cs="Times New Roman"/>
                <w:color w:val="auto"/>
                <w:kern w:val="0"/>
                <w:sz w:val="24"/>
                <w:highlight w:val="none"/>
                <w:lang w:eastAsia="zh-CN"/>
              </w:rPr>
              <w:t>GB 12348—2008</w:t>
            </w:r>
            <w:r>
              <w:rPr>
                <w:rFonts w:hint="default" w:ascii="Times New Roman" w:hAnsi="Times New Roman" w:eastAsia="宋体" w:cs="Times New Roman"/>
                <w:color w:val="auto"/>
                <w:kern w:val="0"/>
                <w:sz w:val="24"/>
                <w:highlight w:val="none"/>
              </w:rPr>
              <w:t>）中</w:t>
            </w:r>
            <w:r>
              <w:rPr>
                <w:rFonts w:hint="default"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rPr>
              <w:t>类标准限值，具体指标见表3-</w:t>
            </w:r>
            <w:r>
              <w:rPr>
                <w:rFonts w:hint="default" w:ascii="Times New Roman" w:hAnsi="Times New Roman" w:eastAsia="宋体"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rPr>
              <w:t>。</w:t>
            </w:r>
          </w:p>
          <w:p w14:paraId="5053238C">
            <w:pPr>
              <w:pStyle w:val="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表3-</w:t>
            </w:r>
            <w:r>
              <w:rPr>
                <w:rFonts w:hint="default" w:ascii="Times New Roman" w:hAnsi="Times New Roman" w:eastAsia="宋体" w:cs="Times New Roman"/>
                <w:color w:val="auto"/>
                <w:highlight w:val="none"/>
                <w:lang w:val="en-US" w:eastAsia="zh-CN"/>
              </w:rPr>
              <w:t>7</w:t>
            </w:r>
            <w:r>
              <w:rPr>
                <w:rFonts w:hint="default" w:ascii="Times New Roman" w:hAnsi="Times New Roman" w:cs="Times New Roman"/>
                <w:color w:val="auto"/>
                <w:highlight w:val="none"/>
                <w:lang w:val="en-US" w:eastAsia="zh-CN"/>
              </w:rPr>
              <w:t xml:space="preserve"> </w:t>
            </w:r>
            <w:r>
              <w:rPr>
                <w:rFonts w:hint="default" w:ascii="Times New Roman" w:hAnsi="Times New Roman" w:eastAsia="宋体" w:cs="Times New Roman"/>
                <w:color w:val="auto"/>
                <w:highlight w:val="none"/>
              </w:rPr>
              <w:t>噪声排放标准一览表</w:t>
            </w:r>
          </w:p>
          <w:tbl>
            <w:tblPr>
              <w:tblStyle w:val="11"/>
              <w:tblW w:w="822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89"/>
              <w:gridCol w:w="1526"/>
              <w:gridCol w:w="1506"/>
              <w:gridCol w:w="4001"/>
            </w:tblGrid>
            <w:tr w14:paraId="38536B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pct"/>
                  <w:vMerge w:val="restart"/>
                  <w:tcBorders>
                    <w:top w:val="single" w:color="auto" w:sz="4" w:space="0"/>
                    <w:left w:val="single" w:color="auto" w:sz="0" w:space="0"/>
                  </w:tcBorders>
                  <w:vAlign w:val="center"/>
                </w:tcPr>
                <w:p w14:paraId="20878AA7">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时期</w:t>
                  </w:r>
                </w:p>
              </w:tc>
              <w:tc>
                <w:tcPr>
                  <w:tcW w:w="1844" w:type="pct"/>
                  <w:gridSpan w:val="2"/>
                  <w:tcBorders>
                    <w:top w:val="single" w:color="auto" w:sz="4" w:space="0"/>
                    <w:right w:val="single" w:color="000000" w:sz="8" w:space="0"/>
                  </w:tcBorders>
                  <w:vAlign w:val="center"/>
                </w:tcPr>
                <w:p w14:paraId="0ADEE583">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噪声限值Le〔dB（A）〕</w:t>
                  </w:r>
                </w:p>
              </w:tc>
              <w:tc>
                <w:tcPr>
                  <w:tcW w:w="2433" w:type="pct"/>
                  <w:vMerge w:val="restart"/>
                  <w:tcBorders>
                    <w:top w:val="single" w:color="auto" w:sz="4" w:space="0"/>
                    <w:left w:val="single" w:color="000000" w:sz="8" w:space="0"/>
                    <w:right w:val="single" w:color="auto" w:sz="4" w:space="0"/>
                  </w:tcBorders>
                  <w:vAlign w:val="center"/>
                </w:tcPr>
                <w:p w14:paraId="241798F3">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排放标准</w:t>
                  </w:r>
                </w:p>
              </w:tc>
            </w:tr>
            <w:tr w14:paraId="2A51F6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pct"/>
                  <w:vMerge w:val="continue"/>
                  <w:tcBorders>
                    <w:left w:val="single" w:color="auto" w:sz="4" w:space="0"/>
                  </w:tcBorders>
                  <w:vAlign w:val="center"/>
                </w:tcPr>
                <w:p w14:paraId="734699AA">
                  <w:pPr>
                    <w:widowControl/>
                    <w:adjustRightInd w:val="0"/>
                    <w:snapToGrid w:val="0"/>
                    <w:jc w:val="center"/>
                    <w:rPr>
                      <w:rFonts w:hint="default" w:ascii="Times New Roman" w:hAnsi="Times New Roman" w:eastAsia="宋体" w:cs="Times New Roman"/>
                      <w:b/>
                      <w:bCs/>
                      <w:color w:val="auto"/>
                      <w:kern w:val="0"/>
                      <w:sz w:val="21"/>
                      <w:szCs w:val="21"/>
                      <w:highlight w:val="none"/>
                    </w:rPr>
                  </w:pPr>
                </w:p>
              </w:tc>
              <w:tc>
                <w:tcPr>
                  <w:tcW w:w="928" w:type="pct"/>
                  <w:vAlign w:val="center"/>
                </w:tcPr>
                <w:p w14:paraId="76821507">
                  <w:pPr>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昼间</w:t>
                  </w:r>
                </w:p>
              </w:tc>
              <w:tc>
                <w:tcPr>
                  <w:tcW w:w="916" w:type="pct"/>
                  <w:tcBorders>
                    <w:right w:val="single" w:color="000000" w:sz="8" w:space="0"/>
                  </w:tcBorders>
                  <w:vAlign w:val="center"/>
                </w:tcPr>
                <w:p w14:paraId="776D9A90">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夜间</w:t>
                  </w:r>
                </w:p>
              </w:tc>
              <w:tc>
                <w:tcPr>
                  <w:tcW w:w="2433" w:type="pct"/>
                  <w:vMerge w:val="continue"/>
                  <w:tcBorders>
                    <w:left w:val="single" w:color="000000" w:sz="8" w:space="0"/>
                    <w:right w:val="single" w:color="auto" w:sz="4" w:space="0"/>
                  </w:tcBorders>
                  <w:vAlign w:val="center"/>
                </w:tcPr>
                <w:p w14:paraId="42CF6B3E">
                  <w:pPr>
                    <w:adjustRightInd w:val="0"/>
                    <w:snapToGrid w:val="0"/>
                    <w:jc w:val="center"/>
                    <w:rPr>
                      <w:rFonts w:hint="default" w:ascii="Times New Roman" w:hAnsi="Times New Roman" w:eastAsia="宋体" w:cs="Times New Roman"/>
                      <w:b/>
                      <w:bCs/>
                      <w:color w:val="auto"/>
                      <w:kern w:val="0"/>
                      <w:sz w:val="21"/>
                      <w:szCs w:val="21"/>
                      <w:highlight w:val="none"/>
                    </w:rPr>
                  </w:pPr>
                </w:p>
              </w:tc>
            </w:tr>
            <w:tr w14:paraId="28DB75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pct"/>
                  <w:tcBorders>
                    <w:left w:val="single" w:color="auto" w:sz="4" w:space="0"/>
                  </w:tcBorders>
                  <w:vAlign w:val="center"/>
                </w:tcPr>
                <w:p w14:paraId="2574EE30">
                  <w:pPr>
                    <w:widowControl/>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施工期</w:t>
                  </w:r>
                </w:p>
              </w:tc>
              <w:tc>
                <w:tcPr>
                  <w:tcW w:w="928" w:type="pct"/>
                  <w:vAlign w:val="center"/>
                </w:tcPr>
                <w:p w14:paraId="11E25C44">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c>
                <w:tcPr>
                  <w:tcW w:w="916" w:type="pct"/>
                  <w:tcBorders>
                    <w:right w:val="single" w:color="000000" w:sz="8" w:space="0"/>
                  </w:tcBorders>
                  <w:vAlign w:val="center"/>
                </w:tcPr>
                <w:p w14:paraId="33FA525A">
                  <w:pPr>
                    <w:widowControl/>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55</w:t>
                  </w:r>
                </w:p>
              </w:tc>
              <w:tc>
                <w:tcPr>
                  <w:tcW w:w="2433" w:type="pct"/>
                  <w:tcBorders>
                    <w:left w:val="single" w:color="000000" w:sz="8" w:space="0"/>
                    <w:right w:val="single" w:color="auto" w:sz="4" w:space="0"/>
                  </w:tcBorders>
                  <w:vAlign w:val="center"/>
                </w:tcPr>
                <w:p w14:paraId="253622A2">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w:t>
                  </w:r>
                  <w:r>
                    <w:rPr>
                      <w:rFonts w:hint="default" w:ascii="Times New Roman" w:hAnsi="Times New Roman" w:eastAsia="宋体" w:cs="Times New Roman"/>
                      <w:color w:val="auto"/>
                      <w:kern w:val="0"/>
                      <w:sz w:val="21"/>
                      <w:szCs w:val="21"/>
                      <w:highlight w:val="none"/>
                      <w:lang w:eastAsia="zh-CN"/>
                    </w:rPr>
                    <w:t>建筑施工噪声排放标准</w:t>
                  </w:r>
                  <w:r>
                    <w:rPr>
                      <w:rFonts w:hint="default" w:ascii="Times New Roman" w:hAnsi="Times New Roman" w:eastAsia="宋体" w:cs="Times New Roman"/>
                      <w:color w:val="auto"/>
                      <w:kern w:val="0"/>
                      <w:sz w:val="21"/>
                      <w:szCs w:val="21"/>
                      <w:highlight w:val="none"/>
                    </w:rPr>
                    <w:t>》（</w:t>
                  </w:r>
                  <w:r>
                    <w:rPr>
                      <w:rFonts w:hint="eastAsia" w:ascii="Times New Roman" w:hAnsi="Times New Roman" w:cs="Times New Roman"/>
                      <w:color w:val="auto"/>
                      <w:kern w:val="0"/>
                      <w:sz w:val="21"/>
                      <w:szCs w:val="21"/>
                      <w:highlight w:val="none"/>
                      <w:lang w:eastAsia="zh-CN"/>
                    </w:rPr>
                    <w:t>GB 12523—2025</w:t>
                  </w:r>
                  <w:r>
                    <w:rPr>
                      <w:rFonts w:hint="default" w:ascii="Times New Roman" w:hAnsi="Times New Roman" w:eastAsia="宋体" w:cs="Times New Roman"/>
                      <w:color w:val="auto"/>
                      <w:kern w:val="0"/>
                      <w:sz w:val="21"/>
                      <w:szCs w:val="21"/>
                      <w:highlight w:val="none"/>
                    </w:rPr>
                    <w:t>）</w:t>
                  </w:r>
                </w:p>
              </w:tc>
            </w:tr>
            <w:tr w14:paraId="520069D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3" w:type="pct"/>
                  <w:tcBorders>
                    <w:left w:val="single" w:color="auto" w:sz="4" w:space="0"/>
                    <w:bottom w:val="single" w:color="auto" w:sz="4" w:space="0"/>
                  </w:tcBorders>
                  <w:vAlign w:val="center"/>
                </w:tcPr>
                <w:p w14:paraId="0643D262">
                  <w:pP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运营期</w:t>
                  </w:r>
                </w:p>
              </w:tc>
              <w:tc>
                <w:tcPr>
                  <w:tcW w:w="928" w:type="pct"/>
                  <w:tcBorders>
                    <w:bottom w:val="single" w:color="auto" w:sz="4" w:space="0"/>
                  </w:tcBorders>
                  <w:vAlign w:val="center"/>
                </w:tcPr>
                <w:p w14:paraId="72EAABF3">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c>
                <w:tcPr>
                  <w:tcW w:w="916" w:type="pct"/>
                  <w:tcBorders>
                    <w:bottom w:val="single" w:color="auto" w:sz="4" w:space="0"/>
                    <w:right w:val="single" w:color="000000" w:sz="8" w:space="0"/>
                  </w:tcBorders>
                  <w:vAlign w:val="center"/>
                </w:tcPr>
                <w:p w14:paraId="2FD38BE1">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p>
              </w:tc>
              <w:tc>
                <w:tcPr>
                  <w:tcW w:w="2433" w:type="pct"/>
                  <w:tcBorders>
                    <w:left w:val="single" w:color="000000" w:sz="8" w:space="0"/>
                    <w:bottom w:val="single" w:color="auto" w:sz="4" w:space="0"/>
                    <w:right w:val="single" w:color="auto" w:sz="4" w:space="0"/>
                  </w:tcBorders>
                  <w:vAlign w:val="center"/>
                </w:tcPr>
                <w:p w14:paraId="61AA014A">
                  <w:pPr>
                    <w:adjustRightInd w:val="0"/>
                    <w:snapToGrid w:val="0"/>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rPr>
                    <w:t>《工业企业厂界环境噪声排放标准》（</w:t>
                  </w:r>
                  <w:r>
                    <w:rPr>
                      <w:rFonts w:hint="eastAsia" w:ascii="Times New Roman" w:hAnsi="Times New Roman" w:cs="Times New Roman"/>
                      <w:color w:val="auto"/>
                      <w:kern w:val="0"/>
                      <w:sz w:val="21"/>
                      <w:szCs w:val="21"/>
                      <w:highlight w:val="none"/>
                      <w:lang w:eastAsia="zh-CN"/>
                    </w:rPr>
                    <w:t>GB 12348—2008</w:t>
                  </w:r>
                  <w:r>
                    <w:rPr>
                      <w:rFonts w:hint="default" w:ascii="Times New Roman" w:hAnsi="Times New Roman" w:eastAsia="宋体" w:cs="Times New Roman"/>
                      <w:color w:val="auto"/>
                      <w:kern w:val="0"/>
                      <w:sz w:val="21"/>
                      <w:szCs w:val="21"/>
                      <w:highlight w:val="none"/>
                    </w:rPr>
                    <w:t>）中</w:t>
                  </w:r>
                  <w:r>
                    <w:rPr>
                      <w:rFonts w:hint="default"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rPr>
                    <w:t>类标准限值</w:t>
                  </w:r>
                  <w:r>
                    <w:rPr>
                      <w:rFonts w:hint="default" w:ascii="Times New Roman" w:hAnsi="Times New Roman" w:cs="Times New Roman"/>
                      <w:color w:val="auto"/>
                      <w:kern w:val="0"/>
                      <w:sz w:val="21"/>
                      <w:szCs w:val="21"/>
                      <w:highlight w:val="none"/>
                      <w:lang w:eastAsia="zh-CN"/>
                    </w:rPr>
                    <w:t>。</w:t>
                  </w:r>
                </w:p>
              </w:tc>
            </w:tr>
          </w:tbl>
          <w:p w14:paraId="74E87361">
            <w:pPr>
              <w:spacing w:before="240"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.固体废物标准</w:t>
            </w:r>
          </w:p>
          <w:p w14:paraId="3D2BC440">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一般</w:t>
            </w:r>
            <w:r>
              <w:rPr>
                <w:rFonts w:hint="default" w:ascii="Times New Roman" w:hAnsi="Times New Roman" w:cs="Times New Roman"/>
                <w:color w:val="auto"/>
                <w:sz w:val="24"/>
                <w:highlight w:val="none"/>
                <w:lang w:eastAsia="zh-CN"/>
              </w:rPr>
              <w:t>固体废物</w:t>
            </w:r>
            <w:r>
              <w:rPr>
                <w:rFonts w:hint="default" w:ascii="Times New Roman" w:hAnsi="Times New Roman" w:eastAsia="宋体" w:cs="Times New Roman"/>
                <w:color w:val="auto"/>
                <w:sz w:val="24"/>
                <w:highlight w:val="none"/>
              </w:rPr>
              <w:t>执行《一般工业固体废物贮存和填埋污染控制标准》（GB</w:t>
            </w:r>
            <w:r>
              <w:rPr>
                <w:rFonts w:hint="eastAsia" w:ascii="Times New Roman" w:hAnsi="Times New Roman"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18599</w:t>
            </w:r>
            <w:r>
              <w:rPr>
                <w:rFonts w:hint="eastAsia" w:ascii="Times New Roman" w:hAnsi="Times New Roman" w:cs="Times New Roman"/>
                <w:color w:val="auto"/>
                <w:sz w:val="24"/>
                <w:highlight w:val="none"/>
                <w:lang w:eastAsia="zh-CN"/>
              </w:rPr>
              <w:t>—2020</w:t>
            </w:r>
            <w:r>
              <w:rPr>
                <w:rFonts w:hint="default" w:ascii="Times New Roman" w:hAnsi="Times New Roman" w:eastAsia="宋体" w:cs="Times New Roman"/>
                <w:color w:val="auto"/>
                <w:sz w:val="24"/>
                <w:highlight w:val="none"/>
              </w:rPr>
              <w:t>）；危险废物执行《危险废物贮存污染控制标准》（GB 18597</w:t>
            </w:r>
            <w:r>
              <w:rPr>
                <w:rFonts w:hint="eastAsia" w:ascii="Times New Roman" w:hAnsi="Times New Roman" w:cs="Times New Roman"/>
                <w:color w:val="auto"/>
                <w:sz w:val="24"/>
                <w:highlight w:val="none"/>
                <w:lang w:eastAsia="zh-CN"/>
              </w:rPr>
              <w:t>—2023</w:t>
            </w:r>
            <w:r>
              <w:rPr>
                <w:rFonts w:hint="default" w:ascii="Times New Roman" w:hAnsi="Times New Roman" w:eastAsia="宋体" w:cs="Times New Roman"/>
                <w:color w:val="auto"/>
                <w:sz w:val="24"/>
                <w:highlight w:val="none"/>
              </w:rPr>
              <w:t>）标准</w:t>
            </w:r>
            <w:r>
              <w:rPr>
                <w:rFonts w:hint="default" w:ascii="Times New Roman" w:hAnsi="Times New Roman" w:eastAsia="宋体" w:cs="Times New Roman"/>
                <w:bCs/>
                <w:color w:val="auto"/>
                <w:sz w:val="24"/>
                <w:highlight w:val="none"/>
              </w:rPr>
              <w:t>。</w:t>
            </w:r>
          </w:p>
          <w:p w14:paraId="5BB4BB0A">
            <w:pPr>
              <w:spacing w:line="360" w:lineRule="auto"/>
              <w:ind w:firstLine="480" w:firstLineChars="200"/>
              <w:rPr>
                <w:rFonts w:hint="default" w:ascii="Times New Roman" w:hAnsi="Times New Roman" w:eastAsia="宋体" w:cs="Times New Roman"/>
                <w:bCs/>
                <w:color w:val="auto"/>
                <w:sz w:val="24"/>
                <w:highlight w:val="none"/>
              </w:rPr>
            </w:pPr>
          </w:p>
          <w:p w14:paraId="660C8EA1">
            <w:pPr>
              <w:spacing w:line="360" w:lineRule="auto"/>
              <w:ind w:firstLine="480" w:firstLineChars="200"/>
              <w:rPr>
                <w:rFonts w:hint="default" w:ascii="Times New Roman" w:hAnsi="Times New Roman" w:eastAsia="宋体" w:cs="Times New Roman"/>
                <w:bCs/>
                <w:color w:val="auto"/>
                <w:sz w:val="24"/>
                <w:highlight w:val="none"/>
              </w:rPr>
            </w:pPr>
          </w:p>
        </w:tc>
      </w:tr>
      <w:tr w14:paraId="4015A6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4" w:hRule="atLeast"/>
          <w:jc w:val="center"/>
        </w:trPr>
        <w:tc>
          <w:tcPr>
            <w:tcW w:w="534" w:type="dxa"/>
            <w:vAlign w:val="center"/>
          </w:tcPr>
          <w:p w14:paraId="5B41C730">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总量</w:t>
            </w:r>
          </w:p>
          <w:p w14:paraId="0583693D">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控制</w:t>
            </w:r>
          </w:p>
          <w:p w14:paraId="1D68F2BF">
            <w:pPr>
              <w:adjustRightInd w:val="0"/>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指标</w:t>
            </w:r>
          </w:p>
        </w:tc>
        <w:tc>
          <w:tcPr>
            <w:tcW w:w="8527" w:type="dxa"/>
            <w:vAlign w:val="center"/>
          </w:tcPr>
          <w:p w14:paraId="5186E2A5">
            <w:pPr>
              <w:adjustRightInd w:val="0"/>
              <w:snapToGrid w:val="0"/>
              <w:spacing w:line="360" w:lineRule="auto"/>
              <w:jc w:val="center"/>
              <w:rPr>
                <w:rFonts w:hint="default" w:ascii="Times New Roman" w:hAnsi="Times New Roman" w:eastAsia="宋体" w:cs="Times New Roman"/>
                <w:color w:val="auto"/>
                <w:kern w:val="0"/>
                <w:sz w:val="24"/>
                <w:highlight w:val="yellow"/>
                <w:lang w:val="en-US" w:eastAsia="zh-CN"/>
              </w:rPr>
            </w:pPr>
            <w:r>
              <w:rPr>
                <w:rFonts w:hint="default" w:ascii="Times New Roman" w:hAnsi="Times New Roman" w:cs="Times New Roman"/>
                <w:color w:val="auto"/>
                <w:kern w:val="0"/>
                <w:sz w:val="24"/>
                <w:highlight w:val="none"/>
                <w:lang w:val="en-US" w:eastAsia="zh-CN"/>
              </w:rPr>
              <w:t>无</w:t>
            </w:r>
          </w:p>
        </w:tc>
      </w:tr>
    </w:tbl>
    <w:p w14:paraId="19992805">
      <w:pPr>
        <w:pStyle w:val="9"/>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r>
        <w:rPr>
          <w:rFonts w:hint="default" w:ascii="Times New Roman" w:hAnsi="Times New Roman" w:eastAsia="宋体" w:cs="Times New Roman"/>
          <w:b/>
          <w:bCs/>
          <w:snapToGrid w:val="0"/>
          <w:color w:val="auto"/>
          <w:sz w:val="30"/>
          <w:szCs w:val="30"/>
          <w:highlight w:val="none"/>
        </w:rPr>
        <w:t>四、主要环境影响和保护措施</w:t>
      </w:r>
    </w:p>
    <w:tbl>
      <w:tblPr>
        <w:tblStyle w:val="11"/>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331"/>
      </w:tblGrid>
      <w:tr w14:paraId="43B32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39" w:hRule="atLeast"/>
          <w:jc w:val="center"/>
        </w:trPr>
        <w:tc>
          <w:tcPr>
            <w:tcW w:w="577" w:type="dxa"/>
            <w:tcMar>
              <w:left w:w="28" w:type="dxa"/>
              <w:right w:w="28" w:type="dxa"/>
            </w:tcMar>
            <w:vAlign w:val="center"/>
          </w:tcPr>
          <w:p w14:paraId="23A11811">
            <w:pPr>
              <w:pStyle w:val="9"/>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施工</w:t>
            </w:r>
          </w:p>
          <w:p w14:paraId="76250C41">
            <w:pPr>
              <w:pStyle w:val="9"/>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期环</w:t>
            </w:r>
          </w:p>
          <w:p w14:paraId="06540FC7">
            <w:pPr>
              <w:pStyle w:val="9"/>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境保</w:t>
            </w:r>
          </w:p>
          <w:p w14:paraId="61EE0A00">
            <w:pPr>
              <w:pStyle w:val="9"/>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护措</w:t>
            </w:r>
          </w:p>
          <w:p w14:paraId="0402917F">
            <w:pPr>
              <w:pStyle w:val="9"/>
              <w:adjustRightInd w:val="0"/>
              <w:snapToGrid w:val="0"/>
              <w:spacing w:before="0" w:beforeAutospacing="0" w:after="0" w:afterAutospacing="0"/>
              <w:jc w:val="center"/>
              <w:rPr>
                <w:rFonts w:hint="default" w:ascii="Times New Roman" w:hAnsi="Times New Roman" w:eastAsia="宋体" w:cs="Times New Roman"/>
                <w:b/>
                <w:bCs/>
                <w:color w:val="auto"/>
                <w:kern w:val="2"/>
                <w:sz w:val="21"/>
                <w:szCs w:val="21"/>
                <w:highlight w:val="none"/>
              </w:rPr>
            </w:pPr>
            <w:r>
              <w:rPr>
                <w:rFonts w:hint="default" w:ascii="Times New Roman" w:hAnsi="Times New Roman" w:eastAsia="宋体" w:cs="Times New Roman"/>
                <w:b/>
                <w:bCs/>
                <w:color w:val="auto"/>
                <w:kern w:val="2"/>
                <w:sz w:val="21"/>
                <w:szCs w:val="21"/>
                <w:highlight w:val="none"/>
              </w:rPr>
              <w:t>施</w:t>
            </w:r>
          </w:p>
        </w:tc>
        <w:tc>
          <w:tcPr>
            <w:tcW w:w="8331" w:type="dxa"/>
            <w:vAlign w:val="center"/>
          </w:tcPr>
          <w:p w14:paraId="671C0E15">
            <w:pPr>
              <w:adjustRightInd w:val="0"/>
              <w:snapToGrid w:val="0"/>
              <w:spacing w:line="360" w:lineRule="auto"/>
              <w:ind w:firstLine="482"/>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1.废气</w:t>
            </w:r>
          </w:p>
          <w:p w14:paraId="3A55298D">
            <w:pPr>
              <w:widowControl/>
              <w:adjustRightInd w:val="0"/>
              <w:snapToGrid w:val="0"/>
              <w:spacing w:line="360" w:lineRule="auto"/>
              <w:ind w:firstLine="480" w:firstLineChars="200"/>
              <w:textAlignment w:val="baseline"/>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施工过程中产生的主要大气污染源是扬尘以及施工机械、运输车辆废气。</w:t>
            </w:r>
          </w:p>
          <w:p w14:paraId="7027CB9B">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（1）施工扬尘</w:t>
            </w:r>
          </w:p>
          <w:p w14:paraId="41BADACA">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施工扬尘主要产生在以下环节：①土石方开挖、回填以及现场堆放扬尘；②建筑材料（水泥、沙子、碎石等）的搬运以及堆放扬尘；③物料运输车辆造成的道路扬尘（包括运输车辆在施工区内道路行驶产生的扬尘和含泥土的运输车辆带到施工区外道路产生的扬尘）。</w:t>
            </w:r>
          </w:p>
          <w:p w14:paraId="38685D5C">
            <w:pPr>
              <w:widowControl/>
              <w:adjustRightInd w:val="0"/>
              <w:snapToGrid w:val="0"/>
              <w:spacing w:line="360" w:lineRule="auto"/>
              <w:ind w:firstLine="480" w:firstLineChars="200"/>
              <w:textAlignment w:val="baseline"/>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扬尘的主要成分是TSP，由于本项目工程量较小，施工期较短，施工期扬尘对区域大气环境的影响有限，施工期间避开大风天气，采取施工场地定时洒水</w:t>
            </w:r>
            <w:r>
              <w:rPr>
                <w:rFonts w:hint="default" w:ascii="Times New Roman" w:hAnsi="Times New Roman" w:eastAsia="宋体" w:cs="Times New Roman"/>
                <w:bCs/>
                <w:color w:val="auto"/>
                <w:kern w:val="0"/>
                <w:sz w:val="24"/>
                <w:highlight w:val="none"/>
                <w:lang w:val="en-US" w:eastAsia="zh-CN"/>
              </w:rPr>
              <w:t>抑尘</w:t>
            </w:r>
            <w:r>
              <w:rPr>
                <w:rFonts w:hint="default" w:ascii="Times New Roman" w:hAnsi="Times New Roman" w:eastAsia="宋体" w:cs="Times New Roman"/>
                <w:bCs/>
                <w:color w:val="auto"/>
                <w:kern w:val="0"/>
                <w:sz w:val="24"/>
                <w:highlight w:val="none"/>
              </w:rPr>
              <w:t>、露天堆放物料苫盖、施工现场四周围挡等措施，因此，施工阶段产生的扬尘对周围大气环境的影响较小。</w:t>
            </w:r>
          </w:p>
          <w:p w14:paraId="16D2746E">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（2）施工机械废气</w:t>
            </w:r>
          </w:p>
          <w:p w14:paraId="22C969EB">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本项目施工过程中主要有运输车辆、挖掘机等机械，以柴油为燃料，产生一定量的废气，</w:t>
            </w:r>
            <w:r>
              <w:rPr>
                <w:rFonts w:hint="default" w:ascii="Times New Roman" w:hAnsi="Times New Roman" w:eastAsia="宋体" w:cs="Times New Roman"/>
                <w:bCs/>
                <w:color w:val="auto"/>
                <w:kern w:val="0"/>
                <w:sz w:val="24"/>
                <w:highlight w:val="none"/>
              </w:rPr>
              <w:t>主要成分是</w:t>
            </w:r>
            <w:r>
              <w:rPr>
                <w:rFonts w:hint="default" w:ascii="Times New Roman" w:hAnsi="Times New Roman" w:cs="Times New Roman"/>
                <w:bCs/>
                <w:color w:val="auto"/>
                <w:kern w:val="0"/>
                <w:sz w:val="24"/>
                <w:highlight w:val="none"/>
                <w:lang w:eastAsia="zh-CN"/>
              </w:rPr>
              <w:t>H</w:t>
            </w:r>
            <w:r>
              <w:rPr>
                <w:rFonts w:hint="default" w:ascii="Times New Roman" w:hAnsi="Times New Roman" w:eastAsia="宋体" w:cs="Times New Roman"/>
                <w:bCs/>
                <w:color w:val="auto"/>
                <w:kern w:val="0"/>
                <w:sz w:val="24"/>
                <w:highlight w:val="none"/>
              </w:rPr>
              <w:t>C、CO、NO</w:t>
            </w:r>
            <w:r>
              <w:rPr>
                <w:rFonts w:hint="default" w:ascii="Times New Roman" w:hAnsi="Times New Roman" w:cs="Times New Roman"/>
                <w:bCs/>
                <w:color w:val="auto"/>
                <w:kern w:val="0"/>
                <w:sz w:val="24"/>
                <w:highlight w:val="none"/>
                <w:lang w:val="en-US" w:eastAsia="zh-CN"/>
              </w:rPr>
              <w:t>x</w:t>
            </w:r>
            <w:r>
              <w:rPr>
                <w:rFonts w:hint="default" w:ascii="Times New Roman" w:hAnsi="Times New Roman" w:eastAsia="宋体" w:cs="Times New Roman"/>
                <w:bCs/>
                <w:color w:val="auto"/>
                <w:kern w:val="0"/>
                <w:sz w:val="24"/>
                <w:highlight w:val="none"/>
              </w:rPr>
              <w:t>等。施工期间加强车辆和机械设备的管理，</w:t>
            </w:r>
            <w:r>
              <w:rPr>
                <w:rFonts w:hint="default" w:ascii="Times New Roman" w:hAnsi="Times New Roman" w:cs="Times New Roman"/>
                <w:bCs/>
                <w:color w:val="auto"/>
                <w:kern w:val="0"/>
                <w:sz w:val="24"/>
                <w:highlight w:val="none"/>
                <w:lang w:eastAsia="zh-CN"/>
              </w:rPr>
              <w:t>保持</w:t>
            </w:r>
            <w:r>
              <w:rPr>
                <w:rFonts w:hint="default" w:ascii="Times New Roman" w:hAnsi="Times New Roman" w:eastAsia="宋体" w:cs="Times New Roman"/>
                <w:bCs/>
                <w:color w:val="auto"/>
                <w:kern w:val="0"/>
                <w:sz w:val="24"/>
                <w:highlight w:val="none"/>
              </w:rPr>
              <w:t>施工机械良好运转，并选择符合标准的燃油。由于本项目工程量较小，施工期较短，施工机械</w:t>
            </w:r>
            <w:r>
              <w:rPr>
                <w:rFonts w:hint="default" w:ascii="Times New Roman" w:hAnsi="Times New Roman" w:cs="Times New Roman"/>
                <w:bCs/>
                <w:color w:val="auto"/>
                <w:kern w:val="0"/>
                <w:sz w:val="24"/>
                <w:highlight w:val="none"/>
                <w:lang w:eastAsia="zh-CN"/>
              </w:rPr>
              <w:t>和</w:t>
            </w:r>
            <w:r>
              <w:rPr>
                <w:rFonts w:hint="default" w:ascii="Times New Roman" w:hAnsi="Times New Roman" w:eastAsia="宋体" w:cs="Times New Roman"/>
                <w:bCs/>
                <w:color w:val="auto"/>
                <w:kern w:val="0"/>
                <w:sz w:val="24"/>
                <w:highlight w:val="none"/>
              </w:rPr>
              <w:t>运输车辆废气产生量较小，对周围大气环境的影响较小</w:t>
            </w:r>
            <w:r>
              <w:rPr>
                <w:rFonts w:hint="default" w:ascii="Times New Roman" w:hAnsi="Times New Roman" w:eastAsia="宋体" w:cs="Times New Roman"/>
                <w:color w:val="auto"/>
                <w:kern w:val="0"/>
                <w:sz w:val="24"/>
                <w:highlight w:val="none"/>
              </w:rPr>
              <w:t>。</w:t>
            </w:r>
          </w:p>
          <w:p w14:paraId="23F11A90">
            <w:pPr>
              <w:widowControl/>
              <w:adjustRightInd w:val="0"/>
              <w:snapToGrid w:val="0"/>
              <w:spacing w:line="360" w:lineRule="auto"/>
              <w:ind w:firstLine="482" w:firstLineChars="200"/>
              <w:textAlignment w:val="baseline"/>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2.废水</w:t>
            </w:r>
          </w:p>
          <w:p w14:paraId="7394D702">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建筑施工期间的废水包括施工废水和施工人员的生活污水。</w:t>
            </w:r>
          </w:p>
          <w:p w14:paraId="3009599E">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施工生产废水包括砂石冲洗水、养护水、场地冲洗水以及机械设备运转的冷却水和洗涤水、输送系统冲洗废水。施工时设置临时沉淀池，将含泥沙的雨水、泥浆水等经沉淀池沉淀处理后回收利用，不外排。</w:t>
            </w:r>
            <w:r>
              <w:rPr>
                <w:rFonts w:hint="default" w:ascii="Times New Roman" w:hAnsi="Times New Roman" w:eastAsia="宋体" w:cs="Times New Roman"/>
                <w:bCs/>
                <w:color w:val="auto"/>
                <w:kern w:val="0"/>
                <w:sz w:val="24"/>
                <w:highlight w:val="none"/>
              </w:rPr>
              <w:t>施工人员生活污水产生量很少，</w:t>
            </w:r>
            <w:r>
              <w:rPr>
                <w:rFonts w:hint="default" w:ascii="Times New Roman" w:hAnsi="Times New Roman" w:eastAsia="宋体" w:cs="Times New Roman"/>
                <w:bCs/>
                <w:color w:val="auto"/>
                <w:kern w:val="0"/>
                <w:sz w:val="24"/>
                <w:highlight w:val="none"/>
                <w:lang w:val="en-US" w:eastAsia="zh-CN"/>
              </w:rPr>
              <w:t>依托污水厂已有污水处理系统</w:t>
            </w:r>
            <w:r>
              <w:rPr>
                <w:rFonts w:hint="default" w:ascii="Times New Roman" w:hAnsi="Times New Roman" w:eastAsia="宋体" w:cs="Times New Roman"/>
                <w:bCs/>
                <w:color w:val="auto"/>
                <w:kern w:val="0"/>
                <w:sz w:val="24"/>
                <w:highlight w:val="none"/>
              </w:rPr>
              <w:t>处理，</w:t>
            </w:r>
            <w:r>
              <w:rPr>
                <w:rFonts w:hint="default" w:ascii="Times New Roman" w:hAnsi="Times New Roman" w:eastAsia="宋体" w:cs="Times New Roman"/>
                <w:color w:val="auto"/>
                <w:kern w:val="0"/>
                <w:sz w:val="24"/>
                <w:highlight w:val="none"/>
              </w:rPr>
              <w:t>生活污水得到妥善处理。</w:t>
            </w:r>
          </w:p>
          <w:p w14:paraId="68FADB9F">
            <w:pPr>
              <w:widowControl/>
              <w:adjustRightInd w:val="0"/>
              <w:snapToGrid w:val="0"/>
              <w:spacing w:line="360" w:lineRule="auto"/>
              <w:ind w:firstLine="482"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b/>
                <w:bCs/>
                <w:color w:val="auto"/>
                <w:kern w:val="0"/>
                <w:sz w:val="24"/>
                <w:highlight w:val="none"/>
              </w:rPr>
              <w:t>3.噪声</w:t>
            </w:r>
          </w:p>
          <w:p w14:paraId="7AC85CAB">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根据工程分析，施工过程中使用的施工机械较少，施工期的噪声来自小型施工机械和运输车辆，噪声源强在75-95dB，特点为暂时的短期间歇性行为，无规律性，在施工场地界线处，一般情况下噪声强度将超过《</w:t>
            </w:r>
            <w:r>
              <w:rPr>
                <w:rFonts w:hint="default" w:ascii="Times New Roman" w:hAnsi="Times New Roman" w:eastAsia="宋体" w:cs="Times New Roman"/>
                <w:color w:val="auto"/>
                <w:kern w:val="0"/>
                <w:sz w:val="24"/>
                <w:highlight w:val="none"/>
                <w:lang w:eastAsia="zh-CN"/>
              </w:rPr>
              <w:t>建筑施工噪声排放标准</w:t>
            </w:r>
            <w:r>
              <w:rPr>
                <w:rFonts w:hint="default" w:ascii="Times New Roman" w:hAnsi="Times New Roman" w:eastAsia="宋体" w:cs="Times New Roman"/>
                <w:color w:val="auto"/>
                <w:kern w:val="0"/>
                <w:sz w:val="24"/>
                <w:highlight w:val="none"/>
              </w:rPr>
              <w:t>》（</w:t>
            </w:r>
            <w:r>
              <w:rPr>
                <w:rFonts w:hint="eastAsia" w:ascii="Times New Roman" w:hAnsi="Times New Roman" w:cs="Times New Roman"/>
                <w:color w:val="auto"/>
                <w:kern w:val="0"/>
                <w:sz w:val="24"/>
                <w:highlight w:val="none"/>
                <w:lang w:eastAsia="zh-CN"/>
              </w:rPr>
              <w:t>GB 12523—2025</w:t>
            </w:r>
            <w:r>
              <w:rPr>
                <w:rFonts w:hint="default" w:ascii="Times New Roman" w:hAnsi="Times New Roman" w:eastAsia="宋体" w:cs="Times New Roman"/>
                <w:color w:val="auto"/>
                <w:kern w:val="0"/>
                <w:sz w:val="24"/>
                <w:highlight w:val="none"/>
              </w:rPr>
              <w:t>）。为减少施工噪声对周围企业的影响，施工单位及建设单位应采取以下减缓措施：</w:t>
            </w:r>
          </w:p>
          <w:p w14:paraId="7397FA43">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①选用低噪声设备，同时在施工过程中</w:t>
            </w:r>
            <w:r>
              <w:rPr>
                <w:rFonts w:hint="default" w:ascii="Times New Roman" w:hAnsi="Times New Roman" w:cs="Times New Roman"/>
                <w:color w:val="auto"/>
                <w:kern w:val="0"/>
                <w:sz w:val="24"/>
                <w:highlight w:val="none"/>
                <w:lang w:eastAsia="zh-CN"/>
              </w:rPr>
              <w:t>由</w:t>
            </w:r>
            <w:r>
              <w:rPr>
                <w:rFonts w:hint="default" w:ascii="Times New Roman" w:hAnsi="Times New Roman" w:eastAsia="宋体" w:cs="Times New Roman"/>
                <w:color w:val="auto"/>
                <w:kern w:val="0"/>
                <w:sz w:val="24"/>
                <w:highlight w:val="none"/>
              </w:rPr>
              <w:t>施工单位</w:t>
            </w:r>
            <w:r>
              <w:rPr>
                <w:rFonts w:hint="default" w:ascii="Times New Roman" w:hAnsi="Times New Roman" w:cs="Times New Roman"/>
                <w:color w:val="auto"/>
                <w:kern w:val="0"/>
                <w:sz w:val="24"/>
                <w:highlight w:val="none"/>
                <w:lang w:eastAsia="zh-CN"/>
              </w:rPr>
              <w:t>派</w:t>
            </w:r>
            <w:r>
              <w:rPr>
                <w:rFonts w:hint="default" w:ascii="Times New Roman" w:hAnsi="Times New Roman" w:eastAsia="宋体" w:cs="Times New Roman"/>
                <w:color w:val="auto"/>
                <w:kern w:val="0"/>
                <w:sz w:val="24"/>
                <w:highlight w:val="none"/>
              </w:rPr>
              <w:t>专人对设备进行定期保养和维护。严格按操作规范使用各类机械。</w:t>
            </w:r>
          </w:p>
          <w:p w14:paraId="2868DD25">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②合理安排施工时间，</w:t>
            </w:r>
            <w:r>
              <w:rPr>
                <w:rFonts w:hint="default" w:ascii="Times New Roman" w:hAnsi="Times New Roman" w:eastAsia="宋体" w:cs="Times New Roman"/>
                <w:color w:val="auto"/>
                <w:kern w:val="0"/>
                <w:sz w:val="24"/>
                <w:highlight w:val="none"/>
                <w:lang w:val="en-US" w:eastAsia="zh-CN"/>
              </w:rPr>
              <w:t>不</w:t>
            </w:r>
            <w:r>
              <w:rPr>
                <w:rFonts w:hint="default" w:ascii="Times New Roman" w:hAnsi="Times New Roman" w:eastAsia="宋体" w:cs="Times New Roman"/>
                <w:color w:val="auto"/>
                <w:kern w:val="0"/>
                <w:sz w:val="24"/>
                <w:highlight w:val="none"/>
              </w:rPr>
              <w:t>在22:00-06:00期间施工。</w:t>
            </w:r>
          </w:p>
          <w:p w14:paraId="59F89135">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③合理进行施工场地布置。</w:t>
            </w:r>
          </w:p>
          <w:p w14:paraId="2FE78402">
            <w:pPr>
              <w:widowControl/>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综上所述，施工期间通过选用低噪声设备、合理布局施工场地、合理安排施工时间及其他相应降噪措施后，施工厂界噪声满足《</w:t>
            </w:r>
            <w:r>
              <w:rPr>
                <w:rFonts w:hint="default" w:ascii="Times New Roman" w:hAnsi="Times New Roman" w:eastAsia="宋体" w:cs="Times New Roman"/>
                <w:color w:val="auto"/>
                <w:kern w:val="0"/>
                <w:sz w:val="24"/>
                <w:highlight w:val="none"/>
                <w:lang w:eastAsia="zh-CN"/>
              </w:rPr>
              <w:t>建筑施工噪声排放标准</w:t>
            </w:r>
            <w:r>
              <w:rPr>
                <w:rFonts w:hint="default" w:ascii="Times New Roman" w:hAnsi="Times New Roman" w:eastAsia="宋体" w:cs="Times New Roman"/>
                <w:color w:val="auto"/>
                <w:kern w:val="0"/>
                <w:sz w:val="24"/>
                <w:highlight w:val="none"/>
              </w:rPr>
              <w:t>》（</w:t>
            </w:r>
            <w:r>
              <w:rPr>
                <w:rFonts w:hint="eastAsia" w:ascii="Times New Roman" w:hAnsi="Times New Roman" w:cs="Times New Roman"/>
                <w:color w:val="auto"/>
                <w:kern w:val="0"/>
                <w:sz w:val="24"/>
                <w:highlight w:val="none"/>
                <w:lang w:eastAsia="zh-CN"/>
              </w:rPr>
              <w:t>GB 12523—2025</w:t>
            </w:r>
            <w:r>
              <w:rPr>
                <w:rFonts w:hint="default" w:ascii="Times New Roman" w:hAnsi="Times New Roman" w:eastAsia="宋体" w:cs="Times New Roman"/>
                <w:color w:val="auto"/>
                <w:kern w:val="0"/>
                <w:sz w:val="24"/>
                <w:highlight w:val="none"/>
              </w:rPr>
              <w:t>）所规定的噪声标准的要求</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项目建设期对周围声环境影响较小。</w:t>
            </w:r>
          </w:p>
          <w:p w14:paraId="5FC00DD3">
            <w:pPr>
              <w:widowControl/>
              <w:adjustRightInd w:val="0"/>
              <w:snapToGrid w:val="0"/>
              <w:spacing w:line="360" w:lineRule="auto"/>
              <w:ind w:firstLine="482" w:firstLineChars="200"/>
              <w:textAlignment w:val="baseline"/>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4.固体废物</w:t>
            </w:r>
          </w:p>
          <w:p w14:paraId="392EAA8C">
            <w:pPr>
              <w:spacing w:line="360" w:lineRule="auto"/>
              <w:ind w:firstLine="480" w:firstLineChars="200"/>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施工期产生的固废主要为建筑垃圾和生活垃圾。建筑垃圾为</w:t>
            </w:r>
            <w:r>
              <w:rPr>
                <w:rFonts w:hint="default" w:ascii="Times New Roman" w:hAnsi="Times New Roman" w:cs="Times New Roman"/>
                <w:bCs/>
                <w:color w:val="auto"/>
                <w:kern w:val="0"/>
                <w:sz w:val="24"/>
                <w:highlight w:val="none"/>
                <w:lang w:val="en-US" w:eastAsia="zh-CN"/>
              </w:rPr>
              <w:t>施工</w:t>
            </w:r>
            <w:r>
              <w:rPr>
                <w:rFonts w:hint="default" w:ascii="Times New Roman" w:hAnsi="Times New Roman" w:eastAsia="宋体" w:cs="Times New Roman"/>
                <w:bCs/>
                <w:color w:val="auto"/>
                <w:kern w:val="0"/>
                <w:sz w:val="24"/>
                <w:highlight w:val="none"/>
              </w:rPr>
              <w:t>过程中产生的建筑弃料等，部分可以回用于项目建设，不能回用的应拉运至当地政府指定地点处置。施工人员产生的生活垃圾集中收集，在指定地点设置垃圾桶并加强管理，</w:t>
            </w:r>
            <w:r>
              <w:rPr>
                <w:rFonts w:hint="default" w:ascii="Times New Roman" w:hAnsi="Times New Roman" w:eastAsia="宋体" w:cs="Times New Roman"/>
                <w:bCs/>
                <w:color w:val="auto"/>
                <w:kern w:val="0"/>
                <w:sz w:val="24"/>
                <w:highlight w:val="none"/>
                <w:lang w:eastAsia="zh-CN"/>
              </w:rPr>
              <w:t>并</w:t>
            </w:r>
            <w:r>
              <w:rPr>
                <w:rFonts w:hint="default" w:ascii="Times New Roman" w:hAnsi="Times New Roman" w:eastAsia="宋体" w:cs="Times New Roman"/>
                <w:bCs/>
                <w:color w:val="auto"/>
                <w:kern w:val="0"/>
                <w:sz w:val="24"/>
                <w:highlight w:val="none"/>
              </w:rPr>
              <w:t>定期交当地环卫部门集中处理。施工期间产生的固体废物均</w:t>
            </w:r>
            <w:r>
              <w:rPr>
                <w:rFonts w:hint="default" w:ascii="Times New Roman" w:hAnsi="Times New Roman" w:eastAsia="宋体" w:cs="Times New Roman"/>
                <w:bCs/>
                <w:color w:val="auto"/>
                <w:kern w:val="0"/>
                <w:sz w:val="24"/>
                <w:highlight w:val="none"/>
                <w:lang w:val="en-US" w:eastAsia="zh-CN"/>
              </w:rPr>
              <w:t>可</w:t>
            </w:r>
            <w:r>
              <w:rPr>
                <w:rFonts w:hint="default" w:ascii="Times New Roman" w:hAnsi="Times New Roman" w:eastAsia="宋体" w:cs="Times New Roman"/>
                <w:bCs/>
                <w:color w:val="auto"/>
                <w:kern w:val="0"/>
                <w:sz w:val="24"/>
                <w:highlight w:val="none"/>
              </w:rPr>
              <w:t>得到合理处置，对周围环境的影响较小。</w:t>
            </w:r>
          </w:p>
          <w:p w14:paraId="65DF5455">
            <w:pPr>
              <w:spacing w:line="360" w:lineRule="auto"/>
              <w:ind w:firstLine="480" w:firstLineChars="200"/>
              <w:rPr>
                <w:rFonts w:hint="default" w:ascii="Times New Roman" w:hAnsi="Times New Roman" w:eastAsia="宋体" w:cs="Times New Roman"/>
                <w:bCs/>
                <w:color w:val="auto"/>
                <w:szCs w:val="21"/>
                <w:highlight w:val="none"/>
              </w:rPr>
            </w:pPr>
          </w:p>
        </w:tc>
      </w:tr>
      <w:tr w14:paraId="0EC87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31" w:hRule="atLeast"/>
          <w:jc w:val="center"/>
        </w:trPr>
        <w:tc>
          <w:tcPr>
            <w:tcW w:w="577" w:type="dxa"/>
            <w:tcBorders>
              <w:left w:val="single" w:color="auto" w:sz="4" w:space="0"/>
              <w:bottom w:val="single" w:color="auto" w:sz="4" w:space="0"/>
            </w:tcBorders>
            <w:tcMar>
              <w:left w:w="28" w:type="dxa"/>
              <w:right w:w="28" w:type="dxa"/>
            </w:tcMar>
            <w:vAlign w:val="center"/>
          </w:tcPr>
          <w:p w14:paraId="4A84C5F6">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运营</w:t>
            </w:r>
          </w:p>
          <w:p w14:paraId="62AB5158">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期环</w:t>
            </w:r>
          </w:p>
          <w:p w14:paraId="615C9B25">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境影</w:t>
            </w:r>
          </w:p>
          <w:p w14:paraId="38B8D626">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响和</w:t>
            </w:r>
          </w:p>
          <w:p w14:paraId="25FC4560">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保护</w:t>
            </w:r>
          </w:p>
          <w:p w14:paraId="59FE37FC">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措施</w:t>
            </w:r>
          </w:p>
        </w:tc>
        <w:tc>
          <w:tcPr>
            <w:tcW w:w="8331" w:type="dxa"/>
            <w:tcBorders>
              <w:bottom w:val="single" w:color="auto" w:sz="4" w:space="0"/>
              <w:right w:val="single" w:color="auto" w:sz="4" w:space="0"/>
            </w:tcBorders>
            <w:vAlign w:val="center"/>
          </w:tcPr>
          <w:p w14:paraId="7FF06292">
            <w:pPr>
              <w:spacing w:line="360" w:lineRule="auto"/>
              <w:ind w:firstLine="42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1.废水</w:t>
            </w:r>
          </w:p>
          <w:p w14:paraId="11FD86CA">
            <w:pPr>
              <w:spacing w:line="360" w:lineRule="auto"/>
              <w:ind w:firstLine="42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1.1水污染源强</w:t>
            </w:r>
          </w:p>
          <w:p w14:paraId="61AA9D64">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三期工程</w:t>
            </w:r>
            <w:r>
              <w:rPr>
                <w:rFonts w:hint="default" w:ascii="Times New Roman" w:hAnsi="Times New Roman" w:eastAsia="宋体" w:cs="Times New Roman"/>
                <w:bCs/>
                <w:color w:val="auto"/>
                <w:sz w:val="24"/>
                <w:highlight w:val="none"/>
                <w:lang w:val="en-US" w:eastAsia="zh-CN"/>
              </w:rPr>
              <w:t>运营过程新增劳动定员</w:t>
            </w:r>
            <w:r>
              <w:rPr>
                <w:rFonts w:hint="default" w:ascii="Times New Roman" w:hAnsi="Times New Roman"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职工生活污水产生量为0.16t/d（58.4t/a），生活污水进入本项目污水处理系统。</w:t>
            </w:r>
          </w:p>
          <w:p w14:paraId="5D98E2BB">
            <w:pPr>
              <w:spacing w:line="360" w:lineRule="auto"/>
              <w:ind w:firstLine="420"/>
              <w:rPr>
                <w:rFonts w:hint="default" w:ascii="Times New Roman" w:hAnsi="Times New Roman" w:eastAsia="宋体" w:cs="Times New Roman"/>
                <w:bCs/>
                <w:color w:val="auto"/>
                <w:sz w:val="24"/>
                <w:highlight w:val="none"/>
                <w:lang w:val="en-US" w:eastAsia="zh-CN"/>
              </w:rPr>
            </w:pPr>
            <w:r>
              <w:rPr>
                <w:rFonts w:hint="default" w:ascii="Times New Roman" w:hAnsi="Times New Roman" w:cs="Times New Roman"/>
                <w:bCs/>
                <w:color w:val="auto"/>
                <w:sz w:val="24"/>
                <w:highlight w:val="none"/>
                <w:lang w:val="en-US" w:eastAsia="zh-CN"/>
              </w:rPr>
              <w:t>三期工程生产过程中无生产废水排放，V型滤池反冲洗用水为中水，反冲洗排水回流至污水处理厂</w:t>
            </w:r>
            <w:r>
              <w:rPr>
                <w:rFonts w:hint="default" w:ascii="Times New Roman" w:hAnsi="Times New Roman" w:cs="Times New Roman"/>
                <w:color w:val="auto"/>
                <w:lang w:val="en-US" w:eastAsia="zh-CN"/>
              </w:rPr>
              <w:t>进水提升泵房，进入污水处理系统处理</w:t>
            </w:r>
            <w:r>
              <w:rPr>
                <w:rFonts w:hint="default" w:ascii="Times New Roman" w:hAnsi="Times New Roman" w:cs="Times New Roman"/>
                <w:bCs/>
                <w:color w:val="auto"/>
                <w:sz w:val="24"/>
                <w:highlight w:val="none"/>
                <w:lang w:val="en-US" w:eastAsia="zh-CN"/>
              </w:rPr>
              <w:t>，不外排</w:t>
            </w:r>
            <w:r>
              <w:rPr>
                <w:rFonts w:hint="default" w:ascii="Times New Roman" w:hAnsi="Times New Roman" w:eastAsia="宋体" w:cs="Times New Roman"/>
                <w:bCs/>
                <w:color w:val="auto"/>
                <w:sz w:val="24"/>
                <w:highlight w:val="none"/>
                <w:lang w:val="en-US" w:eastAsia="zh-CN"/>
              </w:rPr>
              <w:t>。</w:t>
            </w:r>
          </w:p>
          <w:p w14:paraId="190731D0">
            <w:pPr>
              <w:spacing w:line="360" w:lineRule="auto"/>
              <w:ind w:firstLine="42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三期工程剩余污泥含水率约99.2%，污泥处理方案采用</w:t>
            </w:r>
            <w:r>
              <w:rPr>
                <w:rFonts w:hint="eastAsia" w:cs="Times New Roman"/>
                <w:color w:val="auto"/>
                <w:lang w:val="en-US" w:eastAsia="zh-CN"/>
              </w:rPr>
              <w:t>“</w:t>
            </w:r>
            <w:r>
              <w:rPr>
                <w:rFonts w:hint="default" w:ascii="Times New Roman" w:hAnsi="Times New Roman" w:cs="Times New Roman"/>
                <w:color w:val="auto"/>
                <w:lang w:val="en-US" w:eastAsia="zh-CN"/>
              </w:rPr>
              <w:t>机械浓缩+高压板框压滤脱水</w:t>
            </w:r>
            <w:r>
              <w:rPr>
                <w:rFonts w:hint="eastAsia" w:cs="Times New Roman"/>
                <w:color w:val="auto"/>
                <w:lang w:val="en-US" w:eastAsia="zh-CN"/>
              </w:rPr>
              <w:t>”</w:t>
            </w:r>
            <w:r>
              <w:rPr>
                <w:rFonts w:hint="default" w:ascii="Times New Roman" w:hAnsi="Times New Roman" w:cs="Times New Roman"/>
                <w:color w:val="auto"/>
                <w:lang w:val="en-US" w:eastAsia="zh-CN"/>
              </w:rPr>
              <w:t>工艺，含水率降至60%</w:t>
            </w:r>
            <w:r>
              <w:rPr>
                <w:rFonts w:hint="eastAsia" w:cs="Times New Roman"/>
                <w:color w:val="auto"/>
                <w:lang w:val="en-US" w:eastAsia="zh-CN"/>
              </w:rPr>
              <w:t>以下，污泥脱水率大于39.5%</w:t>
            </w:r>
            <w:r>
              <w:rPr>
                <w:rFonts w:hint="default" w:ascii="Times New Roman" w:hAnsi="Times New Roman" w:cs="Times New Roman"/>
                <w:color w:val="auto"/>
                <w:lang w:val="en-US" w:eastAsia="zh-CN"/>
              </w:rPr>
              <w:t>。类比现有工程，预计三期工程脱水污泥产生量约980t/a，则污泥压滤水产生量约为1.75t/d（640t/a），全部回流至污水处理厂进水提升泵房，进入污水处理系统处理，不外排。</w:t>
            </w:r>
          </w:p>
          <w:p w14:paraId="30AB0E09">
            <w:pPr>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1.2</w:t>
            </w:r>
            <w:r>
              <w:rPr>
                <w:rFonts w:hint="default" w:ascii="Times New Roman" w:hAnsi="Times New Roman" w:cs="Times New Roman"/>
                <w:b/>
                <w:bCs/>
                <w:color w:val="auto"/>
                <w:sz w:val="24"/>
              </w:rPr>
              <w:t>监测计划</w:t>
            </w:r>
          </w:p>
          <w:p w14:paraId="398ECA86">
            <w:pPr>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根据《排污单位自行监测技术指南总则》（</w:t>
            </w:r>
            <w:r>
              <w:rPr>
                <w:rFonts w:hint="default" w:ascii="Times New Roman" w:hAnsi="Times New Roman" w:cs="Times New Roman"/>
                <w:bCs/>
                <w:color w:val="auto"/>
                <w:sz w:val="24"/>
                <w:lang w:eastAsia="zh-CN"/>
              </w:rPr>
              <w:t>H</w:t>
            </w:r>
            <w:r>
              <w:rPr>
                <w:rFonts w:hint="default" w:ascii="Times New Roman" w:hAnsi="Times New Roman" w:cs="Times New Roman"/>
                <w:bCs/>
                <w:color w:val="auto"/>
                <w:sz w:val="24"/>
              </w:rPr>
              <w:t>J 819</w:t>
            </w:r>
            <w:r>
              <w:rPr>
                <w:rFonts w:hint="eastAsia" w:ascii="Times New Roman" w:hAnsi="Times New Roman" w:cs="Times New Roman"/>
                <w:bCs/>
                <w:color w:val="auto"/>
                <w:sz w:val="24"/>
                <w:lang w:eastAsia="zh-CN"/>
              </w:rPr>
              <w:t>—2017</w:t>
            </w:r>
            <w:r>
              <w:rPr>
                <w:rFonts w:hint="default" w:ascii="Times New Roman" w:hAnsi="Times New Roman" w:cs="Times New Roman"/>
                <w:bCs/>
                <w:color w:val="auto"/>
                <w:sz w:val="24"/>
              </w:rPr>
              <w:t>）</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排污单位自行监测技术指南 水处理</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HJ 1083</w:t>
            </w:r>
            <w:r>
              <w:rPr>
                <w:rFonts w:hint="eastAsia" w:ascii="Times New Roman" w:hAnsi="Times New Roman" w:cs="Times New Roman"/>
                <w:bCs/>
                <w:color w:val="auto"/>
                <w:sz w:val="24"/>
                <w:lang w:val="en-US" w:eastAsia="zh-CN"/>
              </w:rPr>
              <w:t>—2020</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，本项目</w:t>
            </w:r>
            <w:r>
              <w:rPr>
                <w:rFonts w:hint="default" w:ascii="Times New Roman" w:hAnsi="Times New Roman" w:cs="Times New Roman"/>
                <w:bCs/>
                <w:color w:val="auto"/>
                <w:sz w:val="24"/>
                <w:lang w:val="en-US" w:eastAsia="zh-CN"/>
              </w:rPr>
              <w:t>中水水质</w:t>
            </w:r>
            <w:r>
              <w:rPr>
                <w:rFonts w:hint="default" w:ascii="Times New Roman" w:hAnsi="Times New Roman" w:cs="Times New Roman"/>
                <w:bCs/>
                <w:color w:val="auto"/>
                <w:sz w:val="24"/>
              </w:rPr>
              <w:t>监测</w:t>
            </w:r>
            <w:r>
              <w:rPr>
                <w:rFonts w:hint="default" w:ascii="Times New Roman" w:hAnsi="Times New Roman" w:cs="Times New Roman"/>
                <w:bCs/>
                <w:color w:val="auto"/>
                <w:sz w:val="24"/>
                <w:lang w:val="en-US" w:eastAsia="zh-CN"/>
              </w:rPr>
              <w:t>计划</w:t>
            </w:r>
            <w:r>
              <w:rPr>
                <w:rFonts w:hint="default" w:ascii="Times New Roman" w:hAnsi="Times New Roman" w:cs="Times New Roman"/>
                <w:bCs/>
                <w:color w:val="auto"/>
                <w:sz w:val="24"/>
              </w:rPr>
              <w:t>见表4-</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w:t>
            </w:r>
          </w:p>
          <w:p w14:paraId="3301FF36">
            <w:pPr>
              <w:adjustRightInd w:val="0"/>
              <w:snapToGrid w:val="0"/>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w:t>
            </w:r>
            <w:r>
              <w:rPr>
                <w:rFonts w:hint="default" w:ascii="Times New Roman" w:hAnsi="Times New Roman" w:cs="Times New Roman"/>
                <w:b/>
                <w:bCs/>
                <w:color w:val="auto"/>
                <w:sz w:val="24"/>
                <w:lang w:val="en-US" w:eastAsia="zh-CN"/>
              </w:rPr>
              <w:t>1废水污染源</w:t>
            </w:r>
            <w:r>
              <w:rPr>
                <w:rFonts w:hint="default" w:ascii="Times New Roman" w:hAnsi="Times New Roman" w:cs="Times New Roman"/>
                <w:b/>
                <w:bCs/>
                <w:color w:val="auto"/>
                <w:sz w:val="24"/>
              </w:rPr>
              <w:t>监测计划一览表</w:t>
            </w:r>
          </w:p>
          <w:tbl>
            <w:tblPr>
              <w:tblStyle w:val="11"/>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720"/>
              <w:gridCol w:w="1136"/>
              <w:gridCol w:w="1251"/>
              <w:gridCol w:w="2228"/>
            </w:tblGrid>
            <w:tr w14:paraId="77B7A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tcBorders>
                    <w:top w:val="single" w:color="auto" w:sz="4" w:space="0"/>
                    <w:left w:val="single" w:color="auto" w:sz="0" w:space="0"/>
                  </w:tcBorders>
                  <w:noWrap w:val="0"/>
                  <w:vAlign w:val="center"/>
                </w:tcPr>
                <w:p w14:paraId="010825C3">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类别</w:t>
                  </w:r>
                </w:p>
              </w:tc>
              <w:tc>
                <w:tcPr>
                  <w:tcW w:w="1654" w:type="pct"/>
                  <w:tcBorders>
                    <w:top w:val="single" w:color="auto" w:sz="4" w:space="0"/>
                  </w:tcBorders>
                  <w:noWrap w:val="0"/>
                  <w:vAlign w:val="center"/>
                </w:tcPr>
                <w:p w14:paraId="3218560C">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监测项目</w:t>
                  </w:r>
                </w:p>
              </w:tc>
              <w:tc>
                <w:tcPr>
                  <w:tcW w:w="690" w:type="pct"/>
                  <w:tcBorders>
                    <w:top w:val="single" w:color="auto" w:sz="4" w:space="0"/>
                  </w:tcBorders>
                  <w:noWrap w:val="0"/>
                  <w:vAlign w:val="center"/>
                </w:tcPr>
                <w:p w14:paraId="685D5BAC">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监测点位置</w:t>
                  </w:r>
                </w:p>
              </w:tc>
              <w:tc>
                <w:tcPr>
                  <w:tcW w:w="760" w:type="pct"/>
                  <w:tcBorders>
                    <w:top w:val="single" w:color="auto" w:sz="4" w:space="0"/>
                  </w:tcBorders>
                  <w:noWrap w:val="0"/>
                  <w:vAlign w:val="center"/>
                </w:tcPr>
                <w:p w14:paraId="25341E87">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监测频率</w:t>
                  </w:r>
                </w:p>
              </w:tc>
              <w:tc>
                <w:tcPr>
                  <w:tcW w:w="1355" w:type="pct"/>
                  <w:tcBorders>
                    <w:top w:val="single" w:color="auto" w:sz="4" w:space="0"/>
                    <w:right w:val="single" w:color="auto" w:sz="4" w:space="0"/>
                  </w:tcBorders>
                  <w:noWrap w:val="0"/>
                  <w:vAlign w:val="center"/>
                </w:tcPr>
                <w:p w14:paraId="65DDA48C">
                  <w:pPr>
                    <w:adjustRightInd w:val="0"/>
                    <w:snapToGrid w:val="0"/>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执行标准</w:t>
                  </w:r>
                </w:p>
              </w:tc>
            </w:tr>
            <w:tr w14:paraId="2E53E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Merge w:val="restart"/>
                  <w:tcBorders>
                    <w:left w:val="single" w:color="auto" w:sz="4" w:space="0"/>
                  </w:tcBorders>
                  <w:noWrap w:val="0"/>
                  <w:vAlign w:val="center"/>
                </w:tcPr>
                <w:p w14:paraId="0693BED0">
                  <w:pPr>
                    <w:adjustRightInd w:val="0"/>
                    <w:snapToGrid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val="en-US" w:eastAsia="zh-CN"/>
                    </w:rPr>
                    <w:t>废水</w:t>
                  </w:r>
                </w:p>
              </w:tc>
              <w:tc>
                <w:tcPr>
                  <w:tcW w:w="1654" w:type="pct"/>
                  <w:noWrap w:val="0"/>
                  <w:vAlign w:val="center"/>
                </w:tcPr>
                <w:p w14:paraId="6CF6098A">
                  <w:pPr>
                    <w:adjustRightInd w:val="0"/>
                    <w:snapToGrid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val="en-US" w:eastAsia="zh-CN"/>
                    </w:rPr>
                    <w:t>流量、化学需氧量、氨氮</w:t>
                  </w:r>
                </w:p>
              </w:tc>
              <w:tc>
                <w:tcPr>
                  <w:tcW w:w="690" w:type="pct"/>
                  <w:vMerge w:val="restart"/>
                  <w:noWrap w:val="0"/>
                  <w:vAlign w:val="center"/>
                </w:tcPr>
                <w:p w14:paraId="3D5C636B">
                  <w:pPr>
                    <w:adjustRightInd w:val="0"/>
                    <w:snapToGrid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进水总管</w:t>
                  </w:r>
                </w:p>
              </w:tc>
              <w:tc>
                <w:tcPr>
                  <w:tcW w:w="760" w:type="pct"/>
                  <w:noWrap w:val="0"/>
                  <w:vAlign w:val="center"/>
                </w:tcPr>
                <w:p w14:paraId="28559EC6">
                  <w:pPr>
                    <w:adjustRightInd w:val="0"/>
                    <w:snapToGrid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val="en-US" w:eastAsia="zh-CN"/>
                    </w:rPr>
                    <w:t>自动检测</w:t>
                  </w:r>
                </w:p>
              </w:tc>
              <w:tc>
                <w:tcPr>
                  <w:tcW w:w="1355" w:type="pct"/>
                  <w:vMerge w:val="restart"/>
                  <w:tcBorders>
                    <w:right w:val="single" w:color="auto" w:sz="4" w:space="0"/>
                  </w:tcBorders>
                  <w:noWrap w:val="0"/>
                  <w:vAlign w:val="center"/>
                </w:tcPr>
                <w:p w14:paraId="7249D031">
                  <w:pPr>
                    <w:adjustRightInd w:val="0"/>
                    <w:snapToGrid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设计进水水质要求</w:t>
                  </w:r>
                </w:p>
              </w:tc>
            </w:tr>
            <w:tr w14:paraId="75D52A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Merge w:val="continue"/>
                  <w:tcBorders>
                    <w:left w:val="single" w:color="auto" w:sz="4" w:space="0"/>
                  </w:tcBorders>
                  <w:noWrap w:val="0"/>
                  <w:vAlign w:val="center"/>
                </w:tcPr>
                <w:p w14:paraId="50E4982D">
                  <w:pPr>
                    <w:adjustRightInd w:val="0"/>
                    <w:snapToGrid w:val="0"/>
                    <w:jc w:val="center"/>
                    <w:rPr>
                      <w:rFonts w:hint="default" w:ascii="Times New Roman" w:hAnsi="Times New Roman" w:cs="Times New Roman"/>
                      <w:b w:val="0"/>
                      <w:bCs/>
                      <w:color w:val="auto"/>
                      <w:kern w:val="0"/>
                      <w:sz w:val="21"/>
                      <w:szCs w:val="21"/>
                    </w:rPr>
                  </w:pPr>
                </w:p>
              </w:tc>
              <w:tc>
                <w:tcPr>
                  <w:tcW w:w="1654" w:type="pct"/>
                  <w:noWrap w:val="0"/>
                  <w:vAlign w:val="center"/>
                </w:tcPr>
                <w:p w14:paraId="2FA1D0DE">
                  <w:pPr>
                    <w:adjustRightInd w:val="0"/>
                    <w:snapToGrid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val="en-US" w:eastAsia="zh-CN"/>
                    </w:rPr>
                    <w:t>总磷、总氮</w:t>
                  </w:r>
                </w:p>
              </w:tc>
              <w:tc>
                <w:tcPr>
                  <w:tcW w:w="690" w:type="pct"/>
                  <w:vMerge w:val="continue"/>
                  <w:noWrap w:val="0"/>
                  <w:vAlign w:val="center"/>
                </w:tcPr>
                <w:p w14:paraId="65310DB6">
                  <w:pPr>
                    <w:adjustRightInd w:val="0"/>
                    <w:snapToGrid w:val="0"/>
                    <w:jc w:val="center"/>
                    <w:rPr>
                      <w:rFonts w:hint="default" w:ascii="Times New Roman" w:hAnsi="Times New Roman" w:cs="Times New Roman"/>
                      <w:b w:val="0"/>
                      <w:bCs/>
                      <w:color w:val="auto"/>
                      <w:kern w:val="0"/>
                      <w:sz w:val="21"/>
                      <w:szCs w:val="21"/>
                    </w:rPr>
                  </w:pPr>
                </w:p>
              </w:tc>
              <w:tc>
                <w:tcPr>
                  <w:tcW w:w="760" w:type="pct"/>
                  <w:noWrap w:val="0"/>
                  <w:vAlign w:val="center"/>
                </w:tcPr>
                <w:p w14:paraId="20130A87">
                  <w:pPr>
                    <w:adjustRightInd w:val="0"/>
                    <w:snapToGrid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日</w:t>
                  </w:r>
                </w:p>
              </w:tc>
              <w:tc>
                <w:tcPr>
                  <w:tcW w:w="1355" w:type="pct"/>
                  <w:vMerge w:val="continue"/>
                  <w:tcBorders>
                    <w:right w:val="single" w:color="auto" w:sz="4" w:space="0"/>
                  </w:tcBorders>
                  <w:noWrap w:val="0"/>
                  <w:vAlign w:val="center"/>
                </w:tcPr>
                <w:p w14:paraId="0AEE9DA7">
                  <w:pPr>
                    <w:adjustRightInd w:val="0"/>
                    <w:snapToGrid w:val="0"/>
                    <w:jc w:val="center"/>
                    <w:rPr>
                      <w:rFonts w:hint="default" w:ascii="Times New Roman" w:hAnsi="Times New Roman" w:cs="Times New Roman"/>
                      <w:b w:val="0"/>
                      <w:bCs/>
                      <w:color w:val="auto"/>
                      <w:kern w:val="0"/>
                      <w:sz w:val="21"/>
                      <w:szCs w:val="21"/>
                    </w:rPr>
                  </w:pPr>
                </w:p>
              </w:tc>
            </w:tr>
            <w:tr w14:paraId="5676C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Merge w:val="continue"/>
                  <w:tcBorders>
                    <w:left w:val="single" w:color="auto" w:sz="4" w:space="0"/>
                  </w:tcBorders>
                  <w:noWrap w:val="0"/>
                  <w:vAlign w:val="center"/>
                </w:tcPr>
                <w:p w14:paraId="6EDD6B30">
                  <w:pPr>
                    <w:adjustRightInd w:val="0"/>
                    <w:snapToGrid w:val="0"/>
                    <w:jc w:val="center"/>
                    <w:rPr>
                      <w:rFonts w:hint="default" w:ascii="Times New Roman" w:hAnsi="Times New Roman" w:cs="Times New Roman"/>
                      <w:b w:val="0"/>
                      <w:bCs/>
                      <w:color w:val="auto"/>
                      <w:kern w:val="0"/>
                      <w:sz w:val="21"/>
                      <w:szCs w:val="21"/>
                    </w:rPr>
                  </w:pPr>
                </w:p>
              </w:tc>
              <w:tc>
                <w:tcPr>
                  <w:tcW w:w="1654" w:type="pct"/>
                  <w:noWrap w:val="0"/>
                  <w:vAlign w:val="center"/>
                </w:tcPr>
                <w:p w14:paraId="4100E00F">
                  <w:pPr>
                    <w:adjustRightInd w:val="0"/>
                    <w:snapToGrid w:val="0"/>
                    <w:jc w:val="center"/>
                    <w:rPr>
                      <w:rFonts w:hint="default" w:ascii="Times New Roman" w:hAnsi="Times New Roman" w:cs="Times New Roman"/>
                      <w:b w:val="0"/>
                      <w:bCs/>
                      <w:color w:val="auto"/>
                      <w:kern w:val="0"/>
                      <w:sz w:val="21"/>
                      <w:szCs w:val="21"/>
                    </w:rPr>
                  </w:pPr>
                  <w:r>
                    <w:rPr>
                      <w:rFonts w:hint="default" w:ascii="Times New Roman" w:hAnsi="Times New Roman" w:cs="Times New Roman"/>
                      <w:b w:val="0"/>
                      <w:bCs/>
                      <w:color w:val="auto"/>
                      <w:kern w:val="0"/>
                      <w:sz w:val="21"/>
                      <w:szCs w:val="21"/>
                      <w:lang w:val="en-US" w:eastAsia="zh-CN"/>
                    </w:rPr>
                    <w:t>流量、pH值、水温、化学需氧量、氨氮、总磷、总氮</w:t>
                  </w:r>
                </w:p>
              </w:tc>
              <w:tc>
                <w:tcPr>
                  <w:tcW w:w="690" w:type="pct"/>
                  <w:vMerge w:val="restart"/>
                  <w:noWrap w:val="0"/>
                  <w:vAlign w:val="center"/>
                </w:tcPr>
                <w:p w14:paraId="3828887C">
                  <w:pPr>
                    <w:adjustRightInd w:val="0"/>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污水</w:t>
                  </w:r>
                  <w:r>
                    <w:rPr>
                      <w:rFonts w:hint="default" w:ascii="Times New Roman" w:hAnsi="Times New Roman" w:cs="Times New Roman"/>
                      <w:bCs/>
                      <w:color w:val="auto"/>
                      <w:kern w:val="0"/>
                      <w:sz w:val="21"/>
                      <w:szCs w:val="21"/>
                      <w:lang w:val="en-US" w:eastAsia="zh-CN"/>
                    </w:rPr>
                    <w:t>厂废水总排放</w:t>
                  </w:r>
                  <w:r>
                    <w:rPr>
                      <w:rFonts w:hint="default" w:ascii="Times New Roman" w:hAnsi="Times New Roman" w:cs="Times New Roman"/>
                      <w:bCs/>
                      <w:color w:val="auto"/>
                      <w:kern w:val="0"/>
                      <w:sz w:val="21"/>
                      <w:szCs w:val="21"/>
                    </w:rPr>
                    <w:t>口</w:t>
                  </w:r>
                </w:p>
              </w:tc>
              <w:tc>
                <w:tcPr>
                  <w:tcW w:w="760" w:type="pct"/>
                  <w:noWrap w:val="0"/>
                  <w:vAlign w:val="center"/>
                </w:tcPr>
                <w:p w14:paraId="660EE363">
                  <w:pPr>
                    <w:adjustRightInd w:val="0"/>
                    <w:snapToGrid w:val="0"/>
                    <w:jc w:val="center"/>
                    <w:rPr>
                      <w:rFonts w:hint="default" w:ascii="Times New Roman" w:hAnsi="Times New Roman" w:eastAsia="宋体" w:cs="Times New Roman"/>
                      <w:b w:val="0"/>
                      <w:bCs/>
                      <w:color w:val="auto"/>
                      <w:kern w:val="0"/>
                      <w:sz w:val="21"/>
                      <w:szCs w:val="21"/>
                      <w:lang w:val="en-US" w:eastAsia="zh-CN"/>
                    </w:rPr>
                  </w:pPr>
                  <w:r>
                    <w:rPr>
                      <w:rFonts w:hint="default" w:ascii="Times New Roman" w:hAnsi="Times New Roman" w:cs="Times New Roman"/>
                      <w:b w:val="0"/>
                      <w:bCs/>
                      <w:color w:val="auto"/>
                      <w:kern w:val="0"/>
                      <w:sz w:val="21"/>
                      <w:szCs w:val="21"/>
                      <w:lang w:val="en-US" w:eastAsia="zh-CN"/>
                    </w:rPr>
                    <w:t>自动检测</w:t>
                  </w:r>
                </w:p>
              </w:tc>
              <w:tc>
                <w:tcPr>
                  <w:tcW w:w="1355" w:type="pct"/>
                  <w:vMerge w:val="restart"/>
                  <w:tcBorders>
                    <w:right w:val="single" w:color="auto" w:sz="4" w:space="0"/>
                  </w:tcBorders>
                  <w:noWrap w:val="0"/>
                  <w:vAlign w:val="center"/>
                </w:tcPr>
                <w:p w14:paraId="3689B68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b w:val="0"/>
                      <w:bCs/>
                      <w:color w:val="auto"/>
                      <w:kern w:val="0"/>
                      <w:sz w:val="21"/>
                      <w:szCs w:val="21"/>
                      <w:lang w:val="en-US" w:eastAsia="zh-CN"/>
                    </w:rPr>
                    <w:t xml:space="preserve">《城镇污水处理厂污染物排放标准》（GB </w:t>
                  </w:r>
                  <w:r>
                    <w:rPr>
                      <w:rFonts w:hint="eastAsia" w:ascii="Times New Roman" w:hAnsi="Times New Roman" w:cs="Times New Roman"/>
                      <w:b w:val="0"/>
                      <w:bCs/>
                      <w:color w:val="auto"/>
                      <w:kern w:val="0"/>
                      <w:sz w:val="21"/>
                      <w:szCs w:val="21"/>
                      <w:lang w:val="en-US" w:eastAsia="zh-CN"/>
                    </w:rPr>
                    <w:t>18918—</w:t>
                  </w:r>
                  <w:r>
                    <w:rPr>
                      <w:rFonts w:hint="default" w:ascii="Times New Roman" w:hAnsi="Times New Roman" w:cs="Times New Roman"/>
                      <w:b w:val="0"/>
                      <w:bCs/>
                      <w:color w:val="auto"/>
                      <w:kern w:val="0"/>
                      <w:sz w:val="21"/>
                      <w:szCs w:val="21"/>
                      <w:lang w:val="en-US" w:eastAsia="zh-CN"/>
                    </w:rPr>
                    <w:t xml:space="preserve">2002）及其修改单中一级A标准、《城市污水再生利用工业用水水质》（GB/T </w:t>
                  </w:r>
                  <w:r>
                    <w:rPr>
                      <w:rFonts w:hint="eastAsia" w:ascii="Times New Roman" w:hAnsi="Times New Roman" w:cs="Times New Roman"/>
                      <w:b w:val="0"/>
                      <w:bCs/>
                      <w:color w:val="auto"/>
                      <w:kern w:val="0"/>
                      <w:sz w:val="21"/>
                      <w:szCs w:val="21"/>
                      <w:lang w:val="en-US" w:eastAsia="zh-CN"/>
                    </w:rPr>
                    <w:t>19923—</w:t>
                  </w:r>
                  <w:r>
                    <w:rPr>
                      <w:rFonts w:hint="default" w:ascii="Times New Roman" w:hAnsi="Times New Roman" w:cs="Times New Roman"/>
                      <w:b w:val="0"/>
                      <w:bCs/>
                      <w:color w:val="auto"/>
                      <w:kern w:val="0"/>
                      <w:sz w:val="21"/>
                      <w:szCs w:val="21"/>
                      <w:lang w:val="en-US" w:eastAsia="zh-CN"/>
                    </w:rPr>
                    <w:t>2024）、《城市污水再生利用城市杂用水水质》（GB/T 18920</w:t>
                  </w:r>
                  <w:r>
                    <w:rPr>
                      <w:rFonts w:hint="eastAsia" w:ascii="Times New Roman" w:hAnsi="Times New Roman" w:cs="Times New Roman"/>
                      <w:b w:val="0"/>
                      <w:bCs/>
                      <w:color w:val="auto"/>
                      <w:kern w:val="0"/>
                      <w:sz w:val="21"/>
                      <w:szCs w:val="21"/>
                      <w:lang w:val="en-US" w:eastAsia="zh-CN"/>
                    </w:rPr>
                    <w:t>—2020</w:t>
                  </w:r>
                  <w:r>
                    <w:rPr>
                      <w:rFonts w:hint="default" w:ascii="Times New Roman" w:hAnsi="Times New Roman" w:cs="Times New Roman"/>
                      <w:b w:val="0"/>
                      <w:bCs/>
                      <w:color w:val="auto"/>
                      <w:kern w:val="0"/>
                      <w:sz w:val="21"/>
                      <w:szCs w:val="21"/>
                      <w:lang w:val="en-US" w:eastAsia="zh-CN"/>
                    </w:rPr>
                    <w:t>）</w:t>
                  </w:r>
                </w:p>
              </w:tc>
            </w:tr>
            <w:tr w14:paraId="3B86E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Merge w:val="continue"/>
                  <w:tcBorders>
                    <w:left w:val="single" w:color="auto" w:sz="4" w:space="0"/>
                  </w:tcBorders>
                  <w:noWrap w:val="0"/>
                  <w:vAlign w:val="center"/>
                </w:tcPr>
                <w:p w14:paraId="51513BE8">
                  <w:pPr>
                    <w:adjustRightInd w:val="0"/>
                    <w:snapToGrid w:val="0"/>
                    <w:jc w:val="center"/>
                    <w:rPr>
                      <w:rFonts w:hint="default" w:ascii="Times New Roman" w:hAnsi="Times New Roman" w:eastAsia="宋体" w:cs="Times New Roman"/>
                      <w:bCs/>
                      <w:color w:val="auto"/>
                      <w:kern w:val="0"/>
                      <w:sz w:val="21"/>
                      <w:szCs w:val="21"/>
                      <w:lang w:eastAsia="zh-CN"/>
                    </w:rPr>
                  </w:pPr>
                </w:p>
              </w:tc>
              <w:tc>
                <w:tcPr>
                  <w:tcW w:w="1654" w:type="pct"/>
                  <w:noWrap w:val="0"/>
                  <w:vAlign w:val="center"/>
                </w:tcPr>
                <w:p w14:paraId="54286801">
                  <w:pPr>
                    <w:adjustRightInd w:val="0"/>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lang w:val="en-US" w:eastAsia="zh-CN"/>
                    </w:rPr>
                    <w:t>悬浮物、色度、五日生化需氧量、动植物油、石油类、阴离子表面活性剂、粪大肠菌群数</w:t>
                  </w:r>
                </w:p>
              </w:tc>
              <w:tc>
                <w:tcPr>
                  <w:tcW w:w="690" w:type="pct"/>
                  <w:vMerge w:val="continue"/>
                  <w:noWrap w:val="0"/>
                  <w:vAlign w:val="center"/>
                </w:tcPr>
                <w:p w14:paraId="18A51E58">
                  <w:pPr>
                    <w:adjustRightInd w:val="0"/>
                    <w:snapToGrid w:val="0"/>
                    <w:jc w:val="center"/>
                    <w:rPr>
                      <w:rFonts w:hint="default" w:ascii="Times New Roman" w:hAnsi="Times New Roman" w:cs="Times New Roman"/>
                      <w:bCs/>
                      <w:color w:val="auto"/>
                      <w:kern w:val="0"/>
                      <w:sz w:val="21"/>
                      <w:szCs w:val="21"/>
                    </w:rPr>
                  </w:pPr>
                </w:p>
              </w:tc>
              <w:tc>
                <w:tcPr>
                  <w:tcW w:w="760" w:type="pct"/>
                  <w:noWrap w:val="0"/>
                  <w:vAlign w:val="center"/>
                </w:tcPr>
                <w:p w14:paraId="7183CA66">
                  <w:pPr>
                    <w:adjustRightInd w:val="0"/>
                    <w:snapToGrid w:val="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1次/季度</w:t>
                  </w:r>
                </w:p>
              </w:tc>
              <w:tc>
                <w:tcPr>
                  <w:tcW w:w="1355" w:type="pct"/>
                  <w:vMerge w:val="continue"/>
                  <w:tcBorders>
                    <w:right w:val="single" w:color="auto" w:sz="4" w:space="0"/>
                  </w:tcBorders>
                  <w:noWrap w:val="0"/>
                  <w:vAlign w:val="center"/>
                </w:tcPr>
                <w:p w14:paraId="1B5A1F49">
                  <w:pPr>
                    <w:adjustRightInd w:val="0"/>
                    <w:snapToGrid w:val="0"/>
                    <w:jc w:val="center"/>
                    <w:rPr>
                      <w:rFonts w:hint="default" w:ascii="Times New Roman" w:hAnsi="Times New Roman" w:cs="Times New Roman"/>
                      <w:bCs/>
                      <w:color w:val="auto"/>
                      <w:kern w:val="0"/>
                      <w:sz w:val="21"/>
                      <w:szCs w:val="21"/>
                    </w:rPr>
                  </w:pPr>
                </w:p>
              </w:tc>
            </w:tr>
            <w:tr w14:paraId="3ED7E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38" w:type="pct"/>
                  <w:vMerge w:val="continue"/>
                  <w:tcBorders>
                    <w:left w:val="single" w:color="auto" w:sz="4" w:space="0"/>
                  </w:tcBorders>
                  <w:noWrap w:val="0"/>
                  <w:vAlign w:val="center"/>
                </w:tcPr>
                <w:p w14:paraId="0D93F807">
                  <w:pPr>
                    <w:adjustRightInd w:val="0"/>
                    <w:snapToGrid w:val="0"/>
                    <w:jc w:val="center"/>
                    <w:rPr>
                      <w:rFonts w:hint="default" w:ascii="Times New Roman" w:hAnsi="Times New Roman" w:eastAsia="宋体" w:cs="Times New Roman"/>
                      <w:bCs/>
                      <w:color w:val="auto"/>
                      <w:kern w:val="0"/>
                      <w:sz w:val="21"/>
                      <w:szCs w:val="21"/>
                      <w:lang w:eastAsia="zh-CN"/>
                    </w:rPr>
                  </w:pPr>
                </w:p>
              </w:tc>
              <w:tc>
                <w:tcPr>
                  <w:tcW w:w="1654" w:type="pct"/>
                  <w:noWrap w:val="0"/>
                  <w:vAlign w:val="center"/>
                </w:tcPr>
                <w:p w14:paraId="0340E923">
                  <w:pPr>
                    <w:adjustRightInd w:val="0"/>
                    <w:snapToGrid w:val="0"/>
                    <w:jc w:val="center"/>
                    <w:rPr>
                      <w:rFonts w:hint="default" w:ascii="Times New Roman" w:hAnsi="Times New Roman"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总镉、总铬、总汞、总铅、总砷、六价铬、烷基汞</w:t>
                  </w:r>
                </w:p>
              </w:tc>
              <w:tc>
                <w:tcPr>
                  <w:tcW w:w="690" w:type="pct"/>
                  <w:vMerge w:val="continue"/>
                  <w:noWrap w:val="0"/>
                  <w:vAlign w:val="center"/>
                </w:tcPr>
                <w:p w14:paraId="6F981FDE">
                  <w:pPr>
                    <w:adjustRightInd w:val="0"/>
                    <w:snapToGrid w:val="0"/>
                    <w:jc w:val="center"/>
                    <w:rPr>
                      <w:rFonts w:hint="default" w:ascii="Times New Roman" w:hAnsi="Times New Roman" w:cs="Times New Roman"/>
                      <w:bCs/>
                      <w:color w:val="auto"/>
                      <w:kern w:val="0"/>
                      <w:sz w:val="21"/>
                      <w:szCs w:val="21"/>
                    </w:rPr>
                  </w:pPr>
                </w:p>
              </w:tc>
              <w:tc>
                <w:tcPr>
                  <w:tcW w:w="760" w:type="pct"/>
                  <w:noWrap w:val="0"/>
                  <w:vAlign w:val="center"/>
                </w:tcPr>
                <w:p w14:paraId="4AD6C866">
                  <w:pPr>
                    <w:adjustRightInd w:val="0"/>
                    <w:snapToGrid w:val="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rPr>
                    <w:t>1次/</w:t>
                  </w:r>
                  <w:r>
                    <w:rPr>
                      <w:rFonts w:hint="default" w:ascii="Times New Roman" w:hAnsi="Times New Roman" w:cs="Times New Roman"/>
                      <w:bCs/>
                      <w:color w:val="auto"/>
                      <w:kern w:val="0"/>
                      <w:sz w:val="21"/>
                      <w:szCs w:val="21"/>
                      <w:lang w:val="en-US" w:eastAsia="zh-CN"/>
                    </w:rPr>
                    <w:t>半年</w:t>
                  </w:r>
                </w:p>
              </w:tc>
              <w:tc>
                <w:tcPr>
                  <w:tcW w:w="1355" w:type="pct"/>
                  <w:vMerge w:val="continue"/>
                  <w:tcBorders>
                    <w:right w:val="single" w:color="auto" w:sz="4" w:space="0"/>
                  </w:tcBorders>
                  <w:noWrap w:val="0"/>
                  <w:vAlign w:val="center"/>
                </w:tcPr>
                <w:p w14:paraId="05EFBE24">
                  <w:pPr>
                    <w:adjustRightInd w:val="0"/>
                    <w:snapToGrid w:val="0"/>
                    <w:jc w:val="center"/>
                    <w:rPr>
                      <w:rFonts w:hint="default" w:ascii="Times New Roman" w:hAnsi="Times New Roman" w:cs="Times New Roman"/>
                      <w:bCs/>
                      <w:color w:val="auto"/>
                      <w:kern w:val="0"/>
                      <w:sz w:val="21"/>
                      <w:szCs w:val="21"/>
                    </w:rPr>
                  </w:pPr>
                </w:p>
              </w:tc>
            </w:tr>
          </w:tbl>
          <w:p w14:paraId="06FDCED7">
            <w:pPr>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.废气</w:t>
            </w:r>
          </w:p>
          <w:p w14:paraId="7CB2F6C2">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.1废气污染源源强分析</w:t>
            </w:r>
          </w:p>
          <w:p w14:paraId="3A8A4F13">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污水处理厂废气主要为恶臭气体。本工程中产生臭气的主要地方是预处理区和污泥处理区，包括格栅间、生化池和脱水间，为重点除臭区域。臭气的主要成分为氨气（N</w:t>
            </w:r>
            <w:r>
              <w:rPr>
                <w:rFonts w:hint="default" w:ascii="Times New Roman" w:hAnsi="Times New Roman" w:cs="Times New Roman"/>
                <w:bCs/>
                <w:color w:val="auto"/>
                <w:sz w:val="24"/>
                <w:highlight w:val="none"/>
                <w:vertAlign w:val="baseline"/>
                <w:lang w:val="en-US" w:eastAsia="zh-CN"/>
              </w:rPr>
              <w:t>H</w:t>
            </w:r>
            <w:r>
              <w:rPr>
                <w:rFonts w:hint="default" w:ascii="Times New Roman" w:hAnsi="Times New Roman"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）、硫化氢（</w:t>
            </w:r>
            <w:r>
              <w:rPr>
                <w:rFonts w:hint="default" w:ascii="Times New Roman" w:hAnsi="Times New Roman" w:cs="Times New Roman"/>
                <w:bCs/>
                <w:color w:val="auto"/>
                <w:sz w:val="24"/>
                <w:highlight w:val="none"/>
                <w:vertAlign w:val="baseline"/>
                <w:lang w:val="en-US" w:eastAsia="zh-CN"/>
              </w:rPr>
              <w:t>H</w:t>
            </w:r>
            <w:r>
              <w:rPr>
                <w:rFonts w:hint="default" w:ascii="Times New Roman" w:hAnsi="Times New Roman"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S）等。</w:t>
            </w:r>
          </w:p>
          <w:p w14:paraId="651ADB3A">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随季节温度的变化臭气浓度有所变化，夏季气温高，臭气强；冬季气温低，臭气弱。同时臭气的散发还与污水量、污泥量、污水中有机物浓度、水流紊动状态和水面暴露面积、污泥稳定程度、污泥贮存方式及日照、气温、水温、风速等多种因素有关。</w:t>
            </w:r>
          </w:p>
          <w:p w14:paraId="52CBB323">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本次环评采用N</w:t>
            </w:r>
            <w:r>
              <w:rPr>
                <w:rFonts w:hint="default" w:ascii="Times New Roman" w:hAnsi="Times New Roman" w:cs="Times New Roman"/>
                <w:bCs/>
                <w:color w:val="auto"/>
                <w:sz w:val="24"/>
                <w:highlight w:val="none"/>
                <w:vertAlign w:val="baseline"/>
                <w:lang w:val="en-US" w:eastAsia="zh-CN"/>
              </w:rPr>
              <w:t>H</w:t>
            </w:r>
            <w:r>
              <w:rPr>
                <w:rFonts w:hint="default" w:ascii="Times New Roman" w:hAnsi="Times New Roman"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和</w:t>
            </w:r>
            <w:r>
              <w:rPr>
                <w:rFonts w:hint="default" w:ascii="Times New Roman" w:hAnsi="Times New Roman" w:cs="Times New Roman"/>
                <w:bCs/>
                <w:color w:val="auto"/>
                <w:sz w:val="24"/>
                <w:highlight w:val="none"/>
                <w:vertAlign w:val="baseline"/>
                <w:lang w:val="en-US" w:eastAsia="zh-CN"/>
              </w:rPr>
              <w:t>H</w:t>
            </w:r>
            <w:r>
              <w:rPr>
                <w:rFonts w:hint="default" w:ascii="Times New Roman" w:hAnsi="Times New Roman"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S作为项目污水处理系统的特征恶臭污染物来评价污水（一般工业废水和生活污水）处理系统对恶臭的环境影响。</w:t>
            </w:r>
          </w:p>
          <w:p w14:paraId="4EBB4FEC">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根据美国EPA对城市污水处理厂恶臭污染物产生情况的研究结论，即每去除1g</w:t>
            </w:r>
            <w:r>
              <w:rPr>
                <w:rFonts w:hint="default" w:ascii="Times New Roman" w:hAnsi="Times New Roman" w:eastAsia="宋体" w:cs="Times New Roman"/>
                <w:bCs/>
                <w:color w:val="auto"/>
                <w:sz w:val="24"/>
                <w:highlight w:val="none"/>
                <w:vertAlign w:val="baseline"/>
                <w:lang w:val="en-US" w:eastAsia="zh-CN"/>
              </w:rPr>
              <w:t>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可产生0.0031gN</w:t>
            </w:r>
            <w:r>
              <w:rPr>
                <w:rFonts w:hint="default" w:ascii="Times New Roman" w:hAnsi="Times New Roman" w:cs="Times New Roman"/>
                <w:bCs/>
                <w:color w:val="auto"/>
                <w:sz w:val="24"/>
                <w:highlight w:val="none"/>
                <w:vertAlign w:val="baseline"/>
                <w:lang w:val="en-US" w:eastAsia="zh-CN"/>
              </w:rPr>
              <w:t>H</w:t>
            </w:r>
            <w:r>
              <w:rPr>
                <w:rFonts w:hint="default" w:ascii="Times New Roman" w:hAnsi="Times New Roman"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和0.00012g</w:t>
            </w:r>
            <w:r>
              <w:rPr>
                <w:rFonts w:hint="default" w:ascii="Times New Roman" w:hAnsi="Times New Roman" w:cs="Times New Roman"/>
                <w:bCs/>
                <w:color w:val="auto"/>
                <w:sz w:val="24"/>
                <w:highlight w:val="none"/>
                <w:vertAlign w:val="baseline"/>
                <w:lang w:val="en-US" w:eastAsia="zh-CN"/>
              </w:rPr>
              <w:t>H</w:t>
            </w:r>
            <w:r>
              <w:rPr>
                <w:rFonts w:hint="default" w:ascii="Times New Roman" w:hAnsi="Times New Roman"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S。本项目</w:t>
            </w:r>
            <w:r>
              <w:rPr>
                <w:rFonts w:hint="default" w:ascii="Times New Roman" w:hAnsi="Times New Roman" w:cs="Times New Roman"/>
                <w:bCs/>
                <w:color w:val="auto"/>
                <w:sz w:val="24"/>
                <w:highlight w:val="none"/>
                <w:lang w:val="en-US" w:eastAsia="zh-CN"/>
              </w:rPr>
              <w:t>三期</w:t>
            </w:r>
            <w:r>
              <w:rPr>
                <w:rFonts w:hint="default" w:ascii="Times New Roman" w:hAnsi="Times New Roman" w:eastAsia="宋体" w:cs="Times New Roman"/>
                <w:bCs/>
                <w:color w:val="auto"/>
                <w:sz w:val="24"/>
                <w:highlight w:val="none"/>
                <w:lang w:val="en-US" w:eastAsia="zh-CN"/>
              </w:rPr>
              <w:t>工程处理规模为5</w:t>
            </w:r>
            <w:r>
              <w:rPr>
                <w:rFonts w:hint="default" w:ascii="Times New Roman" w:hAnsi="Times New Roman" w:cs="Times New Roman"/>
                <w:bCs/>
                <w:color w:val="auto"/>
                <w:sz w:val="24"/>
                <w:highlight w:val="none"/>
                <w:lang w:val="en-US" w:eastAsia="zh-CN"/>
              </w:rPr>
              <w:t>5</w:t>
            </w:r>
            <w:r>
              <w:rPr>
                <w:rFonts w:hint="default" w:ascii="Times New Roman" w:hAnsi="Times New Roman" w:eastAsia="宋体" w:cs="Times New Roman"/>
                <w:bCs/>
                <w:color w:val="auto"/>
                <w:sz w:val="24"/>
                <w:highlight w:val="none"/>
                <w:lang w:val="en-US" w:eastAsia="zh-CN"/>
              </w:rPr>
              <w:t>00t/d，</w:t>
            </w:r>
            <w:r>
              <w:rPr>
                <w:rFonts w:hint="default" w:ascii="Times New Roman" w:hAnsi="Times New Roman" w:eastAsia="宋体" w:cs="Times New Roman"/>
                <w:bCs/>
                <w:color w:val="auto"/>
                <w:sz w:val="24"/>
                <w:highlight w:val="none"/>
                <w:vertAlign w:val="baseline"/>
                <w:lang w:val="en-US" w:eastAsia="zh-CN"/>
              </w:rPr>
              <w:t>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进水浓度</w:t>
            </w:r>
            <w:r>
              <w:rPr>
                <w:rFonts w:hint="default" w:ascii="Times New Roman" w:hAnsi="Times New Roman" w:cs="Times New Roman"/>
                <w:bCs/>
                <w:color w:val="auto"/>
                <w:sz w:val="24"/>
                <w:highlight w:val="none"/>
                <w:lang w:val="en-US" w:eastAsia="zh-CN"/>
              </w:rPr>
              <w:t>390</w:t>
            </w:r>
            <w:r>
              <w:rPr>
                <w:rFonts w:hint="default" w:ascii="Times New Roman" w:hAnsi="Times New Roman" w:eastAsia="宋体" w:cs="Times New Roman"/>
                <w:bCs/>
                <w:color w:val="auto"/>
                <w:sz w:val="24"/>
                <w:highlight w:val="none"/>
                <w:lang w:val="en-US" w:eastAsia="zh-CN"/>
              </w:rPr>
              <w:t xml:space="preserve"> </w:t>
            </w:r>
            <w:r>
              <w:rPr>
                <w:rFonts w:hint="default" w:ascii="Times New Roman" w:hAnsi="Times New Roman"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g/L，出水浓度≤10</w:t>
            </w:r>
            <w:r>
              <w:rPr>
                <w:rFonts w:hint="default" w:ascii="Times New Roman" w:hAnsi="Times New Roman"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g/L（本项目取10</w:t>
            </w:r>
            <w:r>
              <w:rPr>
                <w:rFonts w:hint="default" w:ascii="Times New Roman" w:hAnsi="Times New Roman" w:cs="Times New Roman"/>
                <w:bCs/>
                <w:color w:val="auto"/>
                <w:sz w:val="24"/>
                <w:highlight w:val="none"/>
                <w:lang w:val="en-US" w:eastAsia="zh-CN"/>
              </w:rPr>
              <w:t>m</w:t>
            </w:r>
            <w:r>
              <w:rPr>
                <w:rFonts w:hint="default" w:ascii="Times New Roman" w:hAnsi="Times New Roman" w:eastAsia="宋体" w:cs="Times New Roman"/>
                <w:bCs/>
                <w:color w:val="auto"/>
                <w:sz w:val="24"/>
                <w:highlight w:val="none"/>
                <w:lang w:val="en-US" w:eastAsia="zh-CN"/>
              </w:rPr>
              <w:t>g/L），则去除BOD的量为</w:t>
            </w:r>
            <w:r>
              <w:rPr>
                <w:rFonts w:hint="default" w:ascii="Times New Roman" w:hAnsi="Times New Roman" w:cs="Times New Roman"/>
                <w:bCs/>
                <w:color w:val="auto"/>
                <w:sz w:val="24"/>
                <w:highlight w:val="none"/>
                <w:lang w:val="en-US" w:eastAsia="zh-CN"/>
              </w:rPr>
              <w:t>2.09</w:t>
            </w:r>
            <w:r>
              <w:rPr>
                <w:rFonts w:hint="default" w:ascii="Times New Roman" w:hAnsi="Times New Roman" w:eastAsia="宋体" w:cs="Times New Roman"/>
                <w:bCs/>
                <w:color w:val="auto"/>
                <w:sz w:val="24"/>
                <w:highlight w:val="none"/>
                <w:lang w:val="en-US" w:eastAsia="zh-CN"/>
              </w:rPr>
              <w:t>t/d，由此计算产生的N</w:t>
            </w:r>
            <w:r>
              <w:rPr>
                <w:rFonts w:hint="default" w:ascii="Times New Roman" w:hAnsi="Times New Roman" w:cs="Times New Roman"/>
                <w:bCs/>
                <w:color w:val="auto"/>
                <w:sz w:val="24"/>
                <w:highlight w:val="none"/>
                <w:vertAlign w:val="baseline"/>
                <w:lang w:val="en-US" w:eastAsia="zh-CN"/>
              </w:rPr>
              <w:t>H</w:t>
            </w:r>
            <w:r>
              <w:rPr>
                <w:rFonts w:hint="default" w:ascii="Times New Roman" w:hAnsi="Times New Roman"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为0.</w:t>
            </w:r>
            <w:r>
              <w:rPr>
                <w:rFonts w:hint="default" w:ascii="Times New Roman" w:hAnsi="Times New Roman" w:cs="Times New Roman"/>
                <w:bCs/>
                <w:color w:val="auto"/>
                <w:sz w:val="24"/>
                <w:highlight w:val="none"/>
                <w:lang w:val="en-US" w:eastAsia="zh-CN"/>
              </w:rPr>
              <w:t>270</w:t>
            </w:r>
            <w:r>
              <w:rPr>
                <w:rFonts w:hint="default" w:ascii="Times New Roman" w:hAnsi="Times New Roman" w:eastAsia="宋体" w:cs="Times New Roman"/>
                <w:bCs/>
                <w:color w:val="auto"/>
                <w:sz w:val="24"/>
                <w:highlight w:val="none"/>
                <w:lang w:val="en-US" w:eastAsia="zh-CN"/>
              </w:rPr>
              <w:t>kg/h（</w:t>
            </w:r>
            <w:r>
              <w:rPr>
                <w:rFonts w:hint="default" w:ascii="Times New Roman" w:hAnsi="Times New Roman" w:cs="Times New Roman"/>
                <w:bCs/>
                <w:color w:val="auto"/>
                <w:sz w:val="24"/>
                <w:highlight w:val="none"/>
                <w:lang w:val="en-US" w:eastAsia="zh-CN"/>
              </w:rPr>
              <w:t>2.365</w:t>
            </w:r>
            <w:r>
              <w:rPr>
                <w:rFonts w:hint="default" w:ascii="Times New Roman" w:hAnsi="Times New Roman" w:eastAsia="宋体" w:cs="Times New Roman"/>
                <w:bCs/>
                <w:color w:val="auto"/>
                <w:sz w:val="24"/>
                <w:highlight w:val="none"/>
                <w:lang w:val="en-US" w:eastAsia="zh-CN"/>
              </w:rPr>
              <w:t>t/a）、</w:t>
            </w:r>
            <w:r>
              <w:rPr>
                <w:rFonts w:hint="default" w:ascii="Times New Roman" w:hAnsi="Times New Roman" w:cs="Times New Roman"/>
                <w:bCs/>
                <w:color w:val="auto"/>
                <w:sz w:val="24"/>
                <w:highlight w:val="none"/>
                <w:vertAlign w:val="baseline"/>
                <w:lang w:val="en-US" w:eastAsia="zh-CN"/>
              </w:rPr>
              <w:t>H</w:t>
            </w:r>
            <w:r>
              <w:rPr>
                <w:rFonts w:hint="default" w:ascii="Times New Roman" w:hAnsi="Times New Roman"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S为0.</w:t>
            </w:r>
            <w:r>
              <w:rPr>
                <w:rFonts w:hint="default" w:ascii="Times New Roman" w:hAnsi="Times New Roman" w:cs="Times New Roman"/>
                <w:bCs/>
                <w:color w:val="auto"/>
                <w:sz w:val="24"/>
                <w:highlight w:val="none"/>
                <w:lang w:val="en-US" w:eastAsia="zh-CN"/>
              </w:rPr>
              <w:t>010</w:t>
            </w:r>
            <w:r>
              <w:rPr>
                <w:rFonts w:hint="default" w:ascii="Times New Roman" w:hAnsi="Times New Roman" w:eastAsia="宋体" w:cs="Times New Roman"/>
                <w:bCs/>
                <w:color w:val="auto"/>
                <w:sz w:val="24"/>
                <w:highlight w:val="none"/>
                <w:lang w:val="en-US" w:eastAsia="zh-CN"/>
              </w:rPr>
              <w:t>kg/h（0.</w:t>
            </w:r>
            <w:r>
              <w:rPr>
                <w:rFonts w:hint="default" w:ascii="Times New Roman" w:hAnsi="Times New Roman" w:cs="Times New Roman"/>
                <w:bCs/>
                <w:color w:val="auto"/>
                <w:sz w:val="24"/>
                <w:highlight w:val="none"/>
                <w:lang w:val="en-US" w:eastAsia="zh-CN"/>
              </w:rPr>
              <w:t>92</w:t>
            </w:r>
            <w:r>
              <w:rPr>
                <w:rFonts w:hint="default" w:ascii="Times New Roman" w:hAnsi="Times New Roman" w:eastAsia="宋体" w:cs="Times New Roman"/>
                <w:bCs/>
                <w:color w:val="auto"/>
                <w:sz w:val="24"/>
                <w:highlight w:val="none"/>
                <w:lang w:val="en-US" w:eastAsia="zh-CN"/>
              </w:rPr>
              <w:t>t/a）。</w:t>
            </w:r>
          </w:p>
          <w:p w14:paraId="6641EC22">
            <w:pPr>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2</w:t>
            </w:r>
            <w:r>
              <w:rPr>
                <w:rFonts w:hint="default" w:ascii="Times New Roman" w:hAnsi="Times New Roman" w:cs="Times New Roman"/>
                <w:b/>
                <w:bCs w:val="0"/>
                <w:color w:val="auto"/>
                <w:sz w:val="24"/>
                <w:highlight w:val="none"/>
                <w:lang w:val="en-US" w:eastAsia="zh-CN"/>
              </w:rPr>
              <w:t>.2</w:t>
            </w:r>
            <w:r>
              <w:rPr>
                <w:rFonts w:hint="default" w:ascii="Times New Roman" w:hAnsi="Times New Roman" w:eastAsia="宋体" w:cs="Times New Roman"/>
                <w:b/>
                <w:bCs w:val="0"/>
                <w:color w:val="auto"/>
                <w:sz w:val="24"/>
                <w:highlight w:val="none"/>
                <w:lang w:val="en-US" w:eastAsia="zh-CN"/>
              </w:rPr>
              <w:t>废气治理及排放</w:t>
            </w:r>
          </w:p>
          <w:p w14:paraId="640E1E01">
            <w:pPr>
              <w:spacing w:line="360" w:lineRule="auto"/>
              <w:ind w:firstLine="480" w:firstLineChars="200"/>
              <w:rPr>
                <w:rFonts w:hint="default" w:ascii="Times New Roman" w:hAnsi="Times New Roman"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项目对产生恶臭气体的格栅、生化池</w:t>
            </w:r>
            <w:r>
              <w:rPr>
                <w:rFonts w:hint="eastAsia" w:cs="Times New Roman"/>
                <w:bCs/>
                <w:color w:val="auto"/>
                <w:sz w:val="24"/>
                <w:highlight w:val="none"/>
                <w:lang w:val="en-US" w:eastAsia="zh-CN"/>
              </w:rPr>
              <w:t>和</w:t>
            </w:r>
            <w:r>
              <w:rPr>
                <w:rFonts w:hint="default" w:ascii="Times New Roman" w:hAnsi="Times New Roman" w:eastAsia="宋体" w:cs="Times New Roman"/>
                <w:bCs/>
                <w:color w:val="auto"/>
                <w:sz w:val="24"/>
                <w:highlight w:val="none"/>
                <w:lang w:val="en-US" w:eastAsia="zh-CN"/>
              </w:rPr>
              <w:t>污泥脱水工序布置于全封闭厂房内，并在生物池的缺氧段安装微生物培养箱4台，采用全流程除臭工艺。利用微生物填料和培养箱，在污水处理厂生物池中培养出高效除臭微生物，将含高效除臭微生物的污泥回流于污水厂预处理段，除臭微生物与水中的恶臭物质发生吸附、凝聚和生物转化降解等作用，使得污水厂各构筑物恶臭物质在水中得到</w:t>
            </w:r>
            <w:r>
              <w:rPr>
                <w:rFonts w:hint="default" w:ascii="Times New Roman" w:hAnsi="Times New Roman" w:cs="Times New Roman"/>
                <w:bCs/>
                <w:color w:val="auto"/>
                <w:sz w:val="24"/>
                <w:highlight w:val="none"/>
                <w:lang w:val="en-US" w:eastAsia="zh-CN"/>
              </w:rPr>
              <w:t>去</w:t>
            </w:r>
            <w:r>
              <w:rPr>
                <w:rFonts w:hint="default" w:ascii="Times New Roman" w:hAnsi="Times New Roman" w:eastAsia="宋体" w:cs="Times New Roman"/>
                <w:bCs/>
                <w:color w:val="auto"/>
                <w:sz w:val="24"/>
                <w:highlight w:val="none"/>
                <w:lang w:val="en-US" w:eastAsia="zh-CN"/>
              </w:rPr>
              <w:t>除，实现污水厂恶臭的全过程控制</w:t>
            </w:r>
            <w:r>
              <w:rPr>
                <w:rFonts w:hint="default" w:ascii="Times New Roman" w:hAnsi="Times New Roman" w:cs="Times New Roman"/>
                <w:bCs/>
                <w:color w:val="auto"/>
                <w:sz w:val="24"/>
                <w:highlight w:val="none"/>
                <w:lang w:val="en-US" w:eastAsia="zh-CN"/>
              </w:rPr>
              <w:t>。</w:t>
            </w:r>
          </w:p>
          <w:p w14:paraId="1E2C9BBA">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通过高效除臭微生物全过程除臭工艺处理后（可研设计处理效率90%~95%，取90%），则N</w:t>
            </w:r>
            <w:r>
              <w:rPr>
                <w:rFonts w:hint="default" w:ascii="Times New Roman" w:hAnsi="Times New Roman" w:cs="Times New Roman"/>
                <w:bCs/>
                <w:color w:val="auto"/>
                <w:sz w:val="24"/>
                <w:highlight w:val="none"/>
                <w:vertAlign w:val="baseline"/>
                <w:lang w:val="en-US" w:eastAsia="zh-CN"/>
              </w:rPr>
              <w:t>H</w:t>
            </w:r>
            <w:r>
              <w:rPr>
                <w:rFonts w:hint="default" w:ascii="Times New Roman" w:hAnsi="Times New Roman"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和</w:t>
            </w:r>
            <w:r>
              <w:rPr>
                <w:rFonts w:hint="default" w:ascii="Times New Roman" w:hAnsi="Times New Roman" w:cs="Times New Roman"/>
                <w:bCs/>
                <w:color w:val="auto"/>
                <w:sz w:val="24"/>
                <w:highlight w:val="none"/>
                <w:vertAlign w:val="baseline"/>
                <w:lang w:val="en-US" w:eastAsia="zh-CN"/>
              </w:rPr>
              <w:t>H</w:t>
            </w:r>
            <w:r>
              <w:rPr>
                <w:rFonts w:hint="default" w:ascii="Times New Roman" w:hAnsi="Times New Roman"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S的排放速率分别为N</w:t>
            </w:r>
            <w:r>
              <w:rPr>
                <w:rFonts w:hint="default" w:ascii="Times New Roman" w:hAnsi="Times New Roman" w:cs="Times New Roman"/>
                <w:bCs/>
                <w:color w:val="auto"/>
                <w:sz w:val="24"/>
                <w:highlight w:val="none"/>
                <w:vertAlign w:val="baseline"/>
                <w:lang w:val="en-US" w:eastAsia="zh-CN"/>
              </w:rPr>
              <w:t>H</w:t>
            </w:r>
            <w:r>
              <w:rPr>
                <w:rFonts w:hint="default" w:ascii="Times New Roman" w:hAnsi="Times New Roman" w:cs="Times New Roman"/>
                <w:bCs/>
                <w:color w:val="auto"/>
                <w:sz w:val="24"/>
                <w:highlight w:val="none"/>
                <w:vertAlign w:val="subscript"/>
                <w:lang w:val="en-US" w:eastAsia="zh-CN"/>
              </w:rPr>
              <w:t>3</w:t>
            </w:r>
            <w:r>
              <w:rPr>
                <w:rFonts w:hint="default" w:ascii="Times New Roman" w:hAnsi="Times New Roman" w:eastAsia="宋体" w:cs="Times New Roman"/>
                <w:bCs/>
                <w:color w:val="auto"/>
                <w:sz w:val="24"/>
                <w:highlight w:val="none"/>
                <w:lang w:val="en-US" w:eastAsia="zh-CN"/>
              </w:rPr>
              <w:t>：0.0</w:t>
            </w:r>
            <w:r>
              <w:rPr>
                <w:rFonts w:hint="default" w:ascii="Times New Roman" w:hAnsi="Times New Roman" w:cs="Times New Roman"/>
                <w:bCs/>
                <w:color w:val="auto"/>
                <w:sz w:val="24"/>
                <w:highlight w:val="none"/>
                <w:lang w:val="en-US" w:eastAsia="zh-CN"/>
              </w:rPr>
              <w:t>27</w:t>
            </w:r>
            <w:r>
              <w:rPr>
                <w:rFonts w:hint="default" w:ascii="Times New Roman" w:hAnsi="Times New Roman" w:eastAsia="宋体" w:cs="Times New Roman"/>
                <w:bCs/>
                <w:color w:val="auto"/>
                <w:sz w:val="24"/>
                <w:highlight w:val="none"/>
                <w:lang w:val="en-US" w:eastAsia="zh-CN"/>
              </w:rPr>
              <w:t>kg/h（0.</w:t>
            </w:r>
            <w:r>
              <w:rPr>
                <w:rFonts w:hint="default" w:ascii="Times New Roman" w:hAnsi="Times New Roman" w:cs="Times New Roman"/>
                <w:bCs/>
                <w:color w:val="auto"/>
                <w:sz w:val="24"/>
                <w:highlight w:val="none"/>
                <w:lang w:val="en-US" w:eastAsia="zh-CN"/>
              </w:rPr>
              <w:t>237</w:t>
            </w:r>
            <w:r>
              <w:rPr>
                <w:rFonts w:hint="default" w:ascii="Times New Roman" w:hAnsi="Times New Roman" w:eastAsia="宋体" w:cs="Times New Roman"/>
                <w:bCs/>
                <w:color w:val="auto"/>
                <w:sz w:val="24"/>
                <w:highlight w:val="none"/>
                <w:lang w:val="en-US" w:eastAsia="zh-CN"/>
              </w:rPr>
              <w:t>t/a），</w:t>
            </w:r>
            <w:r>
              <w:rPr>
                <w:rFonts w:hint="default" w:ascii="Times New Roman" w:hAnsi="Times New Roman" w:cs="Times New Roman"/>
                <w:bCs/>
                <w:color w:val="auto"/>
                <w:sz w:val="24"/>
                <w:highlight w:val="none"/>
                <w:vertAlign w:val="baseline"/>
                <w:lang w:val="en-US" w:eastAsia="zh-CN"/>
              </w:rPr>
              <w:t>H</w:t>
            </w:r>
            <w:r>
              <w:rPr>
                <w:rFonts w:hint="default" w:ascii="Times New Roman" w:hAnsi="Times New Roman" w:cs="Times New Roman"/>
                <w:bCs/>
                <w:color w:val="auto"/>
                <w:sz w:val="24"/>
                <w:highlight w:val="none"/>
                <w:vertAlign w:val="subscript"/>
                <w:lang w:val="en-US" w:eastAsia="zh-CN"/>
              </w:rPr>
              <w:t>2</w:t>
            </w:r>
            <w:r>
              <w:rPr>
                <w:rFonts w:hint="default" w:ascii="Times New Roman" w:hAnsi="Times New Roman" w:eastAsia="宋体" w:cs="Times New Roman"/>
                <w:bCs/>
                <w:color w:val="auto"/>
                <w:sz w:val="24"/>
                <w:highlight w:val="none"/>
                <w:lang w:val="en-US" w:eastAsia="zh-CN"/>
              </w:rPr>
              <w:t>S：0.00</w:t>
            </w:r>
            <w:r>
              <w:rPr>
                <w:rFonts w:hint="default" w:ascii="Times New Roman" w:hAnsi="Times New Roman" w:cs="Times New Roman"/>
                <w:bCs/>
                <w:color w:val="auto"/>
                <w:sz w:val="24"/>
                <w:highlight w:val="none"/>
                <w:lang w:val="en-US" w:eastAsia="zh-CN"/>
              </w:rPr>
              <w:t>1</w:t>
            </w:r>
            <w:r>
              <w:rPr>
                <w:rFonts w:hint="default" w:ascii="Times New Roman" w:hAnsi="Times New Roman" w:eastAsia="宋体" w:cs="Times New Roman"/>
                <w:bCs/>
                <w:color w:val="auto"/>
                <w:sz w:val="24"/>
                <w:highlight w:val="none"/>
                <w:lang w:val="en-US" w:eastAsia="zh-CN"/>
              </w:rPr>
              <w:t>kg/h（0.00</w:t>
            </w:r>
            <w:r>
              <w:rPr>
                <w:rFonts w:hint="default" w:ascii="Times New Roman" w:hAnsi="Times New Roman" w:cs="Times New Roman"/>
                <w:bCs/>
                <w:color w:val="auto"/>
                <w:sz w:val="24"/>
                <w:highlight w:val="none"/>
                <w:lang w:val="en-US" w:eastAsia="zh-CN"/>
              </w:rPr>
              <w:t>9</w:t>
            </w:r>
            <w:r>
              <w:rPr>
                <w:rFonts w:hint="default" w:ascii="Times New Roman" w:hAnsi="Times New Roman" w:eastAsia="宋体" w:cs="Times New Roman"/>
                <w:bCs/>
                <w:color w:val="auto"/>
                <w:sz w:val="24"/>
                <w:highlight w:val="none"/>
                <w:lang w:val="en-US" w:eastAsia="zh-CN"/>
              </w:rPr>
              <w:t>t/a）。</w:t>
            </w:r>
          </w:p>
          <w:p w14:paraId="56AB08CB">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本项目污水处理恶臭污染物的无组织排放源强具体见下表。</w:t>
            </w:r>
          </w:p>
          <w:p w14:paraId="0632A79E">
            <w:pPr>
              <w:spacing w:line="360" w:lineRule="auto"/>
              <w:jc w:val="center"/>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表4-</w:t>
            </w:r>
            <w:r>
              <w:rPr>
                <w:rFonts w:hint="default" w:ascii="Times New Roman" w:hAnsi="Times New Roman" w:cs="Times New Roman"/>
                <w:b/>
                <w:bCs w:val="0"/>
                <w:color w:val="auto"/>
                <w:sz w:val="24"/>
                <w:highlight w:val="none"/>
                <w:lang w:val="en-US" w:eastAsia="zh-CN"/>
              </w:rPr>
              <w:t>2</w:t>
            </w:r>
            <w:r>
              <w:rPr>
                <w:rFonts w:hint="default" w:ascii="Times New Roman" w:hAnsi="Times New Roman" w:eastAsia="宋体" w:cs="Times New Roman"/>
                <w:b/>
                <w:bCs w:val="0"/>
                <w:color w:val="auto"/>
                <w:sz w:val="24"/>
                <w:highlight w:val="none"/>
                <w:lang w:val="en-US" w:eastAsia="zh-CN"/>
              </w:rPr>
              <w:t>本项目主要恶臭污染物产排情况</w:t>
            </w:r>
          </w:p>
          <w:tbl>
            <w:tblPr>
              <w:tblStyle w:val="11"/>
              <w:tblW w:w="79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23" w:type="dxa"/>
                <w:bottom w:w="0" w:type="dxa"/>
                <w:right w:w="23" w:type="dxa"/>
              </w:tblCellMar>
            </w:tblPr>
            <w:tblGrid>
              <w:gridCol w:w="761"/>
              <w:gridCol w:w="581"/>
              <w:gridCol w:w="639"/>
              <w:gridCol w:w="1035"/>
              <w:gridCol w:w="1007"/>
              <w:gridCol w:w="832"/>
              <w:gridCol w:w="1414"/>
              <w:gridCol w:w="915"/>
              <w:gridCol w:w="762"/>
            </w:tblGrid>
            <w:tr w14:paraId="51689E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23" w:type="dxa"/>
                  <w:bottom w:w="0" w:type="dxa"/>
                  <w:right w:w="23" w:type="dxa"/>
                </w:tblCellMar>
              </w:tblPrEx>
              <w:trPr>
                <w:trHeight w:val="397" w:hRule="atLeast"/>
                <w:jc w:val="center"/>
              </w:trPr>
              <w:tc>
                <w:tcPr>
                  <w:tcW w:w="761" w:type="dxa"/>
                  <w:vMerge w:val="restart"/>
                  <w:tcBorders>
                    <w:top w:val="single" w:color="auto" w:sz="4" w:space="0"/>
                    <w:left w:val="single" w:color="auto" w:sz="0" w:space="0"/>
                    <w:tl2br w:val="nil"/>
                    <w:tr2bl w:val="nil"/>
                  </w:tcBorders>
                  <w:shd w:val="clear" w:color="auto" w:fill="auto"/>
                  <w:vAlign w:val="center"/>
                </w:tcPr>
                <w:p w14:paraId="0A8DDD4E">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工序</w:t>
                  </w:r>
                </w:p>
              </w:tc>
              <w:tc>
                <w:tcPr>
                  <w:tcW w:w="581" w:type="dxa"/>
                  <w:vMerge w:val="restart"/>
                  <w:tcBorders>
                    <w:top w:val="single" w:color="auto" w:sz="4" w:space="0"/>
                    <w:tl2br w:val="nil"/>
                    <w:tr2bl w:val="nil"/>
                  </w:tcBorders>
                  <w:shd w:val="clear" w:color="auto" w:fill="auto"/>
                  <w:vAlign w:val="center"/>
                </w:tcPr>
                <w:p w14:paraId="57DF93C6">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污染源</w:t>
                  </w:r>
                </w:p>
              </w:tc>
              <w:tc>
                <w:tcPr>
                  <w:tcW w:w="639" w:type="dxa"/>
                  <w:vMerge w:val="restart"/>
                  <w:tcBorders>
                    <w:top w:val="single" w:color="auto" w:sz="4" w:space="0"/>
                    <w:tl2br w:val="nil"/>
                    <w:tr2bl w:val="nil"/>
                  </w:tcBorders>
                  <w:shd w:val="clear" w:color="auto" w:fill="auto"/>
                  <w:vAlign w:val="center"/>
                </w:tcPr>
                <w:p w14:paraId="2BF898A4">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污染物</w:t>
                  </w:r>
                </w:p>
              </w:tc>
              <w:tc>
                <w:tcPr>
                  <w:tcW w:w="1035" w:type="dxa"/>
                  <w:tcBorders>
                    <w:top w:val="single" w:color="auto" w:sz="4" w:space="0"/>
                    <w:tl2br w:val="nil"/>
                    <w:tr2bl w:val="nil"/>
                  </w:tcBorders>
                  <w:shd w:val="clear" w:color="auto" w:fill="auto"/>
                  <w:vAlign w:val="center"/>
                </w:tcPr>
                <w:p w14:paraId="7A2A7557">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产污系数</w:t>
                  </w:r>
                </w:p>
              </w:tc>
              <w:tc>
                <w:tcPr>
                  <w:tcW w:w="1839" w:type="dxa"/>
                  <w:gridSpan w:val="2"/>
                  <w:tcBorders>
                    <w:top w:val="single" w:color="auto" w:sz="4" w:space="0"/>
                    <w:tl2br w:val="nil"/>
                    <w:tr2bl w:val="nil"/>
                  </w:tcBorders>
                  <w:shd w:val="clear" w:color="auto" w:fill="auto"/>
                  <w:vAlign w:val="center"/>
                </w:tcPr>
                <w:p w14:paraId="646B0945">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污染物产生</w:t>
                  </w:r>
                </w:p>
              </w:tc>
              <w:tc>
                <w:tcPr>
                  <w:tcW w:w="1414" w:type="dxa"/>
                  <w:vMerge w:val="restart"/>
                  <w:tcBorders>
                    <w:top w:val="single" w:color="auto" w:sz="4" w:space="0"/>
                    <w:tl2br w:val="nil"/>
                    <w:tr2bl w:val="nil"/>
                  </w:tcBorders>
                  <w:shd w:val="clear" w:color="auto" w:fill="auto"/>
                  <w:vAlign w:val="center"/>
                </w:tcPr>
                <w:p w14:paraId="772A9066">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治理措施</w:t>
                  </w:r>
                </w:p>
              </w:tc>
              <w:tc>
                <w:tcPr>
                  <w:tcW w:w="1677" w:type="dxa"/>
                  <w:gridSpan w:val="2"/>
                  <w:tcBorders>
                    <w:top w:val="single" w:color="auto" w:sz="4" w:space="0"/>
                    <w:right w:val="single" w:color="auto" w:sz="4" w:space="0"/>
                    <w:tl2br w:val="nil"/>
                    <w:tr2bl w:val="nil"/>
                  </w:tcBorders>
                  <w:shd w:val="clear" w:color="auto" w:fill="auto"/>
                  <w:vAlign w:val="center"/>
                </w:tcPr>
                <w:p w14:paraId="6563045B">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污染物排放</w:t>
                  </w:r>
                </w:p>
              </w:tc>
            </w:tr>
            <w:tr w14:paraId="2D709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61" w:type="dxa"/>
                  <w:vMerge w:val="continue"/>
                  <w:tcBorders>
                    <w:left w:val="single" w:color="auto" w:sz="4" w:space="0"/>
                    <w:tl2br w:val="nil"/>
                    <w:tr2bl w:val="nil"/>
                  </w:tcBorders>
                  <w:shd w:val="clear" w:color="auto" w:fill="auto"/>
                  <w:vAlign w:val="center"/>
                </w:tcPr>
                <w:p w14:paraId="0726B998">
                  <w:pPr>
                    <w:widowControl/>
                    <w:jc w:val="center"/>
                    <w:rPr>
                      <w:rFonts w:hint="default" w:ascii="Times New Roman" w:hAnsi="Times New Roman" w:eastAsia="宋体" w:cs="Times New Roman"/>
                      <w:b/>
                      <w:bCs w:val="0"/>
                      <w:color w:val="auto"/>
                      <w:sz w:val="21"/>
                      <w:szCs w:val="21"/>
                    </w:rPr>
                  </w:pPr>
                </w:p>
              </w:tc>
              <w:tc>
                <w:tcPr>
                  <w:tcW w:w="581" w:type="dxa"/>
                  <w:vMerge w:val="continue"/>
                  <w:tcBorders>
                    <w:tl2br w:val="nil"/>
                    <w:tr2bl w:val="nil"/>
                  </w:tcBorders>
                  <w:shd w:val="clear" w:color="auto" w:fill="auto"/>
                  <w:vAlign w:val="center"/>
                </w:tcPr>
                <w:p w14:paraId="26B7F08C">
                  <w:pPr>
                    <w:widowControl/>
                    <w:jc w:val="center"/>
                    <w:rPr>
                      <w:rFonts w:hint="default" w:ascii="Times New Roman" w:hAnsi="Times New Roman" w:eastAsia="宋体" w:cs="Times New Roman"/>
                      <w:b/>
                      <w:bCs w:val="0"/>
                      <w:color w:val="auto"/>
                      <w:sz w:val="21"/>
                      <w:szCs w:val="21"/>
                    </w:rPr>
                  </w:pPr>
                </w:p>
              </w:tc>
              <w:tc>
                <w:tcPr>
                  <w:tcW w:w="639" w:type="dxa"/>
                  <w:vMerge w:val="continue"/>
                  <w:tcBorders>
                    <w:tl2br w:val="nil"/>
                    <w:tr2bl w:val="nil"/>
                  </w:tcBorders>
                  <w:shd w:val="clear" w:color="auto" w:fill="auto"/>
                  <w:vAlign w:val="center"/>
                </w:tcPr>
                <w:p w14:paraId="6EE82D1C">
                  <w:pPr>
                    <w:widowControl/>
                    <w:jc w:val="center"/>
                    <w:rPr>
                      <w:rFonts w:hint="default" w:ascii="Times New Roman" w:hAnsi="Times New Roman" w:eastAsia="宋体" w:cs="Times New Roman"/>
                      <w:b/>
                      <w:bCs w:val="0"/>
                      <w:color w:val="auto"/>
                      <w:sz w:val="21"/>
                      <w:szCs w:val="21"/>
                    </w:rPr>
                  </w:pPr>
                </w:p>
              </w:tc>
              <w:tc>
                <w:tcPr>
                  <w:tcW w:w="1035" w:type="dxa"/>
                  <w:tcBorders>
                    <w:tl2br w:val="nil"/>
                    <w:tr2bl w:val="nil"/>
                  </w:tcBorders>
                  <w:shd w:val="clear" w:color="auto" w:fill="auto"/>
                  <w:vAlign w:val="center"/>
                </w:tcPr>
                <w:p w14:paraId="3F016C62">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g/g</w:t>
                  </w:r>
                  <w:r>
                    <w:rPr>
                      <w:rFonts w:hint="default" w:ascii="Times New Roman" w:hAnsi="Times New Roman" w:eastAsia="宋体" w:cs="Times New Roman"/>
                      <w:b/>
                      <w:bCs w:val="0"/>
                      <w:color w:val="auto"/>
                      <w:sz w:val="21"/>
                      <w:szCs w:val="21"/>
                      <w:vertAlign w:val="baseline"/>
                      <w:lang w:val="en-US" w:eastAsia="zh-CN"/>
                    </w:rPr>
                    <w:t>BOD</w:t>
                  </w:r>
                  <w:r>
                    <w:rPr>
                      <w:rFonts w:hint="default" w:ascii="Times New Roman" w:hAnsi="Times New Roman" w:eastAsia="宋体" w:cs="Times New Roman"/>
                      <w:b/>
                      <w:bCs w:val="0"/>
                      <w:color w:val="auto"/>
                      <w:sz w:val="21"/>
                      <w:szCs w:val="21"/>
                      <w:vertAlign w:val="subscript"/>
                      <w:lang w:val="en-US" w:eastAsia="zh-CN"/>
                    </w:rPr>
                    <w:t>5</w:t>
                  </w:r>
                </w:p>
              </w:tc>
              <w:tc>
                <w:tcPr>
                  <w:tcW w:w="1007" w:type="dxa"/>
                  <w:tcBorders>
                    <w:tl2br w:val="nil"/>
                    <w:tr2bl w:val="nil"/>
                  </w:tcBorders>
                  <w:shd w:val="clear" w:color="auto" w:fill="auto"/>
                  <w:vAlign w:val="center"/>
                </w:tcPr>
                <w:p w14:paraId="62F682C1">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产生速率</w:t>
                  </w:r>
                  <w:r>
                    <w:rPr>
                      <w:rFonts w:hint="default" w:ascii="Times New Roman" w:hAnsi="Times New Roman" w:eastAsia="宋体" w:cs="Times New Roman"/>
                      <w:b/>
                      <w:bCs w:val="0"/>
                      <w:color w:val="auto"/>
                      <w:sz w:val="21"/>
                      <w:szCs w:val="21"/>
                      <w:lang w:val="en-US" w:eastAsia="zh-CN"/>
                    </w:rPr>
                    <w:br w:type="textWrapping"/>
                  </w:r>
                  <w:r>
                    <w:rPr>
                      <w:rFonts w:hint="default" w:ascii="Times New Roman" w:hAnsi="Times New Roman" w:eastAsia="宋体" w:cs="Times New Roman"/>
                      <w:b/>
                      <w:bCs w:val="0"/>
                      <w:color w:val="auto"/>
                      <w:sz w:val="21"/>
                      <w:szCs w:val="21"/>
                      <w:lang w:val="en-US" w:eastAsia="zh-CN"/>
                    </w:rPr>
                    <w:t>（kg/h）</w:t>
                  </w:r>
                </w:p>
              </w:tc>
              <w:tc>
                <w:tcPr>
                  <w:tcW w:w="832" w:type="dxa"/>
                  <w:tcBorders>
                    <w:tl2br w:val="nil"/>
                    <w:tr2bl w:val="nil"/>
                  </w:tcBorders>
                  <w:shd w:val="clear" w:color="auto" w:fill="auto"/>
                  <w:vAlign w:val="center"/>
                </w:tcPr>
                <w:p w14:paraId="5F6A1ADA">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产生量</w:t>
                  </w:r>
                  <w:r>
                    <w:rPr>
                      <w:rFonts w:hint="default" w:ascii="Times New Roman" w:hAnsi="Times New Roman" w:eastAsia="宋体" w:cs="Times New Roman"/>
                      <w:b/>
                      <w:bCs w:val="0"/>
                      <w:color w:val="auto"/>
                      <w:sz w:val="21"/>
                      <w:szCs w:val="21"/>
                      <w:lang w:val="en-US" w:eastAsia="zh-CN"/>
                    </w:rPr>
                    <w:br w:type="textWrapping"/>
                  </w:r>
                  <w:r>
                    <w:rPr>
                      <w:rFonts w:hint="default" w:ascii="Times New Roman" w:hAnsi="Times New Roman" w:eastAsia="宋体" w:cs="Times New Roman"/>
                      <w:b/>
                      <w:bCs w:val="0"/>
                      <w:color w:val="auto"/>
                      <w:sz w:val="21"/>
                      <w:szCs w:val="21"/>
                      <w:lang w:val="en-US" w:eastAsia="zh-CN"/>
                    </w:rPr>
                    <w:t>（t/a）</w:t>
                  </w:r>
                </w:p>
              </w:tc>
              <w:tc>
                <w:tcPr>
                  <w:tcW w:w="1414" w:type="dxa"/>
                  <w:vMerge w:val="continue"/>
                  <w:tcBorders>
                    <w:tl2br w:val="nil"/>
                    <w:tr2bl w:val="nil"/>
                  </w:tcBorders>
                  <w:shd w:val="clear" w:color="auto" w:fill="auto"/>
                  <w:vAlign w:val="center"/>
                </w:tcPr>
                <w:p w14:paraId="3B9BA5FE">
                  <w:pPr>
                    <w:widowControl/>
                    <w:jc w:val="center"/>
                    <w:rPr>
                      <w:rFonts w:hint="default" w:ascii="Times New Roman" w:hAnsi="Times New Roman" w:eastAsia="宋体" w:cs="Times New Roman"/>
                      <w:b/>
                      <w:bCs w:val="0"/>
                      <w:color w:val="auto"/>
                      <w:sz w:val="21"/>
                      <w:szCs w:val="21"/>
                    </w:rPr>
                  </w:pPr>
                </w:p>
              </w:tc>
              <w:tc>
                <w:tcPr>
                  <w:tcW w:w="915" w:type="dxa"/>
                  <w:tcBorders>
                    <w:tl2br w:val="nil"/>
                    <w:tr2bl w:val="nil"/>
                  </w:tcBorders>
                  <w:shd w:val="clear" w:color="auto" w:fill="auto"/>
                  <w:vAlign w:val="center"/>
                </w:tcPr>
                <w:p w14:paraId="001F6CF2">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排放速率</w:t>
                  </w:r>
                  <w:r>
                    <w:rPr>
                      <w:rFonts w:hint="default" w:ascii="Times New Roman" w:hAnsi="Times New Roman" w:eastAsia="宋体" w:cs="Times New Roman"/>
                      <w:b/>
                      <w:bCs w:val="0"/>
                      <w:color w:val="auto"/>
                      <w:sz w:val="21"/>
                      <w:szCs w:val="21"/>
                      <w:lang w:val="en-US" w:eastAsia="zh-CN"/>
                    </w:rPr>
                    <w:br w:type="textWrapping"/>
                  </w:r>
                  <w:r>
                    <w:rPr>
                      <w:rFonts w:hint="default" w:ascii="Times New Roman" w:hAnsi="Times New Roman" w:eastAsia="宋体" w:cs="Times New Roman"/>
                      <w:b/>
                      <w:bCs w:val="0"/>
                      <w:color w:val="auto"/>
                      <w:sz w:val="21"/>
                      <w:szCs w:val="21"/>
                      <w:lang w:val="en-US" w:eastAsia="zh-CN"/>
                    </w:rPr>
                    <w:t>（kg/h）</w:t>
                  </w:r>
                </w:p>
              </w:tc>
              <w:tc>
                <w:tcPr>
                  <w:tcW w:w="762" w:type="dxa"/>
                  <w:tcBorders>
                    <w:right w:val="single" w:color="auto" w:sz="4" w:space="0"/>
                    <w:tl2br w:val="nil"/>
                    <w:tr2bl w:val="nil"/>
                  </w:tcBorders>
                  <w:shd w:val="clear" w:color="auto" w:fill="auto"/>
                  <w:vAlign w:val="center"/>
                </w:tcPr>
                <w:p w14:paraId="663DFE06">
                  <w:pPr>
                    <w:widowControl/>
                    <w:jc w:val="center"/>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排放量</w:t>
                  </w:r>
                  <w:r>
                    <w:rPr>
                      <w:rFonts w:hint="default" w:ascii="Times New Roman" w:hAnsi="Times New Roman" w:eastAsia="宋体" w:cs="Times New Roman"/>
                      <w:b/>
                      <w:bCs w:val="0"/>
                      <w:color w:val="auto"/>
                      <w:sz w:val="21"/>
                      <w:szCs w:val="21"/>
                      <w:lang w:val="en-US" w:eastAsia="zh-CN"/>
                    </w:rPr>
                    <w:br w:type="textWrapping"/>
                  </w:r>
                  <w:r>
                    <w:rPr>
                      <w:rFonts w:hint="default" w:ascii="Times New Roman" w:hAnsi="Times New Roman" w:eastAsia="宋体" w:cs="Times New Roman"/>
                      <w:b/>
                      <w:bCs w:val="0"/>
                      <w:color w:val="auto"/>
                      <w:sz w:val="21"/>
                      <w:szCs w:val="21"/>
                      <w:lang w:val="en-US" w:eastAsia="zh-CN"/>
                    </w:rPr>
                    <w:t>（t/a）</w:t>
                  </w:r>
                </w:p>
              </w:tc>
            </w:tr>
            <w:tr w14:paraId="1085A3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61" w:type="dxa"/>
                  <w:vMerge w:val="restart"/>
                  <w:tcBorders>
                    <w:left w:val="single" w:color="auto" w:sz="4" w:space="0"/>
                    <w:tl2br w:val="nil"/>
                    <w:tr2bl w:val="nil"/>
                  </w:tcBorders>
                  <w:shd w:val="clear" w:color="auto" w:fill="auto"/>
                  <w:vAlign w:val="center"/>
                </w:tcPr>
                <w:p w14:paraId="75B8DF3C">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污水处理过程</w:t>
                  </w:r>
                </w:p>
              </w:tc>
              <w:tc>
                <w:tcPr>
                  <w:tcW w:w="581" w:type="dxa"/>
                  <w:vMerge w:val="restart"/>
                  <w:tcBorders>
                    <w:tl2br w:val="nil"/>
                    <w:tr2bl w:val="nil"/>
                  </w:tcBorders>
                  <w:shd w:val="clear" w:color="auto" w:fill="auto"/>
                  <w:vAlign w:val="center"/>
                </w:tcPr>
                <w:p w14:paraId="253FA1B6">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无组织</w:t>
                  </w:r>
                </w:p>
              </w:tc>
              <w:tc>
                <w:tcPr>
                  <w:tcW w:w="639" w:type="dxa"/>
                  <w:tcBorders>
                    <w:tl2br w:val="nil"/>
                    <w:tr2bl w:val="nil"/>
                  </w:tcBorders>
                  <w:shd w:val="clear" w:color="auto" w:fill="auto"/>
                  <w:vAlign w:val="center"/>
                </w:tcPr>
                <w:p w14:paraId="36329F83">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N</w:t>
                  </w:r>
                  <w:r>
                    <w:rPr>
                      <w:rFonts w:hint="default" w:ascii="Times New Roman" w:hAnsi="Times New Roman" w:cs="Times New Roman"/>
                      <w:bCs/>
                      <w:color w:val="auto"/>
                      <w:sz w:val="21"/>
                      <w:szCs w:val="21"/>
                      <w:vertAlign w:val="baseline"/>
                      <w:lang w:val="en-US" w:eastAsia="zh-CN"/>
                    </w:rPr>
                    <w:t>H</w:t>
                  </w:r>
                  <w:r>
                    <w:rPr>
                      <w:rFonts w:hint="default" w:ascii="Times New Roman" w:hAnsi="Times New Roman" w:cs="Times New Roman"/>
                      <w:bCs/>
                      <w:color w:val="auto"/>
                      <w:sz w:val="21"/>
                      <w:szCs w:val="21"/>
                      <w:vertAlign w:val="subscript"/>
                      <w:lang w:val="en-US" w:eastAsia="zh-CN"/>
                    </w:rPr>
                    <w:t>3</w:t>
                  </w:r>
                </w:p>
              </w:tc>
              <w:tc>
                <w:tcPr>
                  <w:tcW w:w="1035" w:type="dxa"/>
                  <w:tcBorders>
                    <w:tl2br w:val="nil"/>
                    <w:tr2bl w:val="nil"/>
                  </w:tcBorders>
                  <w:shd w:val="clear" w:color="auto" w:fill="auto"/>
                  <w:noWrap/>
                  <w:vAlign w:val="center"/>
                </w:tcPr>
                <w:p w14:paraId="5E2B0541">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0.0031</w:t>
                  </w:r>
                </w:p>
              </w:tc>
              <w:tc>
                <w:tcPr>
                  <w:tcW w:w="1007" w:type="dxa"/>
                  <w:tcBorders>
                    <w:tl2br w:val="nil"/>
                    <w:tr2bl w:val="nil"/>
                  </w:tcBorders>
                  <w:shd w:val="clear" w:color="auto" w:fill="auto"/>
                  <w:vAlign w:val="center"/>
                </w:tcPr>
                <w:p w14:paraId="1A90BEE3">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0.270</w:t>
                  </w:r>
                </w:p>
              </w:tc>
              <w:tc>
                <w:tcPr>
                  <w:tcW w:w="832" w:type="dxa"/>
                  <w:tcBorders>
                    <w:tl2br w:val="nil"/>
                    <w:tr2bl w:val="nil"/>
                  </w:tcBorders>
                  <w:shd w:val="clear" w:color="auto" w:fill="auto"/>
                  <w:vAlign w:val="center"/>
                </w:tcPr>
                <w:p w14:paraId="094FF21F">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2.365</w:t>
                  </w:r>
                </w:p>
              </w:tc>
              <w:tc>
                <w:tcPr>
                  <w:tcW w:w="1414" w:type="dxa"/>
                  <w:vMerge w:val="restart"/>
                  <w:tcBorders>
                    <w:tl2br w:val="nil"/>
                    <w:tr2bl w:val="nil"/>
                  </w:tcBorders>
                  <w:shd w:val="clear" w:color="auto" w:fill="auto"/>
                  <w:vAlign w:val="center"/>
                </w:tcPr>
                <w:p w14:paraId="0CE0072F">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全封闭厂房+</w:t>
                  </w:r>
                  <w:r>
                    <w:rPr>
                      <w:rFonts w:hint="default" w:ascii="Times New Roman" w:hAnsi="Times New Roman" w:cs="Times New Roman"/>
                      <w:bCs/>
                      <w:color w:val="auto"/>
                      <w:sz w:val="21"/>
                      <w:szCs w:val="21"/>
                      <w:lang w:val="en-US" w:eastAsia="zh-CN"/>
                    </w:rPr>
                    <w:t>高效除臭微生物全过程除臭</w:t>
                  </w:r>
                  <w:r>
                    <w:rPr>
                      <w:rFonts w:hint="default" w:ascii="Times New Roman" w:hAnsi="Times New Roman" w:eastAsia="宋体" w:cs="Times New Roman"/>
                      <w:bCs/>
                      <w:color w:val="auto"/>
                      <w:sz w:val="21"/>
                      <w:szCs w:val="21"/>
                      <w:lang w:val="en-US" w:eastAsia="zh-CN"/>
                    </w:rPr>
                    <w:t>，除臭效率90%</w:t>
                  </w:r>
                </w:p>
              </w:tc>
              <w:tc>
                <w:tcPr>
                  <w:tcW w:w="915" w:type="dxa"/>
                  <w:tcBorders>
                    <w:tl2br w:val="nil"/>
                    <w:tr2bl w:val="nil"/>
                  </w:tcBorders>
                  <w:shd w:val="clear" w:color="auto" w:fill="auto"/>
                  <w:vAlign w:val="center"/>
                </w:tcPr>
                <w:p w14:paraId="6ECD9572">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0.0270</w:t>
                  </w:r>
                </w:p>
              </w:tc>
              <w:tc>
                <w:tcPr>
                  <w:tcW w:w="762" w:type="dxa"/>
                  <w:tcBorders>
                    <w:right w:val="single" w:color="auto" w:sz="4" w:space="0"/>
                    <w:tl2br w:val="nil"/>
                    <w:tr2bl w:val="nil"/>
                  </w:tcBorders>
                  <w:shd w:val="clear" w:color="auto" w:fill="auto"/>
                  <w:vAlign w:val="center"/>
                </w:tcPr>
                <w:p w14:paraId="0B04278D">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0.237</w:t>
                  </w:r>
                </w:p>
              </w:tc>
            </w:tr>
            <w:tr w14:paraId="43D8C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61" w:type="dxa"/>
                  <w:vMerge w:val="continue"/>
                  <w:tcBorders>
                    <w:left w:val="single" w:color="auto" w:sz="4" w:space="0"/>
                    <w:bottom w:val="single" w:color="auto" w:sz="4" w:space="0"/>
                    <w:tl2br w:val="nil"/>
                    <w:tr2bl w:val="nil"/>
                  </w:tcBorders>
                  <w:shd w:val="clear" w:color="auto" w:fill="auto"/>
                  <w:vAlign w:val="center"/>
                </w:tcPr>
                <w:p w14:paraId="43A561FA">
                  <w:pPr>
                    <w:widowControl/>
                    <w:jc w:val="center"/>
                    <w:rPr>
                      <w:rFonts w:hint="default" w:ascii="Times New Roman" w:hAnsi="Times New Roman" w:eastAsia="宋体" w:cs="Times New Roman"/>
                      <w:bCs/>
                      <w:color w:val="auto"/>
                      <w:sz w:val="21"/>
                      <w:szCs w:val="21"/>
                    </w:rPr>
                  </w:pPr>
                </w:p>
              </w:tc>
              <w:tc>
                <w:tcPr>
                  <w:tcW w:w="581" w:type="dxa"/>
                  <w:vMerge w:val="continue"/>
                  <w:tcBorders>
                    <w:bottom w:val="single" w:color="auto" w:sz="4" w:space="0"/>
                    <w:tl2br w:val="nil"/>
                    <w:tr2bl w:val="nil"/>
                  </w:tcBorders>
                  <w:shd w:val="clear" w:color="auto" w:fill="auto"/>
                  <w:vAlign w:val="center"/>
                </w:tcPr>
                <w:p w14:paraId="0C715B25">
                  <w:pPr>
                    <w:widowControl/>
                    <w:jc w:val="center"/>
                    <w:rPr>
                      <w:rFonts w:hint="default" w:ascii="Times New Roman" w:hAnsi="Times New Roman" w:eastAsia="宋体" w:cs="Times New Roman"/>
                      <w:bCs/>
                      <w:color w:val="auto"/>
                      <w:sz w:val="21"/>
                      <w:szCs w:val="21"/>
                    </w:rPr>
                  </w:pPr>
                </w:p>
              </w:tc>
              <w:tc>
                <w:tcPr>
                  <w:tcW w:w="639" w:type="dxa"/>
                  <w:tcBorders>
                    <w:bottom w:val="single" w:color="auto" w:sz="4" w:space="0"/>
                    <w:tl2br w:val="nil"/>
                    <w:tr2bl w:val="nil"/>
                  </w:tcBorders>
                  <w:shd w:val="clear" w:color="auto" w:fill="auto"/>
                  <w:vAlign w:val="center"/>
                </w:tcPr>
                <w:p w14:paraId="07511A56">
                  <w:pPr>
                    <w:widowControl/>
                    <w:jc w:val="center"/>
                    <w:rPr>
                      <w:rFonts w:hint="default" w:ascii="Times New Roman" w:hAnsi="Times New Roman" w:eastAsia="宋体" w:cs="Times New Roman"/>
                      <w:bCs/>
                      <w:color w:val="auto"/>
                      <w:sz w:val="21"/>
                      <w:szCs w:val="21"/>
                    </w:rPr>
                  </w:pPr>
                  <w:r>
                    <w:rPr>
                      <w:rFonts w:hint="default" w:ascii="Times New Roman" w:hAnsi="Times New Roman" w:cs="Times New Roman"/>
                      <w:bCs/>
                      <w:color w:val="auto"/>
                      <w:sz w:val="21"/>
                      <w:szCs w:val="21"/>
                      <w:vertAlign w:val="baseline"/>
                      <w:lang w:val="en-US" w:eastAsia="zh-CN"/>
                    </w:rPr>
                    <w:t>H</w:t>
                  </w:r>
                  <w:r>
                    <w:rPr>
                      <w:rFonts w:hint="default" w:ascii="Times New Roman" w:hAnsi="Times New Roman" w:cs="Times New Roman"/>
                      <w:bCs/>
                      <w:color w:val="auto"/>
                      <w:sz w:val="21"/>
                      <w:szCs w:val="21"/>
                      <w:vertAlign w:val="subscript"/>
                      <w:lang w:val="en-US" w:eastAsia="zh-CN"/>
                    </w:rPr>
                    <w:t>2</w:t>
                  </w:r>
                  <w:r>
                    <w:rPr>
                      <w:rFonts w:hint="default" w:ascii="Times New Roman" w:hAnsi="Times New Roman" w:eastAsia="宋体" w:cs="Times New Roman"/>
                      <w:bCs/>
                      <w:color w:val="auto"/>
                      <w:sz w:val="21"/>
                      <w:szCs w:val="21"/>
                      <w:lang w:val="en-US" w:eastAsia="zh-CN"/>
                    </w:rPr>
                    <w:t>S</w:t>
                  </w:r>
                </w:p>
              </w:tc>
              <w:tc>
                <w:tcPr>
                  <w:tcW w:w="1035" w:type="dxa"/>
                  <w:tcBorders>
                    <w:bottom w:val="single" w:color="auto" w:sz="4" w:space="0"/>
                    <w:tl2br w:val="nil"/>
                    <w:tr2bl w:val="nil"/>
                  </w:tcBorders>
                  <w:shd w:val="clear" w:color="auto" w:fill="auto"/>
                  <w:noWrap/>
                  <w:vAlign w:val="center"/>
                </w:tcPr>
                <w:p w14:paraId="57356851">
                  <w:pPr>
                    <w:widowControl/>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0.00012</w:t>
                  </w:r>
                </w:p>
              </w:tc>
              <w:tc>
                <w:tcPr>
                  <w:tcW w:w="1007" w:type="dxa"/>
                  <w:tcBorders>
                    <w:bottom w:val="single" w:color="auto" w:sz="4" w:space="0"/>
                    <w:tl2br w:val="nil"/>
                    <w:tr2bl w:val="nil"/>
                  </w:tcBorders>
                  <w:shd w:val="clear" w:color="auto" w:fill="auto"/>
                  <w:vAlign w:val="center"/>
                </w:tcPr>
                <w:p w14:paraId="1CAE8A06">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0.010</w:t>
                  </w:r>
                </w:p>
              </w:tc>
              <w:tc>
                <w:tcPr>
                  <w:tcW w:w="832" w:type="dxa"/>
                  <w:tcBorders>
                    <w:bottom w:val="single" w:color="auto" w:sz="4" w:space="0"/>
                    <w:tl2br w:val="nil"/>
                    <w:tr2bl w:val="nil"/>
                  </w:tcBorders>
                  <w:shd w:val="clear" w:color="auto" w:fill="auto"/>
                  <w:vAlign w:val="center"/>
                </w:tcPr>
                <w:p w14:paraId="2FD7E610">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0.092</w:t>
                  </w:r>
                </w:p>
              </w:tc>
              <w:tc>
                <w:tcPr>
                  <w:tcW w:w="1414" w:type="dxa"/>
                  <w:vMerge w:val="continue"/>
                  <w:tcBorders>
                    <w:bottom w:val="single" w:color="auto" w:sz="4" w:space="0"/>
                    <w:tl2br w:val="nil"/>
                    <w:tr2bl w:val="nil"/>
                  </w:tcBorders>
                  <w:shd w:val="clear" w:color="auto" w:fill="auto"/>
                  <w:vAlign w:val="center"/>
                </w:tcPr>
                <w:p w14:paraId="1EE6CF6B">
                  <w:pPr>
                    <w:widowControl/>
                    <w:jc w:val="center"/>
                    <w:rPr>
                      <w:rFonts w:hint="default" w:ascii="Times New Roman" w:hAnsi="Times New Roman" w:eastAsia="宋体" w:cs="Times New Roman"/>
                      <w:bCs/>
                      <w:color w:val="auto"/>
                      <w:sz w:val="21"/>
                      <w:szCs w:val="21"/>
                    </w:rPr>
                  </w:pPr>
                </w:p>
              </w:tc>
              <w:tc>
                <w:tcPr>
                  <w:tcW w:w="915" w:type="dxa"/>
                  <w:tcBorders>
                    <w:bottom w:val="single" w:color="auto" w:sz="4" w:space="0"/>
                    <w:tl2br w:val="nil"/>
                    <w:tr2bl w:val="nil"/>
                  </w:tcBorders>
                  <w:shd w:val="clear" w:color="auto" w:fill="auto"/>
                  <w:vAlign w:val="center"/>
                </w:tcPr>
                <w:p w14:paraId="382FDF0A">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0.0010</w:t>
                  </w:r>
                </w:p>
              </w:tc>
              <w:tc>
                <w:tcPr>
                  <w:tcW w:w="762" w:type="dxa"/>
                  <w:tcBorders>
                    <w:bottom w:val="single" w:color="auto" w:sz="4" w:space="0"/>
                    <w:right w:val="single" w:color="auto" w:sz="4" w:space="0"/>
                    <w:tl2br w:val="nil"/>
                    <w:tr2bl w:val="nil"/>
                  </w:tcBorders>
                  <w:shd w:val="clear" w:color="auto" w:fill="auto"/>
                  <w:vAlign w:val="center"/>
                </w:tcPr>
                <w:p w14:paraId="63C80D79">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0.009</w:t>
                  </w:r>
                </w:p>
              </w:tc>
            </w:tr>
          </w:tbl>
          <w:p w14:paraId="37F02BBA">
            <w:pPr>
              <w:adjustRightInd w:val="0"/>
              <w:snapToGrid w:val="0"/>
              <w:spacing w:line="360" w:lineRule="auto"/>
              <w:ind w:firstLine="482" w:firstLineChars="200"/>
              <w:rPr>
                <w:rFonts w:hint="default" w:ascii="Times New Roman" w:hAnsi="Times New Roman" w:eastAsia="宋体" w:cs="Times New Roman"/>
                <w:b/>
                <w:color w:val="auto"/>
                <w:kern w:val="21"/>
                <w:sz w:val="24"/>
                <w:highlight w:val="none"/>
              </w:rPr>
            </w:pPr>
            <w:r>
              <w:rPr>
                <w:rFonts w:hint="default" w:ascii="Times New Roman" w:hAnsi="Times New Roman" w:cs="Times New Roman"/>
                <w:b/>
                <w:color w:val="auto"/>
                <w:kern w:val="21"/>
                <w:sz w:val="24"/>
                <w:highlight w:val="none"/>
                <w:lang w:val="en-US" w:eastAsia="zh-CN"/>
              </w:rPr>
              <w:t>2</w:t>
            </w:r>
            <w:r>
              <w:rPr>
                <w:rFonts w:hint="default" w:ascii="Times New Roman" w:hAnsi="Times New Roman" w:eastAsia="宋体" w:cs="Times New Roman"/>
                <w:b/>
                <w:color w:val="auto"/>
                <w:kern w:val="21"/>
                <w:sz w:val="24"/>
                <w:highlight w:val="none"/>
              </w:rPr>
              <w:t>.</w:t>
            </w:r>
            <w:r>
              <w:rPr>
                <w:rFonts w:hint="default" w:ascii="Times New Roman" w:hAnsi="Times New Roman" w:eastAsia="宋体" w:cs="Times New Roman"/>
                <w:b/>
                <w:color w:val="auto"/>
                <w:kern w:val="21"/>
                <w:sz w:val="24"/>
                <w:highlight w:val="none"/>
                <w:lang w:val="en-US" w:eastAsia="zh-CN"/>
              </w:rPr>
              <w:t>3</w:t>
            </w:r>
            <w:r>
              <w:rPr>
                <w:rFonts w:hint="default" w:ascii="Times New Roman" w:hAnsi="Times New Roman" w:eastAsia="宋体" w:cs="Times New Roman"/>
                <w:b/>
                <w:color w:val="auto"/>
                <w:kern w:val="21"/>
                <w:sz w:val="24"/>
                <w:highlight w:val="none"/>
              </w:rPr>
              <w:t>废气达标排放分析</w:t>
            </w:r>
          </w:p>
          <w:p w14:paraId="652F36FE">
            <w:pPr>
              <w:pStyle w:val="9"/>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bCs/>
                <w:color w:val="auto"/>
                <w:kern w:val="21"/>
                <w:szCs w:val="24"/>
                <w:highlight w:val="none"/>
                <w:lang w:val="en-US" w:eastAsia="zh-CN"/>
              </w:rPr>
            </w:pPr>
            <w:r>
              <w:rPr>
                <w:rFonts w:hint="default" w:ascii="Times New Roman" w:hAnsi="Times New Roman" w:eastAsia="宋体" w:cs="Times New Roman"/>
                <w:bCs/>
                <w:color w:val="auto"/>
                <w:kern w:val="21"/>
                <w:szCs w:val="24"/>
                <w:highlight w:val="none"/>
              </w:rPr>
              <w:t>根据上述污染源分析，</w:t>
            </w:r>
            <w:r>
              <w:rPr>
                <w:rFonts w:hint="default" w:ascii="Times New Roman" w:hAnsi="Times New Roman" w:eastAsia="宋体" w:cs="Times New Roman"/>
                <w:bCs/>
                <w:color w:val="auto"/>
                <w:kern w:val="21"/>
                <w:szCs w:val="24"/>
                <w:highlight w:val="none"/>
                <w:lang w:val="en-US" w:eastAsia="zh-CN"/>
              </w:rPr>
              <w:t>本项目的大气污染物主要是恶臭气体中的N</w:t>
            </w:r>
            <w:r>
              <w:rPr>
                <w:rFonts w:hint="default" w:ascii="Times New Roman" w:hAnsi="Times New Roman" w:cs="Times New Roman"/>
                <w:bCs/>
                <w:color w:val="auto"/>
                <w:kern w:val="21"/>
                <w:szCs w:val="24"/>
                <w:highlight w:val="none"/>
                <w:vertAlign w:val="baseline"/>
                <w:lang w:val="en-US" w:eastAsia="zh-CN"/>
              </w:rPr>
              <w:t>H</w:t>
            </w:r>
            <w:r>
              <w:rPr>
                <w:rFonts w:hint="default" w:ascii="Times New Roman" w:hAnsi="Times New Roman" w:cs="Times New Roman"/>
                <w:bCs/>
                <w:color w:val="auto"/>
                <w:kern w:val="21"/>
                <w:szCs w:val="24"/>
                <w:highlight w:val="none"/>
                <w:vertAlign w:val="subscript"/>
                <w:lang w:val="en-US" w:eastAsia="zh-CN"/>
              </w:rPr>
              <w:t>3</w:t>
            </w:r>
            <w:r>
              <w:rPr>
                <w:rFonts w:hint="default" w:ascii="Times New Roman" w:hAnsi="Times New Roman" w:eastAsia="宋体" w:cs="Times New Roman"/>
                <w:bCs/>
                <w:color w:val="auto"/>
                <w:kern w:val="21"/>
                <w:szCs w:val="24"/>
                <w:highlight w:val="none"/>
                <w:lang w:val="en-US" w:eastAsia="zh-CN"/>
              </w:rPr>
              <w:t>、</w:t>
            </w:r>
            <w:r>
              <w:rPr>
                <w:rFonts w:hint="default" w:ascii="Times New Roman" w:hAnsi="Times New Roman" w:cs="Times New Roman"/>
                <w:bCs/>
                <w:color w:val="auto"/>
                <w:kern w:val="21"/>
                <w:szCs w:val="24"/>
                <w:highlight w:val="none"/>
                <w:vertAlign w:val="baseline"/>
                <w:lang w:val="en-US" w:eastAsia="zh-CN"/>
              </w:rPr>
              <w:t>H</w:t>
            </w:r>
            <w:r>
              <w:rPr>
                <w:rFonts w:hint="default" w:ascii="Times New Roman" w:hAnsi="Times New Roman" w:cs="Times New Roman"/>
                <w:bCs/>
                <w:color w:val="auto"/>
                <w:kern w:val="21"/>
                <w:szCs w:val="24"/>
                <w:highlight w:val="none"/>
                <w:vertAlign w:val="subscript"/>
                <w:lang w:val="en-US" w:eastAsia="zh-CN"/>
              </w:rPr>
              <w:t>2</w:t>
            </w:r>
            <w:r>
              <w:rPr>
                <w:rFonts w:hint="default" w:ascii="Times New Roman" w:hAnsi="Times New Roman" w:eastAsia="宋体" w:cs="Times New Roman"/>
                <w:bCs/>
                <w:color w:val="auto"/>
                <w:kern w:val="21"/>
                <w:szCs w:val="24"/>
                <w:highlight w:val="none"/>
                <w:lang w:val="en-US" w:eastAsia="zh-CN"/>
              </w:rPr>
              <w:t>S</w:t>
            </w:r>
            <w:r>
              <w:rPr>
                <w:rFonts w:hint="default" w:ascii="Times New Roman" w:hAnsi="Times New Roman" w:eastAsia="宋体" w:cs="Times New Roman"/>
                <w:bCs/>
                <w:color w:val="auto"/>
                <w:kern w:val="21"/>
                <w:szCs w:val="24"/>
                <w:highlight w:val="none"/>
              </w:rPr>
              <w:t>。</w:t>
            </w:r>
            <w:r>
              <w:rPr>
                <w:rFonts w:hint="default" w:ascii="Times New Roman" w:hAnsi="Times New Roman" w:eastAsia="宋体" w:cs="Times New Roman"/>
                <w:bCs/>
                <w:color w:val="auto"/>
                <w:kern w:val="21"/>
                <w:szCs w:val="24"/>
                <w:highlight w:val="none"/>
                <w:lang w:val="en-US" w:eastAsia="zh-CN"/>
              </w:rPr>
              <w:t>落实</w:t>
            </w:r>
            <w:r>
              <w:rPr>
                <w:rFonts w:hint="default" w:ascii="Times New Roman" w:hAnsi="Times New Roman" w:cs="Times New Roman"/>
                <w:bCs/>
                <w:color w:val="auto"/>
                <w:kern w:val="21"/>
                <w:szCs w:val="24"/>
                <w:highlight w:val="none"/>
                <w:lang w:val="en-US" w:eastAsia="zh-CN"/>
              </w:rPr>
              <w:t>高效除臭微生物全过程除臭</w:t>
            </w:r>
            <w:r>
              <w:rPr>
                <w:rFonts w:hint="default" w:ascii="Times New Roman" w:hAnsi="Times New Roman" w:eastAsia="宋体" w:cs="Times New Roman"/>
                <w:bCs/>
                <w:color w:val="auto"/>
                <w:kern w:val="21"/>
                <w:szCs w:val="24"/>
                <w:highlight w:val="none"/>
                <w:lang w:val="en-US" w:eastAsia="zh-CN"/>
              </w:rPr>
              <w:t>措施后，无组织排放的废气量较小，厂界恶臭污染物N</w:t>
            </w:r>
            <w:r>
              <w:rPr>
                <w:rFonts w:hint="default" w:ascii="Times New Roman" w:hAnsi="Times New Roman" w:cs="Times New Roman"/>
                <w:bCs/>
                <w:color w:val="auto"/>
                <w:kern w:val="21"/>
                <w:szCs w:val="24"/>
                <w:highlight w:val="none"/>
                <w:vertAlign w:val="baseline"/>
                <w:lang w:val="en-US" w:eastAsia="zh-CN"/>
              </w:rPr>
              <w:t>H</w:t>
            </w:r>
            <w:r>
              <w:rPr>
                <w:rFonts w:hint="default" w:ascii="Times New Roman" w:hAnsi="Times New Roman" w:cs="Times New Roman"/>
                <w:bCs/>
                <w:color w:val="auto"/>
                <w:kern w:val="21"/>
                <w:szCs w:val="24"/>
                <w:highlight w:val="none"/>
                <w:vertAlign w:val="subscript"/>
                <w:lang w:val="en-US" w:eastAsia="zh-CN"/>
              </w:rPr>
              <w:t>3</w:t>
            </w:r>
            <w:r>
              <w:rPr>
                <w:rFonts w:hint="default" w:ascii="Times New Roman" w:hAnsi="Times New Roman" w:eastAsia="宋体" w:cs="Times New Roman"/>
                <w:bCs/>
                <w:color w:val="auto"/>
                <w:kern w:val="21"/>
                <w:szCs w:val="24"/>
                <w:highlight w:val="none"/>
                <w:lang w:val="en-US" w:eastAsia="zh-CN"/>
              </w:rPr>
              <w:t>、</w:t>
            </w:r>
            <w:r>
              <w:rPr>
                <w:rFonts w:hint="default" w:ascii="Times New Roman" w:hAnsi="Times New Roman" w:cs="Times New Roman"/>
                <w:bCs/>
                <w:color w:val="auto"/>
                <w:kern w:val="21"/>
                <w:szCs w:val="24"/>
                <w:highlight w:val="none"/>
                <w:vertAlign w:val="baseline"/>
                <w:lang w:val="en-US" w:eastAsia="zh-CN"/>
              </w:rPr>
              <w:t>H</w:t>
            </w:r>
            <w:r>
              <w:rPr>
                <w:rFonts w:hint="default" w:ascii="Times New Roman" w:hAnsi="Times New Roman" w:cs="Times New Roman"/>
                <w:bCs/>
                <w:color w:val="auto"/>
                <w:kern w:val="21"/>
                <w:szCs w:val="24"/>
                <w:highlight w:val="none"/>
                <w:vertAlign w:val="subscript"/>
                <w:lang w:val="en-US" w:eastAsia="zh-CN"/>
              </w:rPr>
              <w:t>2</w:t>
            </w:r>
            <w:r>
              <w:rPr>
                <w:rFonts w:hint="default" w:ascii="Times New Roman" w:hAnsi="Times New Roman" w:eastAsia="宋体" w:cs="Times New Roman"/>
                <w:bCs/>
                <w:color w:val="auto"/>
                <w:kern w:val="21"/>
                <w:szCs w:val="24"/>
                <w:highlight w:val="none"/>
                <w:lang w:val="en-US" w:eastAsia="zh-CN"/>
              </w:rPr>
              <w:t>S浓度均能达到《城镇污水处理厂污染物排放标准》（</w:t>
            </w:r>
            <w:r>
              <w:rPr>
                <w:rFonts w:hint="default" w:ascii="Times New Roman" w:hAnsi="Times New Roman" w:cs="Times New Roman"/>
                <w:bCs/>
                <w:color w:val="auto"/>
                <w:kern w:val="21"/>
                <w:szCs w:val="24"/>
                <w:highlight w:val="none"/>
                <w:lang w:val="en-US" w:eastAsia="zh-CN"/>
              </w:rPr>
              <w:t xml:space="preserve">GB </w:t>
            </w:r>
            <w:r>
              <w:rPr>
                <w:rFonts w:hint="eastAsia" w:ascii="Times New Roman" w:hAnsi="Times New Roman" w:cs="Times New Roman"/>
                <w:bCs/>
                <w:color w:val="auto"/>
                <w:kern w:val="21"/>
                <w:szCs w:val="24"/>
                <w:highlight w:val="none"/>
                <w:lang w:val="en-US" w:eastAsia="zh-CN"/>
              </w:rPr>
              <w:t>18918—</w:t>
            </w:r>
            <w:r>
              <w:rPr>
                <w:rFonts w:hint="default" w:ascii="Times New Roman" w:hAnsi="Times New Roman" w:eastAsia="宋体" w:cs="Times New Roman"/>
                <w:bCs/>
                <w:color w:val="auto"/>
                <w:kern w:val="21"/>
                <w:szCs w:val="24"/>
                <w:highlight w:val="none"/>
                <w:lang w:val="en-US" w:eastAsia="zh-CN"/>
              </w:rPr>
              <w:t>2002）及其修改单表4中二级标准（N</w:t>
            </w:r>
            <w:r>
              <w:rPr>
                <w:rFonts w:hint="default" w:ascii="Times New Roman" w:hAnsi="Times New Roman" w:cs="Times New Roman"/>
                <w:bCs/>
                <w:color w:val="auto"/>
                <w:kern w:val="21"/>
                <w:szCs w:val="24"/>
                <w:highlight w:val="none"/>
                <w:vertAlign w:val="baseline"/>
                <w:lang w:val="en-US" w:eastAsia="zh-CN"/>
              </w:rPr>
              <w:t>H</w:t>
            </w:r>
            <w:r>
              <w:rPr>
                <w:rFonts w:hint="default" w:ascii="Times New Roman" w:hAnsi="Times New Roman" w:cs="Times New Roman"/>
                <w:bCs/>
                <w:color w:val="auto"/>
                <w:kern w:val="21"/>
                <w:szCs w:val="24"/>
                <w:highlight w:val="none"/>
                <w:vertAlign w:val="subscript"/>
                <w:lang w:val="en-US" w:eastAsia="zh-CN"/>
              </w:rPr>
              <w:t>3</w:t>
            </w:r>
            <w:r>
              <w:rPr>
                <w:rFonts w:hint="default" w:ascii="Times New Roman" w:hAnsi="Times New Roman" w:eastAsia="宋体" w:cs="Times New Roman"/>
                <w:bCs/>
                <w:color w:val="auto"/>
                <w:kern w:val="21"/>
                <w:szCs w:val="24"/>
                <w:highlight w:val="none"/>
                <w:lang w:val="en-US" w:eastAsia="zh-CN"/>
              </w:rPr>
              <w:t>：1.5</w:t>
            </w:r>
            <w:r>
              <w:rPr>
                <w:rFonts w:hint="default" w:ascii="Times New Roman" w:hAnsi="Times New Roman" w:cs="Times New Roman"/>
                <w:bCs/>
                <w:color w:val="auto"/>
                <w:kern w:val="21"/>
                <w:szCs w:val="24"/>
                <w:highlight w:val="none"/>
                <w:lang w:val="en-US" w:eastAsia="zh-CN"/>
              </w:rPr>
              <w:t>m</w:t>
            </w:r>
            <w:r>
              <w:rPr>
                <w:rFonts w:hint="default" w:ascii="Times New Roman" w:hAnsi="Times New Roman" w:eastAsia="宋体" w:cs="Times New Roman"/>
                <w:bCs/>
                <w:color w:val="auto"/>
                <w:kern w:val="21"/>
                <w:szCs w:val="24"/>
                <w:highlight w:val="none"/>
                <w:lang w:val="en-US" w:eastAsia="zh-CN"/>
              </w:rPr>
              <w:t>g/</w:t>
            </w:r>
            <w:r>
              <w:rPr>
                <w:rFonts w:hint="default" w:ascii="Times New Roman" w:hAnsi="Times New Roman" w:cs="Times New Roman"/>
                <w:bCs/>
                <w:color w:val="auto"/>
                <w:kern w:val="21"/>
                <w:szCs w:val="24"/>
                <w:highlight w:val="none"/>
                <w:vertAlign w:val="baseline"/>
                <w:lang w:val="en-US" w:eastAsia="zh-CN"/>
              </w:rPr>
              <w:t>m</w:t>
            </w:r>
            <w:r>
              <w:rPr>
                <w:rFonts w:hint="default" w:ascii="Times New Roman" w:hAnsi="Times New Roman" w:cs="Times New Roman"/>
                <w:bCs/>
                <w:color w:val="auto"/>
                <w:kern w:val="21"/>
                <w:szCs w:val="24"/>
                <w:highlight w:val="none"/>
                <w:vertAlign w:val="superscript"/>
                <w:lang w:val="en-US" w:eastAsia="zh-CN"/>
              </w:rPr>
              <w:t>3</w:t>
            </w:r>
            <w:r>
              <w:rPr>
                <w:rFonts w:hint="default" w:ascii="Times New Roman" w:hAnsi="Times New Roman" w:eastAsia="宋体" w:cs="Times New Roman"/>
                <w:bCs/>
                <w:color w:val="auto"/>
                <w:kern w:val="21"/>
                <w:szCs w:val="24"/>
                <w:highlight w:val="none"/>
                <w:lang w:val="en-US" w:eastAsia="zh-CN"/>
              </w:rPr>
              <w:t>，</w:t>
            </w:r>
            <w:r>
              <w:rPr>
                <w:rFonts w:hint="default" w:ascii="Times New Roman" w:hAnsi="Times New Roman" w:cs="Times New Roman"/>
                <w:bCs/>
                <w:color w:val="auto"/>
                <w:kern w:val="21"/>
                <w:szCs w:val="24"/>
                <w:highlight w:val="none"/>
                <w:vertAlign w:val="baseline"/>
                <w:lang w:val="en-US" w:eastAsia="zh-CN"/>
              </w:rPr>
              <w:t>H</w:t>
            </w:r>
            <w:r>
              <w:rPr>
                <w:rFonts w:hint="default" w:ascii="Times New Roman" w:hAnsi="Times New Roman" w:cs="Times New Roman"/>
                <w:bCs/>
                <w:color w:val="auto"/>
                <w:kern w:val="21"/>
                <w:szCs w:val="24"/>
                <w:highlight w:val="none"/>
                <w:vertAlign w:val="subscript"/>
                <w:lang w:val="en-US" w:eastAsia="zh-CN"/>
              </w:rPr>
              <w:t>2</w:t>
            </w:r>
            <w:r>
              <w:rPr>
                <w:rFonts w:hint="default" w:ascii="Times New Roman" w:hAnsi="Times New Roman" w:eastAsia="宋体" w:cs="Times New Roman"/>
                <w:bCs/>
                <w:color w:val="auto"/>
                <w:kern w:val="21"/>
                <w:szCs w:val="24"/>
                <w:highlight w:val="none"/>
                <w:lang w:val="en-US" w:eastAsia="zh-CN"/>
              </w:rPr>
              <w:t>S：0.06</w:t>
            </w:r>
            <w:r>
              <w:rPr>
                <w:rFonts w:hint="default" w:ascii="Times New Roman" w:hAnsi="Times New Roman" w:cs="Times New Roman"/>
                <w:bCs/>
                <w:color w:val="auto"/>
                <w:kern w:val="21"/>
                <w:szCs w:val="24"/>
                <w:highlight w:val="none"/>
                <w:lang w:val="en-US" w:eastAsia="zh-CN"/>
              </w:rPr>
              <w:t>m</w:t>
            </w:r>
            <w:r>
              <w:rPr>
                <w:rFonts w:hint="default" w:ascii="Times New Roman" w:hAnsi="Times New Roman" w:eastAsia="宋体" w:cs="Times New Roman"/>
                <w:bCs/>
                <w:color w:val="auto"/>
                <w:kern w:val="21"/>
                <w:szCs w:val="24"/>
                <w:highlight w:val="none"/>
                <w:lang w:val="en-US" w:eastAsia="zh-CN"/>
              </w:rPr>
              <w:t>g/</w:t>
            </w:r>
            <w:r>
              <w:rPr>
                <w:rFonts w:hint="default" w:ascii="Times New Roman" w:hAnsi="Times New Roman" w:cs="Times New Roman"/>
                <w:bCs/>
                <w:color w:val="auto"/>
                <w:kern w:val="21"/>
                <w:szCs w:val="24"/>
                <w:highlight w:val="none"/>
                <w:vertAlign w:val="baseline"/>
                <w:lang w:val="en-US" w:eastAsia="zh-CN"/>
              </w:rPr>
              <w:t>m</w:t>
            </w:r>
            <w:r>
              <w:rPr>
                <w:rFonts w:hint="default" w:ascii="Times New Roman" w:hAnsi="Times New Roman" w:cs="Times New Roman"/>
                <w:bCs/>
                <w:color w:val="auto"/>
                <w:kern w:val="21"/>
                <w:szCs w:val="24"/>
                <w:highlight w:val="none"/>
                <w:vertAlign w:val="superscript"/>
                <w:lang w:val="en-US" w:eastAsia="zh-CN"/>
              </w:rPr>
              <w:t>3</w:t>
            </w:r>
            <w:r>
              <w:rPr>
                <w:rFonts w:hint="default" w:ascii="Times New Roman" w:hAnsi="Times New Roman" w:eastAsia="宋体" w:cs="Times New Roman"/>
                <w:bCs/>
                <w:color w:val="auto"/>
                <w:kern w:val="21"/>
                <w:szCs w:val="24"/>
                <w:highlight w:val="none"/>
                <w:lang w:val="en-US" w:eastAsia="zh-CN"/>
              </w:rPr>
              <w:t>）。</w:t>
            </w:r>
          </w:p>
          <w:p w14:paraId="0F675764">
            <w:pPr>
              <w:pStyle w:val="9"/>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bCs/>
                <w:color w:val="auto"/>
                <w:kern w:val="21"/>
                <w:szCs w:val="24"/>
                <w:highlight w:val="none"/>
                <w:lang w:val="en-US" w:eastAsia="zh-CN"/>
              </w:rPr>
            </w:pPr>
            <w:r>
              <w:rPr>
                <w:rFonts w:hint="default" w:ascii="Times New Roman" w:hAnsi="Times New Roman" w:eastAsia="宋体" w:cs="Times New Roman"/>
                <w:bCs/>
                <w:color w:val="auto"/>
                <w:kern w:val="21"/>
                <w:szCs w:val="24"/>
                <w:highlight w:val="none"/>
                <w:lang w:val="en-US" w:eastAsia="zh-CN"/>
              </w:rPr>
              <w:t>因此，为了保证本项目在该地区的可持续发展，项目在营运过程中必须加强管理，避免事故发生；在落实本评价提出的各项治污措施，并实现达标排放的前提下，本项目的建设对评价区域及周边的环境敏感点环境空气的影响不明显，对周边大气环境的影响可以接受。</w:t>
            </w:r>
          </w:p>
          <w:p w14:paraId="455F7E0D">
            <w:pPr>
              <w:spacing w:line="360" w:lineRule="auto"/>
              <w:ind w:firstLine="482" w:firstLineChars="200"/>
              <w:rPr>
                <w:rFonts w:hint="default" w:ascii="Times New Roman" w:hAnsi="Times New Roman" w:eastAsia="宋体" w:cs="Times New Roman"/>
                <w:b/>
                <w:bCs/>
                <w:color w:val="auto"/>
                <w:kern w:val="0"/>
                <w:sz w:val="24"/>
                <w:szCs w:val="20"/>
                <w:highlight w:val="none"/>
              </w:rPr>
            </w:pPr>
            <w:r>
              <w:rPr>
                <w:rFonts w:hint="default" w:ascii="Times New Roman" w:hAnsi="Times New Roman" w:cs="Times New Roman"/>
                <w:b/>
                <w:bCs/>
                <w:color w:val="auto"/>
                <w:kern w:val="0"/>
                <w:sz w:val="24"/>
                <w:szCs w:val="20"/>
                <w:highlight w:val="none"/>
                <w:lang w:val="en-US" w:eastAsia="zh-CN"/>
              </w:rPr>
              <w:t>2</w:t>
            </w:r>
            <w:r>
              <w:rPr>
                <w:rFonts w:hint="default" w:ascii="Times New Roman" w:hAnsi="Times New Roman" w:eastAsia="宋体" w:cs="Times New Roman"/>
                <w:b/>
                <w:bCs/>
                <w:color w:val="auto"/>
                <w:kern w:val="0"/>
                <w:sz w:val="24"/>
                <w:szCs w:val="20"/>
                <w:highlight w:val="none"/>
              </w:rPr>
              <w:t>.</w:t>
            </w:r>
            <w:r>
              <w:rPr>
                <w:rFonts w:hint="default" w:ascii="Times New Roman" w:hAnsi="Times New Roman" w:eastAsia="宋体" w:cs="Times New Roman"/>
                <w:b/>
                <w:bCs/>
                <w:color w:val="auto"/>
                <w:kern w:val="0"/>
                <w:sz w:val="24"/>
                <w:szCs w:val="20"/>
                <w:highlight w:val="none"/>
                <w:lang w:val="en-US" w:eastAsia="zh-CN"/>
              </w:rPr>
              <w:t>4</w:t>
            </w:r>
            <w:r>
              <w:rPr>
                <w:rFonts w:hint="default" w:ascii="Times New Roman" w:hAnsi="Times New Roman" w:eastAsia="宋体" w:cs="Times New Roman"/>
                <w:b/>
                <w:bCs/>
                <w:color w:val="auto"/>
                <w:kern w:val="0"/>
                <w:sz w:val="24"/>
                <w:szCs w:val="20"/>
                <w:highlight w:val="none"/>
              </w:rPr>
              <w:t>监测计划</w:t>
            </w:r>
          </w:p>
          <w:p w14:paraId="5C72AC85">
            <w:pPr>
              <w:spacing w:line="360" w:lineRule="auto"/>
              <w:ind w:firstLine="480" w:firstLineChars="200"/>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根据《排污单位自行监测技术指南 总</w:t>
            </w:r>
            <w:r>
              <w:rPr>
                <w:rFonts w:hint="default" w:ascii="Times New Roman" w:hAnsi="Times New Roman" w:eastAsia="宋体" w:cs="Times New Roman"/>
                <w:color w:val="auto"/>
                <w:kern w:val="0"/>
                <w:sz w:val="24"/>
                <w:szCs w:val="20"/>
                <w:highlight w:val="none"/>
                <w:lang w:eastAsia="zh-CN"/>
              </w:rPr>
              <w:t>则</w:t>
            </w:r>
            <w:r>
              <w:rPr>
                <w:rFonts w:hint="default" w:ascii="Times New Roman" w:hAnsi="Times New Roman" w:eastAsia="宋体" w:cs="Times New Roman"/>
                <w:color w:val="auto"/>
                <w:kern w:val="0"/>
                <w:sz w:val="24"/>
                <w:szCs w:val="20"/>
                <w:highlight w:val="none"/>
              </w:rPr>
              <w:t>》（</w:t>
            </w:r>
            <w:r>
              <w:rPr>
                <w:rFonts w:hint="default" w:ascii="Times New Roman" w:hAnsi="Times New Roman" w:cs="Times New Roman"/>
                <w:color w:val="auto"/>
                <w:kern w:val="0"/>
                <w:sz w:val="24"/>
                <w:szCs w:val="20"/>
                <w:highlight w:val="none"/>
                <w:lang w:eastAsia="zh-CN"/>
              </w:rPr>
              <w:t>H</w:t>
            </w:r>
            <w:r>
              <w:rPr>
                <w:rFonts w:hint="default" w:ascii="Times New Roman" w:hAnsi="Times New Roman" w:eastAsia="宋体" w:cs="Times New Roman"/>
                <w:color w:val="auto"/>
                <w:kern w:val="0"/>
                <w:sz w:val="24"/>
                <w:szCs w:val="20"/>
                <w:highlight w:val="none"/>
              </w:rPr>
              <w:t>J</w:t>
            </w:r>
            <w:r>
              <w:rPr>
                <w:rFonts w:hint="eastAsia" w:ascii="Times New Roman" w:hAnsi="Times New Roman" w:cs="Times New Roman"/>
                <w:color w:val="auto"/>
                <w:kern w:val="0"/>
                <w:sz w:val="24"/>
                <w:szCs w:val="20"/>
                <w:highlight w:val="none"/>
                <w:lang w:val="en-US" w:eastAsia="zh-CN"/>
              </w:rPr>
              <w:t xml:space="preserve"> </w:t>
            </w:r>
            <w:r>
              <w:rPr>
                <w:rFonts w:hint="default" w:ascii="Times New Roman" w:hAnsi="Times New Roman" w:eastAsia="宋体" w:cs="Times New Roman"/>
                <w:color w:val="auto"/>
                <w:kern w:val="0"/>
                <w:sz w:val="24"/>
                <w:szCs w:val="20"/>
                <w:highlight w:val="none"/>
              </w:rPr>
              <w:t>819</w:t>
            </w:r>
            <w:r>
              <w:rPr>
                <w:rFonts w:hint="eastAsia" w:ascii="Times New Roman" w:hAnsi="Times New Roman" w:cs="Times New Roman"/>
                <w:color w:val="auto"/>
                <w:kern w:val="0"/>
                <w:sz w:val="24"/>
                <w:szCs w:val="20"/>
                <w:highlight w:val="none"/>
                <w:lang w:eastAsia="zh-CN"/>
              </w:rPr>
              <w:t>—2017</w:t>
            </w:r>
            <w:r>
              <w:rPr>
                <w:rFonts w:hint="default" w:ascii="Times New Roman" w:hAnsi="Times New Roman" w:eastAsia="宋体" w:cs="Times New Roman"/>
                <w:color w:val="auto"/>
                <w:kern w:val="0"/>
                <w:sz w:val="24"/>
                <w:szCs w:val="20"/>
                <w:highlight w:val="none"/>
              </w:rPr>
              <w:t>）</w:t>
            </w:r>
            <w:r>
              <w:rPr>
                <w:rFonts w:hint="default"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lang w:val="en-US" w:eastAsia="zh-CN"/>
              </w:rPr>
              <w:t>排污单位自行监测技术指南 水处理</w:t>
            </w:r>
            <w:r>
              <w:rPr>
                <w:rFonts w:hint="default" w:ascii="Times New Roman" w:hAnsi="Times New Roman" w:eastAsia="宋体" w:cs="Times New Roman"/>
                <w:color w:val="auto"/>
                <w:kern w:val="0"/>
                <w:sz w:val="24"/>
                <w:szCs w:val="20"/>
                <w:highlight w:val="none"/>
                <w:lang w:eastAsia="zh-CN"/>
              </w:rPr>
              <w:t>》（</w:t>
            </w:r>
            <w:r>
              <w:rPr>
                <w:rFonts w:hint="default" w:ascii="Times New Roman" w:hAnsi="Times New Roman" w:cs="Times New Roman"/>
                <w:color w:val="auto"/>
                <w:kern w:val="0"/>
                <w:sz w:val="24"/>
                <w:szCs w:val="20"/>
                <w:highlight w:val="none"/>
                <w:lang w:val="en-US" w:eastAsia="zh-CN"/>
              </w:rPr>
              <w:t>H</w:t>
            </w:r>
            <w:r>
              <w:rPr>
                <w:rFonts w:hint="default" w:ascii="Times New Roman" w:hAnsi="Times New Roman" w:eastAsia="宋体" w:cs="Times New Roman"/>
                <w:color w:val="auto"/>
                <w:kern w:val="0"/>
                <w:sz w:val="24"/>
                <w:szCs w:val="20"/>
                <w:highlight w:val="none"/>
                <w:lang w:val="en-US" w:eastAsia="zh-CN"/>
              </w:rPr>
              <w:t>J 1083</w:t>
            </w:r>
            <w:r>
              <w:rPr>
                <w:rFonts w:hint="eastAsia" w:ascii="Times New Roman" w:hAnsi="Times New Roman" w:cs="Times New Roman"/>
                <w:color w:val="auto"/>
                <w:kern w:val="0"/>
                <w:sz w:val="24"/>
                <w:szCs w:val="20"/>
                <w:highlight w:val="none"/>
                <w:lang w:val="en-US" w:eastAsia="zh-CN"/>
              </w:rPr>
              <w:t>—2020</w:t>
            </w:r>
            <w:r>
              <w:rPr>
                <w:rFonts w:hint="default" w:ascii="Times New Roman" w:hAnsi="Times New Roman" w:eastAsia="宋体"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，本项目大气监测</w:t>
            </w:r>
            <w:r>
              <w:rPr>
                <w:rFonts w:hint="default" w:ascii="Times New Roman" w:hAnsi="Times New Roman" w:eastAsia="宋体" w:cs="Times New Roman"/>
                <w:color w:val="auto"/>
                <w:kern w:val="0"/>
                <w:sz w:val="24"/>
                <w:szCs w:val="20"/>
                <w:highlight w:val="none"/>
                <w:lang w:eastAsia="zh-CN"/>
              </w:rPr>
              <w:t>纳入锡尼镇污水处理厂厂区监测计划并综合考虑</w:t>
            </w:r>
            <w:r>
              <w:rPr>
                <w:rFonts w:hint="eastAsia" w:cs="Times New Roman"/>
                <w:color w:val="auto"/>
                <w:kern w:val="0"/>
                <w:sz w:val="24"/>
                <w:szCs w:val="20"/>
                <w:highlight w:val="none"/>
                <w:lang w:eastAsia="zh-CN"/>
              </w:rPr>
              <w:t>。</w:t>
            </w:r>
            <w:r>
              <w:rPr>
                <w:rFonts w:hint="default" w:ascii="Times New Roman" w:hAnsi="Times New Roman" w:eastAsia="宋体" w:cs="Times New Roman"/>
                <w:color w:val="auto"/>
                <w:kern w:val="0"/>
                <w:sz w:val="24"/>
                <w:szCs w:val="20"/>
                <w:highlight w:val="none"/>
              </w:rPr>
              <w:t>监测点位、监测因子和频次见表4-</w:t>
            </w:r>
            <w:r>
              <w:rPr>
                <w:rFonts w:hint="default" w:ascii="Times New Roman" w:hAnsi="Times New Roman" w:cs="Times New Roman"/>
                <w:color w:val="auto"/>
                <w:kern w:val="0"/>
                <w:sz w:val="24"/>
                <w:szCs w:val="20"/>
                <w:highlight w:val="none"/>
                <w:lang w:val="en-US" w:eastAsia="zh-CN"/>
              </w:rPr>
              <w:t>3</w:t>
            </w:r>
            <w:r>
              <w:rPr>
                <w:rFonts w:hint="default" w:ascii="Times New Roman" w:hAnsi="Times New Roman" w:eastAsia="宋体" w:cs="Times New Roman"/>
                <w:color w:val="auto"/>
                <w:kern w:val="0"/>
                <w:sz w:val="24"/>
                <w:szCs w:val="20"/>
                <w:highlight w:val="none"/>
              </w:rPr>
              <w:t>。</w:t>
            </w:r>
          </w:p>
          <w:p w14:paraId="1E7150E1">
            <w:pPr>
              <w:adjustRightInd w:val="0"/>
              <w:snapToGrid w:val="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w:t>
            </w:r>
            <w:r>
              <w:rPr>
                <w:rFonts w:hint="default" w:ascii="Times New Roman" w:hAnsi="Times New Roman"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大气环境监测内容一览表</w:t>
            </w:r>
          </w:p>
          <w:tbl>
            <w:tblPr>
              <w:tblStyle w:val="11"/>
              <w:tblW w:w="489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940"/>
              <w:gridCol w:w="1114"/>
              <w:gridCol w:w="1833"/>
              <w:gridCol w:w="1347"/>
              <w:gridCol w:w="2718"/>
            </w:tblGrid>
            <w:tr w14:paraId="05A79D8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513" w:hRule="atLeast"/>
                <w:jc w:val="center"/>
              </w:trPr>
              <w:tc>
                <w:tcPr>
                  <w:tcW w:w="591" w:type="pct"/>
                  <w:tcBorders>
                    <w:top w:val="single" w:color="auto" w:sz="4" w:space="0"/>
                    <w:left w:val="single" w:color="auto" w:sz="0" w:space="0"/>
                  </w:tcBorders>
                  <w:vAlign w:val="center"/>
                </w:tcPr>
                <w:p w14:paraId="21304A9C">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700" w:type="pct"/>
                  <w:tcBorders>
                    <w:top w:val="single" w:color="auto" w:sz="4" w:space="0"/>
                  </w:tcBorders>
                  <w:vAlign w:val="center"/>
                </w:tcPr>
                <w:p w14:paraId="3121B70C">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1152" w:type="pct"/>
                  <w:tcBorders>
                    <w:top w:val="single" w:color="auto" w:sz="4" w:space="0"/>
                  </w:tcBorders>
                  <w:vAlign w:val="center"/>
                </w:tcPr>
                <w:p w14:paraId="3F042096">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监测位置</w:t>
                  </w:r>
                </w:p>
              </w:tc>
              <w:tc>
                <w:tcPr>
                  <w:tcW w:w="846" w:type="pct"/>
                  <w:tcBorders>
                    <w:top w:val="single" w:color="auto" w:sz="4" w:space="0"/>
                  </w:tcBorders>
                  <w:vAlign w:val="center"/>
                </w:tcPr>
                <w:p w14:paraId="6DA038F7">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监测频次</w:t>
                  </w:r>
                </w:p>
              </w:tc>
              <w:tc>
                <w:tcPr>
                  <w:tcW w:w="1709" w:type="pct"/>
                  <w:tcBorders>
                    <w:top w:val="single" w:color="auto" w:sz="4" w:space="0"/>
                    <w:right w:val="single" w:color="auto" w:sz="4" w:space="0"/>
                  </w:tcBorders>
                  <w:vAlign w:val="center"/>
                </w:tcPr>
                <w:p w14:paraId="0F809F4E">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控制指标</w:t>
                  </w:r>
                </w:p>
              </w:tc>
            </w:tr>
            <w:tr w14:paraId="7EDEB072">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591" w:type="pct"/>
                  <w:vMerge w:val="restart"/>
                  <w:tcBorders>
                    <w:left w:val="single" w:color="auto" w:sz="4" w:space="0"/>
                    <w:bottom w:val="single" w:color="auto" w:sz="4" w:space="0"/>
                  </w:tcBorders>
                  <w:vAlign w:val="center"/>
                </w:tcPr>
                <w:p w14:paraId="2E65B97D">
                  <w:pPr>
                    <w:pStyle w:val="17"/>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无组织废气</w:t>
                  </w:r>
                </w:p>
              </w:tc>
              <w:tc>
                <w:tcPr>
                  <w:tcW w:w="700" w:type="pct"/>
                  <w:tcBorders>
                    <w:bottom w:val="single" w:color="auto" w:sz="4" w:space="0"/>
                  </w:tcBorders>
                  <w:vAlign w:val="center"/>
                </w:tcPr>
                <w:p w14:paraId="763085ED">
                  <w:pPr>
                    <w:pStyle w:val="17"/>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vertAlign w:val="baseline"/>
                      <w:lang w:val="en-US" w:eastAsia="zh-CN"/>
                    </w:rPr>
                    <w:t>H</w:t>
                  </w:r>
                  <w:r>
                    <w:rPr>
                      <w:rFonts w:hint="default" w:ascii="Times New Roman" w:hAnsi="Times New Roman" w:cs="Times New Roman"/>
                      <w:color w:val="auto"/>
                      <w:sz w:val="21"/>
                      <w:szCs w:val="21"/>
                      <w:vertAlign w:val="subscript"/>
                      <w:lang w:val="en-US" w:eastAsia="zh-CN"/>
                    </w:rPr>
                    <w:t>2</w:t>
                  </w:r>
                  <w:r>
                    <w:rPr>
                      <w:rFonts w:hint="default" w:ascii="Times New Roman" w:hAnsi="Times New Roman" w:cs="Times New Roman"/>
                      <w:color w:val="auto"/>
                      <w:sz w:val="21"/>
                      <w:szCs w:val="21"/>
                      <w:lang w:val="en-US" w:eastAsia="zh-CN"/>
                    </w:rPr>
                    <w:t>S、N</w:t>
                  </w:r>
                  <w:r>
                    <w:rPr>
                      <w:rFonts w:hint="default" w:ascii="Times New Roman" w:hAnsi="Times New Roman" w:cs="Times New Roman"/>
                      <w:color w:val="auto"/>
                      <w:sz w:val="21"/>
                      <w:szCs w:val="21"/>
                      <w:vertAlign w:val="baseline"/>
                      <w:lang w:val="en-US" w:eastAsia="zh-CN"/>
                    </w:rPr>
                    <w:t>H</w:t>
                  </w:r>
                  <w:r>
                    <w:rPr>
                      <w:rFonts w:hint="default" w:ascii="Times New Roman" w:hAnsi="Times New Roman" w:cs="Times New Roman"/>
                      <w:color w:val="auto"/>
                      <w:sz w:val="21"/>
                      <w:szCs w:val="21"/>
                      <w:vertAlign w:val="subscript"/>
                      <w:lang w:val="en-US" w:eastAsia="zh-CN"/>
                    </w:rPr>
                    <w:t>3</w:t>
                  </w:r>
                  <w:r>
                    <w:rPr>
                      <w:rFonts w:hint="default" w:ascii="Times New Roman" w:hAnsi="Times New Roman" w:cs="Times New Roman"/>
                      <w:color w:val="auto"/>
                      <w:sz w:val="21"/>
                      <w:szCs w:val="21"/>
                      <w:lang w:val="en-US" w:eastAsia="zh-CN"/>
                    </w:rPr>
                    <w:t>、臭气浓度</w:t>
                  </w:r>
                </w:p>
              </w:tc>
              <w:tc>
                <w:tcPr>
                  <w:tcW w:w="1152" w:type="pct"/>
                  <w:tcBorders>
                    <w:bottom w:val="single" w:color="auto" w:sz="4" w:space="0"/>
                  </w:tcBorders>
                  <w:vAlign w:val="center"/>
                </w:tcPr>
                <w:p w14:paraId="692BD676">
                  <w:pPr>
                    <w:pStyle w:val="17"/>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厂</w:t>
                  </w:r>
                  <w:r>
                    <w:rPr>
                      <w:rFonts w:hint="default" w:ascii="Times New Roman" w:hAnsi="Times New Roman" w:cs="Times New Roman"/>
                      <w:color w:val="auto"/>
                      <w:sz w:val="21"/>
                      <w:szCs w:val="21"/>
                    </w:rPr>
                    <w:t>界</w:t>
                  </w:r>
                </w:p>
              </w:tc>
              <w:tc>
                <w:tcPr>
                  <w:tcW w:w="846" w:type="pct"/>
                  <w:tcBorders>
                    <w:bottom w:val="single" w:color="auto" w:sz="4" w:space="0"/>
                  </w:tcBorders>
                  <w:vAlign w:val="center"/>
                </w:tcPr>
                <w:p w14:paraId="27EED3A5">
                  <w:pPr>
                    <w:pStyle w:val="17"/>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1次/半年</w:t>
                  </w:r>
                </w:p>
              </w:tc>
              <w:tc>
                <w:tcPr>
                  <w:tcW w:w="1709" w:type="pct"/>
                  <w:vMerge w:val="restart"/>
                  <w:tcBorders>
                    <w:bottom w:val="single" w:color="auto" w:sz="4" w:space="0"/>
                    <w:right w:val="single" w:color="auto" w:sz="4" w:space="0"/>
                  </w:tcBorders>
                  <w:vAlign w:val="center"/>
                </w:tcPr>
                <w:p w14:paraId="351D54A6">
                  <w:pPr>
                    <w:pStyle w:val="17"/>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 xml:space="preserve">《城镇污水处理厂污染物排放标准》（GB </w:t>
                  </w:r>
                  <w:r>
                    <w:rPr>
                      <w:rFonts w:hint="eastAsia" w:ascii="Times New Roman" w:hAnsi="Times New Roman" w:cs="Times New Roman"/>
                      <w:color w:val="auto"/>
                      <w:sz w:val="21"/>
                      <w:szCs w:val="21"/>
                      <w:lang w:eastAsia="zh-CN"/>
                    </w:rPr>
                    <w:t>18918—</w:t>
                  </w:r>
                  <w:r>
                    <w:rPr>
                      <w:rFonts w:hint="default" w:ascii="Times New Roman" w:hAnsi="Times New Roman" w:cs="Times New Roman"/>
                      <w:color w:val="auto"/>
                      <w:sz w:val="21"/>
                      <w:szCs w:val="21"/>
                      <w:lang w:eastAsia="zh-CN"/>
                    </w:rPr>
                    <w:t>2002）及其修改单表4中二级标准</w:t>
                  </w:r>
                  <w:r>
                    <w:rPr>
                      <w:rFonts w:hint="eastAsia" w:cs="Times New Roman"/>
                      <w:color w:val="auto"/>
                      <w:sz w:val="21"/>
                      <w:szCs w:val="21"/>
                      <w:lang w:eastAsia="zh-CN"/>
                    </w:rPr>
                    <w:t>。</w:t>
                  </w:r>
                </w:p>
              </w:tc>
            </w:tr>
            <w:tr w14:paraId="1990B715">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4" w:hRule="atLeast"/>
                <w:jc w:val="center"/>
              </w:trPr>
              <w:tc>
                <w:tcPr>
                  <w:tcW w:w="591" w:type="pct"/>
                  <w:vMerge w:val="continue"/>
                  <w:tcBorders>
                    <w:top w:val="single" w:color="auto" w:sz="4" w:space="0"/>
                    <w:left w:val="single" w:color="auto" w:sz="4" w:space="0"/>
                  </w:tcBorders>
                  <w:vAlign w:val="center"/>
                </w:tcPr>
                <w:p w14:paraId="0600F2C6">
                  <w:pPr>
                    <w:pStyle w:val="17"/>
                    <w:bidi w:val="0"/>
                    <w:rPr>
                      <w:rFonts w:hint="default" w:ascii="Times New Roman" w:hAnsi="Times New Roman" w:cs="Times New Roman"/>
                      <w:color w:val="auto"/>
                      <w:sz w:val="21"/>
                      <w:szCs w:val="21"/>
                    </w:rPr>
                  </w:pPr>
                </w:p>
              </w:tc>
              <w:tc>
                <w:tcPr>
                  <w:tcW w:w="700" w:type="pct"/>
                  <w:tcBorders>
                    <w:top w:val="single" w:color="auto" w:sz="4" w:space="0"/>
                  </w:tcBorders>
                  <w:vAlign w:val="center"/>
                </w:tcPr>
                <w:p w14:paraId="23C3F5AE">
                  <w:pPr>
                    <w:pStyle w:val="1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甲烷</w:t>
                  </w:r>
                </w:p>
              </w:tc>
              <w:tc>
                <w:tcPr>
                  <w:tcW w:w="1152" w:type="pct"/>
                  <w:tcBorders>
                    <w:top w:val="single" w:color="auto" w:sz="4" w:space="0"/>
                  </w:tcBorders>
                  <w:vAlign w:val="center"/>
                </w:tcPr>
                <w:p w14:paraId="41C5CE61">
                  <w:pPr>
                    <w:pStyle w:val="1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厂区甲烷体积浓度最高处</w:t>
                  </w:r>
                </w:p>
              </w:tc>
              <w:tc>
                <w:tcPr>
                  <w:tcW w:w="846" w:type="pct"/>
                  <w:tcBorders>
                    <w:top w:val="single" w:color="auto" w:sz="4" w:space="0"/>
                  </w:tcBorders>
                  <w:vAlign w:val="center"/>
                </w:tcPr>
                <w:p w14:paraId="73DF6D5B">
                  <w:pPr>
                    <w:pStyle w:val="1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1次/年</w:t>
                  </w:r>
                </w:p>
              </w:tc>
              <w:tc>
                <w:tcPr>
                  <w:tcW w:w="1709" w:type="pct"/>
                  <w:vMerge w:val="continue"/>
                  <w:tcBorders>
                    <w:top w:val="single" w:color="auto" w:sz="4" w:space="0"/>
                    <w:right w:val="single" w:color="auto" w:sz="4" w:space="0"/>
                  </w:tcBorders>
                  <w:vAlign w:val="center"/>
                </w:tcPr>
                <w:p w14:paraId="48FD076C">
                  <w:pPr>
                    <w:pStyle w:val="17"/>
                    <w:bidi w:val="0"/>
                    <w:rPr>
                      <w:rFonts w:hint="default" w:ascii="Times New Roman" w:hAnsi="Times New Roman" w:cs="Times New Roman"/>
                      <w:color w:val="auto"/>
                      <w:sz w:val="21"/>
                      <w:szCs w:val="21"/>
                      <w:lang w:eastAsia="zh-CN"/>
                    </w:rPr>
                  </w:pPr>
                </w:p>
              </w:tc>
            </w:tr>
          </w:tbl>
          <w:p w14:paraId="46A6EC91">
            <w:pPr>
              <w:adjustRightInd w:val="0"/>
              <w:snapToGrid w:val="0"/>
              <w:spacing w:line="360" w:lineRule="auto"/>
              <w:ind w:firstLine="482" w:firstLineChars="200"/>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kern w:val="0"/>
                <w:sz w:val="24"/>
                <w:highlight w:val="none"/>
              </w:rPr>
              <w:t>3.噪声</w:t>
            </w:r>
          </w:p>
          <w:p w14:paraId="0CCE497A">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3.1噪声源强及治理措施</w:t>
            </w:r>
          </w:p>
          <w:p w14:paraId="60E575C8">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项目噪声主要来源于</w:t>
            </w:r>
            <w:r>
              <w:rPr>
                <w:rFonts w:hint="default" w:ascii="Times New Roman" w:hAnsi="Times New Roman" w:eastAsia="宋体" w:cs="Times New Roman"/>
                <w:bCs/>
                <w:color w:val="auto"/>
                <w:sz w:val="24"/>
                <w:highlight w:val="none"/>
                <w:lang w:val="en-US" w:eastAsia="zh-CN"/>
              </w:rPr>
              <w:t>污水处理厂各类风机、水泵等机械设备</w:t>
            </w:r>
            <w:r>
              <w:rPr>
                <w:rFonts w:hint="default" w:ascii="Times New Roman" w:hAnsi="Times New Roman" w:cs="Times New Roman"/>
                <w:bCs/>
                <w:color w:val="auto"/>
                <w:sz w:val="24"/>
                <w:highlight w:val="none"/>
                <w:lang w:val="en-US" w:eastAsia="zh-CN"/>
              </w:rPr>
              <w:t>的</w:t>
            </w:r>
            <w:r>
              <w:rPr>
                <w:rFonts w:hint="default" w:ascii="Times New Roman" w:hAnsi="Times New Roman" w:eastAsia="宋体" w:cs="Times New Roman"/>
                <w:bCs/>
                <w:color w:val="auto"/>
                <w:sz w:val="24"/>
                <w:highlight w:val="none"/>
              </w:rPr>
              <w:t>运转。根据设计，项目各噪声设备采取的降噪措施，对噪声有一定衰减</w:t>
            </w:r>
            <w:r>
              <w:rPr>
                <w:rFonts w:hint="default" w:ascii="Times New Roman" w:hAnsi="Times New Roman" w:cs="Times New Roman"/>
                <w:bCs/>
                <w:color w:val="auto"/>
                <w:sz w:val="24"/>
                <w:highlight w:val="none"/>
                <w:lang w:eastAsia="zh-CN"/>
              </w:rPr>
              <w:t>作用</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详见表4-</w:t>
            </w:r>
            <w:r>
              <w:rPr>
                <w:rFonts w:hint="default" w:ascii="Times New Roman" w:hAnsi="Times New Roman" w:cs="Times New Roman"/>
                <w:bCs/>
                <w:color w:val="auto"/>
                <w:sz w:val="24"/>
                <w:highlight w:val="none"/>
                <w:lang w:val="en-US" w:eastAsia="zh-CN"/>
              </w:rPr>
              <w:t>4</w:t>
            </w:r>
            <w:r>
              <w:rPr>
                <w:rFonts w:hint="default" w:ascii="Times New Roman" w:hAnsi="Times New Roman" w:eastAsia="宋体" w:cs="Times New Roman"/>
                <w:bCs/>
                <w:color w:val="auto"/>
                <w:sz w:val="24"/>
                <w:highlight w:val="none"/>
              </w:rPr>
              <w:t>。</w:t>
            </w:r>
          </w:p>
          <w:p w14:paraId="4FC84F63">
            <w:pPr>
              <w:pStyle w:val="18"/>
              <w:rPr>
                <w:rFonts w:hint="default" w:ascii="Times New Roman" w:hAnsi="Times New Roman" w:eastAsia="宋体" w:cs="Times New Roman"/>
                <w:bCs/>
                <w:color w:val="auto"/>
                <w:szCs w:val="21"/>
                <w:highlight w:val="none"/>
              </w:rPr>
            </w:pPr>
            <w:r>
              <w:rPr>
                <w:rFonts w:hint="default" w:ascii="Times New Roman" w:hAnsi="Times New Roman" w:eastAsia="宋体" w:cs="Times New Roman"/>
                <w:color w:val="auto"/>
                <w:highlight w:val="none"/>
              </w:rPr>
              <w:t>表4-</w:t>
            </w:r>
            <w:r>
              <w:rPr>
                <w:rFonts w:hint="default" w:ascii="Times New Roman" w:hAnsi="Times New Roman" w:cs="Times New Roman"/>
                <w:color w:val="auto"/>
                <w:highlight w:val="none"/>
                <w:lang w:val="en-US" w:eastAsia="zh-CN"/>
              </w:rPr>
              <w:t xml:space="preserve">4 </w:t>
            </w:r>
            <w:r>
              <w:rPr>
                <w:rFonts w:hint="default" w:ascii="Times New Roman" w:hAnsi="Times New Roman" w:eastAsia="宋体" w:cs="Times New Roman"/>
                <w:color w:val="auto"/>
                <w:highlight w:val="none"/>
              </w:rPr>
              <w:t>各声源设备的</w:t>
            </w:r>
            <w:r>
              <w:rPr>
                <w:rFonts w:hint="default" w:ascii="Times New Roman" w:hAnsi="Times New Roman" w:eastAsia="宋体" w:cs="Times New Roman"/>
                <w:color w:val="auto"/>
                <w:highlight w:val="none"/>
                <w:lang w:val="en-US" w:eastAsia="zh-CN"/>
              </w:rPr>
              <w:t>噪声</w:t>
            </w:r>
            <w:r>
              <w:rPr>
                <w:rFonts w:hint="default" w:ascii="Times New Roman" w:hAnsi="Times New Roman" w:eastAsia="宋体" w:cs="Times New Roman"/>
                <w:color w:val="auto"/>
                <w:highlight w:val="none"/>
              </w:rPr>
              <w:t>源强表</w:t>
            </w:r>
          </w:p>
          <w:tbl>
            <w:tblPr>
              <w:tblStyle w:val="11"/>
              <w:tblW w:w="8220" w:type="dxa"/>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56"/>
              <w:gridCol w:w="857"/>
              <w:gridCol w:w="2151"/>
              <w:gridCol w:w="1271"/>
              <w:gridCol w:w="960"/>
              <w:gridCol w:w="749"/>
              <w:gridCol w:w="960"/>
              <w:gridCol w:w="816"/>
            </w:tblGrid>
            <w:tr w14:paraId="405E25E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12" w:hRule="atLeast"/>
                <w:jc w:val="center"/>
              </w:trPr>
              <w:tc>
                <w:tcPr>
                  <w:tcW w:w="456" w:type="dxa"/>
                  <w:tcBorders>
                    <w:top w:val="single" w:color="auto" w:sz="4" w:space="0"/>
                    <w:left w:val="single" w:color="auto" w:sz="0" w:space="0"/>
                    <w:tl2br w:val="nil"/>
                    <w:tr2bl w:val="nil"/>
                  </w:tcBorders>
                  <w:shd w:val="clear" w:color="auto" w:fill="auto"/>
                  <w:vAlign w:val="center"/>
                </w:tcPr>
                <w:p w14:paraId="10B3DEA5">
                  <w:pPr>
                    <w:pStyle w:val="17"/>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序号</w:t>
                  </w:r>
                </w:p>
              </w:tc>
              <w:tc>
                <w:tcPr>
                  <w:tcW w:w="857" w:type="dxa"/>
                  <w:tcBorders>
                    <w:top w:val="single" w:color="auto" w:sz="4" w:space="0"/>
                    <w:tl2br w:val="nil"/>
                    <w:tr2bl w:val="nil"/>
                  </w:tcBorders>
                  <w:shd w:val="clear" w:color="auto" w:fill="auto"/>
                  <w:noWrap/>
                  <w:vAlign w:val="center"/>
                </w:tcPr>
                <w:p w14:paraId="1B1BF694">
                  <w:pPr>
                    <w:pStyle w:val="17"/>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位置</w:t>
                  </w:r>
                </w:p>
              </w:tc>
              <w:tc>
                <w:tcPr>
                  <w:tcW w:w="2151" w:type="dxa"/>
                  <w:tcBorders>
                    <w:top w:val="single" w:color="auto" w:sz="4" w:space="0"/>
                    <w:tl2br w:val="nil"/>
                    <w:tr2bl w:val="nil"/>
                  </w:tcBorders>
                  <w:shd w:val="clear" w:color="auto" w:fill="auto"/>
                  <w:vAlign w:val="center"/>
                </w:tcPr>
                <w:p w14:paraId="6853BC4F">
                  <w:pPr>
                    <w:pStyle w:val="17"/>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名称</w:t>
                  </w:r>
                </w:p>
              </w:tc>
              <w:tc>
                <w:tcPr>
                  <w:tcW w:w="1271" w:type="dxa"/>
                  <w:tcBorders>
                    <w:top w:val="single" w:color="auto" w:sz="4" w:space="0"/>
                    <w:tl2br w:val="nil"/>
                    <w:tr2bl w:val="nil"/>
                  </w:tcBorders>
                  <w:shd w:val="clear" w:color="auto" w:fill="auto"/>
                  <w:vAlign w:val="center"/>
                </w:tcPr>
                <w:p w14:paraId="52D123E1">
                  <w:pPr>
                    <w:pStyle w:val="17"/>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数量（台）</w:t>
                  </w:r>
                </w:p>
              </w:tc>
              <w:tc>
                <w:tcPr>
                  <w:tcW w:w="960" w:type="dxa"/>
                  <w:tcBorders>
                    <w:top w:val="single" w:color="auto" w:sz="4" w:space="0"/>
                    <w:tl2br w:val="nil"/>
                    <w:tr2bl w:val="nil"/>
                  </w:tcBorders>
                  <w:shd w:val="clear" w:color="auto" w:fill="auto"/>
                  <w:vAlign w:val="center"/>
                </w:tcPr>
                <w:p w14:paraId="280EC09F">
                  <w:pPr>
                    <w:pStyle w:val="17"/>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声级值dB（A）</w:t>
                  </w:r>
                </w:p>
              </w:tc>
              <w:tc>
                <w:tcPr>
                  <w:tcW w:w="749" w:type="dxa"/>
                  <w:tcBorders>
                    <w:top w:val="single" w:color="auto" w:sz="4" w:space="0"/>
                    <w:tl2br w:val="nil"/>
                    <w:tr2bl w:val="nil"/>
                  </w:tcBorders>
                  <w:shd w:val="clear" w:color="auto" w:fill="auto"/>
                  <w:vAlign w:val="center"/>
                </w:tcPr>
                <w:p w14:paraId="5B5FBA16">
                  <w:pPr>
                    <w:pStyle w:val="17"/>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降噪措施</w:t>
                  </w:r>
                </w:p>
              </w:tc>
              <w:tc>
                <w:tcPr>
                  <w:tcW w:w="960" w:type="dxa"/>
                  <w:tcBorders>
                    <w:top w:val="single" w:color="auto" w:sz="4" w:space="0"/>
                    <w:tl2br w:val="nil"/>
                    <w:tr2bl w:val="nil"/>
                  </w:tcBorders>
                  <w:shd w:val="clear" w:color="auto" w:fill="auto"/>
                  <w:vAlign w:val="center"/>
                </w:tcPr>
                <w:p w14:paraId="67AAB115">
                  <w:pPr>
                    <w:pStyle w:val="17"/>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降噪后源强（A）</w:t>
                  </w:r>
                </w:p>
              </w:tc>
              <w:tc>
                <w:tcPr>
                  <w:tcW w:w="816" w:type="dxa"/>
                  <w:tcBorders>
                    <w:top w:val="single" w:color="auto" w:sz="4" w:space="0"/>
                    <w:right w:val="single" w:color="auto" w:sz="4" w:space="0"/>
                    <w:tl2br w:val="nil"/>
                    <w:tr2bl w:val="nil"/>
                  </w:tcBorders>
                  <w:shd w:val="clear" w:color="auto" w:fill="auto"/>
                  <w:vAlign w:val="center"/>
                </w:tcPr>
                <w:p w14:paraId="70C7F1FC">
                  <w:pPr>
                    <w:pStyle w:val="17"/>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发生持续时间</w:t>
                  </w:r>
                </w:p>
              </w:tc>
            </w:tr>
            <w:tr w14:paraId="25C7855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2EE9E75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857" w:type="dxa"/>
                  <w:vMerge w:val="restart"/>
                  <w:tcBorders>
                    <w:tl2br w:val="nil"/>
                    <w:tr2bl w:val="nil"/>
                  </w:tcBorders>
                  <w:shd w:val="clear" w:color="auto" w:fill="auto"/>
                  <w:vAlign w:val="center"/>
                </w:tcPr>
                <w:p w14:paraId="31A525F8">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预处理间</w:t>
                  </w:r>
                </w:p>
              </w:tc>
              <w:tc>
                <w:tcPr>
                  <w:tcW w:w="2151" w:type="dxa"/>
                  <w:tcBorders>
                    <w:tl2br w:val="nil"/>
                    <w:tr2bl w:val="nil"/>
                  </w:tcBorders>
                  <w:shd w:val="clear" w:color="auto" w:fill="auto"/>
                  <w:vAlign w:val="center"/>
                </w:tcPr>
                <w:p w14:paraId="6CDB7D9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粗格栅-反捞式格栅除污机</w:t>
                  </w:r>
                </w:p>
              </w:tc>
              <w:tc>
                <w:tcPr>
                  <w:tcW w:w="1271" w:type="dxa"/>
                  <w:tcBorders>
                    <w:tl2br w:val="nil"/>
                    <w:tr2bl w:val="nil"/>
                  </w:tcBorders>
                  <w:shd w:val="clear" w:color="auto" w:fill="auto"/>
                  <w:vAlign w:val="center"/>
                </w:tcPr>
                <w:p w14:paraId="4826E2F9">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p>
              </w:tc>
              <w:tc>
                <w:tcPr>
                  <w:tcW w:w="960" w:type="dxa"/>
                  <w:tcBorders>
                    <w:tl2br w:val="nil"/>
                    <w:tr2bl w:val="nil"/>
                  </w:tcBorders>
                  <w:shd w:val="clear" w:color="auto" w:fill="auto"/>
                  <w:noWrap/>
                  <w:vAlign w:val="center"/>
                </w:tcPr>
                <w:p w14:paraId="5F11FC26">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68~72</w:t>
                  </w:r>
                </w:p>
              </w:tc>
              <w:tc>
                <w:tcPr>
                  <w:tcW w:w="749" w:type="dxa"/>
                  <w:vMerge w:val="restart"/>
                  <w:tcBorders>
                    <w:tl2br w:val="nil"/>
                    <w:tr2bl w:val="nil"/>
                  </w:tcBorders>
                  <w:shd w:val="clear" w:color="auto" w:fill="auto"/>
                  <w:vAlign w:val="center"/>
                </w:tcPr>
                <w:p w14:paraId="22C1DC56">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选用低噪声设备、基础减振、厂房隔声等</w:t>
                  </w:r>
                </w:p>
              </w:tc>
              <w:tc>
                <w:tcPr>
                  <w:tcW w:w="960" w:type="dxa"/>
                  <w:tcBorders>
                    <w:tl2br w:val="nil"/>
                    <w:tr2bl w:val="nil"/>
                  </w:tcBorders>
                  <w:shd w:val="clear" w:color="auto" w:fill="auto"/>
                  <w:noWrap/>
                  <w:vAlign w:val="center"/>
                </w:tcPr>
                <w:p w14:paraId="16A0802C">
                  <w:pPr>
                    <w:pStyle w:val="17"/>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50-60</w:t>
                  </w:r>
                </w:p>
              </w:tc>
              <w:tc>
                <w:tcPr>
                  <w:tcW w:w="816" w:type="dxa"/>
                  <w:tcBorders>
                    <w:right w:val="single" w:color="auto" w:sz="4" w:space="0"/>
                    <w:tl2br w:val="nil"/>
                    <w:tr2bl w:val="nil"/>
                  </w:tcBorders>
                  <w:shd w:val="clear" w:color="auto" w:fill="auto"/>
                  <w:noWrap/>
                  <w:vAlign w:val="center"/>
                </w:tcPr>
                <w:p w14:paraId="06992A2B">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65DF305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1AE899B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p>
              </w:tc>
              <w:tc>
                <w:tcPr>
                  <w:tcW w:w="857" w:type="dxa"/>
                  <w:vMerge w:val="continue"/>
                  <w:tcBorders>
                    <w:tl2br w:val="nil"/>
                    <w:tr2bl w:val="nil"/>
                  </w:tcBorders>
                  <w:shd w:val="clear" w:color="auto" w:fill="auto"/>
                  <w:vAlign w:val="center"/>
                </w:tcPr>
                <w:p w14:paraId="41BE2614">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0E9C598F">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自耦式潜污泵</w:t>
                  </w:r>
                </w:p>
              </w:tc>
              <w:tc>
                <w:tcPr>
                  <w:tcW w:w="1271" w:type="dxa"/>
                  <w:tcBorders>
                    <w:tl2br w:val="nil"/>
                    <w:tr2bl w:val="nil"/>
                  </w:tcBorders>
                  <w:shd w:val="clear" w:color="auto" w:fill="auto"/>
                  <w:vAlign w:val="center"/>
                </w:tcPr>
                <w:p w14:paraId="0679130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4（3用1备）</w:t>
                  </w:r>
                </w:p>
              </w:tc>
              <w:tc>
                <w:tcPr>
                  <w:tcW w:w="960" w:type="dxa"/>
                  <w:tcBorders>
                    <w:tl2br w:val="nil"/>
                    <w:tr2bl w:val="nil"/>
                  </w:tcBorders>
                  <w:shd w:val="clear" w:color="auto" w:fill="auto"/>
                  <w:noWrap/>
                  <w:vAlign w:val="center"/>
                </w:tcPr>
                <w:p w14:paraId="580255D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2387A317">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0462AF03">
                  <w:pPr>
                    <w:pStyle w:val="17"/>
                    <w:bidi w:val="0"/>
                    <w:rPr>
                      <w:rFonts w:hint="default" w:ascii="Times New Roman" w:hAnsi="Times New Roman" w:cs="Times New Roman"/>
                      <w:color w:val="auto"/>
                      <w:lang w:val="en-US"/>
                    </w:rPr>
                  </w:pPr>
                  <w:r>
                    <w:rPr>
                      <w:rFonts w:hint="default" w:ascii="Times New Roman" w:hAnsi="Times New Roman"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57D866CC">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0675AB7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54E85D1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3</w:t>
                  </w:r>
                </w:p>
              </w:tc>
              <w:tc>
                <w:tcPr>
                  <w:tcW w:w="857" w:type="dxa"/>
                  <w:vMerge w:val="continue"/>
                  <w:tcBorders>
                    <w:tl2br w:val="nil"/>
                    <w:tr2bl w:val="nil"/>
                  </w:tcBorders>
                  <w:shd w:val="clear" w:color="auto" w:fill="auto"/>
                  <w:vAlign w:val="center"/>
                </w:tcPr>
                <w:p w14:paraId="135B9406">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1635C1F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潜污泵</w:t>
                  </w:r>
                </w:p>
              </w:tc>
              <w:tc>
                <w:tcPr>
                  <w:tcW w:w="1271" w:type="dxa"/>
                  <w:tcBorders>
                    <w:tl2br w:val="nil"/>
                    <w:tr2bl w:val="nil"/>
                  </w:tcBorders>
                  <w:shd w:val="clear" w:color="auto" w:fill="auto"/>
                  <w:vAlign w:val="center"/>
                </w:tcPr>
                <w:p w14:paraId="392C077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960" w:type="dxa"/>
                  <w:tcBorders>
                    <w:tl2br w:val="nil"/>
                    <w:tr2bl w:val="nil"/>
                  </w:tcBorders>
                  <w:shd w:val="clear" w:color="auto" w:fill="auto"/>
                  <w:noWrap/>
                  <w:vAlign w:val="center"/>
                </w:tcPr>
                <w:p w14:paraId="75D08388">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6940654D">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1CE6982E">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519A589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09F934A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20FCBDE2">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p>
              </w:tc>
              <w:tc>
                <w:tcPr>
                  <w:tcW w:w="857" w:type="dxa"/>
                  <w:vMerge w:val="continue"/>
                  <w:tcBorders>
                    <w:tl2br w:val="nil"/>
                    <w:tr2bl w:val="nil"/>
                  </w:tcBorders>
                  <w:shd w:val="clear" w:color="auto" w:fill="auto"/>
                  <w:vAlign w:val="center"/>
                </w:tcPr>
                <w:p w14:paraId="2FC96EFD">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29D3073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罗茨鼓风机</w:t>
                  </w:r>
                </w:p>
              </w:tc>
              <w:tc>
                <w:tcPr>
                  <w:tcW w:w="1271" w:type="dxa"/>
                  <w:tcBorders>
                    <w:tl2br w:val="nil"/>
                    <w:tr2bl w:val="nil"/>
                  </w:tcBorders>
                  <w:shd w:val="clear" w:color="auto" w:fill="auto"/>
                  <w:vAlign w:val="center"/>
                </w:tcPr>
                <w:p w14:paraId="7B54D7F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p>
              </w:tc>
              <w:tc>
                <w:tcPr>
                  <w:tcW w:w="960" w:type="dxa"/>
                  <w:tcBorders>
                    <w:tl2br w:val="nil"/>
                    <w:tr2bl w:val="nil"/>
                  </w:tcBorders>
                  <w:shd w:val="clear" w:color="auto" w:fill="auto"/>
                  <w:noWrap/>
                  <w:vAlign w:val="center"/>
                </w:tcPr>
                <w:p w14:paraId="6C283176">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80~87</w:t>
                  </w:r>
                </w:p>
              </w:tc>
              <w:tc>
                <w:tcPr>
                  <w:tcW w:w="749" w:type="dxa"/>
                  <w:vMerge w:val="continue"/>
                  <w:tcBorders>
                    <w:tl2br w:val="nil"/>
                    <w:tr2bl w:val="nil"/>
                  </w:tcBorders>
                  <w:shd w:val="clear" w:color="auto" w:fill="auto"/>
                  <w:vAlign w:val="center"/>
                </w:tcPr>
                <w:p w14:paraId="37451D57">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0E9B4231">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030F0B9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2861CC1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3AF4D23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5</w:t>
                  </w:r>
                </w:p>
              </w:tc>
              <w:tc>
                <w:tcPr>
                  <w:tcW w:w="857" w:type="dxa"/>
                  <w:vMerge w:val="restart"/>
                  <w:tcBorders>
                    <w:tl2br w:val="nil"/>
                    <w:tr2bl w:val="nil"/>
                  </w:tcBorders>
                  <w:shd w:val="clear" w:color="auto" w:fill="auto"/>
                  <w:vAlign w:val="center"/>
                </w:tcPr>
                <w:p w14:paraId="73593F8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生物池</w:t>
                  </w:r>
                </w:p>
              </w:tc>
              <w:tc>
                <w:tcPr>
                  <w:tcW w:w="2151" w:type="dxa"/>
                  <w:tcBorders>
                    <w:tl2br w:val="nil"/>
                    <w:tr2bl w:val="nil"/>
                  </w:tcBorders>
                  <w:shd w:val="clear" w:color="auto" w:fill="auto"/>
                  <w:vAlign w:val="center"/>
                </w:tcPr>
                <w:p w14:paraId="226428B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混合液回流泵</w:t>
                  </w:r>
                </w:p>
              </w:tc>
              <w:tc>
                <w:tcPr>
                  <w:tcW w:w="1271" w:type="dxa"/>
                  <w:tcBorders>
                    <w:tl2br w:val="nil"/>
                    <w:tr2bl w:val="nil"/>
                  </w:tcBorders>
                  <w:shd w:val="clear" w:color="auto" w:fill="auto"/>
                  <w:vAlign w:val="center"/>
                </w:tcPr>
                <w:p w14:paraId="7D27F6CE">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6（4用2备）</w:t>
                  </w:r>
                </w:p>
              </w:tc>
              <w:tc>
                <w:tcPr>
                  <w:tcW w:w="960" w:type="dxa"/>
                  <w:tcBorders>
                    <w:tl2br w:val="nil"/>
                    <w:tr2bl w:val="nil"/>
                  </w:tcBorders>
                  <w:shd w:val="clear" w:color="auto" w:fill="auto"/>
                  <w:noWrap/>
                  <w:vAlign w:val="center"/>
                </w:tcPr>
                <w:p w14:paraId="5DFC104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26D67A46">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17EBB92E">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379B628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6466DBF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034584ED">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6</w:t>
                  </w:r>
                </w:p>
              </w:tc>
              <w:tc>
                <w:tcPr>
                  <w:tcW w:w="857" w:type="dxa"/>
                  <w:vMerge w:val="continue"/>
                  <w:tcBorders>
                    <w:tl2br w:val="nil"/>
                    <w:tr2bl w:val="nil"/>
                  </w:tcBorders>
                  <w:shd w:val="clear" w:color="auto" w:fill="auto"/>
                  <w:vAlign w:val="center"/>
                </w:tcPr>
                <w:p w14:paraId="77636995">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3E33BD5B">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潜水搅拌器</w:t>
                  </w:r>
                </w:p>
              </w:tc>
              <w:tc>
                <w:tcPr>
                  <w:tcW w:w="1271" w:type="dxa"/>
                  <w:tcBorders>
                    <w:tl2br w:val="nil"/>
                    <w:tr2bl w:val="nil"/>
                  </w:tcBorders>
                  <w:shd w:val="clear" w:color="auto" w:fill="auto"/>
                  <w:vAlign w:val="center"/>
                </w:tcPr>
                <w:p w14:paraId="31C4C84F">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p>
              </w:tc>
              <w:tc>
                <w:tcPr>
                  <w:tcW w:w="960" w:type="dxa"/>
                  <w:tcBorders>
                    <w:tl2br w:val="nil"/>
                    <w:tr2bl w:val="nil"/>
                  </w:tcBorders>
                  <w:shd w:val="clear" w:color="auto" w:fill="auto"/>
                  <w:noWrap/>
                  <w:vAlign w:val="center"/>
                </w:tcPr>
                <w:p w14:paraId="09DBEB3A">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68~72</w:t>
                  </w:r>
                </w:p>
              </w:tc>
              <w:tc>
                <w:tcPr>
                  <w:tcW w:w="749" w:type="dxa"/>
                  <w:vMerge w:val="continue"/>
                  <w:tcBorders>
                    <w:tl2br w:val="nil"/>
                    <w:tr2bl w:val="nil"/>
                  </w:tcBorders>
                  <w:shd w:val="clear" w:color="auto" w:fill="auto"/>
                  <w:vAlign w:val="center"/>
                </w:tcPr>
                <w:p w14:paraId="0FFCFC78">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2A6FB351">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50-60</w:t>
                  </w:r>
                </w:p>
              </w:tc>
              <w:tc>
                <w:tcPr>
                  <w:tcW w:w="816" w:type="dxa"/>
                  <w:tcBorders>
                    <w:right w:val="single" w:color="auto" w:sz="4" w:space="0"/>
                    <w:tl2br w:val="nil"/>
                    <w:tr2bl w:val="nil"/>
                  </w:tcBorders>
                  <w:shd w:val="clear" w:color="auto" w:fill="auto"/>
                  <w:noWrap/>
                  <w:vAlign w:val="center"/>
                </w:tcPr>
                <w:p w14:paraId="708FC14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468F5C8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2B161F3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7</w:t>
                  </w:r>
                </w:p>
              </w:tc>
              <w:tc>
                <w:tcPr>
                  <w:tcW w:w="857" w:type="dxa"/>
                  <w:vMerge w:val="continue"/>
                  <w:tcBorders>
                    <w:tl2br w:val="nil"/>
                    <w:tr2bl w:val="nil"/>
                  </w:tcBorders>
                  <w:shd w:val="clear" w:color="auto" w:fill="auto"/>
                  <w:vAlign w:val="center"/>
                </w:tcPr>
                <w:p w14:paraId="4C57B308">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48DD041B">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潜水推流器</w:t>
                  </w:r>
                </w:p>
              </w:tc>
              <w:tc>
                <w:tcPr>
                  <w:tcW w:w="1271" w:type="dxa"/>
                  <w:tcBorders>
                    <w:tl2br w:val="nil"/>
                    <w:tr2bl w:val="nil"/>
                  </w:tcBorders>
                  <w:shd w:val="clear" w:color="auto" w:fill="auto"/>
                  <w:vAlign w:val="center"/>
                </w:tcPr>
                <w:p w14:paraId="3785DEEE">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w:t>
                  </w:r>
                </w:p>
              </w:tc>
              <w:tc>
                <w:tcPr>
                  <w:tcW w:w="960" w:type="dxa"/>
                  <w:tcBorders>
                    <w:tl2br w:val="nil"/>
                    <w:tr2bl w:val="nil"/>
                  </w:tcBorders>
                  <w:shd w:val="clear" w:color="auto" w:fill="auto"/>
                  <w:noWrap/>
                  <w:vAlign w:val="center"/>
                </w:tcPr>
                <w:p w14:paraId="037B536F">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68~72</w:t>
                  </w:r>
                </w:p>
              </w:tc>
              <w:tc>
                <w:tcPr>
                  <w:tcW w:w="749" w:type="dxa"/>
                  <w:vMerge w:val="continue"/>
                  <w:tcBorders>
                    <w:tl2br w:val="nil"/>
                    <w:tr2bl w:val="nil"/>
                  </w:tcBorders>
                  <w:shd w:val="clear" w:color="auto" w:fill="auto"/>
                  <w:vAlign w:val="center"/>
                </w:tcPr>
                <w:p w14:paraId="32E92260">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7EB0DE23">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50-60</w:t>
                  </w:r>
                </w:p>
              </w:tc>
              <w:tc>
                <w:tcPr>
                  <w:tcW w:w="816" w:type="dxa"/>
                  <w:tcBorders>
                    <w:right w:val="single" w:color="auto" w:sz="4" w:space="0"/>
                    <w:tl2br w:val="nil"/>
                    <w:tr2bl w:val="nil"/>
                  </w:tcBorders>
                  <w:shd w:val="clear" w:color="auto" w:fill="auto"/>
                  <w:noWrap/>
                  <w:vAlign w:val="center"/>
                </w:tcPr>
                <w:p w14:paraId="22CAA5D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1F32E67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0D81814F">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w:t>
                  </w:r>
                </w:p>
              </w:tc>
              <w:tc>
                <w:tcPr>
                  <w:tcW w:w="857" w:type="dxa"/>
                  <w:vMerge w:val="restart"/>
                  <w:tcBorders>
                    <w:tl2br w:val="nil"/>
                    <w:tr2bl w:val="nil"/>
                  </w:tcBorders>
                  <w:shd w:val="clear" w:color="auto" w:fill="auto"/>
                  <w:vAlign w:val="center"/>
                </w:tcPr>
                <w:p w14:paraId="6E2A00C6">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配水集泥井、二沉池及提升泵池</w:t>
                  </w:r>
                </w:p>
              </w:tc>
              <w:tc>
                <w:tcPr>
                  <w:tcW w:w="2151" w:type="dxa"/>
                  <w:tcBorders>
                    <w:tl2br w:val="nil"/>
                    <w:tr2bl w:val="nil"/>
                  </w:tcBorders>
                  <w:shd w:val="clear" w:color="auto" w:fill="auto"/>
                  <w:vAlign w:val="center"/>
                </w:tcPr>
                <w:p w14:paraId="2617D81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半桥式周边传动刮吸泥机</w:t>
                  </w:r>
                </w:p>
              </w:tc>
              <w:tc>
                <w:tcPr>
                  <w:tcW w:w="1271" w:type="dxa"/>
                  <w:tcBorders>
                    <w:tl2br w:val="nil"/>
                    <w:tr2bl w:val="nil"/>
                  </w:tcBorders>
                  <w:shd w:val="clear" w:color="auto" w:fill="auto"/>
                  <w:vAlign w:val="center"/>
                </w:tcPr>
                <w:p w14:paraId="48BD3352">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p>
              </w:tc>
              <w:tc>
                <w:tcPr>
                  <w:tcW w:w="960" w:type="dxa"/>
                  <w:tcBorders>
                    <w:tl2br w:val="nil"/>
                    <w:tr2bl w:val="nil"/>
                  </w:tcBorders>
                  <w:shd w:val="clear" w:color="auto" w:fill="auto"/>
                  <w:noWrap/>
                  <w:vAlign w:val="center"/>
                </w:tcPr>
                <w:p w14:paraId="14F64F15">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63~65</w:t>
                  </w:r>
                </w:p>
              </w:tc>
              <w:tc>
                <w:tcPr>
                  <w:tcW w:w="749" w:type="dxa"/>
                  <w:vMerge w:val="continue"/>
                  <w:tcBorders>
                    <w:tl2br w:val="nil"/>
                    <w:tr2bl w:val="nil"/>
                  </w:tcBorders>
                  <w:shd w:val="clear" w:color="auto" w:fill="auto"/>
                  <w:vAlign w:val="center"/>
                </w:tcPr>
                <w:p w14:paraId="716A1AF0">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60747AD4">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50-60</w:t>
                  </w:r>
                </w:p>
              </w:tc>
              <w:tc>
                <w:tcPr>
                  <w:tcW w:w="816" w:type="dxa"/>
                  <w:tcBorders>
                    <w:right w:val="single" w:color="auto" w:sz="4" w:space="0"/>
                    <w:tl2br w:val="nil"/>
                    <w:tr2bl w:val="nil"/>
                  </w:tcBorders>
                  <w:shd w:val="clear" w:color="auto" w:fill="auto"/>
                  <w:noWrap/>
                  <w:vAlign w:val="center"/>
                </w:tcPr>
                <w:p w14:paraId="69787625">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1AFAB41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2A084358">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9</w:t>
                  </w:r>
                </w:p>
              </w:tc>
              <w:tc>
                <w:tcPr>
                  <w:tcW w:w="857" w:type="dxa"/>
                  <w:vMerge w:val="continue"/>
                  <w:tcBorders>
                    <w:tl2br w:val="nil"/>
                    <w:tr2bl w:val="nil"/>
                  </w:tcBorders>
                  <w:shd w:val="clear" w:color="auto" w:fill="auto"/>
                  <w:vAlign w:val="center"/>
                </w:tcPr>
                <w:p w14:paraId="47B5CB04">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33336CF2">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回流污泥潜污泵</w:t>
                  </w:r>
                </w:p>
              </w:tc>
              <w:tc>
                <w:tcPr>
                  <w:tcW w:w="1271" w:type="dxa"/>
                  <w:tcBorders>
                    <w:tl2br w:val="nil"/>
                    <w:tr2bl w:val="nil"/>
                  </w:tcBorders>
                  <w:shd w:val="clear" w:color="auto" w:fill="auto"/>
                  <w:vAlign w:val="center"/>
                </w:tcPr>
                <w:p w14:paraId="75FEAF4C">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3（2用1备）</w:t>
                  </w:r>
                </w:p>
              </w:tc>
              <w:tc>
                <w:tcPr>
                  <w:tcW w:w="960" w:type="dxa"/>
                  <w:tcBorders>
                    <w:tl2br w:val="nil"/>
                    <w:tr2bl w:val="nil"/>
                  </w:tcBorders>
                  <w:shd w:val="clear" w:color="auto" w:fill="auto"/>
                  <w:noWrap/>
                  <w:vAlign w:val="center"/>
                </w:tcPr>
                <w:p w14:paraId="19EE6CB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024E4DF0">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46F350A5">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72820FA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151202B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48443AC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10</w:t>
                  </w:r>
                </w:p>
              </w:tc>
              <w:tc>
                <w:tcPr>
                  <w:tcW w:w="857" w:type="dxa"/>
                  <w:vMerge w:val="continue"/>
                  <w:tcBorders>
                    <w:tl2br w:val="nil"/>
                    <w:tr2bl w:val="nil"/>
                  </w:tcBorders>
                  <w:shd w:val="clear" w:color="auto" w:fill="auto"/>
                  <w:vAlign w:val="center"/>
                </w:tcPr>
                <w:p w14:paraId="2EB1AB3E">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6BDD59FD">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剩余污泥潜污泵</w:t>
                  </w:r>
                </w:p>
              </w:tc>
              <w:tc>
                <w:tcPr>
                  <w:tcW w:w="1271" w:type="dxa"/>
                  <w:tcBorders>
                    <w:tl2br w:val="nil"/>
                    <w:tr2bl w:val="nil"/>
                  </w:tcBorders>
                  <w:shd w:val="clear" w:color="auto" w:fill="auto"/>
                  <w:vAlign w:val="center"/>
                </w:tcPr>
                <w:p w14:paraId="7F30F07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2（1用1备）</w:t>
                  </w:r>
                </w:p>
              </w:tc>
              <w:tc>
                <w:tcPr>
                  <w:tcW w:w="960" w:type="dxa"/>
                  <w:tcBorders>
                    <w:tl2br w:val="nil"/>
                    <w:tr2bl w:val="nil"/>
                  </w:tcBorders>
                  <w:shd w:val="clear" w:color="auto" w:fill="auto"/>
                  <w:noWrap/>
                  <w:vAlign w:val="center"/>
                </w:tcPr>
                <w:p w14:paraId="5329E37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6C0325A9">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054B2B2D">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4D534C9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4BBBAA7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20047D36">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11</w:t>
                  </w:r>
                </w:p>
              </w:tc>
              <w:tc>
                <w:tcPr>
                  <w:tcW w:w="857" w:type="dxa"/>
                  <w:vMerge w:val="continue"/>
                  <w:tcBorders>
                    <w:tl2br w:val="nil"/>
                    <w:tr2bl w:val="nil"/>
                  </w:tcBorders>
                  <w:shd w:val="clear" w:color="auto" w:fill="auto"/>
                  <w:vAlign w:val="center"/>
                </w:tcPr>
                <w:p w14:paraId="712AC1AB">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130F9EA9">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污水提升潜污泵</w:t>
                  </w:r>
                </w:p>
              </w:tc>
              <w:tc>
                <w:tcPr>
                  <w:tcW w:w="1271" w:type="dxa"/>
                  <w:tcBorders>
                    <w:tl2br w:val="nil"/>
                    <w:tr2bl w:val="nil"/>
                  </w:tcBorders>
                  <w:shd w:val="clear" w:color="auto" w:fill="auto"/>
                  <w:vAlign w:val="center"/>
                </w:tcPr>
                <w:p w14:paraId="24533876">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4（3用1备）</w:t>
                  </w:r>
                </w:p>
              </w:tc>
              <w:tc>
                <w:tcPr>
                  <w:tcW w:w="960" w:type="dxa"/>
                  <w:tcBorders>
                    <w:tl2br w:val="nil"/>
                    <w:tr2bl w:val="nil"/>
                  </w:tcBorders>
                  <w:shd w:val="clear" w:color="auto" w:fill="auto"/>
                  <w:noWrap/>
                  <w:vAlign w:val="center"/>
                </w:tcPr>
                <w:p w14:paraId="2BDBB9EF">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4F8AA276">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6DD41FCE">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3D23AE2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74EA5B5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2D8994C5">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12</w:t>
                  </w:r>
                </w:p>
              </w:tc>
              <w:tc>
                <w:tcPr>
                  <w:tcW w:w="857" w:type="dxa"/>
                  <w:vMerge w:val="restart"/>
                  <w:tcBorders>
                    <w:tl2br w:val="nil"/>
                    <w:tr2bl w:val="nil"/>
                  </w:tcBorders>
                  <w:shd w:val="clear" w:color="auto" w:fill="auto"/>
                  <w:vAlign w:val="center"/>
                </w:tcPr>
                <w:p w14:paraId="7F7A011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磁混凝沉淀间</w:t>
                  </w:r>
                </w:p>
              </w:tc>
              <w:tc>
                <w:tcPr>
                  <w:tcW w:w="2151" w:type="dxa"/>
                  <w:tcBorders>
                    <w:tl2br w:val="nil"/>
                    <w:tr2bl w:val="nil"/>
                  </w:tcBorders>
                  <w:shd w:val="clear" w:color="auto" w:fill="auto"/>
                  <w:vAlign w:val="center"/>
                </w:tcPr>
                <w:p w14:paraId="363E2EDB">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中心传动浓缩刮泥机</w:t>
                  </w:r>
                </w:p>
              </w:tc>
              <w:tc>
                <w:tcPr>
                  <w:tcW w:w="1271" w:type="dxa"/>
                  <w:tcBorders>
                    <w:tl2br w:val="nil"/>
                    <w:tr2bl w:val="nil"/>
                  </w:tcBorders>
                  <w:shd w:val="clear" w:color="auto" w:fill="auto"/>
                  <w:vAlign w:val="center"/>
                </w:tcPr>
                <w:p w14:paraId="60EA436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960" w:type="dxa"/>
                  <w:tcBorders>
                    <w:tl2br w:val="nil"/>
                    <w:tr2bl w:val="nil"/>
                  </w:tcBorders>
                  <w:shd w:val="clear" w:color="auto" w:fill="auto"/>
                  <w:noWrap/>
                  <w:vAlign w:val="center"/>
                </w:tcPr>
                <w:p w14:paraId="55320EF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63~65</w:t>
                  </w:r>
                </w:p>
              </w:tc>
              <w:tc>
                <w:tcPr>
                  <w:tcW w:w="749" w:type="dxa"/>
                  <w:vMerge w:val="continue"/>
                  <w:tcBorders>
                    <w:tl2br w:val="nil"/>
                    <w:tr2bl w:val="nil"/>
                  </w:tcBorders>
                  <w:shd w:val="clear" w:color="auto" w:fill="auto"/>
                  <w:vAlign w:val="center"/>
                </w:tcPr>
                <w:p w14:paraId="6FB2B805">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34526C27">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50-60</w:t>
                  </w:r>
                </w:p>
              </w:tc>
              <w:tc>
                <w:tcPr>
                  <w:tcW w:w="816" w:type="dxa"/>
                  <w:tcBorders>
                    <w:right w:val="single" w:color="auto" w:sz="4" w:space="0"/>
                    <w:tl2br w:val="nil"/>
                    <w:tr2bl w:val="nil"/>
                  </w:tcBorders>
                  <w:shd w:val="clear" w:color="auto" w:fill="auto"/>
                  <w:noWrap/>
                  <w:vAlign w:val="center"/>
                </w:tcPr>
                <w:p w14:paraId="6F08110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0C6F11A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356D7C3D">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13</w:t>
                  </w:r>
                </w:p>
              </w:tc>
              <w:tc>
                <w:tcPr>
                  <w:tcW w:w="857" w:type="dxa"/>
                  <w:vMerge w:val="continue"/>
                  <w:tcBorders>
                    <w:tl2br w:val="nil"/>
                    <w:tr2bl w:val="nil"/>
                  </w:tcBorders>
                  <w:shd w:val="clear" w:color="auto" w:fill="auto"/>
                  <w:vAlign w:val="center"/>
                </w:tcPr>
                <w:p w14:paraId="1C07F6D3">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0FAF73FB">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搅拌机</w:t>
                  </w:r>
                </w:p>
              </w:tc>
              <w:tc>
                <w:tcPr>
                  <w:tcW w:w="1271" w:type="dxa"/>
                  <w:tcBorders>
                    <w:tl2br w:val="nil"/>
                    <w:tr2bl w:val="nil"/>
                  </w:tcBorders>
                  <w:shd w:val="clear" w:color="auto" w:fill="auto"/>
                  <w:vAlign w:val="center"/>
                </w:tcPr>
                <w:p w14:paraId="6C3A223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3</w:t>
                  </w:r>
                </w:p>
              </w:tc>
              <w:tc>
                <w:tcPr>
                  <w:tcW w:w="960" w:type="dxa"/>
                  <w:tcBorders>
                    <w:tl2br w:val="nil"/>
                    <w:tr2bl w:val="nil"/>
                  </w:tcBorders>
                  <w:shd w:val="clear" w:color="auto" w:fill="auto"/>
                  <w:noWrap/>
                  <w:vAlign w:val="center"/>
                </w:tcPr>
                <w:p w14:paraId="2103C70D">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70~75</w:t>
                  </w:r>
                </w:p>
              </w:tc>
              <w:tc>
                <w:tcPr>
                  <w:tcW w:w="749" w:type="dxa"/>
                  <w:vMerge w:val="continue"/>
                  <w:tcBorders>
                    <w:tl2br w:val="nil"/>
                    <w:tr2bl w:val="nil"/>
                  </w:tcBorders>
                  <w:shd w:val="clear" w:color="auto" w:fill="auto"/>
                  <w:vAlign w:val="center"/>
                </w:tcPr>
                <w:p w14:paraId="2C43D15D">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59E30198">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53-60</w:t>
                  </w:r>
                </w:p>
              </w:tc>
              <w:tc>
                <w:tcPr>
                  <w:tcW w:w="816" w:type="dxa"/>
                  <w:tcBorders>
                    <w:right w:val="single" w:color="auto" w:sz="4" w:space="0"/>
                    <w:tl2br w:val="nil"/>
                    <w:tr2bl w:val="nil"/>
                  </w:tcBorders>
                  <w:shd w:val="clear" w:color="auto" w:fill="auto"/>
                  <w:noWrap/>
                  <w:vAlign w:val="center"/>
                </w:tcPr>
                <w:p w14:paraId="00B3E329">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4551587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606B323F">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14</w:t>
                  </w:r>
                </w:p>
              </w:tc>
              <w:tc>
                <w:tcPr>
                  <w:tcW w:w="857" w:type="dxa"/>
                  <w:vMerge w:val="continue"/>
                  <w:tcBorders>
                    <w:tl2br w:val="nil"/>
                    <w:tr2bl w:val="nil"/>
                  </w:tcBorders>
                  <w:shd w:val="clear" w:color="auto" w:fill="auto"/>
                  <w:vAlign w:val="center"/>
                </w:tcPr>
                <w:p w14:paraId="3453966D">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21B48E9B">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磁泥回流泵</w:t>
                  </w:r>
                </w:p>
              </w:tc>
              <w:tc>
                <w:tcPr>
                  <w:tcW w:w="1271" w:type="dxa"/>
                  <w:tcBorders>
                    <w:tl2br w:val="nil"/>
                    <w:tr2bl w:val="nil"/>
                  </w:tcBorders>
                  <w:shd w:val="clear" w:color="auto" w:fill="auto"/>
                  <w:vAlign w:val="center"/>
                </w:tcPr>
                <w:p w14:paraId="4DB5FE4A">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2（1用1备）</w:t>
                  </w:r>
                </w:p>
              </w:tc>
              <w:tc>
                <w:tcPr>
                  <w:tcW w:w="960" w:type="dxa"/>
                  <w:tcBorders>
                    <w:tl2br w:val="nil"/>
                    <w:tr2bl w:val="nil"/>
                  </w:tcBorders>
                  <w:shd w:val="clear" w:color="auto" w:fill="auto"/>
                  <w:noWrap/>
                  <w:vAlign w:val="center"/>
                </w:tcPr>
                <w:p w14:paraId="50CC20D6">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3FC9C977">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6E6D7ABF">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677F0E6C">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21D18470">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54158C92">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15</w:t>
                  </w:r>
                </w:p>
              </w:tc>
              <w:tc>
                <w:tcPr>
                  <w:tcW w:w="857" w:type="dxa"/>
                  <w:vMerge w:val="continue"/>
                  <w:tcBorders>
                    <w:tl2br w:val="nil"/>
                    <w:tr2bl w:val="nil"/>
                  </w:tcBorders>
                  <w:shd w:val="clear" w:color="auto" w:fill="auto"/>
                  <w:vAlign w:val="center"/>
                </w:tcPr>
                <w:p w14:paraId="15F1D570">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4833439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磁泥剩余泵</w:t>
                  </w:r>
                </w:p>
              </w:tc>
              <w:tc>
                <w:tcPr>
                  <w:tcW w:w="1271" w:type="dxa"/>
                  <w:tcBorders>
                    <w:tl2br w:val="nil"/>
                    <w:tr2bl w:val="nil"/>
                  </w:tcBorders>
                  <w:shd w:val="clear" w:color="auto" w:fill="auto"/>
                  <w:vAlign w:val="center"/>
                </w:tcPr>
                <w:p w14:paraId="705825D8">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960" w:type="dxa"/>
                  <w:tcBorders>
                    <w:tl2br w:val="nil"/>
                    <w:tr2bl w:val="nil"/>
                  </w:tcBorders>
                  <w:shd w:val="clear" w:color="auto" w:fill="auto"/>
                  <w:noWrap/>
                  <w:vAlign w:val="center"/>
                </w:tcPr>
                <w:p w14:paraId="151E88FE">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24365785">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79030A0A">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17E2F83E">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728A79A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7DB0084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16</w:t>
                  </w:r>
                </w:p>
              </w:tc>
              <w:tc>
                <w:tcPr>
                  <w:tcW w:w="857" w:type="dxa"/>
                  <w:vMerge w:val="continue"/>
                  <w:tcBorders>
                    <w:tl2br w:val="nil"/>
                    <w:tr2bl w:val="nil"/>
                  </w:tcBorders>
                  <w:shd w:val="clear" w:color="auto" w:fill="auto"/>
                  <w:vAlign w:val="center"/>
                </w:tcPr>
                <w:p w14:paraId="15F3DE4F">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2E481B58">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污泥排放泵</w:t>
                  </w:r>
                </w:p>
              </w:tc>
              <w:tc>
                <w:tcPr>
                  <w:tcW w:w="1271" w:type="dxa"/>
                  <w:tcBorders>
                    <w:tl2br w:val="nil"/>
                    <w:tr2bl w:val="nil"/>
                  </w:tcBorders>
                  <w:shd w:val="clear" w:color="auto" w:fill="auto"/>
                  <w:vAlign w:val="center"/>
                </w:tcPr>
                <w:p w14:paraId="6E2019D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2（1用1备）</w:t>
                  </w:r>
                </w:p>
              </w:tc>
              <w:tc>
                <w:tcPr>
                  <w:tcW w:w="960" w:type="dxa"/>
                  <w:tcBorders>
                    <w:tl2br w:val="nil"/>
                    <w:tr2bl w:val="nil"/>
                  </w:tcBorders>
                  <w:shd w:val="clear" w:color="auto" w:fill="auto"/>
                  <w:noWrap/>
                  <w:vAlign w:val="center"/>
                </w:tcPr>
                <w:p w14:paraId="30F7A6F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334937AE">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40F9453A">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018ADA1C">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5629B32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0279D412">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17</w:t>
                  </w:r>
                </w:p>
              </w:tc>
              <w:tc>
                <w:tcPr>
                  <w:tcW w:w="857" w:type="dxa"/>
                  <w:vMerge w:val="continue"/>
                  <w:tcBorders>
                    <w:tl2br w:val="nil"/>
                    <w:tr2bl w:val="nil"/>
                  </w:tcBorders>
                  <w:shd w:val="clear" w:color="auto" w:fill="auto"/>
                  <w:vAlign w:val="center"/>
                </w:tcPr>
                <w:p w14:paraId="0CFD5271">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30FFCB89">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高压冲洗泵</w:t>
                  </w:r>
                </w:p>
              </w:tc>
              <w:tc>
                <w:tcPr>
                  <w:tcW w:w="1271" w:type="dxa"/>
                  <w:tcBorders>
                    <w:tl2br w:val="nil"/>
                    <w:tr2bl w:val="nil"/>
                  </w:tcBorders>
                  <w:shd w:val="clear" w:color="auto" w:fill="auto"/>
                  <w:vAlign w:val="center"/>
                </w:tcPr>
                <w:p w14:paraId="3D19DF2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2（1用1备）</w:t>
                  </w:r>
                </w:p>
              </w:tc>
              <w:tc>
                <w:tcPr>
                  <w:tcW w:w="960" w:type="dxa"/>
                  <w:tcBorders>
                    <w:tl2br w:val="nil"/>
                    <w:tr2bl w:val="nil"/>
                  </w:tcBorders>
                  <w:shd w:val="clear" w:color="auto" w:fill="auto"/>
                  <w:noWrap/>
                  <w:vAlign w:val="center"/>
                </w:tcPr>
                <w:p w14:paraId="41F62A7D">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3F95AAFB">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470A5056">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00ED673E">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2D4AC1E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4DA9E3EC">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18</w:t>
                  </w:r>
                </w:p>
              </w:tc>
              <w:tc>
                <w:tcPr>
                  <w:tcW w:w="857" w:type="dxa"/>
                  <w:vMerge w:val="continue"/>
                  <w:tcBorders>
                    <w:tl2br w:val="nil"/>
                    <w:tr2bl w:val="nil"/>
                  </w:tcBorders>
                  <w:shd w:val="clear" w:color="auto" w:fill="auto"/>
                  <w:vAlign w:val="center"/>
                </w:tcPr>
                <w:p w14:paraId="5CA066E9">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0167BD4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排污泵</w:t>
                  </w:r>
                </w:p>
              </w:tc>
              <w:tc>
                <w:tcPr>
                  <w:tcW w:w="1271" w:type="dxa"/>
                  <w:tcBorders>
                    <w:tl2br w:val="nil"/>
                    <w:tr2bl w:val="nil"/>
                  </w:tcBorders>
                  <w:shd w:val="clear" w:color="auto" w:fill="auto"/>
                  <w:vAlign w:val="center"/>
                </w:tcPr>
                <w:p w14:paraId="6053129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960" w:type="dxa"/>
                  <w:tcBorders>
                    <w:tl2br w:val="nil"/>
                    <w:tr2bl w:val="nil"/>
                  </w:tcBorders>
                  <w:shd w:val="clear" w:color="auto" w:fill="auto"/>
                  <w:noWrap/>
                  <w:vAlign w:val="center"/>
                </w:tcPr>
                <w:p w14:paraId="146FDF2C">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2BA01DC1">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35883FA5">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5A3EE5B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037AD55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1BAC9D2B">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19</w:t>
                  </w:r>
                </w:p>
              </w:tc>
              <w:tc>
                <w:tcPr>
                  <w:tcW w:w="857" w:type="dxa"/>
                  <w:vMerge w:val="restart"/>
                  <w:tcBorders>
                    <w:tl2br w:val="nil"/>
                    <w:tr2bl w:val="nil"/>
                  </w:tcBorders>
                  <w:shd w:val="clear" w:color="auto" w:fill="auto"/>
                  <w:vAlign w:val="center"/>
                </w:tcPr>
                <w:p w14:paraId="081CC90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V型滤池间</w:t>
                  </w:r>
                </w:p>
              </w:tc>
              <w:tc>
                <w:tcPr>
                  <w:tcW w:w="2151" w:type="dxa"/>
                  <w:tcBorders>
                    <w:tl2br w:val="nil"/>
                    <w:tr2bl w:val="nil"/>
                  </w:tcBorders>
                  <w:shd w:val="clear" w:color="auto" w:fill="auto"/>
                  <w:vAlign w:val="center"/>
                </w:tcPr>
                <w:p w14:paraId="451011C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潜污泵</w:t>
                  </w:r>
                </w:p>
              </w:tc>
              <w:tc>
                <w:tcPr>
                  <w:tcW w:w="1271" w:type="dxa"/>
                  <w:tcBorders>
                    <w:tl2br w:val="nil"/>
                    <w:tr2bl w:val="nil"/>
                  </w:tcBorders>
                  <w:shd w:val="clear" w:color="auto" w:fill="auto"/>
                  <w:vAlign w:val="center"/>
                </w:tcPr>
                <w:p w14:paraId="4F43C8DA">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p>
              </w:tc>
              <w:tc>
                <w:tcPr>
                  <w:tcW w:w="960" w:type="dxa"/>
                  <w:tcBorders>
                    <w:tl2br w:val="nil"/>
                    <w:tr2bl w:val="nil"/>
                  </w:tcBorders>
                  <w:shd w:val="clear" w:color="auto" w:fill="auto"/>
                  <w:noWrap/>
                  <w:vAlign w:val="center"/>
                </w:tcPr>
                <w:p w14:paraId="412BD53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4A2A888A">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6CACA043">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77CEBC2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1EA11B3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12EB8D7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20</w:t>
                  </w:r>
                </w:p>
              </w:tc>
              <w:tc>
                <w:tcPr>
                  <w:tcW w:w="857" w:type="dxa"/>
                  <w:vMerge w:val="continue"/>
                  <w:tcBorders>
                    <w:tl2br w:val="nil"/>
                    <w:tr2bl w:val="nil"/>
                  </w:tcBorders>
                  <w:shd w:val="clear" w:color="auto" w:fill="auto"/>
                  <w:vAlign w:val="center"/>
                </w:tcPr>
                <w:p w14:paraId="6AA9C662">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5372D40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单级立式离心泵</w:t>
                  </w:r>
                </w:p>
              </w:tc>
              <w:tc>
                <w:tcPr>
                  <w:tcW w:w="1271" w:type="dxa"/>
                  <w:tcBorders>
                    <w:tl2br w:val="nil"/>
                    <w:tr2bl w:val="nil"/>
                  </w:tcBorders>
                  <w:shd w:val="clear" w:color="auto" w:fill="auto"/>
                  <w:vAlign w:val="center"/>
                </w:tcPr>
                <w:p w14:paraId="4A376ACA">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3（2用1备）</w:t>
                  </w:r>
                </w:p>
              </w:tc>
              <w:tc>
                <w:tcPr>
                  <w:tcW w:w="960" w:type="dxa"/>
                  <w:tcBorders>
                    <w:tl2br w:val="nil"/>
                    <w:tr2bl w:val="nil"/>
                  </w:tcBorders>
                  <w:shd w:val="clear" w:color="auto" w:fill="auto"/>
                  <w:noWrap/>
                  <w:vAlign w:val="center"/>
                </w:tcPr>
                <w:p w14:paraId="7D0C01CC">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112F8FDE">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49B7C993">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246EC1F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6102986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682EBCEA">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21</w:t>
                  </w:r>
                </w:p>
              </w:tc>
              <w:tc>
                <w:tcPr>
                  <w:tcW w:w="857" w:type="dxa"/>
                  <w:vMerge w:val="continue"/>
                  <w:tcBorders>
                    <w:tl2br w:val="nil"/>
                    <w:tr2bl w:val="nil"/>
                  </w:tcBorders>
                  <w:shd w:val="clear" w:color="auto" w:fill="auto"/>
                  <w:vAlign w:val="center"/>
                </w:tcPr>
                <w:p w14:paraId="6872D39E">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16B67B96">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三叶罗茨鼓风机</w:t>
                  </w:r>
                </w:p>
              </w:tc>
              <w:tc>
                <w:tcPr>
                  <w:tcW w:w="1271" w:type="dxa"/>
                  <w:tcBorders>
                    <w:tl2br w:val="nil"/>
                    <w:tr2bl w:val="nil"/>
                  </w:tcBorders>
                  <w:shd w:val="clear" w:color="auto" w:fill="auto"/>
                  <w:vAlign w:val="center"/>
                </w:tcPr>
                <w:p w14:paraId="09737FDF">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2（1用1备）</w:t>
                  </w:r>
                </w:p>
              </w:tc>
              <w:tc>
                <w:tcPr>
                  <w:tcW w:w="960" w:type="dxa"/>
                  <w:tcBorders>
                    <w:tl2br w:val="nil"/>
                    <w:tr2bl w:val="nil"/>
                  </w:tcBorders>
                  <w:shd w:val="clear" w:color="auto" w:fill="auto"/>
                  <w:noWrap/>
                  <w:vAlign w:val="center"/>
                </w:tcPr>
                <w:p w14:paraId="6735106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80~87</w:t>
                  </w:r>
                </w:p>
              </w:tc>
              <w:tc>
                <w:tcPr>
                  <w:tcW w:w="749" w:type="dxa"/>
                  <w:vMerge w:val="continue"/>
                  <w:tcBorders>
                    <w:tl2br w:val="nil"/>
                    <w:tr2bl w:val="nil"/>
                  </w:tcBorders>
                  <w:shd w:val="clear" w:color="auto" w:fill="auto"/>
                  <w:vAlign w:val="center"/>
                </w:tcPr>
                <w:p w14:paraId="668DCDA8">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436CEA84">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5FA852C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3510BFE5">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09CE32A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22</w:t>
                  </w:r>
                </w:p>
              </w:tc>
              <w:tc>
                <w:tcPr>
                  <w:tcW w:w="857" w:type="dxa"/>
                  <w:vMerge w:val="restart"/>
                  <w:tcBorders>
                    <w:tl2br w:val="nil"/>
                    <w:tr2bl w:val="nil"/>
                  </w:tcBorders>
                  <w:shd w:val="clear" w:color="auto" w:fill="auto"/>
                  <w:vAlign w:val="center"/>
                </w:tcPr>
                <w:p w14:paraId="2471770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送水泵房</w:t>
                  </w:r>
                </w:p>
              </w:tc>
              <w:tc>
                <w:tcPr>
                  <w:tcW w:w="2151" w:type="dxa"/>
                  <w:tcBorders>
                    <w:tl2br w:val="nil"/>
                    <w:tr2bl w:val="nil"/>
                  </w:tcBorders>
                  <w:shd w:val="clear" w:color="auto" w:fill="auto"/>
                  <w:vAlign w:val="center"/>
                </w:tcPr>
                <w:p w14:paraId="64ACAE0B">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单级双吸卧式离心泵</w:t>
                  </w:r>
                </w:p>
              </w:tc>
              <w:tc>
                <w:tcPr>
                  <w:tcW w:w="1271" w:type="dxa"/>
                  <w:tcBorders>
                    <w:tl2br w:val="nil"/>
                    <w:tr2bl w:val="nil"/>
                  </w:tcBorders>
                  <w:shd w:val="clear" w:color="auto" w:fill="auto"/>
                  <w:vAlign w:val="center"/>
                </w:tcPr>
                <w:p w14:paraId="530BD43A">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5（4用1备）</w:t>
                  </w:r>
                </w:p>
              </w:tc>
              <w:tc>
                <w:tcPr>
                  <w:tcW w:w="960" w:type="dxa"/>
                  <w:tcBorders>
                    <w:tl2br w:val="nil"/>
                    <w:tr2bl w:val="nil"/>
                  </w:tcBorders>
                  <w:shd w:val="clear" w:color="auto" w:fill="auto"/>
                  <w:noWrap/>
                  <w:vAlign w:val="center"/>
                </w:tcPr>
                <w:p w14:paraId="450800ED">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7D08E1E3">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294FD6C1">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337A1F9C">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218045C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0442038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23</w:t>
                  </w:r>
                </w:p>
              </w:tc>
              <w:tc>
                <w:tcPr>
                  <w:tcW w:w="857" w:type="dxa"/>
                  <w:vMerge w:val="continue"/>
                  <w:tcBorders>
                    <w:tl2br w:val="nil"/>
                    <w:tr2bl w:val="nil"/>
                  </w:tcBorders>
                  <w:shd w:val="clear" w:color="auto" w:fill="auto"/>
                  <w:vAlign w:val="center"/>
                </w:tcPr>
                <w:p w14:paraId="1BD0019C">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295F6C5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移动式潜水排污泵</w:t>
                  </w:r>
                </w:p>
              </w:tc>
              <w:tc>
                <w:tcPr>
                  <w:tcW w:w="1271" w:type="dxa"/>
                  <w:tcBorders>
                    <w:tl2br w:val="nil"/>
                    <w:tr2bl w:val="nil"/>
                  </w:tcBorders>
                  <w:shd w:val="clear" w:color="auto" w:fill="auto"/>
                  <w:vAlign w:val="center"/>
                </w:tcPr>
                <w:p w14:paraId="76316BF9">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960" w:type="dxa"/>
                  <w:tcBorders>
                    <w:tl2br w:val="nil"/>
                    <w:tr2bl w:val="nil"/>
                  </w:tcBorders>
                  <w:shd w:val="clear" w:color="auto" w:fill="auto"/>
                  <w:noWrap/>
                  <w:vAlign w:val="center"/>
                </w:tcPr>
                <w:p w14:paraId="73C0A1BA">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54988DD9">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7C344F25">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06E323F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4E26ED4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4E67165D">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w:t>
                  </w:r>
                </w:p>
              </w:tc>
              <w:tc>
                <w:tcPr>
                  <w:tcW w:w="857" w:type="dxa"/>
                  <w:vMerge w:val="continue"/>
                  <w:tcBorders>
                    <w:tl2br w:val="nil"/>
                    <w:tr2bl w:val="nil"/>
                  </w:tcBorders>
                  <w:shd w:val="clear" w:color="auto" w:fill="auto"/>
                  <w:vAlign w:val="center"/>
                </w:tcPr>
                <w:p w14:paraId="6AD8157C">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4A4A683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单级单吸立式离心泵</w:t>
                  </w:r>
                </w:p>
              </w:tc>
              <w:tc>
                <w:tcPr>
                  <w:tcW w:w="1271" w:type="dxa"/>
                  <w:tcBorders>
                    <w:tl2br w:val="nil"/>
                    <w:tr2bl w:val="nil"/>
                  </w:tcBorders>
                  <w:shd w:val="clear" w:color="auto" w:fill="auto"/>
                  <w:vAlign w:val="center"/>
                </w:tcPr>
                <w:p w14:paraId="01787638">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2（1用1备）</w:t>
                  </w:r>
                </w:p>
              </w:tc>
              <w:tc>
                <w:tcPr>
                  <w:tcW w:w="960" w:type="dxa"/>
                  <w:tcBorders>
                    <w:tl2br w:val="nil"/>
                    <w:tr2bl w:val="nil"/>
                  </w:tcBorders>
                  <w:shd w:val="clear" w:color="auto" w:fill="auto"/>
                  <w:noWrap/>
                  <w:vAlign w:val="center"/>
                </w:tcPr>
                <w:p w14:paraId="0D8919B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0E67CADC">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2A97C609">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66E723E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053680A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6C3B787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25</w:t>
                  </w:r>
                </w:p>
              </w:tc>
              <w:tc>
                <w:tcPr>
                  <w:tcW w:w="857" w:type="dxa"/>
                  <w:vMerge w:val="continue"/>
                  <w:tcBorders>
                    <w:tl2br w:val="nil"/>
                    <w:tr2bl w:val="nil"/>
                  </w:tcBorders>
                  <w:shd w:val="clear" w:color="auto" w:fill="auto"/>
                  <w:vAlign w:val="center"/>
                </w:tcPr>
                <w:p w14:paraId="41F15BE7">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71DD9E01">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单级单吸立式离心泵</w:t>
                  </w:r>
                </w:p>
              </w:tc>
              <w:tc>
                <w:tcPr>
                  <w:tcW w:w="1271" w:type="dxa"/>
                  <w:tcBorders>
                    <w:tl2br w:val="nil"/>
                    <w:tr2bl w:val="nil"/>
                  </w:tcBorders>
                  <w:shd w:val="clear" w:color="auto" w:fill="auto"/>
                  <w:vAlign w:val="center"/>
                </w:tcPr>
                <w:p w14:paraId="51B0F66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p>
              </w:tc>
              <w:tc>
                <w:tcPr>
                  <w:tcW w:w="960" w:type="dxa"/>
                  <w:tcBorders>
                    <w:tl2br w:val="nil"/>
                    <w:tr2bl w:val="nil"/>
                  </w:tcBorders>
                  <w:shd w:val="clear" w:color="auto" w:fill="auto"/>
                  <w:noWrap/>
                  <w:vAlign w:val="center"/>
                </w:tcPr>
                <w:p w14:paraId="5383B448">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0E9C31B5">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11598212">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5C2A11D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32246788">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7F2F4BF9">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26</w:t>
                  </w:r>
                </w:p>
              </w:tc>
              <w:tc>
                <w:tcPr>
                  <w:tcW w:w="857" w:type="dxa"/>
                  <w:vMerge w:val="continue"/>
                  <w:tcBorders>
                    <w:tl2br w:val="nil"/>
                    <w:tr2bl w:val="nil"/>
                  </w:tcBorders>
                  <w:shd w:val="clear" w:color="auto" w:fill="auto"/>
                  <w:vAlign w:val="center"/>
                </w:tcPr>
                <w:p w14:paraId="60E1C5C4">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271FBCF9">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单级单吸立式离心泵</w:t>
                  </w:r>
                </w:p>
              </w:tc>
              <w:tc>
                <w:tcPr>
                  <w:tcW w:w="1271" w:type="dxa"/>
                  <w:tcBorders>
                    <w:tl2br w:val="nil"/>
                    <w:tr2bl w:val="nil"/>
                  </w:tcBorders>
                  <w:shd w:val="clear" w:color="auto" w:fill="auto"/>
                  <w:vAlign w:val="center"/>
                </w:tcPr>
                <w:p w14:paraId="0F49711D">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p>
              </w:tc>
              <w:tc>
                <w:tcPr>
                  <w:tcW w:w="960" w:type="dxa"/>
                  <w:tcBorders>
                    <w:tl2br w:val="nil"/>
                    <w:tr2bl w:val="nil"/>
                  </w:tcBorders>
                  <w:shd w:val="clear" w:color="auto" w:fill="auto"/>
                  <w:noWrap/>
                  <w:vAlign w:val="center"/>
                </w:tcPr>
                <w:p w14:paraId="36749E1E">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51CCA09A">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4EB19404">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26D9E2B8">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49F36AF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42F3DC7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27</w:t>
                  </w:r>
                </w:p>
              </w:tc>
              <w:tc>
                <w:tcPr>
                  <w:tcW w:w="857" w:type="dxa"/>
                  <w:tcBorders>
                    <w:tl2br w:val="nil"/>
                    <w:tr2bl w:val="nil"/>
                  </w:tcBorders>
                  <w:shd w:val="clear" w:color="auto" w:fill="auto"/>
                  <w:vAlign w:val="center"/>
                </w:tcPr>
                <w:p w14:paraId="21DC5039">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鼓风机房</w:t>
                  </w:r>
                </w:p>
              </w:tc>
              <w:tc>
                <w:tcPr>
                  <w:tcW w:w="2151" w:type="dxa"/>
                  <w:tcBorders>
                    <w:tl2br w:val="nil"/>
                    <w:tr2bl w:val="nil"/>
                  </w:tcBorders>
                  <w:shd w:val="clear" w:color="auto" w:fill="auto"/>
                  <w:vAlign w:val="center"/>
                </w:tcPr>
                <w:p w14:paraId="54E248C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罗茨鼓风机</w:t>
                  </w:r>
                </w:p>
              </w:tc>
              <w:tc>
                <w:tcPr>
                  <w:tcW w:w="1271" w:type="dxa"/>
                  <w:tcBorders>
                    <w:tl2br w:val="nil"/>
                    <w:tr2bl w:val="nil"/>
                  </w:tcBorders>
                  <w:shd w:val="clear" w:color="auto" w:fill="auto"/>
                  <w:vAlign w:val="center"/>
                </w:tcPr>
                <w:p w14:paraId="45F0638B">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4（3用1备）</w:t>
                  </w:r>
                </w:p>
              </w:tc>
              <w:tc>
                <w:tcPr>
                  <w:tcW w:w="960" w:type="dxa"/>
                  <w:tcBorders>
                    <w:tl2br w:val="nil"/>
                    <w:tr2bl w:val="nil"/>
                  </w:tcBorders>
                  <w:shd w:val="clear" w:color="auto" w:fill="auto"/>
                  <w:noWrap/>
                  <w:vAlign w:val="center"/>
                </w:tcPr>
                <w:p w14:paraId="6F96CDF9">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80~87</w:t>
                  </w:r>
                </w:p>
              </w:tc>
              <w:tc>
                <w:tcPr>
                  <w:tcW w:w="749" w:type="dxa"/>
                  <w:vMerge w:val="continue"/>
                  <w:tcBorders>
                    <w:tl2br w:val="nil"/>
                    <w:tr2bl w:val="nil"/>
                  </w:tcBorders>
                  <w:shd w:val="clear" w:color="auto" w:fill="auto"/>
                  <w:vAlign w:val="center"/>
                </w:tcPr>
                <w:p w14:paraId="2D719581">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32FD43D3">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65F6513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6A2422E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41144785">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28</w:t>
                  </w:r>
                </w:p>
              </w:tc>
              <w:tc>
                <w:tcPr>
                  <w:tcW w:w="857" w:type="dxa"/>
                  <w:vMerge w:val="restart"/>
                  <w:tcBorders>
                    <w:tl2br w:val="nil"/>
                    <w:tr2bl w:val="nil"/>
                  </w:tcBorders>
                  <w:shd w:val="clear" w:color="auto" w:fill="auto"/>
                  <w:vAlign w:val="center"/>
                </w:tcPr>
                <w:p w14:paraId="5D1E5666">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污泥脱水机房</w:t>
                  </w:r>
                </w:p>
              </w:tc>
              <w:tc>
                <w:tcPr>
                  <w:tcW w:w="2151" w:type="dxa"/>
                  <w:tcBorders>
                    <w:tl2br w:val="nil"/>
                    <w:tr2bl w:val="nil"/>
                  </w:tcBorders>
                  <w:shd w:val="clear" w:color="auto" w:fill="auto"/>
                  <w:vAlign w:val="center"/>
                </w:tcPr>
                <w:p w14:paraId="7DC87479">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浓缩机进料泵</w:t>
                  </w:r>
                </w:p>
              </w:tc>
              <w:tc>
                <w:tcPr>
                  <w:tcW w:w="1271" w:type="dxa"/>
                  <w:tcBorders>
                    <w:tl2br w:val="nil"/>
                    <w:tr2bl w:val="nil"/>
                  </w:tcBorders>
                  <w:shd w:val="clear" w:color="auto" w:fill="auto"/>
                  <w:vAlign w:val="center"/>
                </w:tcPr>
                <w:p w14:paraId="31BC836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2（1用1备）</w:t>
                  </w:r>
                </w:p>
              </w:tc>
              <w:tc>
                <w:tcPr>
                  <w:tcW w:w="960" w:type="dxa"/>
                  <w:tcBorders>
                    <w:tl2br w:val="nil"/>
                    <w:tr2bl w:val="nil"/>
                  </w:tcBorders>
                  <w:shd w:val="clear" w:color="auto" w:fill="auto"/>
                  <w:noWrap/>
                  <w:vAlign w:val="center"/>
                </w:tcPr>
                <w:p w14:paraId="6B369CA8">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tl2br w:val="nil"/>
                    <w:tr2bl w:val="nil"/>
                  </w:tcBorders>
                  <w:shd w:val="clear" w:color="auto" w:fill="auto"/>
                  <w:vAlign w:val="center"/>
                </w:tcPr>
                <w:p w14:paraId="557012A6">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1434F991">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0670B27F">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6600A94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4BB25FD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29</w:t>
                  </w:r>
                </w:p>
              </w:tc>
              <w:tc>
                <w:tcPr>
                  <w:tcW w:w="857" w:type="dxa"/>
                  <w:vMerge w:val="continue"/>
                  <w:tcBorders>
                    <w:tl2br w:val="nil"/>
                    <w:tr2bl w:val="nil"/>
                  </w:tcBorders>
                  <w:shd w:val="clear" w:color="auto" w:fill="auto"/>
                  <w:vAlign w:val="center"/>
                </w:tcPr>
                <w:p w14:paraId="5DC48C34">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103F28DC">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叠螺式污泥浓缩机</w:t>
                  </w:r>
                </w:p>
              </w:tc>
              <w:tc>
                <w:tcPr>
                  <w:tcW w:w="1271" w:type="dxa"/>
                  <w:tcBorders>
                    <w:tl2br w:val="nil"/>
                    <w:tr2bl w:val="nil"/>
                  </w:tcBorders>
                  <w:shd w:val="clear" w:color="auto" w:fill="auto"/>
                  <w:vAlign w:val="center"/>
                </w:tcPr>
                <w:p w14:paraId="7641A42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960" w:type="dxa"/>
                  <w:tcBorders>
                    <w:tl2br w:val="nil"/>
                    <w:tr2bl w:val="nil"/>
                  </w:tcBorders>
                  <w:shd w:val="clear" w:color="auto" w:fill="auto"/>
                  <w:noWrap/>
                  <w:vAlign w:val="center"/>
                </w:tcPr>
                <w:p w14:paraId="1EE4E586">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70~75</w:t>
                  </w:r>
                </w:p>
              </w:tc>
              <w:tc>
                <w:tcPr>
                  <w:tcW w:w="749" w:type="dxa"/>
                  <w:vMerge w:val="continue"/>
                  <w:tcBorders>
                    <w:tl2br w:val="nil"/>
                    <w:tr2bl w:val="nil"/>
                  </w:tcBorders>
                  <w:shd w:val="clear" w:color="auto" w:fill="auto"/>
                  <w:vAlign w:val="center"/>
                </w:tcPr>
                <w:p w14:paraId="68B5605C">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59E64BED">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53-60</w:t>
                  </w:r>
                </w:p>
              </w:tc>
              <w:tc>
                <w:tcPr>
                  <w:tcW w:w="816" w:type="dxa"/>
                  <w:tcBorders>
                    <w:right w:val="single" w:color="auto" w:sz="4" w:space="0"/>
                    <w:tl2br w:val="nil"/>
                    <w:tr2bl w:val="nil"/>
                  </w:tcBorders>
                  <w:shd w:val="clear" w:color="auto" w:fill="auto"/>
                  <w:noWrap/>
                  <w:vAlign w:val="center"/>
                </w:tcPr>
                <w:p w14:paraId="7D429B36">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1D4D5B5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7EB7C2DD">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30</w:t>
                  </w:r>
                </w:p>
              </w:tc>
              <w:tc>
                <w:tcPr>
                  <w:tcW w:w="857" w:type="dxa"/>
                  <w:vMerge w:val="continue"/>
                  <w:tcBorders>
                    <w:tl2br w:val="nil"/>
                    <w:tr2bl w:val="nil"/>
                  </w:tcBorders>
                  <w:shd w:val="clear" w:color="auto" w:fill="auto"/>
                  <w:vAlign w:val="center"/>
                </w:tcPr>
                <w:p w14:paraId="37078E1C">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2099D62D">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调理池搅拌机</w:t>
                  </w:r>
                </w:p>
              </w:tc>
              <w:tc>
                <w:tcPr>
                  <w:tcW w:w="1271" w:type="dxa"/>
                  <w:tcBorders>
                    <w:tl2br w:val="nil"/>
                    <w:tr2bl w:val="nil"/>
                  </w:tcBorders>
                  <w:shd w:val="clear" w:color="auto" w:fill="auto"/>
                  <w:vAlign w:val="center"/>
                </w:tcPr>
                <w:p w14:paraId="04930EF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p>
              </w:tc>
              <w:tc>
                <w:tcPr>
                  <w:tcW w:w="960" w:type="dxa"/>
                  <w:tcBorders>
                    <w:tl2br w:val="nil"/>
                    <w:tr2bl w:val="nil"/>
                  </w:tcBorders>
                  <w:shd w:val="clear" w:color="auto" w:fill="auto"/>
                  <w:noWrap/>
                  <w:vAlign w:val="center"/>
                </w:tcPr>
                <w:p w14:paraId="142A53D5">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70~75</w:t>
                  </w:r>
                </w:p>
              </w:tc>
              <w:tc>
                <w:tcPr>
                  <w:tcW w:w="749" w:type="dxa"/>
                  <w:vMerge w:val="continue"/>
                  <w:tcBorders>
                    <w:tl2br w:val="nil"/>
                    <w:tr2bl w:val="nil"/>
                  </w:tcBorders>
                  <w:shd w:val="clear" w:color="auto" w:fill="auto"/>
                  <w:vAlign w:val="center"/>
                </w:tcPr>
                <w:p w14:paraId="23CC1E17">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0EA2186D">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53-60</w:t>
                  </w:r>
                </w:p>
              </w:tc>
              <w:tc>
                <w:tcPr>
                  <w:tcW w:w="816" w:type="dxa"/>
                  <w:tcBorders>
                    <w:right w:val="single" w:color="auto" w:sz="4" w:space="0"/>
                    <w:tl2br w:val="nil"/>
                    <w:tr2bl w:val="nil"/>
                  </w:tcBorders>
                  <w:shd w:val="clear" w:color="auto" w:fill="auto"/>
                  <w:noWrap/>
                  <w:vAlign w:val="center"/>
                </w:tcPr>
                <w:p w14:paraId="616C285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35E7CEA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68BEB7C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31</w:t>
                  </w:r>
                </w:p>
              </w:tc>
              <w:tc>
                <w:tcPr>
                  <w:tcW w:w="857" w:type="dxa"/>
                  <w:vMerge w:val="continue"/>
                  <w:tcBorders>
                    <w:tl2br w:val="nil"/>
                    <w:tr2bl w:val="nil"/>
                  </w:tcBorders>
                  <w:shd w:val="clear" w:color="auto" w:fill="auto"/>
                  <w:vAlign w:val="center"/>
                </w:tcPr>
                <w:p w14:paraId="2899471D">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0924FB3F">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超高压压榨机</w:t>
                  </w:r>
                </w:p>
              </w:tc>
              <w:tc>
                <w:tcPr>
                  <w:tcW w:w="1271" w:type="dxa"/>
                  <w:tcBorders>
                    <w:tl2br w:val="nil"/>
                    <w:tr2bl w:val="nil"/>
                  </w:tcBorders>
                  <w:shd w:val="clear" w:color="auto" w:fill="auto"/>
                  <w:vAlign w:val="center"/>
                </w:tcPr>
                <w:p w14:paraId="6894DB99">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960" w:type="dxa"/>
                  <w:tcBorders>
                    <w:tl2br w:val="nil"/>
                    <w:tr2bl w:val="nil"/>
                  </w:tcBorders>
                  <w:shd w:val="clear" w:color="auto" w:fill="auto"/>
                  <w:noWrap/>
                  <w:vAlign w:val="center"/>
                </w:tcPr>
                <w:p w14:paraId="715923D9">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70~75</w:t>
                  </w:r>
                </w:p>
              </w:tc>
              <w:tc>
                <w:tcPr>
                  <w:tcW w:w="749" w:type="dxa"/>
                  <w:vMerge w:val="continue"/>
                  <w:tcBorders>
                    <w:tl2br w:val="nil"/>
                    <w:tr2bl w:val="nil"/>
                  </w:tcBorders>
                  <w:shd w:val="clear" w:color="auto" w:fill="auto"/>
                  <w:vAlign w:val="center"/>
                </w:tcPr>
                <w:p w14:paraId="63DDB218">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56190A57">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53-60</w:t>
                  </w:r>
                </w:p>
              </w:tc>
              <w:tc>
                <w:tcPr>
                  <w:tcW w:w="816" w:type="dxa"/>
                  <w:tcBorders>
                    <w:right w:val="single" w:color="auto" w:sz="4" w:space="0"/>
                    <w:tl2br w:val="nil"/>
                    <w:tr2bl w:val="nil"/>
                  </w:tcBorders>
                  <w:shd w:val="clear" w:color="auto" w:fill="auto"/>
                  <w:noWrap/>
                  <w:vAlign w:val="center"/>
                </w:tcPr>
                <w:p w14:paraId="026B621E">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4E852F1D">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3826C49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32</w:t>
                  </w:r>
                </w:p>
              </w:tc>
              <w:tc>
                <w:tcPr>
                  <w:tcW w:w="857" w:type="dxa"/>
                  <w:vMerge w:val="continue"/>
                  <w:tcBorders>
                    <w:tl2br w:val="nil"/>
                    <w:tr2bl w:val="nil"/>
                  </w:tcBorders>
                  <w:shd w:val="clear" w:color="auto" w:fill="auto"/>
                  <w:vAlign w:val="center"/>
                </w:tcPr>
                <w:p w14:paraId="4526DB0C">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3EEB722F">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空压机</w:t>
                  </w:r>
                </w:p>
              </w:tc>
              <w:tc>
                <w:tcPr>
                  <w:tcW w:w="1271" w:type="dxa"/>
                  <w:tcBorders>
                    <w:tl2br w:val="nil"/>
                    <w:tr2bl w:val="nil"/>
                  </w:tcBorders>
                  <w:shd w:val="clear" w:color="auto" w:fill="auto"/>
                  <w:vAlign w:val="center"/>
                </w:tcPr>
                <w:p w14:paraId="38806E52">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960" w:type="dxa"/>
                  <w:tcBorders>
                    <w:tl2br w:val="nil"/>
                    <w:tr2bl w:val="nil"/>
                  </w:tcBorders>
                  <w:shd w:val="clear" w:color="auto" w:fill="auto"/>
                  <w:noWrap/>
                  <w:vAlign w:val="center"/>
                </w:tcPr>
                <w:p w14:paraId="7A3E766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70~80</w:t>
                  </w:r>
                </w:p>
              </w:tc>
              <w:tc>
                <w:tcPr>
                  <w:tcW w:w="749" w:type="dxa"/>
                  <w:vMerge w:val="continue"/>
                  <w:tcBorders>
                    <w:tl2br w:val="nil"/>
                    <w:tr2bl w:val="nil"/>
                  </w:tcBorders>
                  <w:shd w:val="clear" w:color="auto" w:fill="auto"/>
                  <w:vAlign w:val="center"/>
                </w:tcPr>
                <w:p w14:paraId="57D52235">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08C44FCE">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53-65</w:t>
                  </w:r>
                </w:p>
              </w:tc>
              <w:tc>
                <w:tcPr>
                  <w:tcW w:w="816" w:type="dxa"/>
                  <w:tcBorders>
                    <w:right w:val="single" w:color="auto" w:sz="4" w:space="0"/>
                    <w:tl2br w:val="nil"/>
                    <w:tr2bl w:val="nil"/>
                  </w:tcBorders>
                  <w:shd w:val="clear" w:color="auto" w:fill="auto"/>
                  <w:noWrap/>
                  <w:vAlign w:val="center"/>
                </w:tcPr>
                <w:p w14:paraId="2B02447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7351E56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183EA97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33</w:t>
                  </w:r>
                </w:p>
              </w:tc>
              <w:tc>
                <w:tcPr>
                  <w:tcW w:w="857" w:type="dxa"/>
                  <w:vMerge w:val="continue"/>
                  <w:tcBorders>
                    <w:tl2br w:val="nil"/>
                    <w:tr2bl w:val="nil"/>
                  </w:tcBorders>
                  <w:shd w:val="clear" w:color="auto" w:fill="auto"/>
                  <w:vAlign w:val="center"/>
                </w:tcPr>
                <w:p w14:paraId="3F9B1929">
                  <w:pPr>
                    <w:pStyle w:val="17"/>
                    <w:bidi w:val="0"/>
                    <w:rPr>
                      <w:rFonts w:hint="default" w:ascii="Times New Roman" w:hAnsi="Times New Roman" w:cs="Times New Roman"/>
                      <w:color w:val="auto"/>
                    </w:rPr>
                  </w:pPr>
                </w:p>
              </w:tc>
              <w:tc>
                <w:tcPr>
                  <w:tcW w:w="2151" w:type="dxa"/>
                  <w:tcBorders>
                    <w:tl2br w:val="nil"/>
                    <w:tr2bl w:val="nil"/>
                  </w:tcBorders>
                  <w:shd w:val="clear" w:color="auto" w:fill="auto"/>
                  <w:vAlign w:val="center"/>
                </w:tcPr>
                <w:p w14:paraId="13A0B8F6">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冷干机</w:t>
                  </w:r>
                </w:p>
              </w:tc>
              <w:tc>
                <w:tcPr>
                  <w:tcW w:w="1271" w:type="dxa"/>
                  <w:tcBorders>
                    <w:tl2br w:val="nil"/>
                    <w:tr2bl w:val="nil"/>
                  </w:tcBorders>
                  <w:shd w:val="clear" w:color="auto" w:fill="auto"/>
                  <w:vAlign w:val="center"/>
                </w:tcPr>
                <w:p w14:paraId="7A5DE31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960" w:type="dxa"/>
                  <w:tcBorders>
                    <w:tl2br w:val="nil"/>
                    <w:tr2bl w:val="nil"/>
                  </w:tcBorders>
                  <w:shd w:val="clear" w:color="auto" w:fill="auto"/>
                  <w:noWrap/>
                  <w:vAlign w:val="center"/>
                </w:tcPr>
                <w:p w14:paraId="33ACCF3E">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70~80</w:t>
                  </w:r>
                </w:p>
              </w:tc>
              <w:tc>
                <w:tcPr>
                  <w:tcW w:w="749" w:type="dxa"/>
                  <w:vMerge w:val="continue"/>
                  <w:tcBorders>
                    <w:tl2br w:val="nil"/>
                    <w:tr2bl w:val="nil"/>
                  </w:tcBorders>
                  <w:shd w:val="clear" w:color="auto" w:fill="auto"/>
                  <w:vAlign w:val="center"/>
                </w:tcPr>
                <w:p w14:paraId="28A67276">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505B698F">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53-65</w:t>
                  </w:r>
                </w:p>
              </w:tc>
              <w:tc>
                <w:tcPr>
                  <w:tcW w:w="816" w:type="dxa"/>
                  <w:tcBorders>
                    <w:right w:val="single" w:color="auto" w:sz="4" w:space="0"/>
                    <w:tl2br w:val="nil"/>
                    <w:tr2bl w:val="nil"/>
                  </w:tcBorders>
                  <w:shd w:val="clear" w:color="auto" w:fill="auto"/>
                  <w:noWrap/>
                  <w:vAlign w:val="center"/>
                </w:tcPr>
                <w:p w14:paraId="26112269">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3AB4BFEE">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tl2br w:val="nil"/>
                    <w:tr2bl w:val="nil"/>
                  </w:tcBorders>
                  <w:shd w:val="clear" w:color="auto" w:fill="auto"/>
                  <w:noWrap/>
                  <w:vAlign w:val="center"/>
                </w:tcPr>
                <w:p w14:paraId="6F00AF6F">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34</w:t>
                  </w:r>
                </w:p>
              </w:tc>
              <w:tc>
                <w:tcPr>
                  <w:tcW w:w="857" w:type="dxa"/>
                  <w:vMerge w:val="restart"/>
                  <w:tcBorders>
                    <w:tl2br w:val="nil"/>
                    <w:tr2bl w:val="nil"/>
                  </w:tcBorders>
                  <w:shd w:val="clear" w:color="auto" w:fill="auto"/>
                  <w:vAlign w:val="center"/>
                </w:tcPr>
                <w:p w14:paraId="7F6DF89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生物除臭</w:t>
                  </w:r>
                </w:p>
              </w:tc>
              <w:tc>
                <w:tcPr>
                  <w:tcW w:w="2151" w:type="dxa"/>
                  <w:tcBorders>
                    <w:tl2br w:val="nil"/>
                    <w:tr2bl w:val="nil"/>
                  </w:tcBorders>
                  <w:shd w:val="clear" w:color="auto" w:fill="auto"/>
                  <w:vAlign w:val="center"/>
                </w:tcPr>
                <w:p w14:paraId="0667071C">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离心风机</w:t>
                  </w:r>
                </w:p>
              </w:tc>
              <w:tc>
                <w:tcPr>
                  <w:tcW w:w="1271" w:type="dxa"/>
                  <w:tcBorders>
                    <w:tl2br w:val="nil"/>
                    <w:tr2bl w:val="nil"/>
                  </w:tcBorders>
                  <w:shd w:val="clear" w:color="auto" w:fill="auto"/>
                  <w:vAlign w:val="center"/>
                </w:tcPr>
                <w:p w14:paraId="49A2299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2（1用1备）</w:t>
                  </w:r>
                </w:p>
              </w:tc>
              <w:tc>
                <w:tcPr>
                  <w:tcW w:w="960" w:type="dxa"/>
                  <w:tcBorders>
                    <w:tl2br w:val="nil"/>
                    <w:tr2bl w:val="nil"/>
                  </w:tcBorders>
                  <w:shd w:val="clear" w:color="auto" w:fill="auto"/>
                  <w:noWrap/>
                  <w:vAlign w:val="center"/>
                </w:tcPr>
                <w:p w14:paraId="6C1F52F7">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80~87</w:t>
                  </w:r>
                </w:p>
              </w:tc>
              <w:tc>
                <w:tcPr>
                  <w:tcW w:w="749" w:type="dxa"/>
                  <w:vMerge w:val="continue"/>
                  <w:tcBorders>
                    <w:tl2br w:val="nil"/>
                    <w:tr2bl w:val="nil"/>
                  </w:tcBorders>
                  <w:shd w:val="clear" w:color="auto" w:fill="auto"/>
                  <w:vAlign w:val="center"/>
                </w:tcPr>
                <w:p w14:paraId="40A7A724">
                  <w:pPr>
                    <w:pStyle w:val="17"/>
                    <w:bidi w:val="0"/>
                    <w:rPr>
                      <w:rFonts w:hint="default" w:ascii="Times New Roman" w:hAnsi="Times New Roman" w:cs="Times New Roman"/>
                      <w:color w:val="auto"/>
                    </w:rPr>
                  </w:pPr>
                </w:p>
              </w:tc>
              <w:tc>
                <w:tcPr>
                  <w:tcW w:w="960" w:type="dxa"/>
                  <w:tcBorders>
                    <w:tl2br w:val="nil"/>
                    <w:tr2bl w:val="nil"/>
                  </w:tcBorders>
                  <w:shd w:val="clear" w:color="auto" w:fill="auto"/>
                  <w:noWrap/>
                  <w:vAlign w:val="center"/>
                </w:tcPr>
                <w:p w14:paraId="2DCFA665">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right w:val="single" w:color="auto" w:sz="4" w:space="0"/>
                    <w:tl2br w:val="nil"/>
                    <w:tr2bl w:val="nil"/>
                  </w:tcBorders>
                  <w:shd w:val="clear" w:color="auto" w:fill="auto"/>
                  <w:noWrap/>
                  <w:vAlign w:val="center"/>
                </w:tcPr>
                <w:p w14:paraId="4F62641A">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r w14:paraId="13F8543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456" w:type="dxa"/>
                  <w:tcBorders>
                    <w:left w:val="single" w:color="auto" w:sz="4" w:space="0"/>
                    <w:bottom w:val="single" w:color="auto" w:sz="4" w:space="0"/>
                    <w:tl2br w:val="nil"/>
                    <w:tr2bl w:val="nil"/>
                  </w:tcBorders>
                  <w:shd w:val="clear" w:color="auto" w:fill="auto"/>
                  <w:noWrap/>
                  <w:vAlign w:val="center"/>
                </w:tcPr>
                <w:p w14:paraId="01E5408C">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35</w:t>
                  </w:r>
                </w:p>
              </w:tc>
              <w:tc>
                <w:tcPr>
                  <w:tcW w:w="857" w:type="dxa"/>
                  <w:vMerge w:val="continue"/>
                  <w:tcBorders>
                    <w:bottom w:val="single" w:color="auto" w:sz="4" w:space="0"/>
                    <w:tl2br w:val="nil"/>
                    <w:tr2bl w:val="nil"/>
                  </w:tcBorders>
                  <w:shd w:val="clear" w:color="auto" w:fill="auto"/>
                  <w:vAlign w:val="center"/>
                </w:tcPr>
                <w:p w14:paraId="60D06909">
                  <w:pPr>
                    <w:pStyle w:val="17"/>
                    <w:bidi w:val="0"/>
                    <w:rPr>
                      <w:rFonts w:hint="default" w:ascii="Times New Roman" w:hAnsi="Times New Roman" w:cs="Times New Roman"/>
                      <w:color w:val="auto"/>
                    </w:rPr>
                  </w:pPr>
                </w:p>
              </w:tc>
              <w:tc>
                <w:tcPr>
                  <w:tcW w:w="2151" w:type="dxa"/>
                  <w:tcBorders>
                    <w:bottom w:val="single" w:color="auto" w:sz="4" w:space="0"/>
                    <w:tl2br w:val="nil"/>
                    <w:tr2bl w:val="nil"/>
                  </w:tcBorders>
                  <w:shd w:val="clear" w:color="auto" w:fill="auto"/>
                  <w:vAlign w:val="center"/>
                </w:tcPr>
                <w:p w14:paraId="776108F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循环水泵</w:t>
                  </w:r>
                </w:p>
              </w:tc>
              <w:tc>
                <w:tcPr>
                  <w:tcW w:w="1271" w:type="dxa"/>
                  <w:tcBorders>
                    <w:bottom w:val="single" w:color="auto" w:sz="4" w:space="0"/>
                    <w:tl2br w:val="nil"/>
                    <w:tr2bl w:val="nil"/>
                  </w:tcBorders>
                  <w:shd w:val="clear" w:color="auto" w:fill="auto"/>
                  <w:vAlign w:val="center"/>
                </w:tcPr>
                <w:p w14:paraId="1B669E0A">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3（2用1备）</w:t>
                  </w:r>
                </w:p>
              </w:tc>
              <w:tc>
                <w:tcPr>
                  <w:tcW w:w="960" w:type="dxa"/>
                  <w:tcBorders>
                    <w:bottom w:val="single" w:color="auto" w:sz="4" w:space="0"/>
                    <w:tl2br w:val="nil"/>
                    <w:tr2bl w:val="nil"/>
                  </w:tcBorders>
                  <w:shd w:val="clear" w:color="auto" w:fill="auto"/>
                  <w:noWrap/>
                  <w:vAlign w:val="center"/>
                </w:tcPr>
                <w:p w14:paraId="2B66AEE4">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80~85</w:t>
                  </w:r>
                </w:p>
              </w:tc>
              <w:tc>
                <w:tcPr>
                  <w:tcW w:w="749" w:type="dxa"/>
                  <w:vMerge w:val="continue"/>
                  <w:tcBorders>
                    <w:bottom w:val="single" w:color="auto" w:sz="4" w:space="0"/>
                    <w:tl2br w:val="nil"/>
                    <w:tr2bl w:val="nil"/>
                  </w:tcBorders>
                  <w:shd w:val="clear" w:color="auto" w:fill="auto"/>
                  <w:vAlign w:val="center"/>
                </w:tcPr>
                <w:p w14:paraId="412831E0">
                  <w:pPr>
                    <w:pStyle w:val="17"/>
                    <w:bidi w:val="0"/>
                    <w:rPr>
                      <w:rFonts w:hint="default" w:ascii="Times New Roman" w:hAnsi="Times New Roman" w:cs="Times New Roman"/>
                      <w:color w:val="auto"/>
                    </w:rPr>
                  </w:pPr>
                </w:p>
              </w:tc>
              <w:tc>
                <w:tcPr>
                  <w:tcW w:w="960" w:type="dxa"/>
                  <w:tcBorders>
                    <w:bottom w:val="single" w:color="auto" w:sz="4" w:space="0"/>
                    <w:tl2br w:val="nil"/>
                    <w:tr2bl w:val="nil"/>
                  </w:tcBorders>
                  <w:shd w:val="clear" w:color="auto" w:fill="auto"/>
                  <w:noWrap/>
                  <w:vAlign w:val="center"/>
                </w:tcPr>
                <w:p w14:paraId="33291FE1">
                  <w:pPr>
                    <w:pStyle w:val="17"/>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55-65</w:t>
                  </w:r>
                </w:p>
              </w:tc>
              <w:tc>
                <w:tcPr>
                  <w:tcW w:w="816" w:type="dxa"/>
                  <w:tcBorders>
                    <w:bottom w:val="single" w:color="auto" w:sz="4" w:space="0"/>
                    <w:right w:val="single" w:color="auto" w:sz="4" w:space="0"/>
                    <w:tl2br w:val="nil"/>
                    <w:tr2bl w:val="nil"/>
                  </w:tcBorders>
                  <w:shd w:val="clear" w:color="auto" w:fill="auto"/>
                  <w:noWrap/>
                  <w:vAlign w:val="center"/>
                </w:tcPr>
                <w:p w14:paraId="7E80DA3F">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24h</w:t>
                  </w:r>
                </w:p>
              </w:tc>
            </w:tr>
          </w:tbl>
          <w:p w14:paraId="5224F81F">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default" w:ascii="Times New Roman" w:hAnsi="Times New Roman" w:eastAsia="宋体" w:cs="Times New Roman"/>
                <w:snapToGrid w:val="0"/>
                <w:color w:val="auto"/>
                <w:sz w:val="24"/>
                <w:highlight w:val="none"/>
                <w:lang w:eastAsia="zh-CN"/>
              </w:rPr>
            </w:pPr>
            <w:r>
              <w:rPr>
                <w:rFonts w:hint="default" w:ascii="Times New Roman" w:hAnsi="Times New Roman" w:eastAsia="宋体" w:cs="Times New Roman"/>
                <w:snapToGrid w:val="0"/>
                <w:color w:val="auto"/>
                <w:sz w:val="24"/>
                <w:highlight w:val="none"/>
              </w:rPr>
              <w:t>生产设备选型上立足节能、环保，优先选用先进的低噪声设备，根据不同的声源声级及现场使用情况</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对各类噪声设备分别进行基础减振</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高效</w:t>
            </w:r>
            <w:r>
              <w:rPr>
                <w:rFonts w:hint="default" w:ascii="Times New Roman" w:hAnsi="Times New Roman" w:cs="Times New Roman"/>
                <w:snapToGrid w:val="0"/>
                <w:color w:val="auto"/>
                <w:sz w:val="24"/>
                <w:highlight w:val="none"/>
                <w:lang w:eastAsia="zh-CN"/>
              </w:rPr>
              <w:t>地</w:t>
            </w:r>
            <w:r>
              <w:rPr>
                <w:rFonts w:hint="default" w:ascii="Times New Roman" w:hAnsi="Times New Roman" w:eastAsia="宋体" w:cs="Times New Roman"/>
                <w:snapToGrid w:val="0"/>
                <w:color w:val="auto"/>
                <w:sz w:val="24"/>
                <w:highlight w:val="none"/>
              </w:rPr>
              <w:t>维护和管理</w:t>
            </w:r>
            <w:r>
              <w:rPr>
                <w:rFonts w:hint="eastAsia"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同时考虑在车间进行合理布置、隔声、减振等防噪降噪措施。具体措施如下</w:t>
            </w:r>
            <w:r>
              <w:rPr>
                <w:rFonts w:hint="default" w:ascii="Times New Roman" w:hAnsi="Times New Roman" w:eastAsia="宋体" w:cs="Times New Roman"/>
                <w:snapToGrid w:val="0"/>
                <w:color w:val="auto"/>
                <w:sz w:val="24"/>
                <w:highlight w:val="none"/>
                <w:lang w:eastAsia="zh-CN"/>
              </w:rPr>
              <w:t>：</w:t>
            </w:r>
          </w:p>
          <w:p w14:paraId="09F62D1C">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1</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从声源上控制</w:t>
            </w:r>
            <w:r>
              <w:rPr>
                <w:rFonts w:hint="default" w:ascii="Times New Roman" w:hAnsi="Times New Roman" w:cs="Times New Roman"/>
                <w:snapToGrid w:val="0"/>
                <w:color w:val="auto"/>
                <w:sz w:val="24"/>
                <w:highlight w:val="none"/>
                <w:lang w:eastAsia="zh-CN"/>
              </w:rPr>
              <w:t>噪声</w:t>
            </w:r>
            <w:r>
              <w:rPr>
                <w:rFonts w:hint="default" w:ascii="Times New Roman" w:hAnsi="Times New Roman" w:eastAsia="宋体" w:cs="Times New Roman"/>
                <w:snapToGrid w:val="0"/>
                <w:color w:val="auto"/>
                <w:sz w:val="24"/>
                <w:highlight w:val="none"/>
              </w:rPr>
              <w:t>，优先选用先进的低噪声设备，尤其是各类水泵</w:t>
            </w:r>
            <w:r>
              <w:rPr>
                <w:rFonts w:hint="default" w:ascii="Times New Roman" w:hAnsi="Times New Roman" w:cs="Times New Roman"/>
                <w:snapToGrid w:val="0"/>
                <w:color w:val="auto"/>
                <w:sz w:val="24"/>
                <w:highlight w:val="none"/>
                <w:lang w:eastAsia="zh-CN"/>
              </w:rPr>
              <w:t>及</w:t>
            </w:r>
            <w:r>
              <w:rPr>
                <w:rFonts w:hint="default" w:ascii="Times New Roman" w:hAnsi="Times New Roman" w:eastAsia="宋体" w:cs="Times New Roman"/>
                <w:snapToGrid w:val="0"/>
                <w:color w:val="auto"/>
                <w:sz w:val="24"/>
                <w:highlight w:val="none"/>
              </w:rPr>
              <w:t>风机等。</w:t>
            </w:r>
          </w:p>
          <w:p w14:paraId="7432EC90">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2</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高噪声设备尽量布置在室内，如污泥脱水机、鼓风机等，增加基础减振设施。</w:t>
            </w:r>
          </w:p>
          <w:p w14:paraId="2D25B70D">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3</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对各类风机的进、出口处安装阻性消声器，并在机组与地基之间安置减震器，风机采用减振基础和柔性接头。</w:t>
            </w:r>
          </w:p>
          <w:p w14:paraId="20543525">
            <w:pPr>
              <w:snapToGrid w:val="0"/>
              <w:spacing w:line="360" w:lineRule="auto"/>
              <w:ind w:firstLine="480" w:firstLineChars="200"/>
              <w:rPr>
                <w:rFonts w:hint="default" w:ascii="Times New Roman" w:hAnsi="Times New Roman" w:eastAsia="宋体" w:cs="Times New Roman"/>
                <w:snapToGrid w:val="0"/>
                <w:color w:val="auto"/>
                <w:sz w:val="24"/>
                <w:highlight w:val="none"/>
                <w:lang w:eastAsia="zh-CN"/>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4</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污水泵和污泥泵尽量采用潜污泵，在水下基本无噪声</w:t>
            </w:r>
            <w:r>
              <w:rPr>
                <w:rFonts w:hint="eastAsia"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地上泵类尽量布置在室内，同时采用减振基础和柔性接头</w:t>
            </w:r>
            <w:r>
              <w:rPr>
                <w:rFonts w:hint="default" w:ascii="Times New Roman" w:hAnsi="Times New Roman" w:eastAsia="宋体" w:cs="Times New Roman"/>
                <w:snapToGrid w:val="0"/>
                <w:color w:val="auto"/>
                <w:sz w:val="24"/>
                <w:highlight w:val="none"/>
                <w:lang w:eastAsia="zh-CN"/>
              </w:rPr>
              <w:t>。</w:t>
            </w:r>
          </w:p>
          <w:p w14:paraId="4AB15160">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5</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加强对各噪声设备的保养与检修，确保设备处于良好的运转状态，杜绝因设备不正常运转时产生的高噪声现象。</w:t>
            </w:r>
          </w:p>
          <w:p w14:paraId="055C620C">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lang w:val="en-US" w:eastAsia="zh-CN"/>
              </w:rPr>
              <w:t>6</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通过合理的平面布置，并建设绿化隔离带，以降低噪声并美化环境。</w:t>
            </w:r>
          </w:p>
          <w:p w14:paraId="19C6C394">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3.2噪声预测及达标情况</w:t>
            </w:r>
          </w:p>
          <w:p w14:paraId="2C7AEC2E">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声源在预测位置的声压级计算公式为：</w:t>
            </w:r>
          </w:p>
          <w:p w14:paraId="02C36F3D">
            <w:pPr>
              <w:snapToGrid w:val="0"/>
              <w:spacing w:line="360" w:lineRule="auto"/>
              <w:jc w:val="center"/>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L</w:t>
            </w:r>
            <w:r>
              <w:rPr>
                <w:rFonts w:hint="default" w:ascii="Times New Roman" w:hAnsi="Times New Roman" w:eastAsia="宋体" w:cs="Times New Roman"/>
                <w:snapToGrid w:val="0"/>
                <w:color w:val="auto"/>
                <w:sz w:val="24"/>
                <w:highlight w:val="none"/>
                <w:vertAlign w:val="subscript"/>
              </w:rPr>
              <w:t>p</w:t>
            </w:r>
            <w:r>
              <w:rPr>
                <w:rFonts w:hint="default" w:ascii="Times New Roman" w:hAnsi="Times New Roman" w:eastAsia="宋体" w:cs="Times New Roman"/>
                <w:snapToGrid w:val="0"/>
                <w:color w:val="auto"/>
                <w:sz w:val="24"/>
                <w:highlight w:val="none"/>
              </w:rPr>
              <w:t>（r）=L</w:t>
            </w:r>
            <w:r>
              <w:rPr>
                <w:rFonts w:hint="default" w:ascii="Times New Roman" w:hAnsi="Times New Roman" w:eastAsia="宋体" w:cs="Times New Roman"/>
                <w:snapToGrid w:val="0"/>
                <w:color w:val="auto"/>
                <w:sz w:val="24"/>
                <w:highlight w:val="none"/>
                <w:vertAlign w:val="subscript"/>
              </w:rPr>
              <w:t>w</w:t>
            </w:r>
            <w:r>
              <w:rPr>
                <w:rFonts w:hint="default" w:ascii="Times New Roman" w:hAnsi="Times New Roman" w:eastAsia="宋体" w:cs="Times New Roman"/>
                <w:snapToGrid w:val="0"/>
                <w:color w:val="auto"/>
                <w:sz w:val="24"/>
                <w:highlight w:val="none"/>
              </w:rPr>
              <w:t>+Dc-（A</w:t>
            </w:r>
            <w:r>
              <w:rPr>
                <w:rFonts w:hint="default" w:ascii="Times New Roman" w:hAnsi="Times New Roman" w:eastAsia="宋体" w:cs="Times New Roman"/>
                <w:snapToGrid w:val="0"/>
                <w:color w:val="auto"/>
                <w:sz w:val="24"/>
                <w:highlight w:val="none"/>
                <w:vertAlign w:val="subscript"/>
              </w:rPr>
              <w:t>div</w:t>
            </w: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at</w:t>
            </w:r>
            <w:r>
              <w:rPr>
                <w:rFonts w:hint="default" w:ascii="Times New Roman" w:hAnsi="Times New Roman" w:cs="Times New Roman"/>
                <w:snapToGrid w:val="0"/>
                <w:color w:val="auto"/>
                <w:sz w:val="24"/>
                <w:highlight w:val="none"/>
                <w:vertAlign w:val="baseline"/>
                <w:lang w:eastAsia="zh-CN"/>
              </w:rPr>
              <w:t>m</w:t>
            </w: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gr</w:t>
            </w: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bar</w:t>
            </w:r>
            <w:r>
              <w:rPr>
                <w:rFonts w:hint="default" w:ascii="Times New Roman" w:hAnsi="Times New Roman" w:eastAsia="宋体" w:cs="Times New Roman"/>
                <w:snapToGrid w:val="0"/>
                <w:color w:val="auto"/>
                <w:sz w:val="24"/>
                <w:highlight w:val="none"/>
              </w:rPr>
              <w:t>+A</w:t>
            </w:r>
            <w:r>
              <w:rPr>
                <w:rFonts w:hint="default" w:ascii="Times New Roman" w:hAnsi="Times New Roman" w:cs="Times New Roman"/>
                <w:snapToGrid w:val="0"/>
                <w:color w:val="auto"/>
                <w:sz w:val="24"/>
                <w:highlight w:val="none"/>
                <w:vertAlign w:val="baseline"/>
                <w:lang w:eastAsia="zh-CN"/>
              </w:rPr>
              <w:t>m</w:t>
            </w:r>
            <w:r>
              <w:rPr>
                <w:rFonts w:hint="default" w:ascii="Times New Roman" w:hAnsi="Times New Roman" w:eastAsia="宋体" w:cs="Times New Roman"/>
                <w:snapToGrid w:val="0"/>
                <w:color w:val="auto"/>
                <w:sz w:val="24"/>
                <w:highlight w:val="none"/>
                <w:vertAlign w:val="subscript"/>
              </w:rPr>
              <w:t>isc</w:t>
            </w:r>
            <w:r>
              <w:rPr>
                <w:rFonts w:hint="default" w:ascii="Times New Roman" w:hAnsi="Times New Roman" w:eastAsia="宋体" w:cs="Times New Roman"/>
                <w:snapToGrid w:val="0"/>
                <w:color w:val="auto"/>
                <w:sz w:val="24"/>
                <w:highlight w:val="none"/>
              </w:rPr>
              <w:t>）</w:t>
            </w:r>
          </w:p>
          <w:p w14:paraId="1E8F386D">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式中：L</w:t>
            </w:r>
            <w:r>
              <w:rPr>
                <w:rFonts w:hint="default" w:ascii="Times New Roman" w:hAnsi="Times New Roman" w:eastAsia="宋体" w:cs="Times New Roman"/>
                <w:snapToGrid w:val="0"/>
                <w:color w:val="auto"/>
                <w:sz w:val="24"/>
                <w:highlight w:val="none"/>
                <w:vertAlign w:val="subscript"/>
              </w:rPr>
              <w:t>p</w:t>
            </w:r>
            <w:r>
              <w:rPr>
                <w:rFonts w:hint="default" w:ascii="Times New Roman" w:hAnsi="Times New Roman" w:eastAsia="宋体" w:cs="Times New Roman"/>
                <w:snapToGrid w:val="0"/>
                <w:color w:val="auto"/>
                <w:sz w:val="24"/>
                <w:highlight w:val="none"/>
              </w:rPr>
              <w:t>（r）----预测点处声压级，dB;</w:t>
            </w:r>
          </w:p>
          <w:p w14:paraId="2398BEE4">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Lw----由点声源产生的声功率级（A计权或倍频带），dB；</w:t>
            </w:r>
          </w:p>
          <w:p w14:paraId="5805BCE5">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Dc----指向性校正，它描述点声源的等效连续声压级与产生声功率级Lw的全向点声源在规定方向的声级的偏差程度</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78639B2D">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div</w:t>
            </w:r>
            <w:r>
              <w:rPr>
                <w:rFonts w:hint="default" w:ascii="Times New Roman" w:hAnsi="Times New Roman" w:eastAsia="宋体" w:cs="Times New Roman"/>
                <w:snapToGrid w:val="0"/>
                <w:color w:val="auto"/>
                <w:sz w:val="24"/>
                <w:highlight w:val="none"/>
              </w:rPr>
              <w:t>----几何发散引起的衰减</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23CC504F">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at</w:t>
            </w:r>
            <w:r>
              <w:rPr>
                <w:rFonts w:hint="default" w:ascii="Times New Roman" w:hAnsi="Times New Roman" w:cs="Times New Roman"/>
                <w:snapToGrid w:val="0"/>
                <w:color w:val="auto"/>
                <w:sz w:val="24"/>
                <w:highlight w:val="none"/>
                <w:vertAlign w:val="baseline"/>
                <w:lang w:eastAsia="zh-CN"/>
              </w:rPr>
              <w:t>m</w:t>
            </w:r>
            <w:r>
              <w:rPr>
                <w:rFonts w:hint="default" w:ascii="Times New Roman" w:hAnsi="Times New Roman" w:eastAsia="宋体" w:cs="Times New Roman"/>
                <w:b/>
                <w:bCs/>
                <w:snapToGrid w:val="0"/>
                <w:color w:val="auto"/>
                <w:sz w:val="24"/>
                <w:highlight w:val="none"/>
              </w:rPr>
              <w:t>---</w:t>
            </w:r>
            <w:r>
              <w:rPr>
                <w:rFonts w:hint="default" w:ascii="Times New Roman" w:hAnsi="Times New Roman" w:eastAsia="宋体" w:cs="Times New Roman"/>
                <w:snapToGrid w:val="0"/>
                <w:color w:val="auto"/>
                <w:sz w:val="24"/>
                <w:highlight w:val="none"/>
              </w:rPr>
              <w:t>-大气吸收引起的衰减</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77BC611E">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gr</w:t>
            </w:r>
            <w:r>
              <w:rPr>
                <w:rFonts w:hint="default" w:ascii="Times New Roman" w:hAnsi="Times New Roman" w:eastAsia="宋体" w:cs="Times New Roman"/>
                <w:snapToGrid w:val="0"/>
                <w:color w:val="auto"/>
                <w:sz w:val="24"/>
                <w:highlight w:val="none"/>
              </w:rPr>
              <w:t>-----地面效应引起的衰减</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00CD4783">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A</w:t>
            </w:r>
            <w:r>
              <w:rPr>
                <w:rFonts w:hint="default" w:ascii="Times New Roman" w:hAnsi="Times New Roman" w:eastAsia="宋体" w:cs="Times New Roman"/>
                <w:snapToGrid w:val="0"/>
                <w:color w:val="auto"/>
                <w:sz w:val="24"/>
                <w:highlight w:val="none"/>
                <w:vertAlign w:val="subscript"/>
              </w:rPr>
              <w:t>bar</w:t>
            </w:r>
            <w:r>
              <w:rPr>
                <w:rFonts w:hint="default" w:ascii="Times New Roman" w:hAnsi="Times New Roman" w:eastAsia="宋体" w:cs="Times New Roman"/>
                <w:snapToGrid w:val="0"/>
                <w:color w:val="auto"/>
                <w:sz w:val="24"/>
                <w:highlight w:val="none"/>
              </w:rPr>
              <w:t>----障碍物屏蔽引起的衰减</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18CA53B0">
            <w:pPr>
              <w:snapToGrid w:val="0"/>
              <w:spacing w:line="360" w:lineRule="auto"/>
              <w:ind w:firstLine="1200" w:firstLineChars="5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A</w:t>
            </w:r>
            <w:r>
              <w:rPr>
                <w:rFonts w:hint="default" w:ascii="Times New Roman" w:hAnsi="Times New Roman" w:cs="Times New Roman"/>
                <w:snapToGrid w:val="0"/>
                <w:color w:val="auto"/>
                <w:sz w:val="24"/>
                <w:highlight w:val="none"/>
                <w:vertAlign w:val="baseline"/>
                <w:lang w:eastAsia="zh-CN"/>
              </w:rPr>
              <w:t>m</w:t>
            </w:r>
            <w:r>
              <w:rPr>
                <w:rFonts w:hint="default" w:ascii="Times New Roman" w:hAnsi="Times New Roman" w:eastAsia="宋体" w:cs="Times New Roman"/>
                <w:snapToGrid w:val="0"/>
                <w:color w:val="auto"/>
                <w:sz w:val="24"/>
                <w:highlight w:val="none"/>
                <w:vertAlign w:val="subscript"/>
              </w:rPr>
              <w:t>isc</w:t>
            </w:r>
            <w:r>
              <w:rPr>
                <w:rFonts w:hint="default" w:ascii="Times New Roman" w:hAnsi="Times New Roman" w:eastAsia="宋体" w:cs="Times New Roman"/>
                <w:snapToGrid w:val="0"/>
                <w:color w:val="auto"/>
                <w:sz w:val="24"/>
                <w:highlight w:val="none"/>
              </w:rPr>
              <w:t>----其他多方面引起的衰减</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24F957A3">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本项目</w:t>
            </w:r>
            <w:r>
              <w:rPr>
                <w:rFonts w:hint="default" w:ascii="Times New Roman" w:hAnsi="Times New Roman" w:eastAsia="宋体" w:cs="Times New Roman"/>
                <w:snapToGrid w:val="0"/>
                <w:color w:val="auto"/>
                <w:sz w:val="24"/>
                <w:highlight w:val="none"/>
                <w:lang w:eastAsia="zh-CN"/>
              </w:rPr>
              <w:t>将</w:t>
            </w:r>
            <w:r>
              <w:rPr>
                <w:rFonts w:hint="default" w:ascii="Times New Roman" w:hAnsi="Times New Roman" w:eastAsia="宋体" w:cs="Times New Roman"/>
                <w:snapToGrid w:val="0"/>
                <w:color w:val="auto"/>
                <w:sz w:val="24"/>
                <w:highlight w:val="none"/>
              </w:rPr>
              <w:t>声源概化为点声源进行预测，不考虑指向性校正、大气吸收引起的衰减、地面效应及其他方面引起的衰减，障碍物屏蔽引起的衰减取20dB，几何发散引起的衰减</w:t>
            </w:r>
            <w:r>
              <w:rPr>
                <w:rFonts w:hint="default" w:ascii="Times New Roman" w:hAnsi="Times New Roman" w:eastAsia="宋体" w:cs="Times New Roman"/>
                <w:snapToGrid w:val="0"/>
                <w:color w:val="auto"/>
                <w:sz w:val="24"/>
                <w:highlight w:val="none"/>
                <w:lang w:eastAsia="zh-CN"/>
              </w:rPr>
              <w:t>值</w:t>
            </w:r>
            <w:r>
              <w:rPr>
                <w:rFonts w:hint="default" w:ascii="Times New Roman" w:hAnsi="Times New Roman" w:eastAsia="宋体" w:cs="Times New Roman"/>
                <w:snapToGrid w:val="0"/>
                <w:color w:val="auto"/>
                <w:sz w:val="24"/>
                <w:highlight w:val="none"/>
              </w:rPr>
              <w:t>按照30</w:t>
            </w:r>
            <w:r>
              <w:rPr>
                <w:rFonts w:hint="default" w:ascii="Times New Roman" w:hAnsi="Times New Roman" w:cs="Times New Roman"/>
                <w:snapToGrid w:val="0"/>
                <w:color w:val="auto"/>
                <w:sz w:val="24"/>
                <w:highlight w:val="none"/>
                <w:lang w:eastAsia="zh-CN"/>
              </w:rPr>
              <w:t>m</w:t>
            </w:r>
            <w:r>
              <w:rPr>
                <w:rFonts w:hint="default" w:ascii="Times New Roman" w:hAnsi="Times New Roman" w:eastAsia="宋体" w:cs="Times New Roman"/>
                <w:snapToGrid w:val="0"/>
                <w:color w:val="auto"/>
                <w:sz w:val="24"/>
                <w:highlight w:val="none"/>
              </w:rPr>
              <w:t>计算。</w:t>
            </w:r>
          </w:p>
          <w:p w14:paraId="0CA3D3BF">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噪声贡献值（Leqg）计算公式为：</w:t>
            </w:r>
          </w:p>
          <w:p w14:paraId="03FEFD77">
            <w:pPr>
              <w:snapToGrid w:val="0"/>
              <w:spacing w:line="360" w:lineRule="auto"/>
              <w:jc w:val="center"/>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drawing>
                <wp:inline distT="0" distB="0" distL="0" distR="0">
                  <wp:extent cx="1943100" cy="542925"/>
                  <wp:effectExtent l="0" t="0" r="7620" b="5715"/>
                  <wp:docPr id="15770209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020903" name="图片 7"/>
                          <pic:cNvPicPr>
                            <a:picLocks noChangeAspect="1" noChangeArrowheads="1"/>
                          </pic:cNvPicPr>
                        </pic:nvPicPr>
                        <pic:blipFill>
                          <a:blip r:embed="rId14"/>
                          <a:srcRect/>
                          <a:stretch>
                            <a:fillRect/>
                          </a:stretch>
                        </pic:blipFill>
                        <pic:spPr>
                          <a:xfrm>
                            <a:off x="0" y="0"/>
                            <a:ext cx="1943100" cy="542925"/>
                          </a:xfrm>
                          <a:prstGeom prst="rect">
                            <a:avLst/>
                          </a:prstGeom>
                          <a:noFill/>
                          <a:ln>
                            <a:noFill/>
                          </a:ln>
                        </pic:spPr>
                      </pic:pic>
                    </a:graphicData>
                  </a:graphic>
                </wp:inline>
              </w:drawing>
            </w:r>
          </w:p>
          <w:p w14:paraId="684E5EBF">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式中：Leqg----噪声贡献值</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2195BF26">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 xml:space="preserve">      T----预测计算的时间段</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S；</w:t>
            </w:r>
          </w:p>
          <w:p w14:paraId="08D2CEA7">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 xml:space="preserve">      t</w:t>
            </w:r>
            <w:r>
              <w:rPr>
                <w:rFonts w:hint="default" w:ascii="Times New Roman" w:hAnsi="Times New Roman" w:eastAsia="宋体" w:cs="Times New Roman"/>
                <w:snapToGrid w:val="0"/>
                <w:color w:val="auto"/>
                <w:sz w:val="24"/>
                <w:highlight w:val="none"/>
                <w:vertAlign w:val="subscript"/>
              </w:rPr>
              <w:t>i</w:t>
            </w:r>
            <w:r>
              <w:rPr>
                <w:rFonts w:hint="default" w:ascii="Times New Roman" w:hAnsi="Times New Roman" w:eastAsia="宋体" w:cs="Times New Roman"/>
                <w:snapToGrid w:val="0"/>
                <w:color w:val="auto"/>
                <w:sz w:val="24"/>
                <w:highlight w:val="none"/>
              </w:rPr>
              <w:t>----i声源在T时段内的运行时间</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S；</w:t>
            </w:r>
          </w:p>
          <w:p w14:paraId="1A4E98D7">
            <w:pPr>
              <w:snapToGrid w:val="0"/>
              <w:spacing w:line="360" w:lineRule="auto"/>
              <w:ind w:firstLine="480" w:firstLineChars="200"/>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snapToGrid w:val="0"/>
                <w:color w:val="auto"/>
                <w:sz w:val="24"/>
                <w:highlight w:val="none"/>
              </w:rPr>
              <w:t xml:space="preserve">      L</w:t>
            </w:r>
            <w:r>
              <w:rPr>
                <w:rFonts w:hint="default" w:ascii="Times New Roman" w:hAnsi="Times New Roman" w:eastAsia="宋体" w:cs="Times New Roman"/>
                <w:snapToGrid w:val="0"/>
                <w:color w:val="auto"/>
                <w:sz w:val="24"/>
                <w:highlight w:val="none"/>
                <w:vertAlign w:val="subscript"/>
              </w:rPr>
              <w:t>Ai</w:t>
            </w:r>
            <w:r>
              <w:rPr>
                <w:rFonts w:hint="default" w:ascii="Times New Roman" w:hAnsi="Times New Roman" w:eastAsia="宋体" w:cs="Times New Roman"/>
                <w:snapToGrid w:val="0"/>
                <w:color w:val="auto"/>
                <w:sz w:val="24"/>
                <w:highlight w:val="none"/>
              </w:rPr>
              <w:t>----i声源在预测点产生的等效连续A声级</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snapToGrid w:val="0"/>
                <w:color w:val="auto"/>
                <w:sz w:val="24"/>
                <w:highlight w:val="none"/>
              </w:rPr>
              <w:t>dB。</w:t>
            </w:r>
          </w:p>
          <w:p w14:paraId="6210F8C9">
            <w:pPr>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综上</w:t>
            </w:r>
            <w:r>
              <w:rPr>
                <w:rFonts w:hint="default" w:ascii="Times New Roman" w:hAnsi="Times New Roman" w:eastAsia="宋体" w:cs="Times New Roman"/>
                <w:bCs/>
                <w:color w:val="auto"/>
                <w:sz w:val="24"/>
                <w:highlight w:val="none"/>
              </w:rPr>
              <w:t>，新增设备贡献值叠加</w:t>
            </w:r>
            <w:r>
              <w:rPr>
                <w:rFonts w:hint="default" w:ascii="Times New Roman" w:hAnsi="Times New Roman" w:eastAsia="宋体" w:cs="Times New Roman"/>
                <w:bCs/>
                <w:color w:val="auto"/>
                <w:sz w:val="24"/>
                <w:highlight w:val="none"/>
                <w:lang w:val="en-US" w:eastAsia="zh-CN"/>
              </w:rPr>
              <w:t>厂区202</w:t>
            </w:r>
            <w:r>
              <w:rPr>
                <w:rFonts w:hint="default" w:ascii="Times New Roman" w:hAnsi="Times New Roman" w:cs="Times New Roman"/>
                <w:bCs/>
                <w:color w:val="auto"/>
                <w:sz w:val="24"/>
                <w:highlight w:val="none"/>
                <w:lang w:val="en-US" w:eastAsia="zh-CN"/>
              </w:rPr>
              <w:t>6</w:t>
            </w:r>
            <w:r>
              <w:rPr>
                <w:rFonts w:hint="default" w:ascii="Times New Roman" w:hAnsi="Times New Roman" w:eastAsia="宋体" w:cs="Times New Roman"/>
                <w:bCs/>
                <w:color w:val="auto"/>
                <w:sz w:val="24"/>
                <w:highlight w:val="none"/>
                <w:lang w:val="en-US" w:eastAsia="zh-CN"/>
              </w:rPr>
              <w:t>年3月</w:t>
            </w:r>
            <w:r>
              <w:rPr>
                <w:rFonts w:hint="default" w:ascii="Times New Roman" w:hAnsi="Times New Roman" w:cs="Times New Roman"/>
                <w:bCs/>
                <w:color w:val="auto"/>
                <w:sz w:val="24"/>
                <w:highlight w:val="none"/>
                <w:lang w:val="en-US" w:eastAsia="zh-CN"/>
              </w:rPr>
              <w:t>30日</w:t>
            </w:r>
            <w:r>
              <w:rPr>
                <w:rFonts w:hint="default" w:ascii="Times New Roman" w:hAnsi="Times New Roman" w:eastAsia="宋体" w:cs="Times New Roman"/>
                <w:bCs/>
                <w:color w:val="auto"/>
                <w:sz w:val="24"/>
                <w:highlight w:val="none"/>
                <w:lang w:eastAsia="zh-CN"/>
              </w:rPr>
              <w:t>厂界</w:t>
            </w:r>
            <w:r>
              <w:rPr>
                <w:rFonts w:hint="default" w:ascii="Times New Roman" w:hAnsi="Times New Roman" w:eastAsia="宋体" w:cs="Times New Roman"/>
                <w:bCs/>
                <w:color w:val="auto"/>
                <w:sz w:val="24"/>
                <w:highlight w:val="none"/>
                <w:lang w:val="en-US" w:eastAsia="zh-CN"/>
              </w:rPr>
              <w:t>噪声</w:t>
            </w:r>
            <w:r>
              <w:rPr>
                <w:rFonts w:hint="default" w:ascii="Times New Roman" w:hAnsi="Times New Roman" w:eastAsia="宋体" w:cs="Times New Roman"/>
                <w:bCs/>
                <w:color w:val="auto"/>
                <w:sz w:val="24"/>
                <w:highlight w:val="none"/>
                <w:lang w:eastAsia="zh-CN"/>
              </w:rPr>
              <w:t>监测值</w:t>
            </w:r>
            <w:r>
              <w:rPr>
                <w:rFonts w:hint="default" w:ascii="Times New Roman" w:hAnsi="Times New Roman" w:eastAsia="宋体" w:cs="Times New Roman"/>
                <w:bCs/>
                <w:color w:val="auto"/>
                <w:sz w:val="24"/>
                <w:highlight w:val="none"/>
              </w:rPr>
              <w:t>后的预测结果如下：</w:t>
            </w:r>
          </w:p>
          <w:p w14:paraId="26E21047">
            <w:pPr>
              <w:spacing w:line="360" w:lineRule="auto"/>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cs="Times New Roman"/>
                <w:b/>
                <w:color w:val="auto"/>
                <w:sz w:val="24"/>
                <w:highlight w:val="none"/>
                <w:lang w:val="en-US" w:eastAsia="zh-CN"/>
              </w:rPr>
              <w:t>5</w:t>
            </w:r>
            <w:r>
              <w:rPr>
                <w:rFonts w:hint="default" w:ascii="Times New Roman" w:hAnsi="Times New Roman" w:eastAsia="宋体" w:cs="Times New Roman"/>
                <w:b/>
                <w:color w:val="auto"/>
                <w:sz w:val="24"/>
                <w:highlight w:val="none"/>
              </w:rPr>
              <w:t xml:space="preserve"> 厂界噪声</w:t>
            </w:r>
            <w:r>
              <w:rPr>
                <w:rFonts w:hint="default" w:ascii="Times New Roman" w:hAnsi="Times New Roman" w:eastAsia="宋体" w:cs="Times New Roman"/>
                <w:b/>
                <w:color w:val="auto"/>
                <w:sz w:val="24"/>
                <w:highlight w:val="none"/>
                <w:lang w:eastAsia="zh-CN"/>
              </w:rPr>
              <w:t>预测</w:t>
            </w:r>
            <w:r>
              <w:rPr>
                <w:rFonts w:hint="default" w:ascii="Times New Roman" w:hAnsi="Times New Roman" w:eastAsia="宋体" w:cs="Times New Roman"/>
                <w:b/>
                <w:color w:val="auto"/>
                <w:sz w:val="24"/>
                <w:highlight w:val="none"/>
              </w:rPr>
              <w:t>结果一览表</w:t>
            </w:r>
            <w:r>
              <w:rPr>
                <w:rFonts w:hint="eastAsia" w:cs="Times New Roman"/>
                <w:b/>
                <w:color w:val="auto"/>
                <w:sz w:val="24"/>
                <w:highlight w:val="none"/>
                <w:lang w:val="en-US" w:eastAsia="zh-CN"/>
              </w:rPr>
              <w:t>-</w:t>
            </w:r>
            <w:r>
              <w:rPr>
                <w:rFonts w:hint="default" w:ascii="Times New Roman" w:hAnsi="Times New Roman" w:eastAsia="宋体" w:cs="Times New Roman"/>
                <w:b/>
                <w:color w:val="auto"/>
                <w:sz w:val="24"/>
                <w:highlight w:val="none"/>
              </w:rPr>
              <w:t>单位：dB（A）</w:t>
            </w:r>
          </w:p>
          <w:tbl>
            <w:tblPr>
              <w:tblStyle w:val="11"/>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705"/>
              <w:gridCol w:w="1715"/>
              <w:gridCol w:w="831"/>
              <w:gridCol w:w="697"/>
              <w:gridCol w:w="693"/>
              <w:gridCol w:w="757"/>
              <w:gridCol w:w="690"/>
              <w:gridCol w:w="750"/>
              <w:gridCol w:w="577"/>
              <w:gridCol w:w="696"/>
            </w:tblGrid>
            <w:tr w14:paraId="70284A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434" w:type="pct"/>
                  <w:vMerge w:val="restart"/>
                  <w:tcBorders>
                    <w:top w:val="single" w:color="auto" w:sz="4" w:space="0"/>
                    <w:left w:val="single" w:color="auto" w:sz="0" w:space="0"/>
                    <w:tl2br w:val="nil"/>
                    <w:tr2bl w:val="nil"/>
                  </w:tcBorders>
                  <w:noWrap w:val="0"/>
                  <w:tcMar>
                    <w:left w:w="0" w:type="dxa"/>
                    <w:right w:w="0" w:type="dxa"/>
                  </w:tcMar>
                  <w:vAlign w:val="center"/>
                </w:tcPr>
                <w:p w14:paraId="0B8304A8">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057" w:type="pct"/>
                  <w:vMerge w:val="restart"/>
                  <w:tcBorders>
                    <w:top w:val="single" w:color="auto" w:sz="4" w:space="0"/>
                    <w:tl2br w:val="nil"/>
                    <w:tr2bl w:val="nil"/>
                  </w:tcBorders>
                  <w:noWrap w:val="0"/>
                  <w:tcMar>
                    <w:left w:w="0" w:type="dxa"/>
                    <w:right w:w="0" w:type="dxa"/>
                  </w:tcMar>
                  <w:vAlign w:val="center"/>
                </w:tcPr>
                <w:p w14:paraId="3460BE79">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监测点名称</w:t>
                  </w:r>
                </w:p>
              </w:tc>
              <w:tc>
                <w:tcPr>
                  <w:tcW w:w="941" w:type="pct"/>
                  <w:gridSpan w:val="2"/>
                  <w:tcBorders>
                    <w:top w:val="single" w:color="auto" w:sz="4" w:space="0"/>
                    <w:tl2br w:val="nil"/>
                    <w:tr2bl w:val="nil"/>
                  </w:tcBorders>
                  <w:noWrap w:val="0"/>
                  <w:tcMar>
                    <w:left w:w="0" w:type="dxa"/>
                    <w:right w:w="0" w:type="dxa"/>
                  </w:tcMar>
                  <w:vAlign w:val="center"/>
                </w:tcPr>
                <w:p w14:paraId="7B89FBFD">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现状值</w:t>
                  </w:r>
                </w:p>
              </w:tc>
              <w:tc>
                <w:tcPr>
                  <w:tcW w:w="893" w:type="pct"/>
                  <w:gridSpan w:val="2"/>
                  <w:tcBorders>
                    <w:top w:val="single" w:color="auto" w:sz="4" w:space="0"/>
                    <w:tl2br w:val="nil"/>
                    <w:tr2bl w:val="nil"/>
                  </w:tcBorders>
                  <w:noWrap w:val="0"/>
                  <w:tcMar>
                    <w:left w:w="0" w:type="dxa"/>
                    <w:right w:w="0" w:type="dxa"/>
                  </w:tcMar>
                  <w:vAlign w:val="center"/>
                </w:tcPr>
                <w:p w14:paraId="3905AF14">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贡献值</w:t>
                  </w:r>
                </w:p>
              </w:tc>
              <w:tc>
                <w:tcPr>
                  <w:tcW w:w="887" w:type="pct"/>
                  <w:gridSpan w:val="2"/>
                  <w:tcBorders>
                    <w:top w:val="single" w:color="auto" w:sz="4" w:space="0"/>
                    <w:tl2br w:val="nil"/>
                    <w:tr2bl w:val="nil"/>
                  </w:tcBorders>
                  <w:noWrap w:val="0"/>
                  <w:tcMar>
                    <w:left w:w="0" w:type="dxa"/>
                    <w:right w:w="0" w:type="dxa"/>
                  </w:tcMar>
                  <w:vAlign w:val="center"/>
                </w:tcPr>
                <w:p w14:paraId="24252231">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预测值</w:t>
                  </w:r>
                </w:p>
              </w:tc>
              <w:tc>
                <w:tcPr>
                  <w:tcW w:w="784" w:type="pct"/>
                  <w:gridSpan w:val="2"/>
                  <w:tcBorders>
                    <w:top w:val="single" w:color="auto" w:sz="4" w:space="0"/>
                    <w:right w:val="single" w:color="auto" w:sz="4" w:space="0"/>
                    <w:tl2br w:val="nil"/>
                    <w:tr2bl w:val="nil"/>
                  </w:tcBorders>
                  <w:noWrap w:val="0"/>
                  <w:vAlign w:val="top"/>
                </w:tcPr>
                <w:p w14:paraId="2EFE8F5E">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标准值</w:t>
                  </w:r>
                </w:p>
              </w:tc>
            </w:tr>
            <w:tr w14:paraId="4A23D40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434" w:type="pct"/>
                  <w:vMerge w:val="continue"/>
                  <w:tcBorders>
                    <w:left w:val="single" w:color="auto" w:sz="4" w:space="0"/>
                    <w:tl2br w:val="nil"/>
                    <w:tr2bl w:val="nil"/>
                  </w:tcBorders>
                  <w:noWrap w:val="0"/>
                  <w:tcMar>
                    <w:left w:w="0" w:type="dxa"/>
                    <w:right w:w="0" w:type="dxa"/>
                  </w:tcMar>
                  <w:vAlign w:val="center"/>
                </w:tcPr>
                <w:p w14:paraId="66F307B4">
                  <w:pPr>
                    <w:pStyle w:val="17"/>
                    <w:bidi w:val="0"/>
                    <w:rPr>
                      <w:rFonts w:hint="default" w:ascii="Times New Roman" w:hAnsi="Times New Roman" w:cs="Times New Roman"/>
                      <w:b/>
                      <w:bCs/>
                      <w:color w:val="auto"/>
                      <w:sz w:val="21"/>
                      <w:szCs w:val="21"/>
                    </w:rPr>
                  </w:pPr>
                </w:p>
              </w:tc>
              <w:tc>
                <w:tcPr>
                  <w:tcW w:w="1057" w:type="pct"/>
                  <w:vMerge w:val="continue"/>
                  <w:tcBorders>
                    <w:tl2br w:val="nil"/>
                    <w:tr2bl w:val="nil"/>
                  </w:tcBorders>
                  <w:noWrap w:val="0"/>
                  <w:tcMar>
                    <w:left w:w="0" w:type="dxa"/>
                    <w:right w:w="0" w:type="dxa"/>
                  </w:tcMar>
                  <w:vAlign w:val="center"/>
                </w:tcPr>
                <w:p w14:paraId="26B90AF4">
                  <w:pPr>
                    <w:pStyle w:val="17"/>
                    <w:bidi w:val="0"/>
                    <w:rPr>
                      <w:rFonts w:hint="default" w:ascii="Times New Roman" w:hAnsi="Times New Roman" w:cs="Times New Roman"/>
                      <w:b/>
                      <w:bCs/>
                      <w:color w:val="auto"/>
                      <w:sz w:val="21"/>
                      <w:szCs w:val="21"/>
                    </w:rPr>
                  </w:pPr>
                </w:p>
              </w:tc>
              <w:tc>
                <w:tcPr>
                  <w:tcW w:w="512" w:type="pct"/>
                  <w:tcBorders>
                    <w:tl2br w:val="nil"/>
                    <w:tr2bl w:val="nil"/>
                  </w:tcBorders>
                  <w:noWrap w:val="0"/>
                  <w:tcMar>
                    <w:left w:w="0" w:type="dxa"/>
                    <w:right w:w="0" w:type="dxa"/>
                  </w:tcMar>
                  <w:vAlign w:val="center"/>
                </w:tcPr>
                <w:p w14:paraId="3D92DA7C">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429" w:type="pct"/>
                  <w:tcBorders>
                    <w:tl2br w:val="nil"/>
                    <w:tr2bl w:val="nil"/>
                  </w:tcBorders>
                  <w:noWrap w:val="0"/>
                  <w:tcMar>
                    <w:left w:w="0" w:type="dxa"/>
                    <w:right w:w="0" w:type="dxa"/>
                  </w:tcMar>
                  <w:vAlign w:val="center"/>
                </w:tcPr>
                <w:p w14:paraId="5A006515">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427" w:type="pct"/>
                  <w:tcBorders>
                    <w:tl2br w:val="nil"/>
                    <w:tr2bl w:val="nil"/>
                  </w:tcBorders>
                  <w:noWrap w:val="0"/>
                  <w:tcMar>
                    <w:left w:w="0" w:type="dxa"/>
                    <w:right w:w="0" w:type="dxa"/>
                  </w:tcMar>
                  <w:vAlign w:val="center"/>
                </w:tcPr>
                <w:p w14:paraId="09BD89B5">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466" w:type="pct"/>
                  <w:tcBorders>
                    <w:tl2br w:val="nil"/>
                    <w:tr2bl w:val="nil"/>
                  </w:tcBorders>
                  <w:noWrap w:val="0"/>
                  <w:tcMar>
                    <w:left w:w="0" w:type="dxa"/>
                    <w:right w:w="0" w:type="dxa"/>
                  </w:tcMar>
                  <w:vAlign w:val="center"/>
                </w:tcPr>
                <w:p w14:paraId="647C30E1">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425" w:type="pct"/>
                  <w:tcBorders>
                    <w:tl2br w:val="nil"/>
                    <w:tr2bl w:val="nil"/>
                  </w:tcBorders>
                  <w:noWrap w:val="0"/>
                  <w:tcMar>
                    <w:left w:w="0" w:type="dxa"/>
                    <w:right w:w="0" w:type="dxa"/>
                  </w:tcMar>
                  <w:vAlign w:val="center"/>
                </w:tcPr>
                <w:p w14:paraId="63F3E6FC">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462" w:type="pct"/>
                  <w:tcBorders>
                    <w:tl2br w:val="nil"/>
                    <w:tr2bl w:val="nil"/>
                  </w:tcBorders>
                  <w:noWrap w:val="0"/>
                  <w:tcMar>
                    <w:left w:w="0" w:type="dxa"/>
                    <w:right w:w="0" w:type="dxa"/>
                  </w:tcMar>
                  <w:vAlign w:val="center"/>
                </w:tcPr>
                <w:p w14:paraId="3EB3264C">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c>
                <w:tcPr>
                  <w:tcW w:w="355" w:type="pct"/>
                  <w:tcBorders>
                    <w:tl2br w:val="nil"/>
                    <w:tr2bl w:val="nil"/>
                  </w:tcBorders>
                  <w:noWrap w:val="0"/>
                  <w:vAlign w:val="center"/>
                </w:tcPr>
                <w:p w14:paraId="566D7ACE">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428" w:type="pct"/>
                  <w:tcBorders>
                    <w:right w:val="single" w:color="auto" w:sz="4" w:space="0"/>
                    <w:tl2br w:val="nil"/>
                    <w:tr2bl w:val="nil"/>
                  </w:tcBorders>
                  <w:noWrap w:val="0"/>
                  <w:vAlign w:val="center"/>
                </w:tcPr>
                <w:p w14:paraId="3944AA48">
                  <w:pPr>
                    <w:pStyle w:val="17"/>
                    <w:bidi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6452199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434" w:type="pct"/>
                  <w:tcBorders>
                    <w:left w:val="single" w:color="auto" w:sz="4" w:space="0"/>
                    <w:tl2br w:val="nil"/>
                    <w:tr2bl w:val="nil"/>
                  </w:tcBorders>
                  <w:noWrap w:val="0"/>
                  <w:tcMar>
                    <w:left w:w="0" w:type="dxa"/>
                    <w:right w:w="0" w:type="dxa"/>
                  </w:tcMar>
                  <w:vAlign w:val="center"/>
                </w:tcPr>
                <w:p w14:paraId="1241C730">
                  <w:pPr>
                    <w:pStyle w:val="17"/>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57" w:type="pct"/>
                  <w:tcBorders>
                    <w:tl2br w:val="nil"/>
                    <w:tr2bl w:val="nil"/>
                  </w:tcBorders>
                  <w:noWrap w:val="0"/>
                  <w:tcMar>
                    <w:left w:w="0" w:type="dxa"/>
                    <w:right w:w="0" w:type="dxa"/>
                  </w:tcMar>
                  <w:vAlign w:val="center"/>
                </w:tcPr>
                <w:p w14:paraId="787F06C9">
                  <w:pPr>
                    <w:pStyle w:val="17"/>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东厂界</w:t>
                  </w:r>
                </w:p>
              </w:tc>
              <w:tc>
                <w:tcPr>
                  <w:tcW w:w="831" w:type="dxa"/>
                  <w:tcBorders>
                    <w:tl2br w:val="nil"/>
                    <w:tr2bl w:val="nil"/>
                  </w:tcBorders>
                  <w:noWrap w:val="0"/>
                  <w:tcMar>
                    <w:left w:w="0" w:type="dxa"/>
                    <w:right w:w="0" w:type="dxa"/>
                  </w:tcMar>
                  <w:vAlign w:val="center"/>
                </w:tcPr>
                <w:p w14:paraId="6BA73713">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54.6</w:t>
                  </w:r>
                </w:p>
              </w:tc>
              <w:tc>
                <w:tcPr>
                  <w:tcW w:w="697" w:type="dxa"/>
                  <w:tcBorders>
                    <w:tl2br w:val="nil"/>
                    <w:tr2bl w:val="nil"/>
                  </w:tcBorders>
                  <w:noWrap w:val="0"/>
                  <w:tcMar>
                    <w:left w:w="0" w:type="dxa"/>
                    <w:right w:w="0" w:type="dxa"/>
                  </w:tcMar>
                  <w:vAlign w:val="center"/>
                </w:tcPr>
                <w:p w14:paraId="65055DD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w:t>
                  </w:r>
                </w:p>
              </w:tc>
              <w:tc>
                <w:tcPr>
                  <w:tcW w:w="693" w:type="dxa"/>
                  <w:tcBorders>
                    <w:tl2br w:val="nil"/>
                    <w:tr2bl w:val="nil"/>
                  </w:tcBorders>
                  <w:noWrap w:val="0"/>
                  <w:tcMar>
                    <w:left w:w="0" w:type="dxa"/>
                    <w:right w:w="0" w:type="dxa"/>
                  </w:tcMar>
                  <w:vAlign w:val="center"/>
                </w:tcPr>
                <w:p w14:paraId="6F97D478">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36.5</w:t>
                  </w:r>
                </w:p>
              </w:tc>
              <w:tc>
                <w:tcPr>
                  <w:tcW w:w="757" w:type="dxa"/>
                  <w:tcBorders>
                    <w:tl2br w:val="nil"/>
                    <w:tr2bl w:val="nil"/>
                  </w:tcBorders>
                  <w:shd w:val="clear" w:color="auto" w:fill="auto"/>
                  <w:noWrap w:val="0"/>
                  <w:tcMar>
                    <w:left w:w="0" w:type="dxa"/>
                    <w:right w:w="0" w:type="dxa"/>
                  </w:tcMar>
                  <w:vAlign w:val="center"/>
                </w:tcPr>
                <w:p w14:paraId="01DFE2D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36.5</w:t>
                  </w:r>
                </w:p>
              </w:tc>
              <w:tc>
                <w:tcPr>
                  <w:tcW w:w="690" w:type="dxa"/>
                  <w:tcBorders>
                    <w:tl2br w:val="nil"/>
                    <w:tr2bl w:val="nil"/>
                  </w:tcBorders>
                  <w:noWrap w:val="0"/>
                  <w:tcMar>
                    <w:left w:w="0" w:type="dxa"/>
                    <w:right w:w="0" w:type="dxa"/>
                  </w:tcMar>
                  <w:vAlign w:val="center"/>
                </w:tcPr>
                <w:p w14:paraId="6F3C121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54.7</w:t>
                  </w:r>
                </w:p>
              </w:tc>
              <w:tc>
                <w:tcPr>
                  <w:tcW w:w="750" w:type="dxa"/>
                  <w:tcBorders>
                    <w:tl2br w:val="nil"/>
                    <w:tr2bl w:val="nil"/>
                  </w:tcBorders>
                  <w:noWrap w:val="0"/>
                  <w:tcMar>
                    <w:left w:w="0" w:type="dxa"/>
                    <w:right w:w="0" w:type="dxa"/>
                  </w:tcMar>
                  <w:vAlign w:val="center"/>
                </w:tcPr>
                <w:p w14:paraId="46F73AF4">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44.7</w:t>
                  </w:r>
                </w:p>
              </w:tc>
              <w:tc>
                <w:tcPr>
                  <w:tcW w:w="355" w:type="pct"/>
                  <w:tcBorders>
                    <w:tl2br w:val="nil"/>
                    <w:tr2bl w:val="nil"/>
                  </w:tcBorders>
                  <w:noWrap w:val="0"/>
                  <w:vAlign w:val="center"/>
                </w:tcPr>
                <w:p w14:paraId="0EDCF637">
                  <w:pPr>
                    <w:pStyle w:val="1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428" w:type="pct"/>
                  <w:tcBorders>
                    <w:right w:val="single" w:color="auto" w:sz="4" w:space="0"/>
                    <w:tl2br w:val="nil"/>
                    <w:tr2bl w:val="nil"/>
                  </w:tcBorders>
                  <w:noWrap w:val="0"/>
                  <w:vAlign w:val="center"/>
                </w:tcPr>
                <w:p w14:paraId="49D099B2">
                  <w:pPr>
                    <w:pStyle w:val="17"/>
                    <w:bidi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0</w:t>
                  </w:r>
                </w:p>
              </w:tc>
            </w:tr>
            <w:tr w14:paraId="2212016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434" w:type="pct"/>
                  <w:tcBorders>
                    <w:left w:val="single" w:color="auto" w:sz="4" w:space="0"/>
                    <w:tl2br w:val="nil"/>
                    <w:tr2bl w:val="nil"/>
                  </w:tcBorders>
                  <w:noWrap w:val="0"/>
                  <w:tcMar>
                    <w:left w:w="0" w:type="dxa"/>
                    <w:right w:w="0" w:type="dxa"/>
                  </w:tcMar>
                  <w:vAlign w:val="center"/>
                </w:tcPr>
                <w:p w14:paraId="20C1C0B7">
                  <w:pPr>
                    <w:pStyle w:val="17"/>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057" w:type="pct"/>
                  <w:tcBorders>
                    <w:tl2br w:val="nil"/>
                    <w:tr2bl w:val="nil"/>
                  </w:tcBorders>
                  <w:noWrap w:val="0"/>
                  <w:tcMar>
                    <w:left w:w="0" w:type="dxa"/>
                    <w:right w:w="0" w:type="dxa"/>
                  </w:tcMar>
                  <w:vAlign w:val="center"/>
                </w:tcPr>
                <w:p w14:paraId="3F582935">
                  <w:pPr>
                    <w:pStyle w:val="17"/>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南厂界</w:t>
                  </w:r>
                </w:p>
              </w:tc>
              <w:tc>
                <w:tcPr>
                  <w:tcW w:w="831" w:type="dxa"/>
                  <w:tcBorders>
                    <w:tl2br w:val="nil"/>
                    <w:tr2bl w:val="nil"/>
                  </w:tcBorders>
                  <w:noWrap w:val="0"/>
                  <w:tcMar>
                    <w:left w:w="0" w:type="dxa"/>
                    <w:right w:w="0" w:type="dxa"/>
                  </w:tcMar>
                  <w:vAlign w:val="center"/>
                </w:tcPr>
                <w:p w14:paraId="73CC4E33">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54.4</w:t>
                  </w:r>
                </w:p>
              </w:tc>
              <w:tc>
                <w:tcPr>
                  <w:tcW w:w="697" w:type="dxa"/>
                  <w:tcBorders>
                    <w:tl2br w:val="nil"/>
                    <w:tr2bl w:val="nil"/>
                  </w:tcBorders>
                  <w:noWrap w:val="0"/>
                  <w:tcMar>
                    <w:left w:w="0" w:type="dxa"/>
                    <w:right w:w="0" w:type="dxa"/>
                  </w:tcMar>
                  <w:vAlign w:val="center"/>
                </w:tcPr>
                <w:p w14:paraId="1AD5CE6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46</w:t>
                  </w:r>
                </w:p>
              </w:tc>
              <w:tc>
                <w:tcPr>
                  <w:tcW w:w="693" w:type="dxa"/>
                  <w:tcBorders>
                    <w:tl2br w:val="nil"/>
                    <w:tr2bl w:val="nil"/>
                  </w:tcBorders>
                  <w:noWrap w:val="0"/>
                  <w:tcMar>
                    <w:left w:w="0" w:type="dxa"/>
                    <w:right w:w="0" w:type="dxa"/>
                  </w:tcMar>
                  <w:vAlign w:val="center"/>
                </w:tcPr>
                <w:p w14:paraId="07D59EBC">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39.9</w:t>
                  </w:r>
                </w:p>
              </w:tc>
              <w:tc>
                <w:tcPr>
                  <w:tcW w:w="757" w:type="dxa"/>
                  <w:tcBorders>
                    <w:tl2br w:val="nil"/>
                    <w:tr2bl w:val="nil"/>
                  </w:tcBorders>
                  <w:shd w:val="clear" w:color="auto" w:fill="auto"/>
                  <w:noWrap w:val="0"/>
                  <w:tcMar>
                    <w:left w:w="0" w:type="dxa"/>
                    <w:right w:w="0" w:type="dxa"/>
                  </w:tcMar>
                  <w:vAlign w:val="center"/>
                </w:tcPr>
                <w:p w14:paraId="07CCAA06">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39.9</w:t>
                  </w:r>
                </w:p>
              </w:tc>
              <w:tc>
                <w:tcPr>
                  <w:tcW w:w="690" w:type="dxa"/>
                  <w:tcBorders>
                    <w:tl2br w:val="nil"/>
                    <w:tr2bl w:val="nil"/>
                  </w:tcBorders>
                  <w:noWrap w:val="0"/>
                  <w:tcMar>
                    <w:left w:w="0" w:type="dxa"/>
                    <w:right w:w="0" w:type="dxa"/>
                  </w:tcMar>
                  <w:vAlign w:val="center"/>
                </w:tcPr>
                <w:p w14:paraId="2166956A">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54.6</w:t>
                  </w:r>
                </w:p>
              </w:tc>
              <w:tc>
                <w:tcPr>
                  <w:tcW w:w="750" w:type="dxa"/>
                  <w:tcBorders>
                    <w:tl2br w:val="nil"/>
                    <w:tr2bl w:val="nil"/>
                  </w:tcBorders>
                  <w:noWrap w:val="0"/>
                  <w:tcMar>
                    <w:left w:w="0" w:type="dxa"/>
                    <w:right w:w="0" w:type="dxa"/>
                  </w:tcMar>
                  <w:vAlign w:val="center"/>
                </w:tcPr>
                <w:p w14:paraId="343A103C">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47.0</w:t>
                  </w:r>
                </w:p>
              </w:tc>
              <w:tc>
                <w:tcPr>
                  <w:tcW w:w="355" w:type="pct"/>
                  <w:tcBorders>
                    <w:tl2br w:val="nil"/>
                    <w:tr2bl w:val="nil"/>
                  </w:tcBorders>
                  <w:shd w:val="clear" w:color="auto" w:fill="auto"/>
                  <w:noWrap w:val="0"/>
                  <w:vAlign w:val="center"/>
                </w:tcPr>
                <w:p w14:paraId="79444A46">
                  <w:pPr>
                    <w:pStyle w:val="1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428" w:type="pct"/>
                  <w:tcBorders>
                    <w:right w:val="single" w:color="auto" w:sz="4" w:space="0"/>
                    <w:tl2br w:val="nil"/>
                    <w:tr2bl w:val="nil"/>
                  </w:tcBorders>
                  <w:shd w:val="clear" w:color="auto" w:fill="auto"/>
                  <w:noWrap w:val="0"/>
                  <w:vAlign w:val="center"/>
                </w:tcPr>
                <w:p w14:paraId="79A7B1DD">
                  <w:pPr>
                    <w:pStyle w:val="1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0</w:t>
                  </w:r>
                </w:p>
              </w:tc>
            </w:tr>
            <w:tr w14:paraId="5AFADC9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434" w:type="pct"/>
                  <w:tcBorders>
                    <w:left w:val="single" w:color="auto" w:sz="4" w:space="0"/>
                    <w:tl2br w:val="nil"/>
                    <w:tr2bl w:val="nil"/>
                  </w:tcBorders>
                  <w:noWrap w:val="0"/>
                  <w:tcMar>
                    <w:left w:w="0" w:type="dxa"/>
                    <w:right w:w="0" w:type="dxa"/>
                  </w:tcMar>
                  <w:vAlign w:val="center"/>
                </w:tcPr>
                <w:p w14:paraId="42E13CA1">
                  <w:pPr>
                    <w:pStyle w:val="17"/>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057" w:type="pct"/>
                  <w:tcBorders>
                    <w:tl2br w:val="nil"/>
                    <w:tr2bl w:val="nil"/>
                  </w:tcBorders>
                  <w:noWrap w:val="0"/>
                  <w:tcMar>
                    <w:left w:w="0" w:type="dxa"/>
                    <w:right w:w="0" w:type="dxa"/>
                  </w:tcMar>
                  <w:vAlign w:val="center"/>
                </w:tcPr>
                <w:p w14:paraId="2FDB7124">
                  <w:pPr>
                    <w:pStyle w:val="17"/>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西厂界</w:t>
                  </w:r>
                </w:p>
              </w:tc>
              <w:tc>
                <w:tcPr>
                  <w:tcW w:w="831" w:type="dxa"/>
                  <w:tcBorders>
                    <w:tl2br w:val="nil"/>
                    <w:tr2bl w:val="nil"/>
                  </w:tcBorders>
                  <w:noWrap w:val="0"/>
                  <w:tcMar>
                    <w:left w:w="0" w:type="dxa"/>
                    <w:right w:w="0" w:type="dxa"/>
                  </w:tcMar>
                  <w:vAlign w:val="center"/>
                </w:tcPr>
                <w:p w14:paraId="7C3026A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54.5</w:t>
                  </w:r>
                </w:p>
              </w:tc>
              <w:tc>
                <w:tcPr>
                  <w:tcW w:w="697" w:type="dxa"/>
                  <w:tcBorders>
                    <w:tl2br w:val="nil"/>
                    <w:tr2bl w:val="nil"/>
                  </w:tcBorders>
                  <w:noWrap w:val="0"/>
                  <w:tcMar>
                    <w:left w:w="0" w:type="dxa"/>
                    <w:right w:w="0" w:type="dxa"/>
                  </w:tcMar>
                  <w:vAlign w:val="center"/>
                </w:tcPr>
                <w:p w14:paraId="78A87B2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44.1</w:t>
                  </w:r>
                </w:p>
              </w:tc>
              <w:tc>
                <w:tcPr>
                  <w:tcW w:w="693" w:type="dxa"/>
                  <w:tcBorders>
                    <w:tl2br w:val="nil"/>
                    <w:tr2bl w:val="nil"/>
                  </w:tcBorders>
                  <w:noWrap w:val="0"/>
                  <w:tcMar>
                    <w:left w:w="0" w:type="dxa"/>
                    <w:right w:w="0" w:type="dxa"/>
                  </w:tcMar>
                  <w:vAlign w:val="center"/>
                </w:tcPr>
                <w:p w14:paraId="2EE8DAB7">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33.6</w:t>
                  </w:r>
                </w:p>
              </w:tc>
              <w:tc>
                <w:tcPr>
                  <w:tcW w:w="757" w:type="dxa"/>
                  <w:tcBorders>
                    <w:tl2br w:val="nil"/>
                    <w:tr2bl w:val="nil"/>
                  </w:tcBorders>
                  <w:shd w:val="clear" w:color="auto" w:fill="auto"/>
                  <w:noWrap w:val="0"/>
                  <w:tcMar>
                    <w:left w:w="0" w:type="dxa"/>
                    <w:right w:w="0" w:type="dxa"/>
                  </w:tcMar>
                  <w:vAlign w:val="center"/>
                </w:tcPr>
                <w:p w14:paraId="41046EF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33.6</w:t>
                  </w:r>
                </w:p>
              </w:tc>
              <w:tc>
                <w:tcPr>
                  <w:tcW w:w="690" w:type="dxa"/>
                  <w:tcBorders>
                    <w:tl2br w:val="nil"/>
                    <w:tr2bl w:val="nil"/>
                  </w:tcBorders>
                  <w:noWrap w:val="0"/>
                  <w:tcMar>
                    <w:left w:w="0" w:type="dxa"/>
                    <w:right w:w="0" w:type="dxa"/>
                  </w:tcMar>
                  <w:vAlign w:val="center"/>
                </w:tcPr>
                <w:p w14:paraId="2ACE7904">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54.5</w:t>
                  </w:r>
                </w:p>
              </w:tc>
              <w:tc>
                <w:tcPr>
                  <w:tcW w:w="750" w:type="dxa"/>
                  <w:tcBorders>
                    <w:tl2br w:val="nil"/>
                    <w:tr2bl w:val="nil"/>
                  </w:tcBorders>
                  <w:noWrap w:val="0"/>
                  <w:tcMar>
                    <w:left w:w="0" w:type="dxa"/>
                    <w:right w:w="0" w:type="dxa"/>
                  </w:tcMar>
                  <w:vAlign w:val="center"/>
                </w:tcPr>
                <w:p w14:paraId="06177272">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44.5</w:t>
                  </w:r>
                </w:p>
              </w:tc>
              <w:tc>
                <w:tcPr>
                  <w:tcW w:w="355" w:type="pct"/>
                  <w:tcBorders>
                    <w:tl2br w:val="nil"/>
                    <w:tr2bl w:val="nil"/>
                  </w:tcBorders>
                  <w:shd w:val="clear" w:color="auto" w:fill="auto"/>
                  <w:noWrap w:val="0"/>
                  <w:vAlign w:val="center"/>
                </w:tcPr>
                <w:p w14:paraId="2B729110">
                  <w:pPr>
                    <w:pStyle w:val="1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428" w:type="pct"/>
                  <w:tcBorders>
                    <w:right w:val="single" w:color="auto" w:sz="4" w:space="0"/>
                    <w:tl2br w:val="nil"/>
                    <w:tr2bl w:val="nil"/>
                  </w:tcBorders>
                  <w:shd w:val="clear" w:color="auto" w:fill="auto"/>
                  <w:noWrap w:val="0"/>
                  <w:vAlign w:val="center"/>
                </w:tcPr>
                <w:p w14:paraId="7BA56069">
                  <w:pPr>
                    <w:pStyle w:val="1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0</w:t>
                  </w:r>
                </w:p>
              </w:tc>
            </w:tr>
            <w:tr w14:paraId="62A5C98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434" w:type="pct"/>
                  <w:tcBorders>
                    <w:left w:val="single" w:color="auto" w:sz="4" w:space="0"/>
                    <w:bottom w:val="single" w:color="auto" w:sz="4" w:space="0"/>
                    <w:tl2br w:val="nil"/>
                    <w:tr2bl w:val="nil"/>
                  </w:tcBorders>
                  <w:noWrap w:val="0"/>
                  <w:tcMar>
                    <w:left w:w="0" w:type="dxa"/>
                    <w:right w:w="0" w:type="dxa"/>
                  </w:tcMar>
                  <w:vAlign w:val="center"/>
                </w:tcPr>
                <w:p w14:paraId="6A126C9B">
                  <w:pPr>
                    <w:pStyle w:val="17"/>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057" w:type="pct"/>
                  <w:tcBorders>
                    <w:bottom w:val="single" w:color="auto" w:sz="4" w:space="0"/>
                    <w:tl2br w:val="nil"/>
                    <w:tr2bl w:val="nil"/>
                  </w:tcBorders>
                  <w:noWrap w:val="0"/>
                  <w:tcMar>
                    <w:left w:w="0" w:type="dxa"/>
                    <w:right w:w="0" w:type="dxa"/>
                  </w:tcMar>
                  <w:vAlign w:val="center"/>
                </w:tcPr>
                <w:p w14:paraId="3B15FD1F">
                  <w:pPr>
                    <w:pStyle w:val="17"/>
                    <w:bidi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北厂界</w:t>
                  </w:r>
                </w:p>
              </w:tc>
              <w:tc>
                <w:tcPr>
                  <w:tcW w:w="831" w:type="dxa"/>
                  <w:tcBorders>
                    <w:bottom w:val="single" w:color="auto" w:sz="4" w:space="0"/>
                    <w:tl2br w:val="nil"/>
                    <w:tr2bl w:val="nil"/>
                  </w:tcBorders>
                  <w:noWrap w:val="0"/>
                  <w:tcMar>
                    <w:left w:w="0" w:type="dxa"/>
                    <w:right w:w="0" w:type="dxa"/>
                  </w:tcMar>
                  <w:vAlign w:val="center"/>
                </w:tcPr>
                <w:p w14:paraId="765C77E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54.1</w:t>
                  </w:r>
                </w:p>
              </w:tc>
              <w:tc>
                <w:tcPr>
                  <w:tcW w:w="697" w:type="dxa"/>
                  <w:tcBorders>
                    <w:bottom w:val="single" w:color="auto" w:sz="4" w:space="0"/>
                    <w:tl2br w:val="nil"/>
                    <w:tr2bl w:val="nil"/>
                  </w:tcBorders>
                  <w:noWrap w:val="0"/>
                  <w:tcMar>
                    <w:left w:w="0" w:type="dxa"/>
                    <w:right w:w="0" w:type="dxa"/>
                  </w:tcMar>
                  <w:vAlign w:val="center"/>
                </w:tcPr>
                <w:p w14:paraId="0D7B382B">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47.4</w:t>
                  </w:r>
                </w:p>
              </w:tc>
              <w:tc>
                <w:tcPr>
                  <w:tcW w:w="693" w:type="dxa"/>
                  <w:tcBorders>
                    <w:bottom w:val="single" w:color="auto" w:sz="4" w:space="0"/>
                    <w:tl2br w:val="nil"/>
                    <w:tr2bl w:val="nil"/>
                  </w:tcBorders>
                  <w:noWrap w:val="0"/>
                  <w:tcMar>
                    <w:left w:w="0" w:type="dxa"/>
                    <w:right w:w="0" w:type="dxa"/>
                  </w:tcMar>
                  <w:vAlign w:val="center"/>
                </w:tcPr>
                <w:p w14:paraId="43ED291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757" w:type="dxa"/>
                  <w:tcBorders>
                    <w:bottom w:val="single" w:color="auto" w:sz="4" w:space="0"/>
                    <w:tl2br w:val="nil"/>
                    <w:tr2bl w:val="nil"/>
                  </w:tcBorders>
                  <w:shd w:val="clear" w:color="auto" w:fill="auto"/>
                  <w:noWrap w:val="0"/>
                  <w:tcMar>
                    <w:left w:w="0" w:type="dxa"/>
                    <w:right w:w="0" w:type="dxa"/>
                  </w:tcMar>
                  <w:vAlign w:val="center"/>
                </w:tcPr>
                <w:p w14:paraId="25C4A96C">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37.5</w:t>
                  </w:r>
                </w:p>
              </w:tc>
              <w:tc>
                <w:tcPr>
                  <w:tcW w:w="690" w:type="dxa"/>
                  <w:tcBorders>
                    <w:bottom w:val="single" w:color="auto" w:sz="4" w:space="0"/>
                    <w:tl2br w:val="nil"/>
                    <w:tr2bl w:val="nil"/>
                  </w:tcBorders>
                  <w:noWrap w:val="0"/>
                  <w:tcMar>
                    <w:left w:w="0" w:type="dxa"/>
                    <w:right w:w="0" w:type="dxa"/>
                  </w:tcMar>
                  <w:vAlign w:val="center"/>
                </w:tcPr>
                <w:p w14:paraId="686EF4C5">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54.2</w:t>
                  </w:r>
                </w:p>
              </w:tc>
              <w:tc>
                <w:tcPr>
                  <w:tcW w:w="750" w:type="dxa"/>
                  <w:tcBorders>
                    <w:bottom w:val="single" w:color="auto" w:sz="4" w:space="0"/>
                    <w:tl2br w:val="nil"/>
                    <w:tr2bl w:val="nil"/>
                  </w:tcBorders>
                  <w:noWrap w:val="0"/>
                  <w:tcMar>
                    <w:left w:w="0" w:type="dxa"/>
                    <w:right w:w="0" w:type="dxa"/>
                  </w:tcMar>
                  <w:vAlign w:val="center"/>
                </w:tcPr>
                <w:p w14:paraId="50027463">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47.8</w:t>
                  </w:r>
                </w:p>
              </w:tc>
              <w:tc>
                <w:tcPr>
                  <w:tcW w:w="355" w:type="pct"/>
                  <w:tcBorders>
                    <w:bottom w:val="single" w:color="auto" w:sz="4" w:space="0"/>
                    <w:tl2br w:val="nil"/>
                    <w:tr2bl w:val="nil"/>
                  </w:tcBorders>
                  <w:shd w:val="clear" w:color="auto" w:fill="auto"/>
                  <w:noWrap w:val="0"/>
                  <w:vAlign w:val="center"/>
                </w:tcPr>
                <w:p w14:paraId="74379F9F">
                  <w:pPr>
                    <w:pStyle w:val="1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428" w:type="pct"/>
                  <w:tcBorders>
                    <w:bottom w:val="single" w:color="auto" w:sz="4" w:space="0"/>
                    <w:right w:val="single" w:color="auto" w:sz="4" w:space="0"/>
                    <w:tl2br w:val="nil"/>
                    <w:tr2bl w:val="nil"/>
                  </w:tcBorders>
                  <w:shd w:val="clear" w:color="auto" w:fill="auto"/>
                  <w:noWrap w:val="0"/>
                  <w:vAlign w:val="center"/>
                </w:tcPr>
                <w:p w14:paraId="0918F8F4">
                  <w:pPr>
                    <w:pStyle w:val="17"/>
                    <w:bidi w:val="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5</w:t>
                  </w:r>
                  <w:r>
                    <w:rPr>
                      <w:rFonts w:hint="default" w:ascii="Times New Roman" w:hAnsi="Times New Roman" w:cs="Times New Roman"/>
                      <w:color w:val="auto"/>
                      <w:sz w:val="21"/>
                      <w:szCs w:val="21"/>
                      <w:lang w:val="en-US" w:eastAsia="zh-CN"/>
                    </w:rPr>
                    <w:t>0</w:t>
                  </w:r>
                </w:p>
              </w:tc>
            </w:tr>
          </w:tbl>
          <w:p w14:paraId="32BDE42D">
            <w:pPr>
              <w:spacing w:before="240"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由</w:t>
            </w:r>
            <w:r>
              <w:rPr>
                <w:rFonts w:hint="default" w:ascii="Times New Roman" w:hAnsi="Times New Roman" w:eastAsia="宋体" w:cs="Times New Roman"/>
                <w:bCs/>
                <w:color w:val="auto"/>
                <w:sz w:val="24"/>
                <w:highlight w:val="none"/>
                <w:lang w:val="en-US" w:eastAsia="zh-CN"/>
              </w:rPr>
              <w:t>上表</w:t>
            </w:r>
            <w:r>
              <w:rPr>
                <w:rFonts w:hint="default" w:ascii="Times New Roman" w:hAnsi="Times New Roman" w:eastAsia="宋体" w:cs="Times New Roman"/>
                <w:bCs/>
                <w:color w:val="auto"/>
                <w:sz w:val="24"/>
                <w:highlight w:val="none"/>
              </w:rPr>
              <w:t>厂界噪声预测结果可知，厂界昼间</w:t>
            </w:r>
            <w:r>
              <w:rPr>
                <w:rFonts w:hint="default" w:ascii="Times New Roman" w:hAnsi="Times New Roman" w:eastAsia="宋体" w:cs="Times New Roman"/>
                <w:bCs/>
                <w:color w:val="auto"/>
                <w:sz w:val="24"/>
                <w:highlight w:val="none"/>
                <w:lang w:eastAsia="zh-CN"/>
              </w:rPr>
              <w:t>预测</w:t>
            </w:r>
            <w:r>
              <w:rPr>
                <w:rFonts w:hint="default" w:ascii="Times New Roman" w:hAnsi="Times New Roman" w:eastAsia="宋体" w:cs="Times New Roman"/>
                <w:bCs/>
                <w:color w:val="auto"/>
                <w:sz w:val="24"/>
                <w:highlight w:val="none"/>
              </w:rPr>
              <w:t>噪声值在</w:t>
            </w:r>
            <w:r>
              <w:rPr>
                <w:rFonts w:hint="default" w:ascii="Times New Roman" w:hAnsi="Times New Roman" w:cs="Times New Roman"/>
                <w:bCs/>
                <w:color w:val="auto"/>
                <w:sz w:val="24"/>
                <w:highlight w:val="none"/>
                <w:lang w:val="en-US" w:eastAsia="zh-CN"/>
              </w:rPr>
              <w:t>54.2-54.7</w:t>
            </w:r>
            <w:r>
              <w:rPr>
                <w:rFonts w:hint="default" w:ascii="Times New Roman" w:hAnsi="Times New Roman" w:eastAsia="宋体" w:cs="Times New Roman"/>
                <w:bCs/>
                <w:color w:val="auto"/>
                <w:sz w:val="24"/>
                <w:highlight w:val="none"/>
              </w:rPr>
              <w:t>dB</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之间，夜间噪声值在</w:t>
            </w:r>
            <w:r>
              <w:rPr>
                <w:rFonts w:hint="default" w:ascii="Times New Roman" w:hAnsi="Times New Roman" w:cs="Times New Roman"/>
                <w:bCs/>
                <w:color w:val="auto"/>
                <w:sz w:val="24"/>
                <w:highlight w:val="none"/>
                <w:lang w:val="en-US" w:eastAsia="zh-CN"/>
              </w:rPr>
              <w:t>44.5</w:t>
            </w:r>
            <w:r>
              <w:rPr>
                <w:rFonts w:hint="default" w:ascii="Times New Roman" w:hAnsi="Times New Roman" w:eastAsia="宋体" w:cs="Times New Roman"/>
                <w:bCs/>
                <w:color w:val="auto"/>
                <w:sz w:val="24"/>
                <w:highlight w:val="none"/>
                <w:lang w:val="en-US" w:eastAsia="zh-CN"/>
              </w:rPr>
              <w:t>-</w:t>
            </w:r>
            <w:r>
              <w:rPr>
                <w:rFonts w:hint="default" w:ascii="Times New Roman" w:hAnsi="Times New Roman" w:cs="Times New Roman"/>
                <w:bCs/>
                <w:color w:val="auto"/>
                <w:sz w:val="24"/>
                <w:highlight w:val="none"/>
                <w:lang w:val="en-US" w:eastAsia="zh-CN"/>
              </w:rPr>
              <w:t>47.8</w:t>
            </w:r>
            <w:r>
              <w:rPr>
                <w:rFonts w:hint="default" w:ascii="Times New Roman" w:hAnsi="Times New Roman" w:eastAsia="宋体" w:cs="Times New Roman"/>
                <w:bCs/>
                <w:color w:val="auto"/>
                <w:sz w:val="24"/>
                <w:highlight w:val="none"/>
              </w:rPr>
              <w:t>dB</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A</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之间，满足《工业企业厂界环境噪声排放标准》（</w:t>
            </w:r>
            <w:r>
              <w:rPr>
                <w:rFonts w:hint="eastAsia" w:ascii="Times New Roman" w:hAnsi="Times New Roman" w:cs="Times New Roman"/>
                <w:bCs/>
                <w:color w:val="auto"/>
                <w:sz w:val="24"/>
                <w:highlight w:val="none"/>
                <w:lang w:eastAsia="zh-CN"/>
              </w:rPr>
              <w:t>GB 12348—2008</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类标准，对环境产生影响较小。</w:t>
            </w:r>
          </w:p>
          <w:p w14:paraId="39E74FB7">
            <w:pPr>
              <w:adjustRightInd w:val="0"/>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3.3噪声排放环境监测要求</w:t>
            </w:r>
          </w:p>
          <w:p w14:paraId="79E9F040">
            <w:pPr>
              <w:spacing w:line="360" w:lineRule="auto"/>
              <w:ind w:firstLine="480" w:firstLineChars="200"/>
              <w:rPr>
                <w:rFonts w:hint="default" w:ascii="Times New Roman" w:hAnsi="Times New Roman" w:eastAsia="宋体" w:cs="Times New Roman"/>
                <w:color w:val="auto"/>
                <w:sz w:val="24"/>
                <w:highlight w:val="none"/>
                <w:lang w:val="en-US" w:eastAsia="zh-CN" w:bidi="ar"/>
              </w:rPr>
            </w:pPr>
            <w:r>
              <w:rPr>
                <w:rFonts w:hint="default" w:ascii="Times New Roman" w:hAnsi="Times New Roman" w:eastAsia="宋体" w:cs="Times New Roman"/>
                <w:color w:val="auto"/>
                <w:sz w:val="24"/>
                <w:highlight w:val="none"/>
                <w:lang w:val="en-US" w:eastAsia="zh-CN" w:bidi="ar"/>
              </w:rPr>
              <w:t>根据《排污单位自行监测技术指南 总</w:t>
            </w:r>
            <w:r>
              <w:rPr>
                <w:rFonts w:hint="default" w:ascii="Times New Roman" w:hAnsi="Times New Roman" w:cs="Times New Roman"/>
                <w:color w:val="auto"/>
                <w:sz w:val="24"/>
                <w:highlight w:val="none"/>
                <w:lang w:val="en-US" w:eastAsia="zh-CN" w:bidi="ar"/>
              </w:rPr>
              <w:t>则</w:t>
            </w:r>
            <w:r>
              <w:rPr>
                <w:rFonts w:hint="default" w:ascii="Times New Roman" w:hAnsi="Times New Roman" w:eastAsia="宋体" w:cs="Times New Roman"/>
                <w:color w:val="auto"/>
                <w:sz w:val="24"/>
                <w:highlight w:val="none"/>
                <w:lang w:val="en-US" w:eastAsia="zh-CN" w:bidi="ar"/>
              </w:rPr>
              <w:t>》（</w:t>
            </w:r>
            <w:r>
              <w:rPr>
                <w:rFonts w:hint="default" w:ascii="Times New Roman" w:hAnsi="Times New Roman" w:cs="Times New Roman"/>
                <w:color w:val="auto"/>
                <w:sz w:val="24"/>
                <w:highlight w:val="none"/>
                <w:lang w:val="en-US" w:eastAsia="zh-CN" w:bidi="ar"/>
              </w:rPr>
              <w:t>H</w:t>
            </w:r>
            <w:r>
              <w:rPr>
                <w:rFonts w:hint="default" w:ascii="Times New Roman" w:hAnsi="Times New Roman" w:eastAsia="宋体" w:cs="Times New Roman"/>
                <w:color w:val="auto"/>
                <w:sz w:val="24"/>
                <w:highlight w:val="none"/>
                <w:lang w:val="en-US" w:eastAsia="zh-CN" w:bidi="ar"/>
              </w:rPr>
              <w:t>J</w:t>
            </w:r>
            <w:r>
              <w:rPr>
                <w:rFonts w:hint="eastAsia" w:ascii="Times New Roman" w:hAnsi="Times New Roman" w:cs="Times New Roman"/>
                <w:color w:val="auto"/>
                <w:sz w:val="24"/>
                <w:highlight w:val="none"/>
                <w:lang w:val="en-US" w:eastAsia="zh-CN" w:bidi="ar"/>
              </w:rPr>
              <w:t xml:space="preserve"> </w:t>
            </w:r>
            <w:r>
              <w:rPr>
                <w:rFonts w:hint="default" w:ascii="Times New Roman" w:hAnsi="Times New Roman" w:eastAsia="宋体" w:cs="Times New Roman"/>
                <w:color w:val="auto"/>
                <w:sz w:val="24"/>
                <w:highlight w:val="none"/>
                <w:lang w:val="en-US" w:eastAsia="zh-CN" w:bidi="ar"/>
              </w:rPr>
              <w:t>819</w:t>
            </w:r>
            <w:r>
              <w:rPr>
                <w:rFonts w:hint="eastAsia" w:ascii="Times New Roman" w:hAnsi="Times New Roman" w:cs="Times New Roman"/>
                <w:color w:val="auto"/>
                <w:sz w:val="24"/>
                <w:highlight w:val="none"/>
                <w:lang w:val="en-US" w:eastAsia="zh-CN" w:bidi="ar"/>
              </w:rPr>
              <w:t>—2017</w:t>
            </w:r>
            <w:r>
              <w:rPr>
                <w:rFonts w:hint="default" w:ascii="Times New Roman" w:hAnsi="Times New Roman" w:eastAsia="宋体" w:cs="Times New Roman"/>
                <w:color w:val="auto"/>
                <w:sz w:val="24"/>
                <w:highlight w:val="none"/>
                <w:lang w:val="en-US" w:eastAsia="zh-CN" w:bidi="ar"/>
              </w:rPr>
              <w:t>），本项目噪声纳入锡尼镇污水处理厂厂区监测计划并综合考虑，监测点位、监测因子和频次具体见下表：</w:t>
            </w:r>
          </w:p>
          <w:p w14:paraId="1EB2C01D">
            <w:pPr>
              <w:pStyle w:val="18"/>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w:t>
            </w:r>
            <w:r>
              <w:rPr>
                <w:rFonts w:hint="default"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rPr>
              <w:t xml:space="preserve"> 噪声环境监测计划一览表</w:t>
            </w:r>
          </w:p>
          <w:tbl>
            <w:tblPr>
              <w:tblStyle w:val="11"/>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350"/>
              <w:gridCol w:w="1500"/>
              <w:gridCol w:w="1363"/>
              <w:gridCol w:w="3056"/>
            </w:tblGrid>
            <w:tr w14:paraId="270F7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19" w:type="pct"/>
                  <w:tcBorders>
                    <w:top w:val="single" w:color="auto" w:sz="4" w:space="0"/>
                    <w:left w:val="single" w:color="auto" w:sz="0" w:space="0"/>
                  </w:tcBorders>
                  <w:vAlign w:val="center"/>
                </w:tcPr>
                <w:p w14:paraId="4A80CB90">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类别</w:t>
                  </w:r>
                </w:p>
              </w:tc>
              <w:tc>
                <w:tcPr>
                  <w:tcW w:w="832" w:type="pct"/>
                  <w:tcBorders>
                    <w:top w:val="single" w:color="auto" w:sz="4" w:space="0"/>
                  </w:tcBorders>
                  <w:vAlign w:val="center"/>
                </w:tcPr>
                <w:p w14:paraId="4A0E218A">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监测项目</w:t>
                  </w:r>
                </w:p>
              </w:tc>
              <w:tc>
                <w:tcPr>
                  <w:tcW w:w="924" w:type="pct"/>
                  <w:tcBorders>
                    <w:top w:val="single" w:color="auto" w:sz="4" w:space="0"/>
                  </w:tcBorders>
                  <w:vAlign w:val="center"/>
                </w:tcPr>
                <w:p w14:paraId="1B2976E3">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监测点位置</w:t>
                  </w:r>
                </w:p>
              </w:tc>
              <w:tc>
                <w:tcPr>
                  <w:tcW w:w="840" w:type="pct"/>
                  <w:tcBorders>
                    <w:top w:val="single" w:color="auto" w:sz="4" w:space="0"/>
                  </w:tcBorders>
                  <w:vAlign w:val="center"/>
                </w:tcPr>
                <w:p w14:paraId="20C2AE72">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监测频率</w:t>
                  </w:r>
                </w:p>
              </w:tc>
              <w:tc>
                <w:tcPr>
                  <w:tcW w:w="1883" w:type="pct"/>
                  <w:tcBorders>
                    <w:top w:val="single" w:color="auto" w:sz="4" w:space="0"/>
                    <w:right w:val="single" w:color="auto" w:sz="4" w:space="0"/>
                  </w:tcBorders>
                  <w:vAlign w:val="center"/>
                </w:tcPr>
                <w:p w14:paraId="67AB05EE">
                  <w:pPr>
                    <w:adjustRightInd w:val="0"/>
                    <w:snapToGrid w:val="0"/>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执行标准</w:t>
                  </w:r>
                </w:p>
              </w:tc>
            </w:tr>
            <w:tr w14:paraId="165223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519" w:type="pct"/>
                  <w:tcBorders>
                    <w:left w:val="single" w:color="auto" w:sz="4" w:space="0"/>
                    <w:bottom w:val="single" w:color="auto" w:sz="4" w:space="0"/>
                  </w:tcBorders>
                  <w:vAlign w:val="center"/>
                </w:tcPr>
                <w:p w14:paraId="6F97C91C">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噪声</w:t>
                  </w:r>
                </w:p>
              </w:tc>
              <w:tc>
                <w:tcPr>
                  <w:tcW w:w="832" w:type="pct"/>
                  <w:tcBorders>
                    <w:bottom w:val="single" w:color="auto" w:sz="4" w:space="0"/>
                  </w:tcBorders>
                  <w:vAlign w:val="center"/>
                </w:tcPr>
                <w:p w14:paraId="2D0B3787">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Leq（A）</w:t>
                  </w:r>
                </w:p>
              </w:tc>
              <w:tc>
                <w:tcPr>
                  <w:tcW w:w="924" w:type="pct"/>
                  <w:tcBorders>
                    <w:bottom w:val="single" w:color="auto" w:sz="4" w:space="0"/>
                  </w:tcBorders>
                  <w:vAlign w:val="center"/>
                </w:tcPr>
                <w:p w14:paraId="225DEF5E">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厂界四周</w:t>
                  </w:r>
                </w:p>
              </w:tc>
              <w:tc>
                <w:tcPr>
                  <w:tcW w:w="840" w:type="pct"/>
                  <w:tcBorders>
                    <w:bottom w:val="single" w:color="auto" w:sz="4" w:space="0"/>
                  </w:tcBorders>
                  <w:vAlign w:val="center"/>
                </w:tcPr>
                <w:p w14:paraId="08B49AE8">
                  <w:pPr>
                    <w:adjustRightInd w:val="0"/>
                    <w:snapToGrid w:val="0"/>
                    <w:jc w:val="center"/>
                    <w:rPr>
                      <w:rFonts w:hint="default" w:ascii="Times New Roman" w:hAnsi="Times New Roman" w:eastAsia="宋体" w:cs="Times New Roman"/>
                      <w:bCs/>
                      <w:color w:val="auto"/>
                      <w:kern w:val="0"/>
                      <w:sz w:val="21"/>
                      <w:szCs w:val="21"/>
                      <w:highlight w:val="none"/>
                    </w:rPr>
                  </w:pPr>
                  <w:r>
                    <w:rPr>
                      <w:rFonts w:hint="default" w:ascii="Times New Roman" w:hAnsi="Times New Roman" w:eastAsia="宋体" w:cs="Times New Roman"/>
                      <w:bCs/>
                      <w:color w:val="auto"/>
                      <w:kern w:val="0"/>
                      <w:sz w:val="21"/>
                      <w:szCs w:val="21"/>
                      <w:highlight w:val="none"/>
                    </w:rPr>
                    <w:t>1次/季度</w:t>
                  </w:r>
                </w:p>
              </w:tc>
              <w:tc>
                <w:tcPr>
                  <w:tcW w:w="1883" w:type="pct"/>
                  <w:tcBorders>
                    <w:bottom w:val="single" w:color="auto" w:sz="4" w:space="0"/>
                    <w:right w:val="single" w:color="auto" w:sz="4" w:space="0"/>
                  </w:tcBorders>
                  <w:vAlign w:val="center"/>
                </w:tcPr>
                <w:p w14:paraId="13A75AC6">
                  <w:pPr>
                    <w:adjustRightInd w:val="0"/>
                    <w:snapToGrid w:val="0"/>
                    <w:jc w:val="center"/>
                    <w:rPr>
                      <w:rFonts w:hint="default" w:ascii="Times New Roman" w:hAnsi="Times New Roman" w:eastAsia="宋体" w:cs="Times New Roman"/>
                      <w:bCs/>
                      <w:color w:val="auto"/>
                      <w:kern w:val="0"/>
                      <w:sz w:val="21"/>
                      <w:szCs w:val="21"/>
                      <w:highlight w:val="none"/>
                      <w:lang w:eastAsia="zh-CN"/>
                    </w:rPr>
                  </w:pPr>
                  <w:r>
                    <w:rPr>
                      <w:rFonts w:hint="default" w:ascii="Times New Roman" w:hAnsi="Times New Roman" w:eastAsia="宋体" w:cs="Times New Roman"/>
                      <w:bCs/>
                      <w:color w:val="auto"/>
                      <w:kern w:val="0"/>
                      <w:sz w:val="21"/>
                      <w:szCs w:val="21"/>
                      <w:highlight w:val="none"/>
                    </w:rPr>
                    <w:t>《工业企业厂界环境噪声排放标准》（</w:t>
                  </w:r>
                  <w:r>
                    <w:rPr>
                      <w:rFonts w:hint="eastAsia" w:ascii="Times New Roman" w:hAnsi="Times New Roman" w:cs="Times New Roman"/>
                      <w:bCs/>
                      <w:color w:val="auto"/>
                      <w:kern w:val="0"/>
                      <w:sz w:val="21"/>
                      <w:szCs w:val="21"/>
                      <w:highlight w:val="none"/>
                      <w:lang w:eastAsia="zh-CN"/>
                    </w:rPr>
                    <w:t>GB 12348—2008</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bCs/>
                      <w:color w:val="auto"/>
                      <w:kern w:val="0"/>
                      <w:sz w:val="21"/>
                      <w:szCs w:val="21"/>
                      <w:highlight w:val="none"/>
                      <w:lang w:val="en-US" w:eastAsia="zh-CN"/>
                    </w:rPr>
                    <w:t>2</w:t>
                  </w:r>
                  <w:r>
                    <w:rPr>
                      <w:rFonts w:hint="default" w:ascii="Times New Roman" w:hAnsi="Times New Roman" w:eastAsia="宋体" w:cs="Times New Roman"/>
                      <w:bCs/>
                      <w:color w:val="auto"/>
                      <w:kern w:val="0"/>
                      <w:sz w:val="21"/>
                      <w:szCs w:val="21"/>
                      <w:highlight w:val="none"/>
                    </w:rPr>
                    <w:t>类标准</w:t>
                  </w:r>
                  <w:r>
                    <w:rPr>
                      <w:rFonts w:hint="default" w:ascii="Times New Roman" w:hAnsi="Times New Roman" w:cs="Times New Roman"/>
                      <w:bCs/>
                      <w:color w:val="auto"/>
                      <w:kern w:val="0"/>
                      <w:sz w:val="21"/>
                      <w:szCs w:val="21"/>
                      <w:highlight w:val="none"/>
                      <w:lang w:eastAsia="zh-CN"/>
                    </w:rPr>
                    <w:t>。</w:t>
                  </w:r>
                </w:p>
              </w:tc>
            </w:tr>
          </w:tbl>
          <w:p w14:paraId="6816160F">
            <w:pPr>
              <w:spacing w:before="240" w:line="360" w:lineRule="auto"/>
              <w:ind w:firstLine="482"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
                <w:color w:val="auto"/>
                <w:kern w:val="0"/>
                <w:sz w:val="24"/>
                <w:highlight w:val="none"/>
              </w:rPr>
              <w:t>4.固体废物</w:t>
            </w:r>
          </w:p>
          <w:p w14:paraId="497CECCE">
            <w:pPr>
              <w:spacing w:line="360" w:lineRule="auto"/>
              <w:ind w:firstLine="480" w:firstLineChars="200"/>
              <w:rPr>
                <w:rFonts w:hint="default" w:ascii="Times New Roman" w:hAnsi="Times New Roman" w:eastAsia="宋体" w:cs="Times New Roman"/>
                <w:color w:val="auto"/>
                <w:sz w:val="24"/>
                <w:highlight w:val="none"/>
                <w:lang w:val="en-US" w:eastAsia="zh-CN" w:bidi="ar"/>
              </w:rPr>
            </w:pPr>
            <w:r>
              <w:rPr>
                <w:rFonts w:hint="default" w:ascii="Times New Roman" w:hAnsi="Times New Roman" w:cs="Times New Roman"/>
                <w:color w:val="auto"/>
                <w:sz w:val="24"/>
                <w:highlight w:val="none"/>
                <w:lang w:val="en-US" w:eastAsia="zh-CN" w:bidi="ar"/>
              </w:rPr>
              <w:t>三期工程</w:t>
            </w:r>
            <w:r>
              <w:rPr>
                <w:rFonts w:hint="default" w:ascii="Times New Roman" w:hAnsi="Times New Roman" w:eastAsia="宋体" w:cs="Times New Roman"/>
                <w:color w:val="auto"/>
                <w:sz w:val="24"/>
                <w:highlight w:val="none"/>
                <w:lang w:val="en-US" w:eastAsia="zh-CN" w:bidi="ar"/>
              </w:rPr>
              <w:t>产生的固体废物主要是城镇污水处理过程产生的栅渣、沉砂、</w:t>
            </w:r>
            <w:r>
              <w:rPr>
                <w:rFonts w:hint="default" w:ascii="Times New Roman" w:hAnsi="Times New Roman" w:cs="Times New Roman"/>
                <w:color w:val="auto"/>
                <w:sz w:val="24"/>
                <w:highlight w:val="none"/>
                <w:lang w:val="en-US" w:eastAsia="zh-CN" w:bidi="ar"/>
              </w:rPr>
              <w:t>污泥、职工生活垃圾</w:t>
            </w:r>
            <w:r>
              <w:rPr>
                <w:rFonts w:hint="default" w:ascii="Times New Roman" w:hAnsi="Times New Roman" w:eastAsia="宋体" w:cs="Times New Roman"/>
                <w:color w:val="auto"/>
                <w:sz w:val="24"/>
                <w:highlight w:val="none"/>
                <w:lang w:val="en-US" w:eastAsia="zh-CN" w:bidi="ar"/>
              </w:rPr>
              <w:t>。</w:t>
            </w:r>
          </w:p>
          <w:p w14:paraId="0A1A78DA">
            <w:pPr>
              <w:spacing w:line="360" w:lineRule="auto"/>
              <w:ind w:firstLine="480" w:firstLineChars="200"/>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highlight w:val="none"/>
                <w:lang w:val="en-US" w:eastAsia="zh-CN" w:bidi="ar"/>
              </w:rPr>
              <w:t>1</w:t>
            </w:r>
            <w:r>
              <w:rPr>
                <w:rFonts w:hint="default" w:ascii="Times New Roman" w:hAnsi="Times New Roman" w:eastAsia="宋体" w:cs="Times New Roman"/>
                <w:color w:val="auto"/>
                <w:sz w:val="24"/>
                <w:highlight w:val="none"/>
                <w:lang w:eastAsia="zh-CN" w:bidi="ar"/>
              </w:rPr>
              <w:t>）栅渣、沉砂</w:t>
            </w:r>
          </w:p>
          <w:p w14:paraId="42D01022">
            <w:pPr>
              <w:spacing w:line="360" w:lineRule="auto"/>
              <w:ind w:firstLine="480" w:firstLineChars="200"/>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eastAsia="zh-CN" w:bidi="ar"/>
              </w:rPr>
              <w:t>栅渣为污水预处理阶段粗、细格栅的拦截物，即通过物理和机械手段，从污水中分离出来的固体废弃物，主要是塑料、木块等漂浮物。类比项目现有污水处理厂，预计栅渣</w:t>
            </w:r>
            <w:r>
              <w:rPr>
                <w:rFonts w:hint="default" w:ascii="Times New Roman" w:hAnsi="Times New Roman" w:cs="Times New Roman"/>
                <w:color w:val="auto"/>
                <w:sz w:val="24"/>
                <w:highlight w:val="none"/>
                <w:lang w:eastAsia="zh-CN" w:bidi="ar"/>
              </w:rPr>
              <w:t>处理量</w:t>
            </w:r>
            <w:r>
              <w:rPr>
                <w:rFonts w:hint="default" w:ascii="Times New Roman" w:hAnsi="Times New Roman" w:eastAsia="宋体" w:cs="Times New Roman"/>
                <w:color w:val="auto"/>
                <w:sz w:val="24"/>
                <w:highlight w:val="none"/>
                <w:lang w:eastAsia="zh-CN" w:bidi="ar"/>
              </w:rPr>
              <w:t>为</w:t>
            </w:r>
            <w:r>
              <w:rPr>
                <w:rFonts w:hint="default" w:ascii="Times New Roman" w:hAnsi="Times New Roman" w:eastAsia="宋体" w:cs="Times New Roman"/>
                <w:color w:val="auto"/>
                <w:sz w:val="24"/>
                <w:highlight w:val="none"/>
                <w:lang w:val="en-US" w:eastAsia="zh-CN" w:bidi="ar"/>
              </w:rPr>
              <w:t>3</w:t>
            </w:r>
            <w:r>
              <w:rPr>
                <w:rFonts w:hint="default" w:ascii="Times New Roman" w:hAnsi="Times New Roman" w:cs="Times New Roman"/>
                <w:color w:val="auto"/>
                <w:sz w:val="24"/>
                <w:highlight w:val="none"/>
                <w:lang w:val="en-US" w:eastAsia="zh-CN" w:bidi="ar"/>
              </w:rPr>
              <w:t>5</w:t>
            </w:r>
            <w:r>
              <w:rPr>
                <w:rFonts w:hint="default" w:ascii="Times New Roman" w:hAnsi="Times New Roman" w:eastAsia="宋体" w:cs="Times New Roman"/>
                <w:color w:val="auto"/>
                <w:sz w:val="24"/>
                <w:highlight w:val="none"/>
                <w:lang w:eastAsia="zh-CN" w:bidi="ar"/>
              </w:rPr>
              <w:t>t/a。</w:t>
            </w:r>
          </w:p>
          <w:p w14:paraId="266538C1">
            <w:pPr>
              <w:spacing w:line="360" w:lineRule="auto"/>
              <w:ind w:firstLine="480" w:firstLineChars="200"/>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eastAsia="zh-CN" w:bidi="ar"/>
              </w:rPr>
              <w:t>沉砂池沉砂，主要是碎石块、泥沙等细小沉淀物。类比项目现有污水处理厂，沉砂量为</w:t>
            </w:r>
            <w:r>
              <w:rPr>
                <w:rFonts w:hint="default" w:ascii="Times New Roman" w:hAnsi="Times New Roman" w:eastAsia="宋体" w:cs="Times New Roman"/>
                <w:color w:val="auto"/>
                <w:sz w:val="24"/>
                <w:highlight w:val="none"/>
                <w:lang w:val="en-US" w:eastAsia="zh-CN" w:bidi="ar"/>
              </w:rPr>
              <w:t>3</w:t>
            </w:r>
            <w:r>
              <w:rPr>
                <w:rFonts w:hint="default" w:ascii="Times New Roman" w:hAnsi="Times New Roman" w:cs="Times New Roman"/>
                <w:color w:val="auto"/>
                <w:sz w:val="24"/>
                <w:highlight w:val="none"/>
                <w:lang w:val="en-US" w:eastAsia="zh-CN" w:bidi="ar"/>
              </w:rPr>
              <w:t>5</w:t>
            </w:r>
            <w:r>
              <w:rPr>
                <w:rFonts w:hint="default" w:ascii="Times New Roman" w:hAnsi="Times New Roman" w:eastAsia="宋体" w:cs="Times New Roman"/>
                <w:color w:val="auto"/>
                <w:sz w:val="24"/>
                <w:highlight w:val="none"/>
                <w:lang w:eastAsia="zh-CN" w:bidi="ar"/>
              </w:rPr>
              <w:t>t/a，集中收集</w:t>
            </w:r>
            <w:r>
              <w:rPr>
                <w:rFonts w:hint="default" w:ascii="Times New Roman" w:hAnsi="Times New Roman" w:eastAsia="宋体" w:cs="Times New Roman"/>
                <w:color w:val="auto"/>
                <w:sz w:val="24"/>
                <w:highlight w:val="none"/>
                <w:lang w:val="en-US" w:eastAsia="zh-CN" w:bidi="ar"/>
              </w:rPr>
              <w:t>后</w:t>
            </w:r>
            <w:r>
              <w:rPr>
                <w:rFonts w:hint="default" w:ascii="Times New Roman" w:hAnsi="Times New Roman" w:cs="Times New Roman"/>
                <w:color w:val="auto"/>
                <w:sz w:val="24"/>
                <w:highlight w:val="none"/>
                <w:lang w:val="en-US" w:eastAsia="zh-CN" w:bidi="ar"/>
              </w:rPr>
              <w:t>定期送至</w:t>
            </w:r>
            <w:r>
              <w:rPr>
                <w:rFonts w:hint="default" w:ascii="Times New Roman" w:hAnsi="Times New Roman" w:eastAsia="宋体" w:cs="Times New Roman"/>
                <w:color w:val="auto"/>
                <w:sz w:val="24"/>
                <w:highlight w:val="none"/>
                <w:lang w:eastAsia="zh-CN" w:bidi="ar"/>
              </w:rPr>
              <w:t>锡尼镇垃圾填埋场处理。</w:t>
            </w:r>
          </w:p>
          <w:p w14:paraId="37170B7A">
            <w:pPr>
              <w:spacing w:line="360" w:lineRule="auto"/>
              <w:ind w:firstLine="480" w:firstLineChars="200"/>
              <w:rPr>
                <w:rFonts w:hint="default" w:ascii="Times New Roman" w:hAnsi="Times New Roman" w:eastAsia="宋体" w:cs="Times New Roman"/>
                <w:color w:val="auto"/>
                <w:sz w:val="24"/>
                <w:highlight w:val="none"/>
                <w:lang w:eastAsia="zh-CN" w:bidi="ar"/>
              </w:rPr>
            </w:pPr>
            <w:r>
              <w:rPr>
                <w:rFonts w:hint="default" w:ascii="Times New Roman" w:hAnsi="Times New Roman" w:eastAsia="宋体" w:cs="Times New Roman"/>
                <w:color w:val="auto"/>
                <w:sz w:val="24"/>
                <w:highlight w:val="none"/>
                <w:lang w:eastAsia="zh-CN" w:bidi="ar"/>
              </w:rPr>
              <w:t>（</w:t>
            </w:r>
            <w:r>
              <w:rPr>
                <w:rFonts w:hint="default" w:ascii="Times New Roman" w:hAnsi="Times New Roman" w:eastAsia="宋体" w:cs="Times New Roman"/>
                <w:color w:val="auto"/>
                <w:sz w:val="24"/>
                <w:highlight w:val="none"/>
                <w:lang w:val="en-US" w:eastAsia="zh-CN" w:bidi="ar"/>
              </w:rPr>
              <w:t>2</w:t>
            </w:r>
            <w:r>
              <w:rPr>
                <w:rFonts w:hint="default" w:ascii="Times New Roman" w:hAnsi="Times New Roman" w:eastAsia="宋体" w:cs="Times New Roman"/>
                <w:color w:val="auto"/>
                <w:sz w:val="24"/>
                <w:highlight w:val="none"/>
                <w:lang w:eastAsia="zh-CN" w:bidi="ar"/>
              </w:rPr>
              <w:t>）脱水污泥</w:t>
            </w:r>
          </w:p>
          <w:p w14:paraId="27058BDC">
            <w:pPr>
              <w:spacing w:line="360" w:lineRule="auto"/>
              <w:ind w:firstLine="480" w:firstLineChars="200"/>
              <w:rPr>
                <w:rFonts w:hint="default" w:ascii="Times New Roman" w:hAnsi="Times New Roman" w:cs="Times New Roman"/>
                <w:color w:val="auto"/>
                <w:sz w:val="24"/>
                <w:highlight w:val="none"/>
                <w:lang w:val="en-US" w:eastAsia="zh-CN" w:bidi="ar"/>
              </w:rPr>
            </w:pPr>
            <w:r>
              <w:rPr>
                <w:rFonts w:hint="default" w:ascii="Times New Roman" w:hAnsi="Times New Roman" w:eastAsia="宋体" w:cs="Times New Roman"/>
                <w:color w:val="auto"/>
                <w:sz w:val="24"/>
                <w:highlight w:val="none"/>
                <w:lang w:eastAsia="zh-CN" w:bidi="ar"/>
              </w:rPr>
              <w:t>本项目运营期产生量最大的固废为生化处理过程产生的剩余污泥</w:t>
            </w:r>
            <w:r>
              <w:rPr>
                <w:rFonts w:hint="default" w:ascii="Times New Roman" w:hAnsi="Times New Roman" w:cs="Times New Roman"/>
                <w:color w:val="auto"/>
                <w:sz w:val="24"/>
                <w:highlight w:val="none"/>
                <w:lang w:eastAsia="zh-CN" w:bidi="ar"/>
              </w:rPr>
              <w:t>，</w:t>
            </w:r>
            <w:r>
              <w:rPr>
                <w:rFonts w:hint="default" w:ascii="Times New Roman" w:hAnsi="Times New Roman" w:cs="Times New Roman"/>
                <w:color w:val="auto"/>
                <w:sz w:val="24"/>
                <w:highlight w:val="none"/>
                <w:lang w:val="en-US" w:eastAsia="zh-CN" w:bidi="ar"/>
              </w:rPr>
              <w:t>含水率约99.2%，</w:t>
            </w:r>
            <w:r>
              <w:rPr>
                <w:rFonts w:hint="default" w:ascii="Times New Roman" w:hAnsi="Times New Roman" w:eastAsia="宋体" w:cs="Times New Roman"/>
                <w:color w:val="auto"/>
                <w:sz w:val="24"/>
                <w:highlight w:val="none"/>
                <w:lang w:val="en-US" w:eastAsia="zh-CN" w:bidi="ar"/>
              </w:rPr>
              <w:t>污泥处理方案采用</w:t>
            </w:r>
            <w:r>
              <w:rPr>
                <w:rFonts w:hint="eastAsia" w:cs="Times New Roman"/>
                <w:color w:val="auto"/>
                <w:sz w:val="24"/>
                <w:highlight w:val="none"/>
                <w:lang w:val="en-US" w:eastAsia="zh-CN" w:bidi="ar"/>
              </w:rPr>
              <w:t>“</w:t>
            </w:r>
            <w:r>
              <w:rPr>
                <w:rFonts w:hint="default" w:ascii="Times New Roman" w:hAnsi="Times New Roman" w:eastAsia="宋体" w:cs="Times New Roman"/>
                <w:color w:val="auto"/>
                <w:sz w:val="24"/>
                <w:highlight w:val="none"/>
                <w:lang w:val="en-US" w:eastAsia="zh-CN" w:bidi="ar"/>
              </w:rPr>
              <w:t>机械浓缩+高压板框压滤脱水</w:t>
            </w:r>
            <w:r>
              <w:rPr>
                <w:rFonts w:hint="eastAsia" w:cs="Times New Roman"/>
                <w:color w:val="auto"/>
                <w:sz w:val="24"/>
                <w:highlight w:val="none"/>
                <w:lang w:val="en-US" w:eastAsia="zh-CN" w:bidi="ar"/>
              </w:rPr>
              <w:t>”</w:t>
            </w:r>
            <w:r>
              <w:rPr>
                <w:rFonts w:hint="default" w:ascii="Times New Roman" w:hAnsi="Times New Roman" w:eastAsia="宋体" w:cs="Times New Roman"/>
                <w:color w:val="auto"/>
                <w:sz w:val="24"/>
                <w:highlight w:val="none"/>
                <w:lang w:val="en-US" w:eastAsia="zh-CN" w:bidi="ar"/>
              </w:rPr>
              <w:t>工艺</w:t>
            </w:r>
            <w:r>
              <w:rPr>
                <w:rFonts w:hint="default" w:ascii="Times New Roman" w:hAnsi="Times New Roman" w:cs="Times New Roman"/>
                <w:color w:val="auto"/>
                <w:sz w:val="24"/>
                <w:highlight w:val="none"/>
                <w:lang w:val="en-US" w:eastAsia="zh-CN" w:bidi="ar"/>
              </w:rPr>
              <w:t>，含水率降至60%以下，污泥脱水率大于39.5%。类比现有工程，预计三期工程脱水污泥产生量约980t/a，脱水后污泥直接进入污泥车，定期拉运至锡尼镇垃圾填埋场进行填埋处置，不会对周边环境产生二次污染影响。</w:t>
            </w:r>
          </w:p>
          <w:p w14:paraId="3040CED0">
            <w:pPr>
              <w:spacing w:line="360" w:lineRule="auto"/>
              <w:ind w:firstLine="480" w:firstLineChars="200"/>
              <w:rPr>
                <w:rFonts w:hint="eastAsia" w:cs="Times New Roman"/>
                <w:color w:val="auto"/>
                <w:sz w:val="24"/>
                <w:highlight w:val="none"/>
                <w:lang w:val="en-US" w:eastAsia="zh-CN" w:bidi="ar"/>
              </w:rPr>
            </w:pPr>
            <w:r>
              <w:rPr>
                <w:rFonts w:hint="eastAsia" w:cs="Times New Roman"/>
                <w:color w:val="auto"/>
                <w:sz w:val="24"/>
                <w:highlight w:val="none"/>
                <w:lang w:val="en-US" w:eastAsia="zh-CN" w:bidi="ar"/>
              </w:rPr>
              <w:t>类比现有工程，脱水污泥拟采用填埋方式处置。后续若具备条件，脱水污泥经稳定处理后，可作为土壤改良剂或肥料使用——其含有的有机质和营养成分能改善土壤结构、提升土壤肥力，在符合相关标准规范的前提下，可应用于土地整治、园林绿化、农业生产等领域。此外，还可采用焚烧处理方式：焚烧既能有效分解有害物质、降低污染，产生的热能亦可回收利用；但焚烧处理需较高的投资与设备支持，且可能生成二噁英等污染物，需严格遵循相关环保标准。制砖等资源化利用方式也是可行方向，将脱水污泥通过预处理后制成建筑用砖，可实现污泥的资源化利用，减少填埋占地。</w:t>
            </w:r>
          </w:p>
          <w:p w14:paraId="143F2A03">
            <w:pP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职工生活垃圾</w:t>
            </w:r>
          </w:p>
          <w:p w14:paraId="6469B2AC">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本项目劳动定员5人，年工作天数为3</w:t>
            </w:r>
            <w:r>
              <w:rPr>
                <w:rFonts w:hint="default"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0天。生活垃圾以0.5kg/人·d计，则本项目员工生活垃圾产生量为</w:t>
            </w:r>
            <w:r>
              <w:rPr>
                <w:rFonts w:hint="default" w:ascii="Times New Roman" w:hAnsi="Times New Roman" w:cs="Times New Roman"/>
                <w:color w:val="auto"/>
                <w:sz w:val="24"/>
                <w:highlight w:val="none"/>
                <w:lang w:val="en-US" w:eastAsia="zh-CN"/>
              </w:rPr>
              <w:t>0.9</w:t>
            </w:r>
            <w:r>
              <w:rPr>
                <w:rFonts w:hint="default" w:ascii="Times New Roman" w:hAnsi="Times New Roman" w:eastAsia="宋体" w:cs="Times New Roman"/>
                <w:color w:val="auto"/>
                <w:sz w:val="24"/>
                <w:highlight w:val="none"/>
                <w:lang w:val="en-US" w:eastAsia="zh-CN"/>
              </w:rPr>
              <w:t>t/a。生活垃圾经厂内垃圾箱收集后交由当地环卫部门定期清运处理。</w:t>
            </w:r>
          </w:p>
          <w:p w14:paraId="325933D6">
            <w:pPr>
              <w:spacing w:line="360" w:lineRule="auto"/>
              <w:ind w:firstLine="480" w:firstLineChars="200"/>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rPr>
              <w:t>固体废物产生量及处置措施见表4-</w:t>
            </w:r>
            <w:r>
              <w:rPr>
                <w:rFonts w:hint="default" w:ascii="Times New Roman" w:hAnsi="Times New Roman"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14:paraId="23267249">
            <w:pPr>
              <w:pStyle w:val="18"/>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表4</w:t>
            </w: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rPr>
              <w:t xml:space="preserve"> 固体废物产污环节及利用或处置情况一览表</w:t>
            </w:r>
          </w:p>
          <w:tbl>
            <w:tblPr>
              <w:tblStyle w:val="1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38"/>
              <w:gridCol w:w="838"/>
              <w:gridCol w:w="802"/>
              <w:gridCol w:w="913"/>
              <w:gridCol w:w="1186"/>
              <w:gridCol w:w="1738"/>
              <w:gridCol w:w="1799"/>
            </w:tblGrid>
            <w:tr w14:paraId="282B0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6" w:type="pct"/>
                  <w:tcBorders>
                    <w:top w:val="single" w:color="auto" w:sz="4" w:space="0"/>
                    <w:left w:val="single" w:color="auto" w:sz="0" w:space="0"/>
                    <w:tl2br w:val="nil"/>
                    <w:tr2bl w:val="nil"/>
                  </w:tcBorders>
                  <w:vAlign w:val="center"/>
                </w:tcPr>
                <w:p w14:paraId="14FB1052">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产生</w:t>
                  </w:r>
                </w:p>
                <w:p w14:paraId="7EADDD4C">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环节</w:t>
                  </w:r>
                </w:p>
              </w:tc>
              <w:tc>
                <w:tcPr>
                  <w:tcW w:w="516" w:type="pct"/>
                  <w:tcBorders>
                    <w:top w:val="single" w:color="auto" w:sz="4" w:space="0"/>
                    <w:tl2br w:val="nil"/>
                    <w:tr2bl w:val="nil"/>
                  </w:tcBorders>
                  <w:vAlign w:val="center"/>
                </w:tcPr>
                <w:p w14:paraId="6F0F9FB2">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固废</w:t>
                  </w:r>
                </w:p>
                <w:p w14:paraId="456E6FDE">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494" w:type="pct"/>
                  <w:tcBorders>
                    <w:top w:val="single" w:color="auto" w:sz="4" w:space="0"/>
                    <w:tl2br w:val="nil"/>
                    <w:tr2bl w:val="nil"/>
                  </w:tcBorders>
                  <w:vAlign w:val="center"/>
                </w:tcPr>
                <w:p w14:paraId="38C66965">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固废</w:t>
                  </w:r>
                </w:p>
                <w:p w14:paraId="2EC6280D">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属性</w:t>
                  </w:r>
                </w:p>
              </w:tc>
              <w:tc>
                <w:tcPr>
                  <w:tcW w:w="562" w:type="pct"/>
                  <w:tcBorders>
                    <w:top w:val="single" w:color="auto" w:sz="4" w:space="0"/>
                    <w:tl2br w:val="nil"/>
                    <w:tr2bl w:val="nil"/>
                  </w:tcBorders>
                  <w:vAlign w:val="center"/>
                </w:tcPr>
                <w:p w14:paraId="02FB44D5">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物理</w:t>
                  </w:r>
                </w:p>
                <w:p w14:paraId="7C8C4524">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性状</w:t>
                  </w:r>
                </w:p>
              </w:tc>
              <w:tc>
                <w:tcPr>
                  <w:tcW w:w="730" w:type="pct"/>
                  <w:tcBorders>
                    <w:top w:val="single" w:color="auto" w:sz="4" w:space="0"/>
                    <w:tl2br w:val="nil"/>
                    <w:tr2bl w:val="nil"/>
                  </w:tcBorders>
                  <w:vAlign w:val="center"/>
                </w:tcPr>
                <w:p w14:paraId="1C0C1512">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年度产生量（t/a）</w:t>
                  </w:r>
                </w:p>
              </w:tc>
              <w:tc>
                <w:tcPr>
                  <w:tcW w:w="1070" w:type="pct"/>
                  <w:tcBorders>
                    <w:top w:val="single" w:color="auto" w:sz="4" w:space="0"/>
                    <w:tl2br w:val="nil"/>
                    <w:tr2bl w:val="nil"/>
                  </w:tcBorders>
                  <w:vAlign w:val="center"/>
                </w:tcPr>
                <w:p w14:paraId="5761D81F">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利用方式或去向</w:t>
                  </w:r>
                </w:p>
              </w:tc>
              <w:tc>
                <w:tcPr>
                  <w:tcW w:w="1108" w:type="pct"/>
                  <w:tcBorders>
                    <w:top w:val="single" w:color="auto" w:sz="4" w:space="0"/>
                    <w:right w:val="single" w:color="auto" w:sz="4" w:space="0"/>
                    <w:tl2br w:val="nil"/>
                    <w:tr2bl w:val="nil"/>
                  </w:tcBorders>
                  <w:vAlign w:val="center"/>
                </w:tcPr>
                <w:p w14:paraId="2AD0D292">
                  <w:pPr>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环境管理要求</w:t>
                  </w:r>
                </w:p>
              </w:tc>
            </w:tr>
            <w:tr w14:paraId="09831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6" w:type="pct"/>
                  <w:tcBorders>
                    <w:left w:val="single" w:color="auto" w:sz="4" w:space="0"/>
                    <w:tl2br w:val="nil"/>
                    <w:tr2bl w:val="nil"/>
                  </w:tcBorders>
                  <w:vAlign w:val="center"/>
                </w:tcPr>
                <w:p w14:paraId="15921B79">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格栅</w:t>
                  </w:r>
                </w:p>
              </w:tc>
              <w:tc>
                <w:tcPr>
                  <w:tcW w:w="516" w:type="pct"/>
                  <w:tcBorders>
                    <w:tl2br w:val="nil"/>
                    <w:tr2bl w:val="nil"/>
                  </w:tcBorders>
                  <w:vAlign w:val="center"/>
                </w:tcPr>
                <w:p w14:paraId="2134B2E5">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eastAsia="zh-CN"/>
                    </w:rPr>
                    <w:t>栅渣</w:t>
                  </w:r>
                </w:p>
              </w:tc>
              <w:tc>
                <w:tcPr>
                  <w:tcW w:w="494" w:type="pct"/>
                  <w:vMerge w:val="restart"/>
                  <w:tcBorders>
                    <w:tl2br w:val="nil"/>
                    <w:tr2bl w:val="nil"/>
                  </w:tcBorders>
                  <w:vAlign w:val="center"/>
                </w:tcPr>
                <w:p w14:paraId="7DBFCF08">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一般</w:t>
                  </w:r>
                </w:p>
                <w:p w14:paraId="42766FED">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工业固体废物</w:t>
                  </w:r>
                </w:p>
              </w:tc>
              <w:tc>
                <w:tcPr>
                  <w:tcW w:w="562" w:type="pct"/>
                  <w:tcBorders>
                    <w:tl2br w:val="nil"/>
                    <w:tr2bl w:val="nil"/>
                  </w:tcBorders>
                  <w:vAlign w:val="center"/>
                </w:tcPr>
                <w:p w14:paraId="54B0A10D">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固态</w:t>
                  </w:r>
                </w:p>
              </w:tc>
              <w:tc>
                <w:tcPr>
                  <w:tcW w:w="730" w:type="pct"/>
                  <w:tcBorders>
                    <w:tl2br w:val="nil"/>
                    <w:tr2bl w:val="nil"/>
                  </w:tcBorders>
                  <w:vAlign w:val="center"/>
                </w:tcPr>
                <w:p w14:paraId="6279C54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5</w:t>
                  </w:r>
                </w:p>
              </w:tc>
              <w:tc>
                <w:tcPr>
                  <w:tcW w:w="1070" w:type="pct"/>
                  <w:vMerge w:val="restart"/>
                  <w:tcBorders>
                    <w:tl2br w:val="nil"/>
                    <w:tr2bl w:val="nil"/>
                  </w:tcBorders>
                  <w:vAlign w:val="center"/>
                </w:tcPr>
                <w:p w14:paraId="45509B07">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送往杭锦旗垃圾填埋场填埋处置</w:t>
                  </w:r>
                </w:p>
              </w:tc>
              <w:tc>
                <w:tcPr>
                  <w:tcW w:w="1108" w:type="pct"/>
                  <w:vMerge w:val="restart"/>
                  <w:tcBorders>
                    <w:right w:val="single" w:color="auto" w:sz="4" w:space="0"/>
                    <w:tl2br w:val="nil"/>
                    <w:tr2bl w:val="nil"/>
                  </w:tcBorders>
                  <w:vAlign w:val="center"/>
                </w:tcPr>
                <w:p w14:paraId="12134D24">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执行《一般工业固体废物贮存和填埋污染控制标准》</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GB</w:t>
                  </w:r>
                  <w:r>
                    <w:rPr>
                      <w:rFonts w:hint="eastAsia" w:ascii="Times New Roman" w:hAns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18599</w:t>
                  </w:r>
                  <w:r>
                    <w:rPr>
                      <w:rFonts w:hint="eastAsia" w:ascii="Times New Roman" w:hAnsi="Times New Roman" w:cs="Times New Roman"/>
                      <w:color w:val="auto"/>
                      <w:sz w:val="21"/>
                      <w:szCs w:val="21"/>
                      <w:highlight w:val="none"/>
                      <w:lang w:eastAsia="zh-CN"/>
                    </w:rPr>
                    <w:t>—2020</w:t>
                  </w:r>
                  <w:r>
                    <w:rPr>
                      <w:rFonts w:hint="default" w:ascii="Times New Roman" w:hAnsi="Times New Roman" w:cs="Times New Roman"/>
                      <w:color w:val="auto"/>
                      <w:sz w:val="21"/>
                      <w:szCs w:val="21"/>
                      <w:highlight w:val="none"/>
                      <w:lang w:eastAsia="zh-CN"/>
                    </w:rPr>
                    <w:t>）</w:t>
                  </w:r>
                </w:p>
              </w:tc>
            </w:tr>
            <w:tr w14:paraId="20AD7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6" w:type="pct"/>
                  <w:tcBorders>
                    <w:left w:val="single" w:color="auto" w:sz="4" w:space="0"/>
                    <w:tl2br w:val="nil"/>
                    <w:tr2bl w:val="nil"/>
                  </w:tcBorders>
                  <w:vAlign w:val="center"/>
                </w:tcPr>
                <w:p w14:paraId="604F93E9">
                  <w:pPr>
                    <w:adjustRightInd w:val="0"/>
                    <w:snapToGrid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val="en-US" w:eastAsia="zh-CN"/>
                    </w:rPr>
                    <w:t>沉砂池</w:t>
                  </w:r>
                </w:p>
              </w:tc>
              <w:tc>
                <w:tcPr>
                  <w:tcW w:w="516" w:type="pct"/>
                  <w:tcBorders>
                    <w:tl2br w:val="nil"/>
                    <w:tr2bl w:val="nil"/>
                  </w:tcBorders>
                  <w:vAlign w:val="center"/>
                </w:tcPr>
                <w:p w14:paraId="74DC2958">
                  <w:pPr>
                    <w:adjustRightInd w:val="0"/>
                    <w:snapToGrid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沉砂</w:t>
                  </w:r>
                </w:p>
              </w:tc>
              <w:tc>
                <w:tcPr>
                  <w:tcW w:w="494" w:type="pct"/>
                  <w:vMerge w:val="continue"/>
                  <w:tcBorders>
                    <w:tl2br w:val="nil"/>
                    <w:tr2bl w:val="nil"/>
                  </w:tcBorders>
                  <w:vAlign w:val="center"/>
                </w:tcPr>
                <w:p w14:paraId="53968FCF">
                  <w:pPr>
                    <w:adjustRightInd w:val="0"/>
                    <w:snapToGrid w:val="0"/>
                    <w:jc w:val="center"/>
                    <w:rPr>
                      <w:rFonts w:hint="default" w:ascii="Times New Roman" w:hAnsi="Times New Roman" w:eastAsia="宋体" w:cs="Times New Roman"/>
                      <w:bCs/>
                      <w:color w:val="auto"/>
                      <w:sz w:val="21"/>
                      <w:szCs w:val="21"/>
                      <w:highlight w:val="none"/>
                      <w:lang w:val="en-US" w:eastAsia="zh-CN"/>
                    </w:rPr>
                  </w:pPr>
                </w:p>
              </w:tc>
              <w:tc>
                <w:tcPr>
                  <w:tcW w:w="562" w:type="pct"/>
                  <w:tcBorders>
                    <w:tl2br w:val="nil"/>
                    <w:tr2bl w:val="nil"/>
                  </w:tcBorders>
                  <w:vAlign w:val="center"/>
                </w:tcPr>
                <w:p w14:paraId="4232B444">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固态</w:t>
                  </w:r>
                </w:p>
              </w:tc>
              <w:tc>
                <w:tcPr>
                  <w:tcW w:w="730" w:type="pct"/>
                  <w:tcBorders>
                    <w:tl2br w:val="nil"/>
                    <w:tr2bl w:val="nil"/>
                  </w:tcBorders>
                  <w:vAlign w:val="center"/>
                </w:tcPr>
                <w:p w14:paraId="4C598843">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5</w:t>
                  </w:r>
                </w:p>
              </w:tc>
              <w:tc>
                <w:tcPr>
                  <w:tcW w:w="1070" w:type="pct"/>
                  <w:vMerge w:val="continue"/>
                  <w:tcBorders>
                    <w:tl2br w:val="nil"/>
                    <w:tr2bl w:val="nil"/>
                  </w:tcBorders>
                  <w:vAlign w:val="center"/>
                </w:tcPr>
                <w:p w14:paraId="33A98D79">
                  <w:pPr>
                    <w:adjustRightInd w:val="0"/>
                    <w:snapToGrid w:val="0"/>
                    <w:jc w:val="center"/>
                    <w:rPr>
                      <w:rFonts w:hint="default" w:ascii="Times New Roman" w:hAnsi="Times New Roman" w:eastAsia="宋体" w:cs="Times New Roman"/>
                      <w:color w:val="auto"/>
                      <w:sz w:val="21"/>
                      <w:szCs w:val="21"/>
                      <w:highlight w:val="none"/>
                      <w:lang w:val="zh-CN"/>
                    </w:rPr>
                  </w:pPr>
                </w:p>
              </w:tc>
              <w:tc>
                <w:tcPr>
                  <w:tcW w:w="1108" w:type="pct"/>
                  <w:vMerge w:val="continue"/>
                  <w:tcBorders>
                    <w:right w:val="single" w:color="auto" w:sz="4" w:space="0"/>
                    <w:tl2br w:val="nil"/>
                    <w:tr2bl w:val="nil"/>
                  </w:tcBorders>
                  <w:vAlign w:val="center"/>
                </w:tcPr>
                <w:p w14:paraId="6C9D18DF">
                  <w:pPr>
                    <w:adjustRightInd w:val="0"/>
                    <w:snapToGrid w:val="0"/>
                    <w:jc w:val="center"/>
                    <w:rPr>
                      <w:rFonts w:hint="default" w:ascii="Times New Roman" w:hAnsi="Times New Roman" w:eastAsia="宋体" w:cs="Times New Roman"/>
                      <w:color w:val="auto"/>
                      <w:sz w:val="21"/>
                      <w:szCs w:val="21"/>
                      <w:highlight w:val="none"/>
                    </w:rPr>
                  </w:pPr>
                </w:p>
              </w:tc>
            </w:tr>
            <w:tr w14:paraId="290EA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6" w:type="pct"/>
                  <w:tcBorders>
                    <w:left w:val="single" w:color="auto" w:sz="4" w:space="0"/>
                    <w:tl2br w:val="nil"/>
                    <w:tr2bl w:val="nil"/>
                  </w:tcBorders>
                  <w:vAlign w:val="center"/>
                </w:tcPr>
                <w:p w14:paraId="5A08077D">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污泥池</w:t>
                  </w:r>
                </w:p>
              </w:tc>
              <w:tc>
                <w:tcPr>
                  <w:tcW w:w="516" w:type="pct"/>
                  <w:tcBorders>
                    <w:tl2br w:val="nil"/>
                    <w:tr2bl w:val="nil"/>
                  </w:tcBorders>
                  <w:vAlign w:val="center"/>
                </w:tcPr>
                <w:p w14:paraId="4B569D9C">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污泥</w:t>
                  </w:r>
                </w:p>
              </w:tc>
              <w:tc>
                <w:tcPr>
                  <w:tcW w:w="494" w:type="pct"/>
                  <w:vMerge w:val="continue"/>
                  <w:tcBorders>
                    <w:tl2br w:val="nil"/>
                    <w:tr2bl w:val="nil"/>
                  </w:tcBorders>
                  <w:vAlign w:val="center"/>
                </w:tcPr>
                <w:p w14:paraId="34A500EC">
                  <w:pPr>
                    <w:adjustRightInd w:val="0"/>
                    <w:snapToGrid w:val="0"/>
                    <w:jc w:val="center"/>
                    <w:rPr>
                      <w:rFonts w:hint="default" w:ascii="Times New Roman" w:hAnsi="Times New Roman" w:eastAsia="宋体" w:cs="Times New Roman"/>
                      <w:bCs/>
                      <w:color w:val="auto"/>
                      <w:sz w:val="21"/>
                      <w:szCs w:val="21"/>
                      <w:highlight w:val="none"/>
                    </w:rPr>
                  </w:pPr>
                </w:p>
              </w:tc>
              <w:tc>
                <w:tcPr>
                  <w:tcW w:w="562" w:type="pct"/>
                  <w:tcBorders>
                    <w:tl2br w:val="nil"/>
                    <w:tr2bl w:val="nil"/>
                  </w:tcBorders>
                  <w:vAlign w:val="center"/>
                </w:tcPr>
                <w:p w14:paraId="19CCFFE5">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半</w:t>
                  </w:r>
                  <w:r>
                    <w:rPr>
                      <w:rFonts w:hint="default" w:ascii="Times New Roman" w:hAnsi="Times New Roman" w:eastAsia="宋体" w:cs="Times New Roman"/>
                      <w:bCs/>
                      <w:color w:val="auto"/>
                      <w:sz w:val="21"/>
                      <w:szCs w:val="21"/>
                      <w:highlight w:val="none"/>
                    </w:rPr>
                    <w:t>固态</w:t>
                  </w:r>
                </w:p>
              </w:tc>
              <w:tc>
                <w:tcPr>
                  <w:tcW w:w="730" w:type="pct"/>
                  <w:tcBorders>
                    <w:tl2br w:val="nil"/>
                    <w:tr2bl w:val="nil"/>
                  </w:tcBorders>
                  <w:vAlign w:val="center"/>
                </w:tcPr>
                <w:p w14:paraId="16AF6CDC">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980</w:t>
                  </w:r>
                </w:p>
              </w:tc>
              <w:tc>
                <w:tcPr>
                  <w:tcW w:w="1070" w:type="pct"/>
                  <w:vMerge w:val="continue"/>
                  <w:tcBorders>
                    <w:tl2br w:val="nil"/>
                    <w:tr2bl w:val="nil"/>
                  </w:tcBorders>
                  <w:vAlign w:val="center"/>
                </w:tcPr>
                <w:p w14:paraId="223C8F8D">
                  <w:pPr>
                    <w:adjustRightInd w:val="0"/>
                    <w:snapToGrid w:val="0"/>
                    <w:jc w:val="center"/>
                    <w:rPr>
                      <w:rFonts w:hint="default" w:ascii="Times New Roman" w:hAnsi="Times New Roman" w:eastAsia="宋体" w:cs="Times New Roman"/>
                      <w:color w:val="auto"/>
                      <w:sz w:val="21"/>
                      <w:szCs w:val="21"/>
                      <w:highlight w:val="none"/>
                      <w:lang w:val="zh-CN"/>
                    </w:rPr>
                  </w:pPr>
                </w:p>
              </w:tc>
              <w:tc>
                <w:tcPr>
                  <w:tcW w:w="1108" w:type="pct"/>
                  <w:vMerge w:val="continue"/>
                  <w:tcBorders>
                    <w:right w:val="single" w:color="auto" w:sz="4" w:space="0"/>
                    <w:tl2br w:val="nil"/>
                    <w:tr2bl w:val="nil"/>
                  </w:tcBorders>
                  <w:vAlign w:val="center"/>
                </w:tcPr>
                <w:p w14:paraId="02C0933F">
                  <w:pPr>
                    <w:adjustRightInd w:val="0"/>
                    <w:snapToGrid w:val="0"/>
                    <w:jc w:val="center"/>
                    <w:rPr>
                      <w:rFonts w:hint="default" w:ascii="Times New Roman" w:hAnsi="Times New Roman" w:eastAsia="宋体" w:cs="Times New Roman"/>
                      <w:color w:val="auto"/>
                      <w:sz w:val="21"/>
                      <w:szCs w:val="21"/>
                      <w:highlight w:val="none"/>
                    </w:rPr>
                  </w:pPr>
                </w:p>
              </w:tc>
            </w:tr>
            <w:tr w14:paraId="21083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16" w:type="pct"/>
                  <w:tcBorders>
                    <w:left w:val="single" w:color="auto" w:sz="4" w:space="0"/>
                    <w:bottom w:val="single" w:color="auto" w:sz="4" w:space="0"/>
                    <w:tl2br w:val="nil"/>
                    <w:tr2bl w:val="nil"/>
                  </w:tcBorders>
                  <w:vAlign w:val="center"/>
                </w:tcPr>
                <w:p w14:paraId="02868079">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职工</w:t>
                  </w:r>
                </w:p>
              </w:tc>
              <w:tc>
                <w:tcPr>
                  <w:tcW w:w="516" w:type="pct"/>
                  <w:tcBorders>
                    <w:bottom w:val="single" w:color="auto" w:sz="4" w:space="0"/>
                    <w:tl2br w:val="nil"/>
                    <w:tr2bl w:val="nil"/>
                  </w:tcBorders>
                  <w:vAlign w:val="center"/>
                </w:tcPr>
                <w:p w14:paraId="156F8313">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生活垃圾</w:t>
                  </w:r>
                </w:p>
              </w:tc>
              <w:tc>
                <w:tcPr>
                  <w:tcW w:w="494" w:type="pct"/>
                  <w:tcBorders>
                    <w:bottom w:val="single" w:color="auto" w:sz="4" w:space="0"/>
                    <w:tl2br w:val="nil"/>
                    <w:tr2bl w:val="nil"/>
                  </w:tcBorders>
                  <w:vAlign w:val="center"/>
                </w:tcPr>
                <w:p w14:paraId="7EC2F2E9">
                  <w:pPr>
                    <w:adjustRightInd w:val="0"/>
                    <w:snapToGrid w:val="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生活垃圾</w:t>
                  </w:r>
                </w:p>
              </w:tc>
              <w:tc>
                <w:tcPr>
                  <w:tcW w:w="562" w:type="pct"/>
                  <w:tcBorders>
                    <w:bottom w:val="single" w:color="auto" w:sz="4" w:space="0"/>
                    <w:tl2br w:val="nil"/>
                    <w:tr2bl w:val="nil"/>
                  </w:tcBorders>
                  <w:vAlign w:val="center"/>
                </w:tcPr>
                <w:p w14:paraId="6ECD7F17">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固态</w:t>
                  </w:r>
                </w:p>
              </w:tc>
              <w:tc>
                <w:tcPr>
                  <w:tcW w:w="730" w:type="pct"/>
                  <w:tcBorders>
                    <w:bottom w:val="single" w:color="auto" w:sz="4" w:space="0"/>
                    <w:tl2br w:val="nil"/>
                    <w:tr2bl w:val="nil"/>
                  </w:tcBorders>
                  <w:vAlign w:val="center"/>
                </w:tcPr>
                <w:p w14:paraId="79017C51">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0.9</w:t>
                  </w:r>
                </w:p>
              </w:tc>
              <w:tc>
                <w:tcPr>
                  <w:tcW w:w="1070" w:type="pct"/>
                  <w:tcBorders>
                    <w:bottom w:val="single" w:color="auto" w:sz="4" w:space="0"/>
                    <w:tl2br w:val="nil"/>
                    <w:tr2bl w:val="nil"/>
                  </w:tcBorders>
                  <w:vAlign w:val="center"/>
                </w:tcPr>
                <w:p w14:paraId="108D8281">
                  <w:pPr>
                    <w:adjustRightInd w:val="0"/>
                    <w:snapToGrid w:val="0"/>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eastAsia="zh-CN"/>
                    </w:rPr>
                    <w:t>经</w:t>
                  </w:r>
                  <w:r>
                    <w:rPr>
                      <w:rFonts w:hint="default" w:ascii="Times New Roman" w:hAnsi="Times New Roman" w:eastAsia="宋体" w:cs="Times New Roman"/>
                      <w:color w:val="auto"/>
                      <w:sz w:val="21"/>
                      <w:szCs w:val="21"/>
                      <w:highlight w:val="none"/>
                      <w:lang w:val="zh-CN"/>
                    </w:rPr>
                    <w:t>垃圾箱收集</w:t>
                  </w:r>
                  <w:r>
                    <w:rPr>
                      <w:rFonts w:hint="default" w:ascii="Times New Roman" w:hAnsi="Times New Roman" w:eastAsia="宋体" w:cs="Times New Roman"/>
                      <w:color w:val="auto"/>
                      <w:sz w:val="21"/>
                      <w:szCs w:val="21"/>
                      <w:highlight w:val="none"/>
                      <w:lang w:val="zh-CN" w:eastAsia="zh-CN"/>
                    </w:rPr>
                    <w:t>后，交由当地环卫部门定期清运处理</w:t>
                  </w:r>
                </w:p>
              </w:tc>
              <w:tc>
                <w:tcPr>
                  <w:tcW w:w="1108" w:type="pct"/>
                  <w:tcBorders>
                    <w:bottom w:val="single" w:color="auto" w:sz="4" w:space="0"/>
                    <w:right w:val="single" w:color="auto" w:sz="4" w:space="0"/>
                    <w:tl2br w:val="nil"/>
                    <w:tr2bl w:val="nil"/>
                  </w:tcBorders>
                  <w:vAlign w:val="center"/>
                </w:tcPr>
                <w:p w14:paraId="2C45C022">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14:paraId="65199D19">
            <w:pPr>
              <w:adjustRightInd w:val="0"/>
              <w:snapToGrid w:val="0"/>
              <w:spacing w:before="240"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rPr>
              <w:t>采取以上措施后，本项目运营期</w:t>
            </w:r>
            <w:r>
              <w:rPr>
                <w:rFonts w:hint="default" w:ascii="Times New Roman" w:hAnsi="Times New Roman" w:cs="Times New Roman"/>
                <w:bCs/>
                <w:color w:val="auto"/>
                <w:kern w:val="28"/>
                <w:sz w:val="24"/>
                <w:highlight w:val="none"/>
                <w:lang w:eastAsia="zh-CN"/>
              </w:rPr>
              <w:t>间</w:t>
            </w:r>
            <w:r>
              <w:rPr>
                <w:rFonts w:hint="default" w:ascii="Times New Roman" w:hAnsi="Times New Roman" w:eastAsia="宋体" w:cs="Times New Roman"/>
                <w:bCs/>
                <w:color w:val="auto"/>
                <w:kern w:val="28"/>
                <w:sz w:val="24"/>
                <w:highlight w:val="none"/>
                <w:lang w:eastAsia="zh-CN"/>
              </w:rPr>
              <w:t>产生的</w:t>
            </w:r>
            <w:r>
              <w:rPr>
                <w:rFonts w:hint="default" w:ascii="Times New Roman" w:hAnsi="Times New Roman" w:eastAsia="宋体" w:cs="Times New Roman"/>
                <w:bCs/>
                <w:color w:val="auto"/>
                <w:kern w:val="28"/>
                <w:sz w:val="24"/>
                <w:highlight w:val="none"/>
              </w:rPr>
              <w:t>固体废物</w:t>
            </w:r>
            <w:r>
              <w:rPr>
                <w:rFonts w:hint="default" w:ascii="Times New Roman" w:hAnsi="Times New Roman" w:cs="Times New Roman"/>
                <w:bCs/>
                <w:color w:val="auto"/>
                <w:kern w:val="28"/>
                <w:sz w:val="24"/>
                <w:highlight w:val="none"/>
                <w:lang w:eastAsia="zh-CN"/>
              </w:rPr>
              <w:t>将</w:t>
            </w:r>
            <w:r>
              <w:rPr>
                <w:rFonts w:hint="default" w:ascii="Times New Roman" w:hAnsi="Times New Roman" w:eastAsia="宋体" w:cs="Times New Roman"/>
                <w:bCs/>
                <w:color w:val="auto"/>
                <w:kern w:val="28"/>
                <w:sz w:val="24"/>
                <w:highlight w:val="none"/>
              </w:rPr>
              <w:t>得到合理处置。</w:t>
            </w:r>
          </w:p>
          <w:p w14:paraId="22ACADC3">
            <w:pPr>
              <w:adjustRightInd w:val="0"/>
              <w:snapToGrid w:val="0"/>
              <w:spacing w:line="360" w:lineRule="auto"/>
              <w:ind w:firstLine="482"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
                <w:bCs/>
                <w:color w:val="auto"/>
                <w:sz w:val="24"/>
                <w:highlight w:val="none"/>
              </w:rPr>
              <w:t>5.地下水及土壤环境</w:t>
            </w:r>
          </w:p>
          <w:p w14:paraId="2940DB44">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根据《建设项目环境影响报告表编制技术指南》（污染影响类），本工程不涉及集中式饮用水水源和热水、矿泉水、温泉等特殊地下水资源保护区，</w:t>
            </w:r>
            <w:r>
              <w:rPr>
                <w:rFonts w:hint="default" w:ascii="Times New Roman" w:hAnsi="Times New Roman" w:cs="Times New Roman"/>
                <w:bCs/>
                <w:color w:val="auto"/>
                <w:kern w:val="28"/>
                <w:sz w:val="24"/>
                <w:highlight w:val="none"/>
                <w:lang w:val="en-US" w:eastAsia="zh-CN"/>
              </w:rPr>
              <w:t>无须设置</w:t>
            </w:r>
            <w:r>
              <w:rPr>
                <w:rFonts w:hint="default" w:ascii="Times New Roman" w:hAnsi="Times New Roman" w:eastAsia="宋体" w:cs="Times New Roman"/>
                <w:bCs/>
                <w:color w:val="auto"/>
                <w:kern w:val="28"/>
                <w:sz w:val="24"/>
                <w:highlight w:val="none"/>
                <w:lang w:val="en-US" w:eastAsia="zh-CN"/>
              </w:rPr>
              <w:t xml:space="preserve">地下水、土壤专项评价。 </w:t>
            </w:r>
          </w:p>
          <w:p w14:paraId="334FB1FF">
            <w:pPr>
              <w:adjustRightInd w:val="0"/>
              <w:snapToGrid w:val="0"/>
              <w:spacing w:line="360" w:lineRule="auto"/>
              <w:ind w:firstLine="482"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
                <w:bCs w:val="0"/>
                <w:color w:val="auto"/>
                <w:kern w:val="28"/>
                <w:sz w:val="24"/>
                <w:highlight w:val="none"/>
                <w:lang w:val="en-US" w:eastAsia="zh-CN"/>
              </w:rPr>
              <w:t>5.1污染源、污染物类型和污染途径</w:t>
            </w:r>
            <w:r>
              <w:rPr>
                <w:rFonts w:hint="default" w:ascii="Times New Roman" w:hAnsi="Times New Roman" w:eastAsia="宋体" w:cs="Times New Roman"/>
                <w:bCs/>
                <w:color w:val="auto"/>
                <w:kern w:val="28"/>
                <w:sz w:val="24"/>
                <w:highlight w:val="none"/>
                <w:lang w:val="en-US" w:eastAsia="zh-CN"/>
              </w:rPr>
              <w:t xml:space="preserve"> </w:t>
            </w:r>
          </w:p>
          <w:p w14:paraId="15DA6F12">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本项目污水处理厂</w:t>
            </w:r>
            <w:r>
              <w:rPr>
                <w:rFonts w:hint="default" w:ascii="Times New Roman" w:hAnsi="Times New Roman" w:cs="Times New Roman"/>
                <w:bCs/>
                <w:color w:val="auto"/>
                <w:kern w:val="28"/>
                <w:sz w:val="24"/>
                <w:highlight w:val="none"/>
                <w:lang w:val="en-US" w:eastAsia="zh-CN"/>
              </w:rPr>
              <w:t>三期</w:t>
            </w:r>
            <w:r>
              <w:rPr>
                <w:rFonts w:hint="default" w:ascii="Times New Roman" w:hAnsi="Times New Roman" w:eastAsia="宋体" w:cs="Times New Roman"/>
                <w:bCs/>
                <w:color w:val="auto"/>
                <w:kern w:val="28"/>
                <w:sz w:val="24"/>
                <w:highlight w:val="none"/>
                <w:lang w:val="en-US" w:eastAsia="zh-CN"/>
              </w:rPr>
              <w:t>工程对各构筑物</w:t>
            </w:r>
            <w:r>
              <w:rPr>
                <w:rFonts w:hint="default" w:ascii="Times New Roman" w:hAnsi="Times New Roman" w:cs="Times New Roman"/>
                <w:bCs/>
                <w:color w:val="auto"/>
                <w:kern w:val="28"/>
                <w:sz w:val="24"/>
                <w:highlight w:val="none"/>
                <w:lang w:val="en-US" w:eastAsia="zh-CN"/>
              </w:rPr>
              <w:t>、管道底部</w:t>
            </w:r>
            <w:r>
              <w:rPr>
                <w:rFonts w:hint="default" w:ascii="Times New Roman" w:hAnsi="Times New Roman" w:eastAsia="宋体" w:cs="Times New Roman"/>
                <w:bCs/>
                <w:color w:val="auto"/>
                <w:kern w:val="28"/>
                <w:sz w:val="24"/>
                <w:highlight w:val="none"/>
                <w:lang w:val="en-US" w:eastAsia="zh-CN"/>
              </w:rPr>
              <w:t>均作</w:t>
            </w:r>
            <w:r>
              <w:rPr>
                <w:rFonts w:hint="default" w:ascii="Times New Roman" w:hAnsi="Times New Roman" w:cs="Times New Roman"/>
                <w:bCs/>
                <w:color w:val="auto"/>
                <w:kern w:val="28"/>
                <w:sz w:val="24"/>
                <w:highlight w:val="none"/>
                <w:lang w:val="en-US" w:eastAsia="zh-CN"/>
              </w:rPr>
              <w:t>防渗</w:t>
            </w:r>
            <w:r>
              <w:rPr>
                <w:rFonts w:hint="default" w:ascii="Times New Roman" w:hAnsi="Times New Roman" w:eastAsia="宋体" w:cs="Times New Roman"/>
                <w:bCs/>
                <w:color w:val="auto"/>
                <w:kern w:val="28"/>
                <w:sz w:val="24"/>
                <w:highlight w:val="none"/>
                <w:lang w:val="en-US" w:eastAsia="zh-CN"/>
              </w:rPr>
              <w:t>处理。</w:t>
            </w:r>
            <w:r>
              <w:rPr>
                <w:rFonts w:hint="default" w:ascii="Times New Roman" w:hAnsi="Times New Roman" w:cs="Times New Roman"/>
                <w:bCs/>
                <w:color w:val="auto"/>
                <w:kern w:val="28"/>
                <w:sz w:val="24"/>
                <w:highlight w:val="none"/>
                <w:lang w:val="en-US" w:eastAsia="zh-CN"/>
              </w:rPr>
              <w:t>在</w:t>
            </w:r>
            <w:r>
              <w:rPr>
                <w:rFonts w:hint="default" w:ascii="Times New Roman" w:hAnsi="Times New Roman" w:eastAsia="宋体" w:cs="Times New Roman"/>
                <w:bCs/>
                <w:color w:val="auto"/>
                <w:kern w:val="28"/>
                <w:sz w:val="24"/>
                <w:highlight w:val="none"/>
                <w:lang w:val="en-US" w:eastAsia="zh-CN"/>
              </w:rPr>
              <w:t>正常情况下，项目产生的污染物不会入渗</w:t>
            </w:r>
            <w:r>
              <w:rPr>
                <w:rFonts w:hint="default" w:ascii="Times New Roman" w:hAnsi="Times New Roman" w:cs="Times New Roman"/>
                <w:bCs/>
                <w:color w:val="auto"/>
                <w:kern w:val="28"/>
                <w:sz w:val="24"/>
                <w:highlight w:val="none"/>
                <w:lang w:val="en-US" w:eastAsia="zh-CN"/>
              </w:rPr>
              <w:t>到</w:t>
            </w:r>
            <w:r>
              <w:rPr>
                <w:rFonts w:hint="default" w:ascii="Times New Roman" w:hAnsi="Times New Roman" w:eastAsia="宋体" w:cs="Times New Roman"/>
                <w:bCs/>
                <w:color w:val="auto"/>
                <w:kern w:val="28"/>
                <w:sz w:val="24"/>
                <w:highlight w:val="none"/>
                <w:lang w:val="en-US" w:eastAsia="zh-CN"/>
              </w:rPr>
              <w:t>土壤</w:t>
            </w:r>
            <w:r>
              <w:rPr>
                <w:rFonts w:hint="default" w:ascii="Times New Roman" w:hAnsi="Times New Roman" w:cs="Times New Roman"/>
                <w:bCs/>
                <w:color w:val="auto"/>
                <w:kern w:val="28"/>
                <w:sz w:val="24"/>
                <w:highlight w:val="none"/>
                <w:lang w:val="en-US" w:eastAsia="zh-CN"/>
              </w:rPr>
              <w:t>和</w:t>
            </w:r>
            <w:r>
              <w:rPr>
                <w:rFonts w:hint="default" w:ascii="Times New Roman" w:hAnsi="Times New Roman" w:eastAsia="宋体" w:cs="Times New Roman"/>
                <w:bCs/>
                <w:color w:val="auto"/>
                <w:kern w:val="28"/>
                <w:sz w:val="24"/>
                <w:highlight w:val="none"/>
                <w:lang w:val="en-US" w:eastAsia="zh-CN"/>
              </w:rPr>
              <w:t>地表水环境</w:t>
            </w:r>
            <w:r>
              <w:rPr>
                <w:rFonts w:hint="default" w:ascii="Times New Roman" w:hAnsi="Times New Roman" w:cs="Times New Roman"/>
                <w:bCs/>
                <w:color w:val="auto"/>
                <w:kern w:val="28"/>
                <w:sz w:val="24"/>
                <w:highlight w:val="none"/>
                <w:lang w:val="en-US" w:eastAsia="zh-CN"/>
              </w:rPr>
              <w:t>中</w:t>
            </w:r>
            <w:r>
              <w:rPr>
                <w:rFonts w:hint="default" w:ascii="Times New Roman" w:hAnsi="Times New Roman" w:eastAsia="宋体" w:cs="Times New Roman"/>
                <w:bCs/>
                <w:color w:val="auto"/>
                <w:kern w:val="28"/>
                <w:sz w:val="24"/>
                <w:highlight w:val="none"/>
                <w:lang w:val="en-US" w:eastAsia="zh-CN"/>
              </w:rPr>
              <w:t>，</w:t>
            </w:r>
            <w:r>
              <w:rPr>
                <w:rFonts w:hint="default" w:ascii="Times New Roman" w:hAnsi="Times New Roman" w:cs="Times New Roman"/>
                <w:bCs/>
                <w:color w:val="auto"/>
                <w:kern w:val="28"/>
                <w:sz w:val="24"/>
                <w:highlight w:val="none"/>
                <w:lang w:val="en-US" w:eastAsia="zh-CN"/>
              </w:rPr>
              <w:t>也不会通过其他途径对</w:t>
            </w:r>
            <w:r>
              <w:rPr>
                <w:rFonts w:hint="default" w:ascii="Times New Roman" w:hAnsi="Times New Roman" w:eastAsia="宋体" w:cs="Times New Roman"/>
                <w:bCs/>
                <w:color w:val="auto"/>
                <w:kern w:val="28"/>
                <w:sz w:val="24"/>
                <w:highlight w:val="none"/>
                <w:lang w:val="en-US" w:eastAsia="zh-CN"/>
              </w:rPr>
              <w:t>土壤、地下水环境</w:t>
            </w:r>
            <w:r>
              <w:rPr>
                <w:rFonts w:hint="default" w:ascii="Times New Roman" w:hAnsi="Times New Roman" w:cs="Times New Roman"/>
                <w:bCs/>
                <w:color w:val="auto"/>
                <w:kern w:val="28"/>
                <w:sz w:val="24"/>
                <w:highlight w:val="none"/>
                <w:lang w:val="en-US" w:eastAsia="zh-CN"/>
              </w:rPr>
              <w:t>产生影响</w:t>
            </w:r>
            <w:r>
              <w:rPr>
                <w:rFonts w:hint="default" w:ascii="Times New Roman" w:hAnsi="Times New Roman" w:eastAsia="宋体" w:cs="Times New Roman"/>
                <w:bCs/>
                <w:color w:val="auto"/>
                <w:kern w:val="28"/>
                <w:sz w:val="24"/>
                <w:highlight w:val="none"/>
                <w:lang w:val="en-US" w:eastAsia="zh-CN"/>
              </w:rPr>
              <w:t xml:space="preserve">。 </w:t>
            </w:r>
          </w:p>
          <w:p w14:paraId="2CBCF66D">
            <w:pPr>
              <w:adjustRightInd w:val="0"/>
              <w:snapToGrid w:val="0"/>
              <w:spacing w:line="360" w:lineRule="auto"/>
              <w:ind w:firstLine="482" w:firstLineChars="200"/>
              <w:jc w:val="left"/>
              <w:rPr>
                <w:rFonts w:hint="default" w:ascii="Times New Roman" w:hAnsi="Times New Roman" w:eastAsia="宋体" w:cs="Times New Roman"/>
                <w:b/>
                <w:bCs w:val="0"/>
                <w:color w:val="auto"/>
                <w:kern w:val="28"/>
                <w:sz w:val="24"/>
                <w:highlight w:val="none"/>
              </w:rPr>
            </w:pPr>
            <w:r>
              <w:rPr>
                <w:rFonts w:hint="default" w:ascii="Times New Roman" w:hAnsi="Times New Roman" w:eastAsia="宋体" w:cs="Times New Roman"/>
                <w:b/>
                <w:bCs w:val="0"/>
                <w:color w:val="auto"/>
                <w:kern w:val="28"/>
                <w:sz w:val="24"/>
                <w:highlight w:val="none"/>
                <w:lang w:val="en-US" w:eastAsia="zh-CN"/>
              </w:rPr>
              <w:t xml:space="preserve">5.2防控措施 </w:t>
            </w:r>
          </w:p>
          <w:p w14:paraId="2A86918B">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 xml:space="preserve">（1）源头防治措施 </w:t>
            </w:r>
          </w:p>
          <w:p w14:paraId="2EB6FA40">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为防止生活污水输送及处理过程中发生废水渗漏扩散，建构筑物、路面</w:t>
            </w:r>
            <w:r>
              <w:rPr>
                <w:rFonts w:hint="default" w:ascii="Times New Roman" w:hAnsi="Times New Roman" w:cs="Times New Roman"/>
                <w:bCs/>
                <w:color w:val="auto"/>
                <w:kern w:val="28"/>
                <w:sz w:val="24"/>
                <w:highlight w:val="none"/>
                <w:lang w:val="en-US" w:eastAsia="zh-CN"/>
              </w:rPr>
              <w:t>、管道</w:t>
            </w:r>
            <w:r>
              <w:rPr>
                <w:rFonts w:hint="default" w:ascii="Times New Roman" w:hAnsi="Times New Roman" w:eastAsia="宋体" w:cs="Times New Roman"/>
                <w:bCs/>
                <w:color w:val="auto"/>
                <w:kern w:val="28"/>
                <w:sz w:val="24"/>
                <w:highlight w:val="none"/>
                <w:lang w:val="en-US" w:eastAsia="zh-CN"/>
              </w:rPr>
              <w:t xml:space="preserve">必须落实底部硬底化、防漏防渗措施，所有水池构筑物均进行防渗处理，将污染物跑、冒、滴、漏降到最低限度。污水处理厂内地表表面应用混凝土进行固化，防止滴漏废水外渗扩散。 </w:t>
            </w:r>
          </w:p>
          <w:p w14:paraId="7F06D87E">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 xml:space="preserve">项目产生的臭气经过有效除臭处理后排放量不大，且不属于重金属等有毒有害物质，对土壤和地下水影响不大。 </w:t>
            </w:r>
          </w:p>
          <w:p w14:paraId="4835ED82">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（2）分区防治措施</w:t>
            </w:r>
          </w:p>
          <w:p w14:paraId="1EB40961">
            <w:pPr>
              <w:adjustRightInd w:val="0"/>
              <w:snapToGrid w:val="0"/>
              <w:spacing w:line="360" w:lineRule="auto"/>
              <w:ind w:firstLine="480" w:firstLineChars="200"/>
              <w:jc w:val="left"/>
              <w:rPr>
                <w:rFonts w:hint="default" w:ascii="Times New Roman" w:hAnsi="Times New Roman" w:eastAsia="宋体" w:cs="Times New Roman"/>
                <w:bCs/>
                <w:color w:val="auto"/>
                <w:kern w:val="28"/>
                <w:sz w:val="24"/>
                <w:highlight w:val="none"/>
              </w:rPr>
            </w:pPr>
            <w:r>
              <w:rPr>
                <w:rFonts w:hint="default" w:ascii="Times New Roman" w:hAnsi="Times New Roman" w:eastAsia="宋体" w:cs="Times New Roman"/>
                <w:bCs/>
                <w:color w:val="auto"/>
                <w:kern w:val="28"/>
                <w:sz w:val="24"/>
                <w:highlight w:val="none"/>
                <w:lang w:val="en-US" w:eastAsia="zh-CN"/>
              </w:rPr>
              <w:t>本项目为污水处理项目，主要建设废水处理设施区域（各污水处理池体）及其配套设施加药间、污泥脱水间等</w:t>
            </w:r>
            <w:r>
              <w:rPr>
                <w:rFonts w:hint="default" w:ascii="Times New Roman" w:hAnsi="Times New Roman" w:cs="Times New Roman"/>
                <w:bCs/>
                <w:color w:val="auto"/>
                <w:kern w:val="28"/>
                <w:sz w:val="24"/>
                <w:highlight w:val="none"/>
                <w:lang w:val="en-US" w:eastAsia="zh-CN"/>
              </w:rPr>
              <w:t>。</w:t>
            </w:r>
            <w:r>
              <w:rPr>
                <w:rFonts w:hint="default" w:ascii="Times New Roman" w:hAnsi="Times New Roman" w:eastAsia="宋体" w:cs="Times New Roman"/>
                <w:bCs/>
                <w:color w:val="auto"/>
                <w:kern w:val="28"/>
                <w:sz w:val="24"/>
                <w:highlight w:val="none"/>
                <w:lang w:val="en-US" w:eastAsia="zh-CN"/>
              </w:rPr>
              <w:t>针对地下水</w:t>
            </w:r>
            <w:r>
              <w:rPr>
                <w:rFonts w:hint="default" w:ascii="Times New Roman" w:hAnsi="Times New Roman" w:cs="Times New Roman"/>
                <w:bCs/>
                <w:color w:val="auto"/>
                <w:kern w:val="28"/>
                <w:sz w:val="24"/>
                <w:highlight w:val="none"/>
                <w:lang w:val="en-US" w:eastAsia="zh-CN"/>
              </w:rPr>
              <w:t>污染</w:t>
            </w:r>
            <w:r>
              <w:rPr>
                <w:rFonts w:hint="default" w:ascii="Times New Roman" w:hAnsi="Times New Roman" w:eastAsia="宋体" w:cs="Times New Roman"/>
                <w:bCs/>
                <w:color w:val="auto"/>
                <w:kern w:val="28"/>
                <w:sz w:val="24"/>
                <w:highlight w:val="none"/>
                <w:lang w:val="en-US" w:eastAsia="zh-CN"/>
              </w:rPr>
              <w:t>防治措施分区防治部分参照《环境影响评价技术导则 地下水环境》（</w:t>
            </w:r>
            <w:r>
              <w:rPr>
                <w:rFonts w:hint="default" w:ascii="Times New Roman" w:hAnsi="Times New Roman" w:cs="Times New Roman"/>
                <w:bCs/>
                <w:color w:val="auto"/>
                <w:kern w:val="28"/>
                <w:sz w:val="24"/>
                <w:highlight w:val="none"/>
                <w:lang w:val="en-US" w:eastAsia="zh-CN"/>
              </w:rPr>
              <w:t>H</w:t>
            </w:r>
            <w:r>
              <w:rPr>
                <w:rFonts w:hint="default" w:ascii="Times New Roman" w:hAnsi="Times New Roman" w:eastAsia="宋体" w:cs="Times New Roman"/>
                <w:bCs/>
                <w:color w:val="auto"/>
                <w:kern w:val="28"/>
                <w:sz w:val="24"/>
                <w:highlight w:val="none"/>
                <w:lang w:val="en-US" w:eastAsia="zh-CN"/>
              </w:rPr>
              <w:t>J</w:t>
            </w:r>
            <w:r>
              <w:rPr>
                <w:rFonts w:hint="eastAsia" w:ascii="Times New Roman" w:hAnsi="Times New Roman" w:cs="Times New Roman"/>
                <w:bCs/>
                <w:color w:val="auto"/>
                <w:kern w:val="28"/>
                <w:sz w:val="24"/>
                <w:highlight w:val="none"/>
                <w:lang w:val="en-US" w:eastAsia="zh-CN"/>
              </w:rPr>
              <w:t xml:space="preserve"> </w:t>
            </w:r>
            <w:r>
              <w:rPr>
                <w:rFonts w:hint="default" w:ascii="Times New Roman" w:hAnsi="Times New Roman" w:eastAsia="宋体" w:cs="Times New Roman"/>
                <w:bCs/>
                <w:color w:val="auto"/>
                <w:kern w:val="28"/>
                <w:sz w:val="24"/>
                <w:highlight w:val="none"/>
                <w:lang w:val="en-US" w:eastAsia="zh-CN"/>
              </w:rPr>
              <w:t>610</w:t>
            </w:r>
            <w:r>
              <w:rPr>
                <w:rFonts w:hint="eastAsia" w:ascii="Times New Roman" w:hAnsi="Times New Roman" w:cs="Times New Roman"/>
                <w:bCs/>
                <w:color w:val="auto"/>
                <w:kern w:val="28"/>
                <w:sz w:val="24"/>
                <w:highlight w:val="none"/>
                <w:lang w:val="en-US" w:eastAsia="zh-CN"/>
              </w:rPr>
              <w:t>—2016</w:t>
            </w:r>
            <w:r>
              <w:rPr>
                <w:rFonts w:hint="default" w:ascii="Times New Roman" w:hAnsi="Times New Roman" w:eastAsia="宋体" w:cs="Times New Roman"/>
                <w:bCs/>
                <w:color w:val="auto"/>
                <w:kern w:val="28"/>
                <w:sz w:val="24"/>
                <w:highlight w:val="none"/>
                <w:lang w:val="en-US" w:eastAsia="zh-CN"/>
              </w:rPr>
              <w:t>）的地下水污染防渗分区，将厂区划分为重点防渗区、一般防渗区和简单防渗区。项目分区保护措施见下表。</w:t>
            </w:r>
          </w:p>
          <w:p w14:paraId="228D12A7">
            <w:pPr>
              <w:spacing w:line="360" w:lineRule="auto"/>
              <w:jc w:val="center"/>
              <w:rPr>
                <w:rFonts w:hint="default" w:ascii="Times New Roman" w:hAnsi="Times New Roman" w:eastAsia="宋体" w:cs="Times New Roman"/>
                <w:b/>
                <w:bCs/>
                <w:color w:val="auto"/>
                <w:kern w:val="0"/>
                <w:sz w:val="24"/>
                <w:szCs w:val="20"/>
              </w:rPr>
            </w:pPr>
            <w:r>
              <w:rPr>
                <w:rFonts w:hint="default" w:ascii="Times New Roman" w:hAnsi="Times New Roman" w:eastAsia="宋体" w:cs="Times New Roman"/>
                <w:b/>
                <w:bCs/>
                <w:color w:val="auto"/>
                <w:kern w:val="0"/>
                <w:sz w:val="24"/>
                <w:szCs w:val="20"/>
              </w:rPr>
              <w:t>表4-</w:t>
            </w:r>
            <w:r>
              <w:rPr>
                <w:rFonts w:hint="default" w:ascii="Times New Roman" w:hAnsi="Times New Roman" w:cs="Times New Roman"/>
                <w:b/>
                <w:bCs/>
                <w:color w:val="auto"/>
                <w:kern w:val="0"/>
                <w:sz w:val="24"/>
                <w:szCs w:val="20"/>
                <w:lang w:val="en-US" w:eastAsia="zh-CN"/>
              </w:rPr>
              <w:t>8</w:t>
            </w:r>
            <w:r>
              <w:rPr>
                <w:rFonts w:hint="default" w:ascii="Times New Roman" w:hAnsi="Times New Roman" w:eastAsia="宋体" w:cs="Times New Roman"/>
                <w:b/>
                <w:bCs/>
                <w:color w:val="auto"/>
                <w:kern w:val="0"/>
                <w:sz w:val="24"/>
                <w:szCs w:val="20"/>
              </w:rPr>
              <w:t xml:space="preserve"> 项目防渗分区划分及防渗技术要求</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320"/>
              <w:gridCol w:w="2024"/>
              <w:gridCol w:w="4771"/>
            </w:tblGrid>
            <w:tr w14:paraId="1AE4D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320" w:type="dxa"/>
                  <w:tcBorders>
                    <w:top w:val="single" w:color="auto" w:sz="4" w:space="0"/>
                    <w:left w:val="single" w:color="auto" w:sz="0" w:space="0"/>
                  </w:tcBorders>
                  <w:noWrap w:val="0"/>
                  <w:vAlign w:val="center"/>
                </w:tcPr>
                <w:p w14:paraId="3287942B">
                  <w:pPr>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sz w:val="21"/>
                      <w:szCs w:val="21"/>
                    </w:rPr>
                    <w:t>防渗分区</w:t>
                  </w:r>
                </w:p>
              </w:tc>
              <w:tc>
                <w:tcPr>
                  <w:tcW w:w="2024" w:type="dxa"/>
                  <w:tcBorders>
                    <w:top w:val="single" w:color="auto" w:sz="4" w:space="0"/>
                  </w:tcBorders>
                  <w:noWrap w:val="0"/>
                  <w:vAlign w:val="center"/>
                </w:tcPr>
                <w:p w14:paraId="47B7ACA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rPr>
                    <w:t>分区</w:t>
                  </w:r>
                </w:p>
              </w:tc>
              <w:tc>
                <w:tcPr>
                  <w:tcW w:w="4771" w:type="dxa"/>
                  <w:tcBorders>
                    <w:top w:val="single" w:color="auto" w:sz="4" w:space="0"/>
                    <w:right w:val="single" w:color="auto" w:sz="4" w:space="0"/>
                  </w:tcBorders>
                  <w:noWrap w:val="0"/>
                  <w:vAlign w:val="center"/>
                </w:tcPr>
                <w:p w14:paraId="275B42FF">
                  <w:pPr>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防渗要求</w:t>
                  </w:r>
                </w:p>
              </w:tc>
            </w:tr>
            <w:tr w14:paraId="63B35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320" w:type="dxa"/>
                  <w:vMerge w:val="restart"/>
                  <w:tcBorders>
                    <w:left w:val="single" w:color="auto" w:sz="4" w:space="0"/>
                  </w:tcBorders>
                  <w:noWrap w:val="0"/>
                  <w:vAlign w:val="center"/>
                </w:tcPr>
                <w:p w14:paraId="60D0F792">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重点防渗区</w:t>
                  </w:r>
                </w:p>
              </w:tc>
              <w:tc>
                <w:tcPr>
                  <w:tcW w:w="2024" w:type="dxa"/>
                  <w:noWrap w:val="0"/>
                  <w:vAlign w:val="center"/>
                </w:tcPr>
                <w:p w14:paraId="7F4EA92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药剂间、加药间</w:t>
                  </w:r>
                  <w:r>
                    <w:rPr>
                      <w:rFonts w:hint="default" w:ascii="Times New Roman" w:hAnsi="Times New Roman" w:cs="Times New Roman"/>
                      <w:color w:val="auto"/>
                      <w:sz w:val="21"/>
                      <w:szCs w:val="21"/>
                      <w:lang w:val="en-US" w:eastAsia="zh-CN"/>
                    </w:rPr>
                    <w:t>。</w:t>
                  </w:r>
                </w:p>
              </w:tc>
              <w:tc>
                <w:tcPr>
                  <w:tcW w:w="4771" w:type="dxa"/>
                  <w:tcBorders>
                    <w:right w:val="single" w:color="auto" w:sz="4" w:space="0"/>
                  </w:tcBorders>
                  <w:noWrap w:val="0"/>
                  <w:vAlign w:val="center"/>
                </w:tcPr>
                <w:p w14:paraId="3A5478CB">
                  <w:pP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bCs/>
                      <w:color w:val="auto"/>
                      <w:kern w:val="0"/>
                      <w:sz w:val="21"/>
                      <w:szCs w:val="21"/>
                    </w:rPr>
                    <w:t>等效黏土防渗层Mb≥</w:t>
                  </w:r>
                  <w:r>
                    <w:rPr>
                      <w:rFonts w:hint="default" w:ascii="Times New Roman" w:hAnsi="Times New Roman" w:eastAsia="宋体" w:cs="Times New Roman"/>
                      <w:bCs/>
                      <w:color w:val="auto"/>
                      <w:kern w:val="0"/>
                      <w:sz w:val="21"/>
                      <w:szCs w:val="21"/>
                      <w:lang w:val="en-US" w:eastAsia="zh-CN"/>
                    </w:rPr>
                    <w:t>6</w:t>
                  </w:r>
                  <w:r>
                    <w:rPr>
                      <w:rFonts w:hint="default" w:ascii="Times New Roman" w:hAnsi="Times New Roman" w:cs="Times New Roman"/>
                      <w:bCs/>
                      <w:color w:val="auto"/>
                      <w:kern w:val="0"/>
                      <w:sz w:val="21"/>
                      <w:szCs w:val="21"/>
                      <w:lang w:eastAsia="zh-CN"/>
                    </w:rPr>
                    <w:t>m</w:t>
                  </w:r>
                  <w:r>
                    <w:rPr>
                      <w:rFonts w:hint="default" w:ascii="Times New Roman" w:hAnsi="Times New Roman" w:eastAsia="宋体" w:cs="Times New Roman"/>
                      <w:bCs/>
                      <w:color w:val="auto"/>
                      <w:kern w:val="0"/>
                      <w:sz w:val="21"/>
                      <w:szCs w:val="21"/>
                    </w:rPr>
                    <w:t>，渗透系数≤1×10</w:t>
                  </w:r>
                  <w:r>
                    <w:rPr>
                      <w:rFonts w:hint="default" w:ascii="Times New Roman" w:hAnsi="Times New Roman" w:eastAsia="宋体" w:cs="Times New Roman"/>
                      <w:bCs/>
                      <w:color w:val="auto"/>
                      <w:kern w:val="0"/>
                      <w:sz w:val="21"/>
                      <w:szCs w:val="21"/>
                      <w:vertAlign w:val="superscript"/>
                    </w:rPr>
                    <w:t>-7</w:t>
                  </w:r>
                  <w:r>
                    <w:rPr>
                      <w:rFonts w:hint="default" w:ascii="Times New Roman" w:hAnsi="Times New Roman" w:eastAsia="宋体" w:cs="Times New Roman"/>
                      <w:bCs/>
                      <w:color w:val="auto"/>
                      <w:kern w:val="0"/>
                      <w:sz w:val="21"/>
                      <w:szCs w:val="21"/>
                    </w:rPr>
                    <w:t>c</w:t>
                  </w:r>
                  <w:r>
                    <w:rPr>
                      <w:rFonts w:hint="default" w:ascii="Times New Roman" w:hAnsi="Times New Roman" w:cs="Times New Roman"/>
                      <w:bCs/>
                      <w:color w:val="auto"/>
                      <w:kern w:val="0"/>
                      <w:sz w:val="21"/>
                      <w:szCs w:val="21"/>
                      <w:lang w:eastAsia="zh-CN"/>
                    </w:rPr>
                    <w:t>m</w:t>
                  </w:r>
                  <w:r>
                    <w:rPr>
                      <w:rFonts w:hint="default" w:ascii="Times New Roman" w:hAnsi="Times New Roman" w:eastAsia="宋体" w:cs="Times New Roman"/>
                      <w:bCs/>
                      <w:color w:val="auto"/>
                      <w:kern w:val="0"/>
                      <w:sz w:val="21"/>
                      <w:szCs w:val="21"/>
                    </w:rPr>
                    <w:t>/s</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采取铺设钢筋混凝土加2mm厚HDPE膜的防渗地坪。</w:t>
                  </w:r>
                </w:p>
              </w:tc>
            </w:tr>
            <w:tr w14:paraId="631D9D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320" w:type="dxa"/>
                  <w:vMerge w:val="continue"/>
                  <w:tcBorders>
                    <w:left w:val="single" w:color="auto" w:sz="4" w:space="0"/>
                  </w:tcBorders>
                  <w:noWrap w:val="0"/>
                  <w:vAlign w:val="center"/>
                </w:tcPr>
                <w:p w14:paraId="26FECDE9">
                  <w:pPr>
                    <w:adjustRightInd w:val="0"/>
                    <w:snapToGrid w:val="0"/>
                    <w:jc w:val="center"/>
                    <w:rPr>
                      <w:rFonts w:hint="default" w:ascii="Times New Roman" w:hAnsi="Times New Roman" w:eastAsia="宋体" w:cs="Times New Roman"/>
                      <w:color w:val="auto"/>
                      <w:sz w:val="21"/>
                      <w:szCs w:val="21"/>
                    </w:rPr>
                  </w:pPr>
                </w:p>
              </w:tc>
              <w:tc>
                <w:tcPr>
                  <w:tcW w:w="2024" w:type="dxa"/>
                  <w:noWrap w:val="0"/>
                  <w:vAlign w:val="center"/>
                </w:tcPr>
                <w:p w14:paraId="268C5310">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已建危废暂存间</w:t>
                  </w:r>
                </w:p>
              </w:tc>
              <w:tc>
                <w:tcPr>
                  <w:tcW w:w="4771" w:type="dxa"/>
                  <w:tcBorders>
                    <w:right w:val="single" w:color="auto" w:sz="4" w:space="0"/>
                  </w:tcBorders>
                  <w:noWrap w:val="0"/>
                  <w:vAlign w:val="center"/>
                </w:tcPr>
                <w:p w14:paraId="21D61C7F">
                  <w:pPr>
                    <w:autoSpaceDE w:val="0"/>
                    <w:autoSpaceDN w:val="0"/>
                    <w:ind w:left="0" w:leftChars="0" w:firstLine="0" w:firstLineChars="0"/>
                    <w:jc w:val="both"/>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highlight w:val="none"/>
                      <w:lang w:val="en-US" w:eastAsia="zh-CN" w:bidi="ar-SA"/>
                    </w:rPr>
                    <w:t>位于一期工程厂区东侧，建筑面积16m</w:t>
                  </w:r>
                  <w:r>
                    <w:rPr>
                      <w:rFonts w:hint="default" w:ascii="Times New Roman" w:hAnsi="Times New Roman" w:eastAsia="宋体" w:cs="Times New Roman"/>
                      <w:color w:val="auto"/>
                      <w:sz w:val="21"/>
                      <w:szCs w:val="21"/>
                      <w:highlight w:val="none"/>
                      <w:vertAlign w:val="superscript"/>
                      <w:lang w:val="en-US" w:eastAsia="zh-CN" w:bidi="ar-SA"/>
                    </w:rPr>
                    <w:t>2</w:t>
                  </w:r>
                  <w:r>
                    <w:rPr>
                      <w:rFonts w:hint="default" w:ascii="Times New Roman" w:hAnsi="Times New Roman" w:eastAsia="宋体" w:cs="Times New Roman"/>
                      <w:color w:val="auto"/>
                      <w:sz w:val="21"/>
                      <w:szCs w:val="21"/>
                      <w:highlight w:val="none"/>
                      <w:lang w:val="en-US" w:eastAsia="zh-CN" w:bidi="ar-SA"/>
                    </w:rPr>
                    <w:t>，用于暂存污水厂实验室产生的分析废液和运营期产生的废机油。危废暂存库地面及裙脚、导流渠、集液池（0.027m</w:t>
                  </w:r>
                  <w:r>
                    <w:rPr>
                      <w:rFonts w:hint="default" w:ascii="Times New Roman" w:hAnsi="Times New Roman" w:eastAsia="宋体" w:cs="Times New Roman"/>
                      <w:color w:val="auto"/>
                      <w:sz w:val="21"/>
                      <w:szCs w:val="21"/>
                      <w:highlight w:val="none"/>
                      <w:vertAlign w:val="superscript"/>
                      <w:lang w:val="en-US" w:eastAsia="zh-CN" w:bidi="ar-SA"/>
                    </w:rPr>
                    <w:t>3</w:t>
                  </w:r>
                  <w:r>
                    <w:rPr>
                      <w:rFonts w:hint="default" w:ascii="Times New Roman" w:hAnsi="Times New Roman" w:eastAsia="宋体" w:cs="Times New Roman"/>
                      <w:color w:val="auto"/>
                      <w:sz w:val="21"/>
                      <w:szCs w:val="21"/>
                      <w:highlight w:val="none"/>
                      <w:lang w:val="en-US" w:eastAsia="zh-CN" w:bidi="ar-SA"/>
                    </w:rPr>
                    <w:t>）防渗措施自下而上依次为：基础防渗层+2mm厚HDPE防渗膜+15cm抗渗C30钢筋混凝土结构+环氧树脂涂层防腐，防渗系数≤1.0×10</w:t>
                  </w:r>
                  <w:r>
                    <w:rPr>
                      <w:rFonts w:hint="default" w:ascii="Times New Roman" w:hAnsi="Times New Roman" w:eastAsia="宋体" w:cs="Times New Roman"/>
                      <w:color w:val="auto"/>
                      <w:sz w:val="21"/>
                      <w:szCs w:val="21"/>
                      <w:highlight w:val="none"/>
                      <w:vertAlign w:val="superscript"/>
                      <w:lang w:val="en-US" w:eastAsia="zh-CN" w:bidi="ar-SA"/>
                    </w:rPr>
                    <w:t>-10</w:t>
                  </w:r>
                  <w:r>
                    <w:rPr>
                      <w:rFonts w:hint="default" w:ascii="Times New Roman" w:hAnsi="Times New Roman" w:eastAsia="宋体" w:cs="Times New Roman"/>
                      <w:color w:val="auto"/>
                      <w:sz w:val="21"/>
                      <w:szCs w:val="21"/>
                      <w:highlight w:val="none"/>
                      <w:lang w:val="en-US" w:eastAsia="zh-CN" w:bidi="ar-SA"/>
                    </w:rPr>
                    <w:t>cm/s。</w:t>
                  </w:r>
                </w:p>
              </w:tc>
            </w:tr>
            <w:tr w14:paraId="47992F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320" w:type="dxa"/>
                  <w:tcBorders>
                    <w:left w:val="single" w:color="auto" w:sz="4" w:space="0"/>
                  </w:tcBorders>
                  <w:noWrap w:val="0"/>
                  <w:vAlign w:val="center"/>
                </w:tcPr>
                <w:p w14:paraId="370275E1">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一般防渗区</w:t>
                  </w:r>
                </w:p>
              </w:tc>
              <w:tc>
                <w:tcPr>
                  <w:tcW w:w="2024" w:type="dxa"/>
                  <w:noWrap w:val="0"/>
                  <w:vAlign w:val="center"/>
                </w:tcPr>
                <w:p w14:paraId="2110100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污水处理单元、污泥处理单元</w:t>
                  </w:r>
                  <w:r>
                    <w:rPr>
                      <w:rFonts w:hint="default" w:ascii="Times New Roman" w:hAnsi="Times New Roman" w:cs="Times New Roman"/>
                      <w:color w:val="auto"/>
                      <w:sz w:val="21"/>
                      <w:szCs w:val="21"/>
                      <w:lang w:val="en-US" w:eastAsia="zh-CN"/>
                    </w:rPr>
                    <w:t>、各管道</w:t>
                  </w:r>
                  <w:r>
                    <w:rPr>
                      <w:rFonts w:hint="default" w:ascii="Times New Roman" w:hAnsi="Times New Roman" w:eastAsia="宋体" w:cs="Times New Roman"/>
                      <w:color w:val="auto"/>
                      <w:sz w:val="21"/>
                      <w:szCs w:val="21"/>
                      <w:lang w:val="en-US" w:eastAsia="zh-CN"/>
                    </w:rPr>
                    <w:t>等生产区域</w:t>
                  </w:r>
                  <w:r>
                    <w:rPr>
                      <w:rFonts w:hint="default" w:ascii="Times New Roman" w:hAnsi="Times New Roman" w:cs="Times New Roman"/>
                      <w:color w:val="auto"/>
                      <w:sz w:val="21"/>
                      <w:szCs w:val="21"/>
                      <w:lang w:val="en-US" w:eastAsia="zh-CN"/>
                    </w:rPr>
                    <w:t>。</w:t>
                  </w:r>
                </w:p>
              </w:tc>
              <w:tc>
                <w:tcPr>
                  <w:tcW w:w="4771" w:type="dxa"/>
                  <w:tcBorders>
                    <w:right w:val="single" w:color="auto" w:sz="4" w:space="0"/>
                  </w:tcBorders>
                  <w:noWrap w:val="0"/>
                  <w:vAlign w:val="center"/>
                </w:tcPr>
                <w:p w14:paraId="01E4C6CF">
                  <w:pP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等效黏土防渗层Mb</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sz w:val="21"/>
                      <w:szCs w:val="21"/>
                    </w:rPr>
                    <w:t>1.5</w:t>
                  </w:r>
                  <w:r>
                    <w:rPr>
                      <w:rFonts w:hint="default" w:ascii="Times New Roman" w:hAnsi="Times New Roman" w:cs="Times New Roman"/>
                      <w:color w:val="auto"/>
                      <w:sz w:val="21"/>
                      <w:szCs w:val="21"/>
                      <w:lang w:eastAsia="zh-CN"/>
                    </w:rPr>
                    <w:t>m</w:t>
                  </w:r>
                  <w:r>
                    <w:rPr>
                      <w:rFonts w:hint="default" w:ascii="Times New Roman" w:hAnsi="Times New Roman" w:eastAsia="宋体" w:cs="Times New Roman"/>
                      <w:color w:val="auto"/>
                      <w:sz w:val="21"/>
                      <w:szCs w:val="21"/>
                    </w:rPr>
                    <w:t>，渗透系数≤1×10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w:t>
                  </w:r>
                  <w:r>
                    <w:rPr>
                      <w:rFonts w:hint="default" w:ascii="Times New Roman" w:hAnsi="Times New Roman" w:cs="Times New Roman"/>
                      <w:color w:val="auto"/>
                      <w:sz w:val="21"/>
                      <w:szCs w:val="21"/>
                      <w:lang w:eastAsia="zh-CN"/>
                    </w:rPr>
                    <w:t>m</w:t>
                  </w:r>
                  <w:r>
                    <w:rPr>
                      <w:rFonts w:hint="default" w:ascii="Times New Roman" w:hAnsi="Times New Roman" w:eastAsia="宋体" w:cs="Times New Roman"/>
                      <w:color w:val="auto"/>
                      <w:sz w:val="21"/>
                      <w:szCs w:val="21"/>
                    </w:rPr>
                    <w:t>/s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地面、池体底部及四周均采取抗渗混凝土防渗</w:t>
                  </w:r>
                  <w:r>
                    <w:rPr>
                      <w:rFonts w:hint="default" w:ascii="Times New Roman" w:hAnsi="Times New Roman" w:cs="Times New Roman"/>
                      <w:color w:val="auto"/>
                      <w:sz w:val="21"/>
                      <w:szCs w:val="21"/>
                      <w:lang w:val="en-US" w:eastAsia="zh-CN"/>
                    </w:rPr>
                    <w:t>。</w:t>
                  </w:r>
                </w:p>
              </w:tc>
            </w:tr>
            <w:tr w14:paraId="311B0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320" w:type="dxa"/>
                  <w:tcBorders>
                    <w:left w:val="single" w:color="auto" w:sz="4" w:space="0"/>
                    <w:bottom w:val="single" w:color="auto" w:sz="4" w:space="0"/>
                  </w:tcBorders>
                  <w:noWrap w:val="0"/>
                  <w:vAlign w:val="center"/>
                </w:tcPr>
                <w:p w14:paraId="34A9FAFA">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简单防渗区</w:t>
                  </w:r>
                </w:p>
              </w:tc>
              <w:tc>
                <w:tcPr>
                  <w:tcW w:w="2024" w:type="dxa"/>
                  <w:tcBorders>
                    <w:bottom w:val="single" w:color="auto" w:sz="4" w:space="0"/>
                  </w:tcBorders>
                  <w:noWrap w:val="0"/>
                  <w:vAlign w:val="center"/>
                </w:tcPr>
                <w:p w14:paraId="67C4F1F4">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配电用房、厂区道路等其他区域</w:t>
                  </w:r>
                  <w:r>
                    <w:rPr>
                      <w:rFonts w:hint="default" w:ascii="Times New Roman" w:hAnsi="Times New Roman" w:cs="Times New Roman"/>
                      <w:color w:val="auto"/>
                      <w:sz w:val="21"/>
                      <w:szCs w:val="21"/>
                      <w:lang w:eastAsia="zh-CN"/>
                    </w:rPr>
                    <w:t>。</w:t>
                  </w:r>
                </w:p>
              </w:tc>
              <w:tc>
                <w:tcPr>
                  <w:tcW w:w="4771" w:type="dxa"/>
                  <w:tcBorders>
                    <w:bottom w:val="single" w:color="auto" w:sz="4" w:space="0"/>
                    <w:right w:val="single" w:color="auto" w:sz="4" w:space="0"/>
                  </w:tcBorders>
                  <w:noWrap w:val="0"/>
                  <w:vAlign w:val="center"/>
                </w:tcPr>
                <w:p w14:paraId="0F9CC849">
                  <w:pPr>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lang w:val="en-US" w:eastAsia="zh-CN"/>
                    </w:rPr>
                    <w:t>采用水泥混凝土进行地面硬化</w:t>
                  </w:r>
                  <w:r>
                    <w:rPr>
                      <w:rFonts w:hint="default" w:ascii="Times New Roman" w:hAnsi="Times New Roman" w:cs="Times New Roman"/>
                      <w:color w:val="auto"/>
                      <w:sz w:val="21"/>
                      <w:szCs w:val="21"/>
                      <w:lang w:eastAsia="zh-CN"/>
                    </w:rPr>
                    <w:t>。</w:t>
                  </w:r>
                </w:p>
              </w:tc>
            </w:tr>
          </w:tbl>
          <w:p w14:paraId="6EF07061">
            <w:pPr>
              <w:adjustRightInd w:val="0"/>
              <w:snapToGrid w:val="0"/>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5.3小结</w:t>
            </w:r>
          </w:p>
          <w:p w14:paraId="70AA453E">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项目对可能产生地下水影响的途径进行了有效预防，在确保各项防渗措施得以落实，并加强厂区环境管理的前提下，可有效控制厂区内的废水污染物下渗现象，避免污染地下水</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项目地下水污染防治措施可行。项目做好分区防控工作，定期检查项目废水管道和池体，加强管理</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避免污染地下水的情况发生，从而保护</w:t>
            </w:r>
            <w:r>
              <w:rPr>
                <w:rFonts w:hint="default" w:ascii="Times New Roman" w:hAnsi="Times New Roman"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区域的地下水、土壤环境不受本项目的污染。因此，本项目运营期间对地下水和土壤的环境影响</w:t>
            </w:r>
            <w:r>
              <w:rPr>
                <w:rFonts w:hint="default" w:ascii="Times New Roman" w:hAnsi="Times New Roman" w:cs="Times New Roman"/>
                <w:color w:val="auto"/>
                <w:sz w:val="24"/>
                <w:highlight w:val="none"/>
                <w:lang w:val="en-US" w:eastAsia="zh-CN"/>
              </w:rPr>
              <w:t>是</w:t>
            </w:r>
            <w:r>
              <w:rPr>
                <w:rFonts w:hint="default" w:ascii="Times New Roman" w:hAnsi="Times New Roman" w:eastAsia="宋体" w:cs="Times New Roman"/>
                <w:color w:val="auto"/>
                <w:sz w:val="24"/>
                <w:highlight w:val="none"/>
                <w:lang w:val="en-US" w:eastAsia="zh-CN"/>
              </w:rPr>
              <w:t>可以接受</w:t>
            </w:r>
            <w:r>
              <w:rPr>
                <w:rFonts w:hint="default" w:ascii="Times New Roman" w:hAnsi="Times New Roman" w:cs="Times New Roman"/>
                <w:color w:val="auto"/>
                <w:sz w:val="24"/>
                <w:highlight w:val="none"/>
                <w:lang w:val="en-US" w:eastAsia="zh-CN"/>
              </w:rPr>
              <w:t>的</w:t>
            </w:r>
            <w:r>
              <w:rPr>
                <w:rFonts w:hint="default" w:ascii="Times New Roman" w:hAnsi="Times New Roman" w:eastAsia="宋体" w:cs="Times New Roman"/>
                <w:color w:val="auto"/>
                <w:sz w:val="24"/>
                <w:highlight w:val="none"/>
                <w:lang w:val="en-US" w:eastAsia="zh-CN"/>
              </w:rPr>
              <w:t>。</w:t>
            </w:r>
          </w:p>
          <w:p w14:paraId="4F2F60D2">
            <w:pPr>
              <w:widowControl/>
              <w:adjustRightInd w:val="0"/>
              <w:snapToGrid w:val="0"/>
              <w:spacing w:line="360" w:lineRule="auto"/>
              <w:ind w:firstLine="482" w:firstLineChars="200"/>
              <w:jc w:val="both"/>
              <w:rPr>
                <w:rFonts w:hint="default" w:ascii="Times New Roman" w:hAnsi="Times New Roman" w:eastAsia="宋体" w:cs="Times New Roman"/>
                <w:b/>
                <w:bCs/>
                <w:color w:val="auto"/>
                <w:kern w:val="1"/>
                <w:sz w:val="24"/>
                <w:szCs w:val="24"/>
                <w:lang w:val="en-US" w:eastAsia="zh-CN" w:bidi="ar-SA"/>
              </w:rPr>
            </w:pPr>
            <w:r>
              <w:rPr>
                <w:rFonts w:hint="default" w:ascii="Times New Roman" w:hAnsi="Times New Roman" w:eastAsia="宋体" w:cs="Times New Roman"/>
                <w:b/>
                <w:bCs/>
                <w:color w:val="auto"/>
                <w:kern w:val="1"/>
                <w:sz w:val="24"/>
                <w:szCs w:val="24"/>
                <w:lang w:val="en-US" w:eastAsia="zh-CN" w:bidi="ar-SA"/>
              </w:rPr>
              <w:t>6.环境风险分析</w:t>
            </w:r>
          </w:p>
          <w:p w14:paraId="7C2C3245">
            <w:pPr>
              <w:widowControl/>
              <w:adjustRightInd w:val="0"/>
              <w:snapToGrid w:val="0"/>
              <w:spacing w:line="360" w:lineRule="auto"/>
              <w:ind w:firstLine="482" w:firstLineChars="200"/>
              <w:jc w:val="both"/>
              <w:rPr>
                <w:rFonts w:hint="default" w:ascii="Times New Roman" w:hAnsi="Times New Roman" w:eastAsia="宋体" w:cs="Times New Roman"/>
                <w:b/>
                <w:bCs/>
                <w:color w:val="auto"/>
                <w:kern w:val="1"/>
                <w:sz w:val="24"/>
                <w:szCs w:val="24"/>
                <w:lang w:val="en-US" w:eastAsia="zh-CN" w:bidi="ar-SA"/>
              </w:rPr>
            </w:pPr>
            <w:r>
              <w:rPr>
                <w:rFonts w:hint="default" w:ascii="Times New Roman" w:hAnsi="Times New Roman" w:eastAsia="宋体" w:cs="Times New Roman"/>
                <w:b/>
                <w:bCs/>
                <w:color w:val="auto"/>
                <w:kern w:val="1"/>
                <w:sz w:val="24"/>
                <w:szCs w:val="24"/>
                <w:lang w:val="en-US" w:eastAsia="zh-CN" w:bidi="ar-SA"/>
              </w:rPr>
              <w:t>6.1风险源识别</w:t>
            </w:r>
          </w:p>
          <w:p w14:paraId="713F574F">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根据《建设项目环境风险评价技术导则》（</w:t>
            </w:r>
            <w:r>
              <w:rPr>
                <w:rFonts w:hint="default" w:ascii="Times New Roman" w:hAnsi="Times New Roman" w:cs="Times New Roman"/>
                <w:bCs/>
                <w:color w:val="auto"/>
                <w:kern w:val="1"/>
                <w:sz w:val="24"/>
                <w:szCs w:val="24"/>
                <w:lang w:val="en-US" w:eastAsia="zh-CN" w:bidi="ar-SA"/>
              </w:rPr>
              <w:t>H</w:t>
            </w:r>
            <w:r>
              <w:rPr>
                <w:rFonts w:hint="default" w:ascii="Times New Roman" w:hAnsi="Times New Roman" w:eastAsia="宋体" w:cs="Times New Roman"/>
                <w:bCs/>
                <w:color w:val="auto"/>
                <w:kern w:val="1"/>
                <w:sz w:val="24"/>
                <w:szCs w:val="24"/>
                <w:lang w:val="en-US" w:eastAsia="zh-CN" w:bidi="ar-SA"/>
              </w:rPr>
              <w:t>J 169</w:t>
            </w:r>
            <w:r>
              <w:rPr>
                <w:rFonts w:hint="eastAsia" w:ascii="Times New Roman" w:hAnsi="Times New Roman" w:cs="Times New Roman"/>
                <w:bCs/>
                <w:color w:val="auto"/>
                <w:kern w:val="1"/>
                <w:sz w:val="24"/>
                <w:szCs w:val="24"/>
                <w:lang w:val="en-US" w:eastAsia="zh-CN" w:bidi="ar-SA"/>
              </w:rPr>
              <w:t>—2018</w:t>
            </w:r>
            <w:r>
              <w:rPr>
                <w:rFonts w:hint="default" w:ascii="Times New Roman" w:hAnsi="Times New Roman" w:eastAsia="宋体" w:cs="Times New Roman"/>
                <w:bCs/>
                <w:color w:val="auto"/>
                <w:kern w:val="1"/>
                <w:sz w:val="24"/>
                <w:szCs w:val="24"/>
                <w:lang w:val="en-US" w:eastAsia="zh-CN" w:bidi="ar-SA"/>
              </w:rPr>
              <w:t>）附录B，本项目的危险物质为次氯酸钠。</w:t>
            </w:r>
          </w:p>
          <w:p w14:paraId="63A29D54">
            <w:pPr>
              <w:widowControl/>
              <w:adjustRightInd w:val="0"/>
              <w:snapToGrid w:val="0"/>
              <w:spacing w:line="360" w:lineRule="auto"/>
              <w:ind w:firstLine="482" w:firstLineChars="200"/>
              <w:jc w:val="both"/>
              <w:rPr>
                <w:rFonts w:hint="default" w:ascii="Times New Roman" w:hAnsi="Times New Roman" w:eastAsia="宋体" w:cs="Times New Roman"/>
                <w:b/>
                <w:bCs/>
                <w:color w:val="auto"/>
                <w:kern w:val="1"/>
                <w:sz w:val="24"/>
                <w:szCs w:val="24"/>
                <w:lang w:val="en-US" w:eastAsia="zh-CN" w:bidi="ar-SA"/>
              </w:rPr>
            </w:pPr>
            <w:r>
              <w:rPr>
                <w:rFonts w:hint="default" w:ascii="Times New Roman" w:hAnsi="Times New Roman" w:eastAsia="宋体" w:cs="Times New Roman"/>
                <w:b/>
                <w:bCs/>
                <w:color w:val="auto"/>
                <w:kern w:val="1"/>
                <w:sz w:val="24"/>
                <w:szCs w:val="24"/>
                <w:lang w:val="en-US" w:eastAsia="zh-CN" w:bidi="ar-SA"/>
              </w:rPr>
              <w:t>6.2风险潜势初判</w:t>
            </w:r>
          </w:p>
          <w:p w14:paraId="40E64DF4">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根据《建设项目环境风险评价技术导则》（</w:t>
            </w:r>
            <w:r>
              <w:rPr>
                <w:rFonts w:hint="default" w:ascii="Times New Roman" w:hAnsi="Times New Roman" w:cs="Times New Roman"/>
                <w:bCs/>
                <w:color w:val="auto"/>
                <w:kern w:val="1"/>
                <w:sz w:val="24"/>
                <w:szCs w:val="24"/>
                <w:lang w:val="en-US" w:eastAsia="zh-CN" w:bidi="ar-SA"/>
              </w:rPr>
              <w:t>H</w:t>
            </w:r>
            <w:r>
              <w:rPr>
                <w:rFonts w:hint="default" w:ascii="Times New Roman" w:hAnsi="Times New Roman" w:eastAsia="宋体" w:cs="Times New Roman"/>
                <w:bCs/>
                <w:color w:val="auto"/>
                <w:kern w:val="1"/>
                <w:sz w:val="24"/>
                <w:szCs w:val="24"/>
                <w:lang w:val="en-US" w:eastAsia="zh-CN" w:bidi="ar-SA"/>
              </w:rPr>
              <w:t>J 169</w:t>
            </w:r>
            <w:r>
              <w:rPr>
                <w:rFonts w:hint="eastAsia" w:ascii="Times New Roman" w:hAnsi="Times New Roman" w:cs="Times New Roman"/>
                <w:bCs/>
                <w:color w:val="auto"/>
                <w:kern w:val="1"/>
                <w:sz w:val="24"/>
                <w:szCs w:val="24"/>
                <w:lang w:val="en-US" w:eastAsia="zh-CN" w:bidi="ar-SA"/>
              </w:rPr>
              <w:t>—2018</w:t>
            </w:r>
            <w:r>
              <w:rPr>
                <w:rFonts w:hint="default" w:ascii="Times New Roman" w:hAnsi="Times New Roman" w:eastAsia="宋体" w:cs="Times New Roman"/>
                <w:bCs/>
                <w:color w:val="auto"/>
                <w:kern w:val="1"/>
                <w:sz w:val="24"/>
                <w:szCs w:val="24"/>
                <w:lang w:val="en-US" w:eastAsia="zh-CN" w:bidi="ar-SA"/>
              </w:rPr>
              <w:t>）附录B和附录C，当存在多种危险物质时，按下式计算物质总量与其临界量</w:t>
            </w:r>
            <w:r>
              <w:rPr>
                <w:rFonts w:hint="default" w:ascii="Times New Roman" w:hAnsi="Times New Roman" w:cs="Times New Roman"/>
                <w:bCs/>
                <w:color w:val="auto"/>
                <w:kern w:val="1"/>
                <w:sz w:val="24"/>
                <w:szCs w:val="24"/>
                <w:lang w:val="en-US" w:eastAsia="zh-CN" w:bidi="ar-SA"/>
              </w:rPr>
              <w:t>的</w:t>
            </w:r>
            <w:r>
              <w:rPr>
                <w:rFonts w:hint="default" w:ascii="Times New Roman" w:hAnsi="Times New Roman" w:eastAsia="宋体" w:cs="Times New Roman"/>
                <w:bCs/>
                <w:color w:val="auto"/>
                <w:kern w:val="1"/>
                <w:sz w:val="24"/>
                <w:szCs w:val="24"/>
                <w:lang w:val="en-US" w:eastAsia="zh-CN" w:bidi="ar-SA"/>
              </w:rPr>
              <w:t>比值，即为Q。</w:t>
            </w:r>
          </w:p>
          <w:p w14:paraId="366B9BB8">
            <w:pPr>
              <w:widowControl/>
              <w:adjustRightInd w:val="0"/>
              <w:snapToGrid w:val="0"/>
              <w:spacing w:line="360" w:lineRule="auto"/>
              <w:ind w:firstLine="0" w:firstLineChars="0"/>
              <w:jc w:val="center"/>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drawing>
                <wp:inline distT="0" distB="0" distL="114300" distR="114300">
                  <wp:extent cx="1828800" cy="526415"/>
                  <wp:effectExtent l="0" t="0" r="0" b="698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15"/>
                          <a:stretch>
                            <a:fillRect/>
                          </a:stretch>
                        </pic:blipFill>
                        <pic:spPr>
                          <a:xfrm>
                            <a:off x="0" y="0"/>
                            <a:ext cx="1828800" cy="526415"/>
                          </a:xfrm>
                          <a:prstGeom prst="rect">
                            <a:avLst/>
                          </a:prstGeom>
                          <a:noFill/>
                          <a:ln>
                            <a:noFill/>
                          </a:ln>
                        </pic:spPr>
                      </pic:pic>
                    </a:graphicData>
                  </a:graphic>
                </wp:inline>
              </w:drawing>
            </w:r>
          </w:p>
          <w:p w14:paraId="7854983E">
            <w:pPr>
              <w:widowControl/>
              <w:adjustRightInd w:val="0"/>
              <w:snapToGrid w:val="0"/>
              <w:spacing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式中：q</w:t>
            </w:r>
            <w:r>
              <w:rPr>
                <w:rFonts w:hint="default" w:ascii="Times New Roman" w:hAnsi="Times New Roman" w:eastAsia="宋体" w:cs="Times New Roman"/>
                <w:color w:val="auto"/>
                <w:kern w:val="1"/>
                <w:sz w:val="24"/>
                <w:szCs w:val="24"/>
                <w:vertAlign w:val="subscript"/>
                <w:lang w:val="en-US" w:eastAsia="zh-CN" w:bidi="ar-SA"/>
              </w:rPr>
              <w:t>1</w:t>
            </w:r>
            <w:r>
              <w:rPr>
                <w:rFonts w:hint="default" w:ascii="Times New Roman" w:hAnsi="Times New Roman" w:eastAsia="宋体" w:cs="Times New Roman"/>
                <w:color w:val="auto"/>
                <w:kern w:val="1"/>
                <w:sz w:val="24"/>
                <w:szCs w:val="24"/>
                <w:lang w:val="en-US" w:eastAsia="zh-CN" w:bidi="ar-SA"/>
              </w:rPr>
              <w:t>，q</w:t>
            </w:r>
            <w:r>
              <w:rPr>
                <w:rFonts w:hint="default" w:ascii="Times New Roman" w:hAnsi="Times New Roman" w:eastAsia="宋体" w:cs="Times New Roman"/>
                <w:color w:val="auto"/>
                <w:kern w:val="1"/>
                <w:sz w:val="24"/>
                <w:szCs w:val="24"/>
                <w:vertAlign w:val="subscript"/>
                <w:lang w:val="en-US" w:eastAsia="zh-CN" w:bidi="ar-SA"/>
              </w:rPr>
              <w:t>2</w:t>
            </w:r>
            <w:r>
              <w:rPr>
                <w:rFonts w:hint="default" w:ascii="Times New Roman" w:hAnsi="Times New Roman" w:eastAsia="宋体" w:cs="Times New Roman"/>
                <w:color w:val="auto"/>
                <w:kern w:val="1"/>
                <w:sz w:val="24"/>
                <w:szCs w:val="24"/>
                <w:lang w:val="en-US" w:eastAsia="zh-CN" w:bidi="ar-SA"/>
              </w:rPr>
              <w:t>……，q</w:t>
            </w:r>
            <w:r>
              <w:rPr>
                <w:rFonts w:hint="default" w:ascii="Times New Roman" w:hAnsi="Times New Roman" w:eastAsia="宋体" w:cs="Times New Roman"/>
                <w:color w:val="auto"/>
                <w:kern w:val="1"/>
                <w:sz w:val="24"/>
                <w:szCs w:val="24"/>
                <w:vertAlign w:val="subscript"/>
                <w:lang w:val="en-US" w:eastAsia="zh-CN" w:bidi="ar-SA"/>
              </w:rPr>
              <w:t>n</w:t>
            </w:r>
            <w:r>
              <w:rPr>
                <w:rFonts w:hint="default" w:ascii="Times New Roman" w:hAnsi="Times New Roman" w:eastAsia="宋体" w:cs="Times New Roman"/>
                <w:color w:val="auto"/>
                <w:kern w:val="1"/>
                <w:sz w:val="24"/>
                <w:szCs w:val="24"/>
                <w:lang w:val="en-US" w:eastAsia="zh-CN" w:bidi="ar-SA"/>
              </w:rPr>
              <w:t>——每种危险物质的最大存在总量，t；</w:t>
            </w:r>
          </w:p>
          <w:p w14:paraId="69533362">
            <w:pPr>
              <w:widowControl/>
              <w:adjustRightInd w:val="0"/>
              <w:snapToGrid w:val="0"/>
              <w:spacing w:line="360" w:lineRule="auto"/>
              <w:ind w:firstLine="1164" w:firstLineChars="485"/>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Q</w:t>
            </w:r>
            <w:r>
              <w:rPr>
                <w:rFonts w:hint="default" w:ascii="Times New Roman" w:hAnsi="Times New Roman" w:eastAsia="宋体" w:cs="Times New Roman"/>
                <w:color w:val="auto"/>
                <w:kern w:val="1"/>
                <w:sz w:val="24"/>
                <w:szCs w:val="24"/>
                <w:vertAlign w:val="subscript"/>
                <w:lang w:val="en-US" w:eastAsia="zh-CN" w:bidi="ar-SA"/>
              </w:rPr>
              <w:t>1</w:t>
            </w:r>
            <w:r>
              <w:rPr>
                <w:rFonts w:hint="default" w:ascii="Times New Roman" w:hAnsi="Times New Roman" w:eastAsia="宋体" w:cs="Times New Roman"/>
                <w:color w:val="auto"/>
                <w:kern w:val="1"/>
                <w:sz w:val="24"/>
                <w:szCs w:val="24"/>
                <w:lang w:val="en-US" w:eastAsia="zh-CN" w:bidi="ar-SA"/>
              </w:rPr>
              <w:t>，Q</w:t>
            </w:r>
            <w:r>
              <w:rPr>
                <w:rFonts w:hint="default" w:ascii="Times New Roman" w:hAnsi="Times New Roman" w:eastAsia="宋体" w:cs="Times New Roman"/>
                <w:color w:val="auto"/>
                <w:kern w:val="1"/>
                <w:sz w:val="24"/>
                <w:szCs w:val="24"/>
                <w:vertAlign w:val="subscript"/>
                <w:lang w:val="en-US" w:eastAsia="zh-CN" w:bidi="ar-SA"/>
              </w:rPr>
              <w:t>2</w:t>
            </w:r>
            <w:r>
              <w:rPr>
                <w:rFonts w:hint="default" w:ascii="Times New Roman" w:hAnsi="Times New Roman" w:eastAsia="宋体" w:cs="Times New Roman"/>
                <w:color w:val="auto"/>
                <w:kern w:val="1"/>
                <w:sz w:val="24"/>
                <w:szCs w:val="24"/>
                <w:lang w:val="en-US" w:eastAsia="zh-CN" w:bidi="ar-SA"/>
              </w:rPr>
              <w:t>……，Q</w:t>
            </w:r>
            <w:r>
              <w:rPr>
                <w:rFonts w:hint="default" w:ascii="Times New Roman" w:hAnsi="Times New Roman" w:eastAsia="宋体" w:cs="Times New Roman"/>
                <w:color w:val="auto"/>
                <w:kern w:val="1"/>
                <w:sz w:val="24"/>
                <w:szCs w:val="24"/>
                <w:vertAlign w:val="subscript"/>
                <w:lang w:val="en-US" w:eastAsia="zh-CN" w:bidi="ar-SA"/>
              </w:rPr>
              <w:t>n</w:t>
            </w:r>
            <w:r>
              <w:rPr>
                <w:rFonts w:hint="default" w:ascii="Times New Roman" w:hAnsi="Times New Roman" w:eastAsia="宋体" w:cs="Times New Roman"/>
                <w:color w:val="auto"/>
                <w:kern w:val="1"/>
                <w:sz w:val="24"/>
                <w:szCs w:val="24"/>
                <w:lang w:val="en-US" w:eastAsia="zh-CN" w:bidi="ar-SA"/>
              </w:rPr>
              <w:t>——每种危险物质的临界量，t。</w:t>
            </w:r>
          </w:p>
          <w:p w14:paraId="4B24BF41">
            <w:pPr>
              <w:widowControl/>
              <w:adjustRightInd w:val="0"/>
              <w:snapToGrid w:val="0"/>
              <w:spacing w:line="360" w:lineRule="auto"/>
              <w:ind w:firstLine="1164" w:firstLineChars="485"/>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当Q&lt;1时，该项目环境风险潜势为I。</w:t>
            </w:r>
          </w:p>
          <w:p w14:paraId="35C481DB">
            <w:pPr>
              <w:widowControl/>
              <w:adjustRightInd w:val="0"/>
              <w:snapToGrid w:val="0"/>
              <w:spacing w:line="360" w:lineRule="auto"/>
              <w:ind w:firstLine="1164" w:firstLineChars="485"/>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当Q≥1时，将Q值划分为：（1）1≤Q&lt;10；（2）10≤Q&lt;100；（3）Q≥100。</w:t>
            </w:r>
          </w:p>
          <w:p w14:paraId="55B3D86B">
            <w:pPr>
              <w:widowControl/>
              <w:adjustRightInd w:val="0"/>
              <w:snapToGrid w:val="0"/>
              <w:spacing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根据《建设项目环境风险评价技术导则》（</w:t>
            </w:r>
            <w:r>
              <w:rPr>
                <w:rFonts w:hint="default" w:ascii="Times New Roman" w:hAnsi="Times New Roman" w:cs="Times New Roman"/>
                <w:color w:val="auto"/>
                <w:kern w:val="1"/>
                <w:sz w:val="24"/>
                <w:szCs w:val="24"/>
                <w:lang w:val="en-US" w:eastAsia="zh-CN" w:bidi="ar-SA"/>
              </w:rPr>
              <w:t>H</w:t>
            </w:r>
            <w:r>
              <w:rPr>
                <w:rFonts w:hint="default" w:ascii="Times New Roman" w:hAnsi="Times New Roman" w:eastAsia="宋体" w:cs="Times New Roman"/>
                <w:color w:val="auto"/>
                <w:kern w:val="1"/>
                <w:sz w:val="24"/>
                <w:szCs w:val="24"/>
                <w:lang w:val="en-US" w:eastAsia="zh-CN" w:bidi="ar-SA"/>
              </w:rPr>
              <w:t>J</w:t>
            </w:r>
            <w:r>
              <w:rPr>
                <w:rFonts w:hint="eastAsia" w:ascii="Times New Roman" w:hAnsi="Times New Roman" w:cs="Times New Roman"/>
                <w:color w:val="auto"/>
                <w:kern w:val="1"/>
                <w:sz w:val="24"/>
                <w:szCs w:val="24"/>
                <w:lang w:val="en-US" w:eastAsia="zh-CN" w:bidi="ar-SA"/>
              </w:rPr>
              <w:t xml:space="preserve"> </w:t>
            </w:r>
            <w:r>
              <w:rPr>
                <w:rFonts w:hint="default" w:ascii="Times New Roman" w:hAnsi="Times New Roman" w:eastAsia="宋体" w:cs="Times New Roman"/>
                <w:color w:val="auto"/>
                <w:kern w:val="1"/>
                <w:sz w:val="24"/>
                <w:szCs w:val="24"/>
                <w:lang w:val="en-US" w:eastAsia="zh-CN" w:bidi="ar-SA"/>
              </w:rPr>
              <w:t>169</w:t>
            </w:r>
            <w:r>
              <w:rPr>
                <w:rFonts w:hint="eastAsia" w:ascii="Times New Roman" w:hAnsi="Times New Roman" w:cs="Times New Roman"/>
                <w:color w:val="auto"/>
                <w:kern w:val="1"/>
                <w:sz w:val="24"/>
                <w:szCs w:val="24"/>
                <w:lang w:val="en-US" w:eastAsia="zh-CN" w:bidi="ar-SA"/>
              </w:rPr>
              <w:t>—2018</w:t>
            </w:r>
            <w:r>
              <w:rPr>
                <w:rFonts w:hint="default" w:ascii="Times New Roman" w:hAnsi="Times New Roman" w:eastAsia="宋体" w:cs="Times New Roman"/>
                <w:color w:val="auto"/>
                <w:kern w:val="1"/>
                <w:sz w:val="24"/>
                <w:szCs w:val="24"/>
                <w:lang w:val="en-US" w:eastAsia="zh-CN" w:bidi="ar-SA"/>
              </w:rPr>
              <w:t>）附录B，次氯酸钠的临界量为5t。本项目5%次氯酸钠溶液的全厂年用量为</w:t>
            </w:r>
            <w:r>
              <w:rPr>
                <w:rFonts w:hint="default" w:ascii="Times New Roman" w:hAnsi="Times New Roman" w:cs="Times New Roman"/>
                <w:color w:val="auto"/>
                <w:kern w:val="1"/>
                <w:sz w:val="24"/>
                <w:szCs w:val="24"/>
                <w:lang w:val="en-US" w:eastAsia="zh-CN" w:bidi="ar-SA"/>
              </w:rPr>
              <w:t>408.8</w:t>
            </w:r>
            <w:r>
              <w:rPr>
                <w:rFonts w:hint="default" w:ascii="Times New Roman" w:hAnsi="Times New Roman" w:eastAsia="宋体" w:cs="Times New Roman"/>
                <w:color w:val="auto"/>
                <w:kern w:val="1"/>
                <w:sz w:val="24"/>
                <w:szCs w:val="24"/>
                <w:lang w:val="en-US" w:eastAsia="zh-CN" w:bidi="ar-SA"/>
              </w:rPr>
              <w:t>t（新增</w:t>
            </w:r>
            <w:r>
              <w:rPr>
                <w:rFonts w:hint="default" w:ascii="Times New Roman" w:hAnsi="Times New Roman" w:cs="Times New Roman"/>
                <w:color w:val="auto"/>
                <w:kern w:val="1"/>
                <w:sz w:val="24"/>
                <w:szCs w:val="24"/>
                <w:lang w:val="en-US" w:eastAsia="zh-CN" w:bidi="ar-SA"/>
              </w:rPr>
              <w:t>160.6</w:t>
            </w:r>
            <w:r>
              <w:rPr>
                <w:rFonts w:hint="default" w:ascii="Times New Roman" w:hAnsi="Times New Roman" w:eastAsia="宋体" w:cs="Times New Roman"/>
                <w:color w:val="auto"/>
                <w:kern w:val="1"/>
                <w:sz w:val="24"/>
                <w:szCs w:val="24"/>
                <w:lang w:val="en-US" w:eastAsia="zh-CN" w:bidi="ar-SA"/>
              </w:rPr>
              <w:t>t/a），</w:t>
            </w:r>
            <w:r>
              <w:rPr>
                <w:rFonts w:hint="default" w:ascii="Times New Roman" w:hAnsi="Times New Roman" w:cs="Times New Roman"/>
                <w:color w:val="auto"/>
                <w:kern w:val="1"/>
                <w:sz w:val="24"/>
                <w:szCs w:val="24"/>
                <w:lang w:val="en-US" w:eastAsia="zh-CN" w:bidi="ar-SA"/>
              </w:rPr>
              <w:t>全厂</w:t>
            </w:r>
            <w:r>
              <w:rPr>
                <w:rFonts w:hint="default" w:ascii="Times New Roman" w:hAnsi="Times New Roman" w:eastAsia="宋体" w:cs="Times New Roman"/>
                <w:color w:val="auto"/>
                <w:kern w:val="1"/>
                <w:sz w:val="24"/>
                <w:szCs w:val="24"/>
                <w:lang w:val="en-US" w:eastAsia="zh-CN" w:bidi="ar-SA"/>
              </w:rPr>
              <w:t>最大储存量为10t，折合成次氯酸钠为10×10%=1t。项目危险物质数量与临界量比值判定结果如下：</w:t>
            </w:r>
          </w:p>
          <w:p w14:paraId="059FD8CF">
            <w:pPr>
              <w:adjustRightInd w:val="0"/>
              <w:snapToGrid w:val="0"/>
              <w:jc w:val="center"/>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表4-</w:t>
            </w:r>
            <w:r>
              <w:rPr>
                <w:rFonts w:hint="default" w:ascii="Times New Roman" w:hAnsi="Times New Roman" w:cs="Times New Roman"/>
                <w:b/>
                <w:bCs/>
                <w:color w:val="auto"/>
                <w:sz w:val="24"/>
                <w:szCs w:val="32"/>
                <w:lang w:val="en-US" w:eastAsia="zh-CN"/>
              </w:rPr>
              <w:t>9</w:t>
            </w:r>
            <w:r>
              <w:rPr>
                <w:rFonts w:hint="default" w:ascii="Times New Roman" w:hAnsi="Times New Roman" w:eastAsia="宋体" w:cs="Times New Roman"/>
                <w:b/>
                <w:bCs/>
                <w:color w:val="auto"/>
                <w:sz w:val="24"/>
                <w:szCs w:val="32"/>
              </w:rPr>
              <w:t xml:space="preserve"> 危险物质数量与临界量比值</w:t>
            </w:r>
            <w:r>
              <w:rPr>
                <w:rFonts w:hint="default" w:ascii="Times New Roman" w:hAnsi="Times New Roman" w:cs="Times New Roman"/>
                <w:b/>
                <w:bCs/>
                <w:color w:val="auto"/>
                <w:sz w:val="24"/>
                <w:szCs w:val="32"/>
                <w:lang w:eastAsia="zh-CN"/>
              </w:rPr>
              <w:t>的</w:t>
            </w:r>
            <w:r>
              <w:rPr>
                <w:rFonts w:hint="default" w:ascii="Times New Roman" w:hAnsi="Times New Roman" w:eastAsia="宋体" w:cs="Times New Roman"/>
                <w:b/>
                <w:bCs/>
                <w:color w:val="auto"/>
                <w:sz w:val="24"/>
                <w:szCs w:val="32"/>
              </w:rPr>
              <w:t>判定结果</w:t>
            </w:r>
          </w:p>
          <w:tbl>
            <w:tblPr>
              <w:tblStyle w:val="11"/>
              <w:tblW w:w="8271"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740"/>
              <w:gridCol w:w="2379"/>
              <w:gridCol w:w="1582"/>
              <w:gridCol w:w="1786"/>
              <w:gridCol w:w="1784"/>
            </w:tblGrid>
            <w:tr w14:paraId="1236481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740" w:type="dxa"/>
                  <w:tcBorders>
                    <w:top w:val="single" w:color="auto" w:sz="4" w:space="0"/>
                    <w:left w:val="single" w:color="auto" w:sz="0" w:space="0"/>
                  </w:tcBorders>
                  <w:noWrap w:val="0"/>
                  <w:vAlign w:val="center"/>
                </w:tcPr>
                <w:p w14:paraId="7DAF34A8">
                  <w:pPr>
                    <w:spacing w:line="300" w:lineRule="exact"/>
                    <w:jc w:val="center"/>
                    <w:rPr>
                      <w:rFonts w:hint="default" w:ascii="Times New Roman" w:hAnsi="Times New Roman" w:eastAsia="宋体" w:cs="Times New Roman"/>
                      <w:b/>
                      <w:snapToGrid w:val="0"/>
                      <w:color w:val="auto"/>
                      <w:kern w:val="24"/>
                      <w:sz w:val="21"/>
                      <w:szCs w:val="21"/>
                    </w:rPr>
                  </w:pPr>
                  <w:r>
                    <w:rPr>
                      <w:rFonts w:hint="default" w:ascii="Times New Roman" w:hAnsi="Times New Roman" w:eastAsia="宋体" w:cs="Times New Roman"/>
                      <w:b/>
                      <w:snapToGrid w:val="0"/>
                      <w:color w:val="auto"/>
                      <w:kern w:val="24"/>
                      <w:sz w:val="21"/>
                      <w:szCs w:val="21"/>
                    </w:rPr>
                    <w:t>序号</w:t>
                  </w:r>
                </w:p>
              </w:tc>
              <w:tc>
                <w:tcPr>
                  <w:tcW w:w="2379" w:type="dxa"/>
                  <w:tcBorders>
                    <w:top w:val="single" w:color="auto" w:sz="4" w:space="0"/>
                  </w:tcBorders>
                  <w:noWrap w:val="0"/>
                  <w:vAlign w:val="center"/>
                </w:tcPr>
                <w:p w14:paraId="51205820">
                  <w:pPr>
                    <w:spacing w:line="300" w:lineRule="exact"/>
                    <w:jc w:val="center"/>
                    <w:rPr>
                      <w:rFonts w:hint="default" w:ascii="Times New Roman" w:hAnsi="Times New Roman" w:eastAsia="宋体" w:cs="Times New Roman"/>
                      <w:b/>
                      <w:snapToGrid w:val="0"/>
                      <w:color w:val="auto"/>
                      <w:kern w:val="24"/>
                      <w:sz w:val="21"/>
                      <w:szCs w:val="21"/>
                    </w:rPr>
                  </w:pPr>
                  <w:r>
                    <w:rPr>
                      <w:rFonts w:hint="default" w:ascii="Times New Roman" w:hAnsi="Times New Roman" w:eastAsia="宋体" w:cs="Times New Roman"/>
                      <w:b/>
                      <w:snapToGrid w:val="0"/>
                      <w:color w:val="auto"/>
                      <w:kern w:val="24"/>
                      <w:sz w:val="21"/>
                      <w:szCs w:val="21"/>
                    </w:rPr>
                    <w:t>危险品名称</w:t>
                  </w:r>
                </w:p>
              </w:tc>
              <w:tc>
                <w:tcPr>
                  <w:tcW w:w="1582" w:type="dxa"/>
                  <w:tcBorders>
                    <w:top w:val="single" w:color="auto" w:sz="4" w:space="0"/>
                  </w:tcBorders>
                  <w:noWrap w:val="0"/>
                  <w:vAlign w:val="center"/>
                </w:tcPr>
                <w:p w14:paraId="7A05CFFC">
                  <w:pPr>
                    <w:spacing w:line="300" w:lineRule="exact"/>
                    <w:jc w:val="center"/>
                    <w:rPr>
                      <w:rFonts w:hint="default" w:ascii="Times New Roman" w:hAnsi="Times New Roman" w:eastAsia="宋体" w:cs="Times New Roman"/>
                      <w:b/>
                      <w:snapToGrid w:val="0"/>
                      <w:color w:val="auto"/>
                      <w:kern w:val="24"/>
                      <w:sz w:val="21"/>
                      <w:szCs w:val="21"/>
                    </w:rPr>
                  </w:pPr>
                  <w:r>
                    <w:rPr>
                      <w:rFonts w:hint="default" w:ascii="Times New Roman" w:hAnsi="Times New Roman" w:eastAsia="宋体" w:cs="Times New Roman"/>
                      <w:b/>
                      <w:snapToGrid w:val="0"/>
                      <w:color w:val="auto"/>
                      <w:kern w:val="24"/>
                      <w:sz w:val="21"/>
                      <w:szCs w:val="21"/>
                    </w:rPr>
                    <w:t>最大</w:t>
                  </w:r>
                  <w:r>
                    <w:rPr>
                      <w:rFonts w:hint="default" w:ascii="Times New Roman" w:hAnsi="Times New Roman" w:eastAsia="宋体" w:cs="Times New Roman"/>
                      <w:b/>
                      <w:snapToGrid w:val="0"/>
                      <w:color w:val="auto"/>
                      <w:kern w:val="24"/>
                      <w:sz w:val="21"/>
                      <w:szCs w:val="21"/>
                      <w:lang w:val="en-US" w:eastAsia="zh-CN"/>
                    </w:rPr>
                    <w:t>存在总</w:t>
                  </w:r>
                  <w:r>
                    <w:rPr>
                      <w:rFonts w:hint="default" w:ascii="Times New Roman" w:hAnsi="Times New Roman" w:eastAsia="宋体" w:cs="Times New Roman"/>
                      <w:b/>
                      <w:snapToGrid w:val="0"/>
                      <w:color w:val="auto"/>
                      <w:kern w:val="24"/>
                      <w:sz w:val="21"/>
                      <w:szCs w:val="21"/>
                    </w:rPr>
                    <w:t>量（t）</w:t>
                  </w:r>
                </w:p>
              </w:tc>
              <w:tc>
                <w:tcPr>
                  <w:tcW w:w="1786" w:type="dxa"/>
                  <w:tcBorders>
                    <w:top w:val="single" w:color="auto" w:sz="4" w:space="0"/>
                  </w:tcBorders>
                  <w:noWrap w:val="0"/>
                  <w:vAlign w:val="center"/>
                </w:tcPr>
                <w:p w14:paraId="6154F6EF">
                  <w:pPr>
                    <w:spacing w:line="300" w:lineRule="exact"/>
                    <w:jc w:val="center"/>
                    <w:rPr>
                      <w:rFonts w:hint="default" w:ascii="Times New Roman" w:hAnsi="Times New Roman" w:eastAsia="宋体" w:cs="Times New Roman"/>
                      <w:b/>
                      <w:snapToGrid w:val="0"/>
                      <w:color w:val="auto"/>
                      <w:kern w:val="24"/>
                      <w:sz w:val="21"/>
                      <w:szCs w:val="21"/>
                    </w:rPr>
                  </w:pPr>
                  <w:r>
                    <w:rPr>
                      <w:rFonts w:hint="default" w:ascii="Times New Roman" w:hAnsi="Times New Roman" w:eastAsia="宋体" w:cs="Times New Roman"/>
                      <w:b/>
                      <w:snapToGrid w:val="0"/>
                      <w:color w:val="auto"/>
                      <w:kern w:val="24"/>
                      <w:sz w:val="21"/>
                      <w:szCs w:val="21"/>
                    </w:rPr>
                    <w:t>临界量（t）</w:t>
                  </w:r>
                </w:p>
              </w:tc>
              <w:tc>
                <w:tcPr>
                  <w:tcW w:w="1784" w:type="dxa"/>
                  <w:tcBorders>
                    <w:top w:val="single" w:color="auto" w:sz="4" w:space="0"/>
                    <w:right w:val="single" w:color="auto" w:sz="4" w:space="0"/>
                  </w:tcBorders>
                  <w:noWrap w:val="0"/>
                  <w:vAlign w:val="center"/>
                </w:tcPr>
                <w:p w14:paraId="24C0CC30">
                  <w:pPr>
                    <w:spacing w:line="300" w:lineRule="exact"/>
                    <w:jc w:val="center"/>
                    <w:rPr>
                      <w:rFonts w:hint="default" w:ascii="Times New Roman" w:hAnsi="Times New Roman" w:eastAsia="宋体" w:cs="Times New Roman"/>
                      <w:b/>
                      <w:snapToGrid w:val="0"/>
                      <w:color w:val="auto"/>
                      <w:kern w:val="24"/>
                      <w:sz w:val="21"/>
                      <w:szCs w:val="21"/>
                    </w:rPr>
                  </w:pPr>
                  <w:r>
                    <w:rPr>
                      <w:rFonts w:hint="default" w:ascii="Times New Roman" w:hAnsi="Times New Roman" w:eastAsia="宋体" w:cs="Times New Roman"/>
                      <w:b/>
                      <w:snapToGrid w:val="0"/>
                      <w:color w:val="auto"/>
                      <w:kern w:val="24"/>
                      <w:sz w:val="21"/>
                      <w:szCs w:val="21"/>
                    </w:rPr>
                    <w:t>qi/Qi</w:t>
                  </w:r>
                </w:p>
              </w:tc>
            </w:tr>
            <w:tr w14:paraId="70B84B7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740" w:type="dxa"/>
                  <w:tcBorders>
                    <w:left w:val="single" w:color="auto" w:sz="4" w:space="0"/>
                  </w:tcBorders>
                  <w:noWrap w:val="0"/>
                  <w:vAlign w:val="bottom"/>
                </w:tcPr>
                <w:p w14:paraId="47638F66">
                  <w:pPr>
                    <w:spacing w:line="300" w:lineRule="exact"/>
                    <w:jc w:val="center"/>
                    <w:rPr>
                      <w:rFonts w:hint="default" w:ascii="Times New Roman" w:hAnsi="Times New Roman" w:eastAsia="宋体" w:cs="Times New Roman"/>
                      <w:color w:val="auto"/>
                      <w:sz w:val="21"/>
                      <w:szCs w:val="21"/>
                    </w:rPr>
                  </w:pPr>
                  <w:bookmarkStart w:id="7" w:name="_Hlk463687815"/>
                  <w:r>
                    <w:rPr>
                      <w:rFonts w:hint="default" w:ascii="Times New Roman" w:hAnsi="Times New Roman" w:eastAsia="宋体" w:cs="Times New Roman"/>
                      <w:color w:val="auto"/>
                      <w:sz w:val="21"/>
                      <w:szCs w:val="21"/>
                    </w:rPr>
                    <w:t>1</w:t>
                  </w:r>
                </w:p>
              </w:tc>
              <w:tc>
                <w:tcPr>
                  <w:tcW w:w="2379" w:type="dxa"/>
                  <w:noWrap w:val="0"/>
                  <w:vAlign w:val="center"/>
                </w:tcPr>
                <w:p w14:paraId="7709C150">
                  <w:pPr>
                    <w:spacing w:line="300" w:lineRule="exact"/>
                    <w:jc w:val="center"/>
                    <w:rPr>
                      <w:rFonts w:hint="default" w:ascii="Times New Roman" w:hAnsi="Times New Roman" w:eastAsia="宋体" w:cs="Times New Roman"/>
                      <w:bCs/>
                      <w:snapToGrid w:val="0"/>
                      <w:color w:val="auto"/>
                      <w:kern w:val="24"/>
                      <w:sz w:val="21"/>
                      <w:szCs w:val="21"/>
                    </w:rPr>
                  </w:pPr>
                  <w:r>
                    <w:rPr>
                      <w:rFonts w:hint="default" w:ascii="Times New Roman" w:hAnsi="Times New Roman" w:eastAsia="宋体" w:cs="Times New Roman"/>
                      <w:bCs/>
                      <w:snapToGrid w:val="0"/>
                      <w:color w:val="auto"/>
                      <w:kern w:val="24"/>
                      <w:sz w:val="21"/>
                      <w:szCs w:val="21"/>
                      <w:lang w:val="en-US" w:eastAsia="zh-CN"/>
                    </w:rPr>
                    <w:t>次氯酸钠</w:t>
                  </w:r>
                </w:p>
              </w:tc>
              <w:tc>
                <w:tcPr>
                  <w:tcW w:w="1582" w:type="dxa"/>
                  <w:noWrap w:val="0"/>
                  <w:vAlign w:val="center"/>
                </w:tcPr>
                <w:p w14:paraId="30D72803">
                  <w:pPr>
                    <w:keepNext w:val="0"/>
                    <w:keepLines w:val="0"/>
                    <w:widowControl/>
                    <w:suppressLineNumbers w:val="0"/>
                    <w:jc w:val="center"/>
                    <w:textAlignment w:val="center"/>
                    <w:rPr>
                      <w:rFonts w:hint="default" w:ascii="Times New Roman" w:hAnsi="Times New Roman" w:eastAsia="宋体" w:cs="Times New Roman"/>
                      <w:bCs/>
                      <w:snapToGrid w:val="0"/>
                      <w:color w:val="auto"/>
                      <w:kern w:val="24"/>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1786" w:type="dxa"/>
                  <w:noWrap w:val="0"/>
                  <w:vAlign w:val="center"/>
                </w:tcPr>
                <w:p w14:paraId="07FDFCC9">
                  <w:pPr>
                    <w:keepNext w:val="0"/>
                    <w:keepLines w:val="0"/>
                    <w:widowControl/>
                    <w:suppressLineNumbers w:val="0"/>
                    <w:jc w:val="center"/>
                    <w:textAlignment w:val="center"/>
                    <w:rPr>
                      <w:rFonts w:hint="default" w:ascii="Times New Roman" w:hAnsi="Times New Roman" w:eastAsia="宋体" w:cs="Times New Roman"/>
                      <w:bCs/>
                      <w:snapToGrid w:val="0"/>
                      <w:color w:val="auto"/>
                      <w:kern w:val="24"/>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w:t>
                  </w:r>
                </w:p>
              </w:tc>
              <w:tc>
                <w:tcPr>
                  <w:tcW w:w="1784" w:type="dxa"/>
                  <w:tcBorders>
                    <w:right w:val="single" w:color="auto" w:sz="4" w:space="0"/>
                  </w:tcBorders>
                  <w:noWrap w:val="0"/>
                  <w:vAlign w:val="center"/>
                </w:tcPr>
                <w:p w14:paraId="59A8EE08">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0.2</w:t>
                  </w:r>
                </w:p>
              </w:tc>
            </w:tr>
            <w:tr w14:paraId="45386CD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454" w:hRule="atLeast"/>
                <w:jc w:val="center"/>
              </w:trPr>
              <w:tc>
                <w:tcPr>
                  <w:tcW w:w="6487" w:type="dxa"/>
                  <w:gridSpan w:val="4"/>
                  <w:tcBorders>
                    <w:left w:val="single" w:color="auto" w:sz="4" w:space="0"/>
                    <w:bottom w:val="single" w:color="auto" w:sz="4" w:space="0"/>
                  </w:tcBorders>
                  <w:noWrap w:val="0"/>
                  <w:vAlign w:val="center"/>
                </w:tcPr>
                <w:p w14:paraId="6D8CD81F">
                  <w:pPr>
                    <w:spacing w:line="300" w:lineRule="exact"/>
                    <w:jc w:val="center"/>
                    <w:rPr>
                      <w:rFonts w:hint="default" w:ascii="Times New Roman" w:hAnsi="Times New Roman" w:eastAsia="宋体" w:cs="Times New Roman"/>
                      <w:bCs/>
                      <w:snapToGrid w:val="0"/>
                      <w:color w:val="auto"/>
                      <w:kern w:val="24"/>
                      <w:sz w:val="21"/>
                      <w:szCs w:val="21"/>
                    </w:rPr>
                  </w:pPr>
                  <w:r>
                    <w:rPr>
                      <w:rFonts w:hint="default" w:ascii="Times New Roman" w:hAnsi="Times New Roman" w:eastAsia="宋体" w:cs="Times New Roman"/>
                      <w:bCs/>
                      <w:snapToGrid w:val="0"/>
                      <w:color w:val="auto"/>
                      <w:kern w:val="24"/>
                      <w:sz w:val="21"/>
                      <w:szCs w:val="21"/>
                    </w:rPr>
                    <w:t>总计</w:t>
                  </w:r>
                </w:p>
              </w:tc>
              <w:tc>
                <w:tcPr>
                  <w:tcW w:w="1784" w:type="dxa"/>
                  <w:tcBorders>
                    <w:bottom w:val="single" w:color="auto" w:sz="4" w:space="0"/>
                    <w:right w:val="single" w:color="auto" w:sz="4" w:space="0"/>
                  </w:tcBorders>
                  <w:noWrap w:val="0"/>
                  <w:vAlign w:val="center"/>
                </w:tcPr>
                <w:p w14:paraId="483A20EB">
                  <w:pPr>
                    <w:keepNext w:val="0"/>
                    <w:keepLines w:val="0"/>
                    <w:widowControl/>
                    <w:suppressLineNumbers w:val="0"/>
                    <w:jc w:val="center"/>
                    <w:textAlignment w:val="center"/>
                    <w:rPr>
                      <w:rFonts w:hint="default" w:ascii="Times New Roman" w:hAnsi="Times New Roman" w:eastAsia="宋体" w:cs="Times New Roman"/>
                      <w:bCs/>
                      <w:snapToGrid w:val="0"/>
                      <w:color w:val="auto"/>
                      <w:kern w:val="24"/>
                      <w:sz w:val="21"/>
                      <w:szCs w:val="21"/>
                    </w:rPr>
                  </w:pPr>
                  <w:r>
                    <w:rPr>
                      <w:rFonts w:hint="default" w:ascii="Times New Roman" w:hAnsi="Times New Roman" w:eastAsia="宋体" w:cs="Times New Roman"/>
                      <w:i w:val="0"/>
                      <w:iCs w:val="0"/>
                      <w:color w:val="auto"/>
                      <w:kern w:val="0"/>
                      <w:sz w:val="21"/>
                      <w:szCs w:val="21"/>
                      <w:u w:val="none"/>
                      <w:lang w:val="en-US" w:eastAsia="zh-CN" w:bidi="ar"/>
                    </w:rPr>
                    <w:t>0.2</w:t>
                  </w:r>
                </w:p>
              </w:tc>
            </w:tr>
            <w:bookmarkEnd w:id="7"/>
          </w:tbl>
          <w:p w14:paraId="49E326E3">
            <w:pPr>
              <w:widowControl/>
              <w:adjustRightInd w:val="0"/>
              <w:snapToGrid w:val="0"/>
              <w:spacing w:before="240"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根据《建设项目环境风险评价技术导则》（</w:t>
            </w:r>
            <w:r>
              <w:rPr>
                <w:rFonts w:hint="default" w:ascii="Times New Roman" w:hAnsi="Times New Roman" w:cs="Times New Roman"/>
                <w:color w:val="auto"/>
                <w:kern w:val="1"/>
                <w:sz w:val="24"/>
                <w:szCs w:val="24"/>
                <w:lang w:val="en-US" w:eastAsia="zh-CN" w:bidi="ar-SA"/>
              </w:rPr>
              <w:t>H</w:t>
            </w:r>
            <w:r>
              <w:rPr>
                <w:rFonts w:hint="default" w:ascii="Times New Roman" w:hAnsi="Times New Roman" w:eastAsia="宋体" w:cs="Times New Roman"/>
                <w:color w:val="auto"/>
                <w:kern w:val="1"/>
                <w:sz w:val="24"/>
                <w:szCs w:val="24"/>
                <w:lang w:val="en-US" w:eastAsia="zh-CN" w:bidi="ar-SA"/>
              </w:rPr>
              <w:t>J 169</w:t>
            </w:r>
            <w:r>
              <w:rPr>
                <w:rFonts w:hint="eastAsia" w:ascii="Times New Roman" w:hAnsi="Times New Roman" w:cs="Times New Roman"/>
                <w:color w:val="auto"/>
                <w:kern w:val="1"/>
                <w:sz w:val="24"/>
                <w:szCs w:val="24"/>
                <w:lang w:val="en-US" w:eastAsia="zh-CN" w:bidi="ar-SA"/>
              </w:rPr>
              <w:t>—2018</w:t>
            </w:r>
            <w:r>
              <w:rPr>
                <w:rFonts w:hint="default" w:ascii="Times New Roman" w:hAnsi="Times New Roman" w:eastAsia="宋体" w:cs="Times New Roman"/>
                <w:color w:val="auto"/>
                <w:kern w:val="1"/>
                <w:sz w:val="24"/>
                <w:szCs w:val="24"/>
                <w:lang w:val="en-US" w:eastAsia="zh-CN" w:bidi="ar-SA"/>
              </w:rPr>
              <w:t>）附录B中C.1.1，项目风险物质总计Q=0.2＜1，可直接判定环境潜势为Ⅰ。</w:t>
            </w:r>
          </w:p>
          <w:p w14:paraId="6E689D8E">
            <w:pPr>
              <w:widowControl/>
              <w:adjustRightInd w:val="0"/>
              <w:snapToGrid w:val="0"/>
              <w:spacing w:line="360" w:lineRule="auto"/>
              <w:ind w:firstLine="480" w:firstLineChars="200"/>
              <w:jc w:val="both"/>
              <w:rPr>
                <w:rFonts w:hint="default" w:ascii="Times New Roman" w:hAnsi="Times New Roman" w:eastAsia="宋体" w:cs="Times New Roman"/>
                <w:color w:val="auto"/>
                <w:kern w:val="1"/>
                <w:sz w:val="24"/>
                <w:szCs w:val="24"/>
                <w:lang w:val="en-US" w:eastAsia="zh-CN" w:bidi="ar-SA"/>
              </w:rPr>
            </w:pPr>
            <w:r>
              <w:rPr>
                <w:rFonts w:hint="default" w:ascii="Times New Roman" w:hAnsi="Times New Roman" w:eastAsia="宋体" w:cs="Times New Roman"/>
                <w:color w:val="auto"/>
                <w:kern w:val="1"/>
                <w:sz w:val="24"/>
                <w:szCs w:val="24"/>
                <w:lang w:val="en-US" w:eastAsia="zh-CN" w:bidi="ar-SA"/>
              </w:rPr>
              <w:t>根据上表，本项目环境潜势为Ⅰ，风险评价进行简单分析。</w:t>
            </w:r>
          </w:p>
          <w:p w14:paraId="6CC02FD9">
            <w:pPr>
              <w:widowControl/>
              <w:numPr>
                <w:ilvl w:val="0"/>
                <w:numId w:val="0"/>
              </w:numPr>
              <w:adjustRightInd w:val="0"/>
              <w:snapToGrid w:val="0"/>
              <w:spacing w:line="360" w:lineRule="auto"/>
              <w:ind w:left="480" w:leftChars="0"/>
              <w:jc w:val="both"/>
              <w:rPr>
                <w:rFonts w:hint="default" w:ascii="Times New Roman" w:hAnsi="Times New Roman" w:eastAsia="宋体" w:cs="Times New Roman"/>
                <w:b/>
                <w:bCs/>
                <w:color w:val="auto"/>
                <w:kern w:val="1"/>
                <w:sz w:val="24"/>
                <w:szCs w:val="24"/>
                <w:lang w:val="en-US" w:eastAsia="zh-CN" w:bidi="ar-SA"/>
              </w:rPr>
            </w:pPr>
            <w:r>
              <w:rPr>
                <w:rFonts w:hint="default" w:ascii="Times New Roman" w:hAnsi="Times New Roman" w:eastAsia="宋体" w:cs="Times New Roman"/>
                <w:b/>
                <w:bCs/>
                <w:color w:val="auto"/>
                <w:kern w:val="1"/>
                <w:sz w:val="24"/>
                <w:szCs w:val="24"/>
                <w:lang w:val="en-US" w:eastAsia="zh-CN" w:bidi="ar-SA"/>
              </w:rPr>
              <w:t>6.3环境风险分析</w:t>
            </w:r>
          </w:p>
          <w:p w14:paraId="07B90062">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1）厂内污水管网由于管道堵塞、破裂和接头处的破损，会造成大量的污水外溢，污染地下水、土壤和地表水。一般情况下，污水管网系统不会发生堵塞、破裂和爆炸，发生该类事故的可能原因主要有管网的设计不合理、采用劣质材料、向下水道倾倒大量固体废物和易燃易爆物品等。 </w:t>
            </w:r>
          </w:p>
          <w:p w14:paraId="073C275A">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（2）污水处理厂由于停电、设备损坏或不正常运作</w:t>
            </w:r>
            <w:r>
              <w:rPr>
                <w:rFonts w:hint="default" w:ascii="Times New Roman" w:hAnsi="Times New Roman" w:cs="Times New Roman"/>
                <w:bCs/>
                <w:color w:val="auto"/>
                <w:kern w:val="1"/>
                <w:sz w:val="24"/>
                <w:szCs w:val="24"/>
                <w:lang w:val="en-US" w:eastAsia="zh-CN" w:bidi="ar-SA"/>
              </w:rPr>
              <w:t>、</w:t>
            </w:r>
            <w:r>
              <w:rPr>
                <w:rFonts w:hint="default" w:ascii="Times New Roman" w:hAnsi="Times New Roman" w:eastAsia="宋体" w:cs="Times New Roman"/>
                <w:bCs/>
                <w:color w:val="auto"/>
                <w:kern w:val="1"/>
                <w:sz w:val="24"/>
                <w:szCs w:val="24"/>
                <w:lang w:val="en-US" w:eastAsia="zh-CN" w:bidi="ar-SA"/>
              </w:rPr>
              <w:t xml:space="preserve">停机检修等造成大量污水未经处理直接排放，造成污染事故。污水处理过程中的活性污泥是经过长时间培养驯化而成的，长时间停电，活性污泥会因缺氧致死，从而导致工艺过程遭到破坏，恢复污水处理的工艺过程，重新培养驯化活性污泥需要很长时间，会导致大量恶臭气体产生。 </w:t>
            </w:r>
          </w:p>
          <w:p w14:paraId="568BD1B4">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（3）污水厂进水超标 </w:t>
            </w:r>
          </w:p>
          <w:p w14:paraId="0B693A82">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①发现进水水质超标时，</w:t>
            </w:r>
            <w:r>
              <w:rPr>
                <w:rFonts w:hint="default" w:ascii="Times New Roman" w:hAnsi="Times New Roman" w:cs="Times New Roman"/>
                <w:bCs/>
                <w:color w:val="auto"/>
                <w:kern w:val="1"/>
                <w:sz w:val="24"/>
                <w:szCs w:val="24"/>
                <w:lang w:val="en-US" w:eastAsia="zh-CN" w:bidi="ar-SA"/>
              </w:rPr>
              <w:t>应</w:t>
            </w:r>
            <w:r>
              <w:rPr>
                <w:rFonts w:hint="default" w:ascii="Times New Roman" w:hAnsi="Times New Roman" w:eastAsia="宋体" w:cs="Times New Roman"/>
                <w:bCs/>
                <w:color w:val="auto"/>
                <w:kern w:val="1"/>
                <w:sz w:val="24"/>
                <w:szCs w:val="24"/>
                <w:lang w:val="en-US" w:eastAsia="zh-CN" w:bidi="ar-SA"/>
              </w:rPr>
              <w:t>立即向上级公司、地方环境保护行政主管部门等部门汇报</w:t>
            </w:r>
            <w:r>
              <w:rPr>
                <w:rFonts w:hint="default" w:ascii="Times New Roman" w:hAnsi="Times New Roman" w:cs="Times New Roman"/>
                <w:bCs/>
                <w:color w:val="auto"/>
                <w:kern w:val="1"/>
                <w:sz w:val="24"/>
                <w:szCs w:val="24"/>
                <w:lang w:val="en-US" w:eastAsia="zh-CN" w:bidi="ar-SA"/>
              </w:rPr>
              <w:t>；</w:t>
            </w:r>
          </w:p>
          <w:p w14:paraId="46A1E315">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②减少污水厂进水，若长时间进水超标则停止污水厂进水； </w:t>
            </w:r>
          </w:p>
          <w:p w14:paraId="386F6131">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③调整污水处理工艺，充分挖掘污水厂设施、工艺及设备的潜力，调整生化系统等运行工况，增加化学药剂投加量等；</w:t>
            </w:r>
          </w:p>
          <w:p w14:paraId="316DE7AE">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④配合相关部门查清进水水质超标原因，拿出解决方案，确保进水水质符合要求。 </w:t>
            </w:r>
          </w:p>
          <w:p w14:paraId="68BBF5EA">
            <w:pPr>
              <w:widowControl/>
              <w:adjustRightInd w:val="0"/>
              <w:snapToGrid w:val="0"/>
              <w:spacing w:line="360" w:lineRule="auto"/>
              <w:ind w:firstLine="480" w:firstLineChars="200"/>
              <w:jc w:val="both"/>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（4）本项目所涉及的危险品为次氯酸钠，受高热分解</w:t>
            </w:r>
            <w:r>
              <w:rPr>
                <w:rFonts w:hint="default" w:ascii="Times New Roman" w:hAnsi="Times New Roman" w:cs="Times New Roman"/>
                <w:bCs/>
                <w:color w:val="auto"/>
                <w:kern w:val="1"/>
                <w:sz w:val="24"/>
                <w:szCs w:val="24"/>
                <w:lang w:val="en-US" w:eastAsia="zh-CN" w:bidi="ar-SA"/>
              </w:rPr>
              <w:t>会</w:t>
            </w:r>
            <w:r>
              <w:rPr>
                <w:rFonts w:hint="default" w:ascii="Times New Roman" w:hAnsi="Times New Roman" w:eastAsia="宋体" w:cs="Times New Roman"/>
                <w:bCs/>
                <w:color w:val="auto"/>
                <w:kern w:val="1"/>
                <w:sz w:val="24"/>
                <w:szCs w:val="24"/>
                <w:lang w:val="en-US" w:eastAsia="zh-CN" w:bidi="ar-SA"/>
              </w:rPr>
              <w:t>产生有毒的腐蚀性烟气，具有腐蚀性。在贮运过程中，均有可能发生泄漏。在贮存过程中，泄漏原因主要为危险品罐因意外而破损等原因造成泄漏。</w:t>
            </w:r>
          </w:p>
          <w:p w14:paraId="5308B7B3">
            <w:pPr>
              <w:widowControl/>
              <w:adjustRightInd w:val="0"/>
              <w:snapToGrid w:val="0"/>
              <w:spacing w:line="360" w:lineRule="auto"/>
              <w:ind w:firstLine="482" w:firstLineChars="200"/>
              <w:jc w:val="both"/>
              <w:rPr>
                <w:rFonts w:hint="default" w:ascii="Times New Roman" w:hAnsi="Times New Roman" w:eastAsia="宋体" w:cs="Times New Roman"/>
                <w:b/>
                <w:bCs/>
                <w:color w:val="auto"/>
                <w:kern w:val="1"/>
                <w:sz w:val="24"/>
                <w:szCs w:val="24"/>
                <w:lang w:val="en-US" w:eastAsia="zh-CN" w:bidi="ar-SA"/>
              </w:rPr>
            </w:pPr>
            <w:r>
              <w:rPr>
                <w:rFonts w:hint="default" w:ascii="Times New Roman" w:hAnsi="Times New Roman" w:eastAsia="宋体" w:cs="Times New Roman"/>
                <w:b/>
                <w:bCs/>
                <w:color w:val="auto"/>
                <w:kern w:val="1"/>
                <w:sz w:val="24"/>
                <w:szCs w:val="24"/>
                <w:lang w:val="en-US" w:eastAsia="zh-CN" w:bidi="ar-SA"/>
              </w:rPr>
              <w:t>6.4环境风险防范措施</w:t>
            </w:r>
          </w:p>
          <w:p w14:paraId="40077BB5">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根据环境风险分析，建设单位应采取以下措施： </w:t>
            </w:r>
          </w:p>
          <w:p w14:paraId="3E6B5956">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（1）重视维护及管理污水管网，防止</w:t>
            </w:r>
            <w:r>
              <w:rPr>
                <w:rFonts w:hint="default" w:ascii="Times New Roman" w:hAnsi="Times New Roman" w:cs="Times New Roman"/>
                <w:bCs/>
                <w:color w:val="auto"/>
                <w:kern w:val="1"/>
                <w:sz w:val="24"/>
                <w:szCs w:val="24"/>
                <w:lang w:val="en-US" w:eastAsia="zh-CN" w:bidi="ar-SA"/>
              </w:rPr>
              <w:t>因</w:t>
            </w:r>
            <w:r>
              <w:rPr>
                <w:rFonts w:hint="default" w:ascii="Times New Roman" w:hAnsi="Times New Roman" w:eastAsia="宋体" w:cs="Times New Roman"/>
                <w:bCs/>
                <w:color w:val="auto"/>
                <w:kern w:val="1"/>
                <w:sz w:val="24"/>
                <w:szCs w:val="24"/>
                <w:lang w:val="en-US" w:eastAsia="zh-CN" w:bidi="ar-SA"/>
              </w:rPr>
              <w:t xml:space="preserve">泥沙沉积堵塞而影响管道的过水能力。 </w:t>
            </w:r>
          </w:p>
          <w:p w14:paraId="5BB6005E">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（2）在主要</w:t>
            </w:r>
            <w:r>
              <w:rPr>
                <w:rFonts w:hint="default" w:ascii="Times New Roman" w:hAnsi="Times New Roman" w:cs="Times New Roman"/>
                <w:bCs/>
                <w:color w:val="auto"/>
                <w:kern w:val="1"/>
                <w:sz w:val="24"/>
                <w:szCs w:val="24"/>
                <w:lang w:val="en-US" w:eastAsia="zh-CN" w:bidi="ar-SA"/>
              </w:rPr>
              <w:t>建筑物和</w:t>
            </w:r>
            <w:r>
              <w:rPr>
                <w:rFonts w:hint="default" w:ascii="Times New Roman" w:hAnsi="Times New Roman" w:eastAsia="宋体" w:cs="Times New Roman"/>
                <w:bCs/>
                <w:color w:val="auto"/>
                <w:kern w:val="1"/>
                <w:sz w:val="24"/>
                <w:szCs w:val="24"/>
                <w:lang w:val="en-US" w:eastAsia="zh-CN" w:bidi="ar-SA"/>
              </w:rPr>
              <w:t>构筑物</w:t>
            </w:r>
            <w:r>
              <w:rPr>
                <w:rFonts w:hint="eastAsia" w:cs="Times New Roman"/>
                <w:bCs/>
                <w:color w:val="auto"/>
                <w:kern w:val="1"/>
                <w:sz w:val="24"/>
                <w:szCs w:val="24"/>
                <w:lang w:val="en-US" w:eastAsia="zh-CN" w:bidi="ar-SA"/>
              </w:rPr>
              <w:t>之间</w:t>
            </w:r>
            <w:r>
              <w:rPr>
                <w:rFonts w:hint="default" w:ascii="Times New Roman" w:hAnsi="Times New Roman" w:eastAsia="宋体" w:cs="Times New Roman"/>
                <w:bCs/>
                <w:color w:val="auto"/>
                <w:kern w:val="1"/>
                <w:sz w:val="24"/>
                <w:szCs w:val="24"/>
                <w:lang w:val="en-US" w:eastAsia="zh-CN" w:bidi="ar-SA"/>
              </w:rPr>
              <w:t>预留缓冲空间，</w:t>
            </w:r>
            <w:r>
              <w:rPr>
                <w:rFonts w:hint="default" w:ascii="Times New Roman" w:hAnsi="Times New Roman" w:cs="Times New Roman"/>
                <w:bCs/>
                <w:color w:val="auto"/>
                <w:kern w:val="1"/>
                <w:sz w:val="24"/>
                <w:szCs w:val="24"/>
                <w:lang w:val="en-US" w:eastAsia="zh-CN" w:bidi="ar-SA"/>
              </w:rPr>
              <w:t>以便</w:t>
            </w:r>
            <w:r>
              <w:rPr>
                <w:rFonts w:hint="default" w:ascii="Times New Roman" w:hAnsi="Times New Roman" w:eastAsia="宋体" w:cs="Times New Roman"/>
                <w:bCs/>
                <w:color w:val="auto"/>
                <w:kern w:val="1"/>
                <w:sz w:val="24"/>
                <w:szCs w:val="24"/>
                <w:lang w:val="en-US" w:eastAsia="zh-CN" w:bidi="ar-SA"/>
              </w:rPr>
              <w:t xml:space="preserve">在非正常工况下污水处理厂能够迅速恢复正常运行。 </w:t>
            </w:r>
          </w:p>
          <w:p w14:paraId="43B41D69">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（3）严格控制处理单元的水量、水质、停留时间、负荷强度等，确保处理效果的稳定性。定期采样监测。操作人员及时调整</w:t>
            </w:r>
            <w:r>
              <w:rPr>
                <w:rFonts w:hint="default" w:ascii="Times New Roman" w:hAnsi="Times New Roman" w:cs="Times New Roman"/>
                <w:bCs/>
                <w:color w:val="auto"/>
                <w:kern w:val="1"/>
                <w:sz w:val="24"/>
                <w:szCs w:val="24"/>
                <w:lang w:val="en-US" w:eastAsia="zh-CN" w:bidi="ar-SA"/>
              </w:rPr>
              <w:t>设备</w:t>
            </w:r>
            <w:r>
              <w:rPr>
                <w:rFonts w:hint="default" w:ascii="Times New Roman" w:hAnsi="Times New Roman" w:eastAsia="宋体" w:cs="Times New Roman"/>
                <w:bCs/>
                <w:color w:val="auto"/>
                <w:kern w:val="1"/>
                <w:sz w:val="24"/>
                <w:szCs w:val="24"/>
                <w:lang w:val="en-US" w:eastAsia="zh-CN" w:bidi="ar-SA"/>
              </w:rPr>
              <w:t xml:space="preserve">，使设备处于最佳工况。 </w:t>
            </w:r>
          </w:p>
          <w:p w14:paraId="4741EA20">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 xml:space="preserve">（4）加强污水处理厂人员的操作技能的培训，提高工作人员的应变能力，及时有效处理意外情况。 </w:t>
            </w:r>
          </w:p>
          <w:p w14:paraId="530861C3">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（5）加强运行管理和进出水水质的监测工作，配备流量、水质自动分析控制仪器，定期取样监测，并</w:t>
            </w:r>
            <w:r>
              <w:rPr>
                <w:rFonts w:hint="default" w:ascii="Times New Roman" w:hAnsi="Times New Roman" w:cs="Times New Roman"/>
                <w:bCs/>
                <w:color w:val="auto"/>
                <w:kern w:val="1"/>
                <w:sz w:val="24"/>
                <w:szCs w:val="24"/>
                <w:lang w:val="en-US" w:eastAsia="zh-CN" w:bidi="ar-SA"/>
              </w:rPr>
              <w:t>做好</w:t>
            </w:r>
            <w:r>
              <w:rPr>
                <w:rFonts w:hint="default" w:ascii="Times New Roman" w:hAnsi="Times New Roman" w:eastAsia="宋体" w:cs="Times New Roman"/>
                <w:bCs/>
                <w:color w:val="auto"/>
                <w:kern w:val="1"/>
                <w:sz w:val="24"/>
                <w:szCs w:val="24"/>
                <w:lang w:val="en-US" w:eastAsia="zh-CN" w:bidi="ar-SA"/>
              </w:rPr>
              <w:t xml:space="preserve">消毒工作，未经处理达标的污水严禁外排。 </w:t>
            </w:r>
          </w:p>
          <w:p w14:paraId="05B9C560">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（6）制定风险事故应急预案。在发生风险事故时，能够以最快的速度、最大的效能、最有序地实施救援，从而减少因事故造成的损失</w:t>
            </w:r>
            <w:r>
              <w:rPr>
                <w:rFonts w:hint="eastAsia" w:cs="Times New Roman"/>
                <w:bCs/>
                <w:color w:val="auto"/>
                <w:kern w:val="1"/>
                <w:sz w:val="24"/>
                <w:szCs w:val="24"/>
                <w:lang w:val="en-US" w:eastAsia="zh-CN" w:bidi="ar-SA"/>
              </w:rPr>
              <w:t>。</w:t>
            </w:r>
          </w:p>
          <w:p w14:paraId="75254BCA">
            <w:pPr>
              <w:widowControl/>
              <w:adjustRightInd w:val="0"/>
              <w:snapToGrid w:val="0"/>
              <w:spacing w:line="360" w:lineRule="auto"/>
              <w:ind w:firstLine="480" w:firstLineChars="200"/>
              <w:rPr>
                <w:rFonts w:hint="default" w:ascii="Times New Roman" w:hAnsi="Times New Roman" w:eastAsia="宋体" w:cs="Times New Roman"/>
                <w:bCs/>
                <w:color w:val="auto"/>
                <w:kern w:val="1"/>
                <w:sz w:val="24"/>
                <w:szCs w:val="24"/>
                <w:lang w:val="en-US" w:eastAsia="zh-CN" w:bidi="ar-SA"/>
              </w:rPr>
            </w:pPr>
            <w:r>
              <w:rPr>
                <w:rFonts w:hint="default" w:ascii="Times New Roman" w:hAnsi="Times New Roman" w:eastAsia="宋体" w:cs="Times New Roman"/>
                <w:bCs/>
                <w:color w:val="auto"/>
                <w:kern w:val="1"/>
                <w:sz w:val="24"/>
                <w:szCs w:val="24"/>
                <w:lang w:val="en-US" w:eastAsia="zh-CN" w:bidi="ar-SA"/>
              </w:rPr>
              <w:t>（7）本厂危险品由专人运输，不可在阳光下暴晒，远离热源、火种，与自燃物、易燃物隔离储运，隔离存放。</w:t>
            </w:r>
          </w:p>
          <w:p w14:paraId="050CB56B">
            <w:pPr>
              <w:widowControl/>
              <w:adjustRightInd w:val="0"/>
              <w:snapToGrid w:val="0"/>
              <w:spacing w:line="360" w:lineRule="auto"/>
              <w:ind w:firstLine="480" w:firstLineChars="200"/>
              <w:rPr>
                <w:rFonts w:hint="default" w:ascii="Times New Roman" w:hAnsi="Times New Roman" w:cs="Times New Roman"/>
                <w:bCs/>
                <w:color w:val="auto"/>
                <w:kern w:val="1"/>
                <w:sz w:val="24"/>
                <w:szCs w:val="24"/>
                <w:lang w:val="en-US" w:eastAsia="zh-CN" w:bidi="ar-SA"/>
              </w:rPr>
            </w:pPr>
            <w:r>
              <w:rPr>
                <w:rFonts w:hint="default" w:ascii="Times New Roman" w:hAnsi="Times New Roman" w:cs="Times New Roman"/>
                <w:bCs/>
                <w:color w:val="auto"/>
                <w:kern w:val="1"/>
                <w:sz w:val="24"/>
                <w:szCs w:val="24"/>
                <w:lang w:val="en-US" w:eastAsia="zh-CN" w:bidi="ar-SA"/>
              </w:rPr>
              <w:t>（8）次氯酸钠储罐区四周设置围堰，防止泄漏物料四处漫流，同时储罐区按防渗要求做好地面防渗。</w:t>
            </w:r>
          </w:p>
          <w:p w14:paraId="5F24AF50">
            <w:pPr>
              <w:widowControl/>
              <w:adjustRightInd w:val="0"/>
              <w:snapToGrid w:val="0"/>
              <w:spacing w:line="360" w:lineRule="auto"/>
              <w:ind w:firstLine="480" w:firstLineChars="200"/>
              <w:rPr>
                <w:rFonts w:hint="default" w:ascii="Times New Roman" w:hAnsi="Times New Roman" w:cs="Times New Roman"/>
                <w:bCs/>
                <w:color w:val="auto"/>
                <w:kern w:val="1"/>
                <w:sz w:val="24"/>
                <w:szCs w:val="24"/>
                <w:lang w:val="en-US" w:eastAsia="zh-CN" w:bidi="ar-SA"/>
              </w:rPr>
            </w:pPr>
            <w:r>
              <w:rPr>
                <w:rFonts w:hint="default" w:ascii="Times New Roman" w:hAnsi="Times New Roman" w:cs="Times New Roman"/>
                <w:bCs/>
                <w:color w:val="auto"/>
                <w:kern w:val="1"/>
                <w:sz w:val="24"/>
                <w:szCs w:val="24"/>
                <w:lang w:val="en-US" w:eastAsia="zh-CN" w:bidi="ar-SA"/>
              </w:rPr>
              <w:t>（9）厂区已建应急池位于污水处理厂南墙南侧60米处，水池为钢筋混凝土结构，无盖，结构尺寸为37m×35m×5m，容积约为6475m³，事故时可将未处理废水暂存至应急池，待事故解决后逐步将废水打入处理系统处理，不会对外环境造成冲击影响。</w:t>
            </w:r>
          </w:p>
          <w:p w14:paraId="6F1911C9">
            <w:pPr>
              <w:widowControl/>
              <w:adjustRightInd w:val="0"/>
              <w:snapToGrid w:val="0"/>
              <w:spacing w:line="360" w:lineRule="auto"/>
              <w:ind w:firstLine="482" w:firstLineChars="200"/>
              <w:rPr>
                <w:rFonts w:hint="default" w:ascii="Times New Roman" w:hAnsi="Times New Roman" w:eastAsia="宋体" w:cs="Times New Roman"/>
                <w:b/>
                <w:bCs w:val="0"/>
                <w:color w:val="auto"/>
                <w:kern w:val="1"/>
                <w:sz w:val="24"/>
                <w:szCs w:val="24"/>
                <w:lang w:val="en-US" w:eastAsia="zh-CN" w:bidi="ar-SA"/>
              </w:rPr>
            </w:pPr>
            <w:r>
              <w:rPr>
                <w:rFonts w:hint="default" w:ascii="Times New Roman" w:hAnsi="Times New Roman" w:eastAsia="宋体" w:cs="Times New Roman"/>
                <w:b/>
                <w:bCs w:val="0"/>
                <w:color w:val="auto"/>
                <w:kern w:val="1"/>
                <w:sz w:val="24"/>
                <w:szCs w:val="24"/>
                <w:lang w:val="en-US" w:eastAsia="zh-CN" w:bidi="ar-SA"/>
              </w:rPr>
              <w:t>6.5</w:t>
            </w:r>
            <w:bookmarkStart w:id="9" w:name="_GoBack"/>
            <w:bookmarkEnd w:id="9"/>
            <w:r>
              <w:rPr>
                <w:rFonts w:hint="default" w:ascii="Times New Roman" w:hAnsi="Times New Roman" w:eastAsia="宋体" w:cs="Times New Roman"/>
                <w:b/>
                <w:bCs w:val="0"/>
                <w:color w:val="auto"/>
                <w:kern w:val="1"/>
                <w:sz w:val="24"/>
                <w:szCs w:val="24"/>
                <w:lang w:val="en-US" w:eastAsia="zh-CN" w:bidi="ar-SA"/>
              </w:rPr>
              <w:t>环境风险评价结论</w:t>
            </w:r>
          </w:p>
          <w:p w14:paraId="4F479E26">
            <w:pPr>
              <w:widowControl/>
              <w:adjustRightInd w:val="0"/>
              <w:snapToGrid w:val="0"/>
              <w:spacing w:line="360" w:lineRule="auto"/>
              <w:ind w:firstLine="480" w:firstLineChars="200"/>
              <w:rPr>
                <w:rFonts w:hint="default" w:ascii="Times New Roman" w:hAnsi="Times New Roman" w:eastAsia="宋体" w:cs="Times New Roman"/>
                <w:color w:val="auto"/>
                <w:kern w:val="1"/>
                <w:sz w:val="24"/>
                <w:highlight w:val="none"/>
                <w:lang w:val="en-US" w:eastAsia="zh-CN"/>
              </w:rPr>
            </w:pPr>
            <w:r>
              <w:rPr>
                <w:rFonts w:hint="default" w:ascii="Times New Roman" w:hAnsi="Times New Roman" w:eastAsia="宋体" w:cs="Times New Roman"/>
                <w:color w:val="auto"/>
                <w:kern w:val="1"/>
                <w:sz w:val="24"/>
                <w:highlight w:val="none"/>
                <w:lang w:val="en-US" w:eastAsia="zh-CN"/>
              </w:rPr>
              <w:t>项目涉及的风险物质是次氯酸钠，次氯酸钠贮存量较小，环境风险较小，评价提出了一系列风险防范措施，只要企业在完善物料贮存设施加强安全检查，加强职工安全教育和培训之后，在做好各项风险防范措施、应急预案和应急处置措施的情况下，项目环境风险事故对周围环境的</w:t>
            </w:r>
            <w:r>
              <w:rPr>
                <w:rFonts w:hint="default" w:ascii="Times New Roman" w:hAnsi="Times New Roman" w:cs="Times New Roman"/>
                <w:color w:val="auto"/>
                <w:kern w:val="1"/>
                <w:sz w:val="24"/>
                <w:highlight w:val="none"/>
                <w:lang w:val="en-US" w:eastAsia="zh-CN"/>
              </w:rPr>
              <w:t>影响</w:t>
            </w:r>
            <w:r>
              <w:rPr>
                <w:rFonts w:hint="default" w:ascii="Times New Roman" w:hAnsi="Times New Roman" w:eastAsia="宋体" w:cs="Times New Roman"/>
                <w:color w:val="auto"/>
                <w:kern w:val="1"/>
                <w:sz w:val="24"/>
                <w:highlight w:val="none"/>
                <w:lang w:val="en-US" w:eastAsia="zh-CN"/>
              </w:rPr>
              <w:t>较小。</w:t>
            </w:r>
          </w:p>
          <w:p w14:paraId="1B2B0980">
            <w:pPr>
              <w:widowControl/>
              <w:adjustRightInd w:val="0"/>
              <w:snapToGrid w:val="0"/>
              <w:spacing w:line="360" w:lineRule="auto"/>
              <w:ind w:firstLine="480" w:firstLineChars="200"/>
              <w:rPr>
                <w:rFonts w:hint="default" w:ascii="Times New Roman" w:hAnsi="Times New Roman" w:cs="Times New Roman"/>
                <w:color w:val="auto"/>
                <w:kern w:val="1"/>
                <w:sz w:val="24"/>
                <w:highlight w:val="none"/>
                <w:lang w:val="en-US" w:eastAsia="zh-CN"/>
              </w:rPr>
            </w:pPr>
            <w:r>
              <w:rPr>
                <w:rFonts w:hint="default" w:ascii="Times New Roman" w:hAnsi="Times New Roman" w:cs="Times New Roman"/>
                <w:color w:val="auto"/>
                <w:kern w:val="1"/>
                <w:sz w:val="24"/>
                <w:highlight w:val="none"/>
                <w:lang w:val="en-US" w:eastAsia="zh-CN"/>
              </w:rPr>
              <w:t>污水厂东北侧30m处为陶赖沟水体，事故状态下，超标废水可通过厂内管网排入现有应急池暂存，不会直接流入陶赖沟，对陶赖沟水体影响较小。综上，本项目环境风险处于可接受水平。</w:t>
            </w:r>
          </w:p>
          <w:p w14:paraId="6124E6D0">
            <w:pPr>
              <w:widowControl/>
              <w:adjustRightInd w:val="0"/>
              <w:snapToGrid w:val="0"/>
              <w:spacing w:line="360" w:lineRule="auto"/>
              <w:ind w:firstLine="480" w:firstLineChars="200"/>
              <w:rPr>
                <w:rFonts w:hint="default" w:ascii="Times New Roman" w:hAnsi="Times New Roman" w:eastAsia="宋体" w:cs="Times New Roman"/>
                <w:color w:val="auto"/>
                <w:kern w:val="1"/>
                <w:sz w:val="24"/>
                <w:highlight w:val="none"/>
              </w:rPr>
            </w:pPr>
            <w:r>
              <w:rPr>
                <w:rFonts w:hint="default" w:ascii="Times New Roman" w:hAnsi="Times New Roman" w:cs="Times New Roman"/>
                <w:color w:val="auto"/>
                <w:kern w:val="1"/>
                <w:sz w:val="24"/>
                <w:highlight w:val="none"/>
                <w:lang w:val="en-US" w:eastAsia="zh-CN"/>
              </w:rPr>
              <w:t>综上，</w:t>
            </w:r>
            <w:r>
              <w:rPr>
                <w:rFonts w:hint="default" w:ascii="Times New Roman" w:hAnsi="Times New Roman" w:eastAsia="宋体" w:cs="Times New Roman"/>
                <w:color w:val="auto"/>
                <w:kern w:val="1"/>
                <w:sz w:val="24"/>
                <w:highlight w:val="none"/>
                <w:lang w:val="en-US" w:eastAsia="zh-CN"/>
              </w:rPr>
              <w:t>项目环境风险属可接受水平。</w:t>
            </w:r>
          </w:p>
          <w:p w14:paraId="5538E459">
            <w:pPr>
              <w:widowControl/>
              <w:adjustRightInd w:val="0"/>
              <w:snapToGrid w:val="0"/>
              <w:spacing w:line="360" w:lineRule="auto"/>
              <w:rPr>
                <w:rFonts w:hint="default" w:ascii="Times New Roman" w:hAnsi="Times New Roman" w:eastAsia="宋体" w:cs="Times New Roman"/>
                <w:color w:val="auto"/>
                <w:kern w:val="1"/>
                <w:sz w:val="24"/>
                <w:highlight w:val="none"/>
              </w:rPr>
            </w:pPr>
            <w:r>
              <w:rPr>
                <w:rFonts w:hint="default" w:ascii="Times New Roman" w:hAnsi="Times New Roman" w:eastAsia="宋体" w:cs="Times New Roman"/>
                <w:b/>
                <w:bCs/>
                <w:color w:val="auto"/>
                <w:sz w:val="24"/>
                <w:szCs w:val="32"/>
                <w:highlight w:val="none"/>
                <w:lang w:val="en-US" w:eastAsia="zh-CN"/>
              </w:rPr>
              <w:t>7</w:t>
            </w:r>
            <w:r>
              <w:rPr>
                <w:rFonts w:hint="default" w:ascii="Times New Roman" w:hAnsi="Times New Roman" w:eastAsia="宋体" w:cs="Times New Roman"/>
                <w:b/>
                <w:bCs/>
                <w:color w:val="auto"/>
                <w:sz w:val="24"/>
                <w:szCs w:val="32"/>
                <w:highlight w:val="none"/>
              </w:rPr>
              <w:t>.</w:t>
            </w:r>
            <w:r>
              <w:rPr>
                <w:rFonts w:hint="eastAsia" w:cs="Times New Roman"/>
                <w:b/>
                <w:bCs/>
                <w:color w:val="auto"/>
                <w:sz w:val="24"/>
                <w:szCs w:val="32"/>
                <w:highlight w:val="none"/>
                <w:lang w:val="en-US" w:eastAsia="zh-CN"/>
              </w:rPr>
              <w:t>“</w:t>
            </w:r>
            <w:r>
              <w:rPr>
                <w:rFonts w:hint="default" w:ascii="Times New Roman" w:hAnsi="Times New Roman" w:eastAsia="宋体" w:cs="Times New Roman"/>
                <w:b/>
                <w:bCs/>
                <w:color w:val="auto"/>
                <w:sz w:val="24"/>
                <w:szCs w:val="32"/>
                <w:highlight w:val="none"/>
                <w:lang w:val="en-US" w:eastAsia="zh-CN"/>
              </w:rPr>
              <w:t>三本账</w:t>
            </w:r>
            <w:r>
              <w:rPr>
                <w:rFonts w:hint="eastAsia" w:cs="Times New Roman"/>
                <w:b/>
                <w:bCs/>
                <w:color w:val="auto"/>
                <w:sz w:val="24"/>
                <w:szCs w:val="32"/>
                <w:highlight w:val="none"/>
                <w:lang w:val="en-US" w:eastAsia="zh-CN"/>
              </w:rPr>
              <w:t>”</w:t>
            </w:r>
            <w:r>
              <w:rPr>
                <w:rFonts w:hint="default" w:ascii="Times New Roman" w:hAnsi="Times New Roman" w:eastAsia="宋体" w:cs="Times New Roman"/>
                <w:b/>
                <w:bCs/>
                <w:color w:val="auto"/>
                <w:sz w:val="24"/>
                <w:szCs w:val="32"/>
                <w:highlight w:val="none"/>
                <w:lang w:val="en-US" w:eastAsia="zh-CN"/>
              </w:rPr>
              <w:t>统计</w:t>
            </w:r>
          </w:p>
          <w:p w14:paraId="5B3A5653">
            <w:pPr>
              <w:widowControl/>
              <w:adjustRightInd w:val="0"/>
              <w:snapToGrid w:val="0"/>
              <w:spacing w:line="360" w:lineRule="auto"/>
              <w:ind w:firstLine="480" w:firstLineChars="200"/>
              <w:rPr>
                <w:rFonts w:hint="default" w:ascii="Times New Roman" w:hAnsi="Times New Roman" w:eastAsia="宋体" w:cs="Times New Roman"/>
                <w:color w:val="auto"/>
                <w:kern w:val="1"/>
                <w:sz w:val="24"/>
                <w:highlight w:val="none"/>
                <w:lang w:val="en-US" w:eastAsia="zh-CN"/>
              </w:rPr>
            </w:pPr>
            <w:r>
              <w:rPr>
                <w:rFonts w:hint="eastAsia" w:cs="Times New Roman"/>
                <w:color w:val="auto"/>
                <w:kern w:val="1"/>
                <w:sz w:val="24"/>
                <w:highlight w:val="none"/>
                <w:lang w:val="en-US" w:eastAsia="zh-CN"/>
              </w:rPr>
              <w:t>本项目三期工程在V型滤池之前的工艺单元均独立运行。由于原有工程的废气处理、污泥脱水等措施均能稳定达标，因此无需通过本项目实施“以新带老”的整改措施。</w:t>
            </w:r>
            <w:r>
              <w:rPr>
                <w:rFonts w:hint="default" w:ascii="Times New Roman" w:hAnsi="Times New Roman" w:eastAsia="宋体" w:cs="Times New Roman"/>
                <w:color w:val="auto"/>
                <w:kern w:val="1"/>
                <w:sz w:val="24"/>
                <w:highlight w:val="none"/>
                <w:lang w:val="en-US" w:eastAsia="zh-CN"/>
              </w:rPr>
              <w:t>根据现有工程环评、验收批复、自行监测及在线监测数据核算、固废台账，以及三期工程</w:t>
            </w:r>
            <w:r>
              <w:rPr>
                <w:rFonts w:hint="default" w:ascii="Times New Roman" w:hAnsi="Times New Roman" w:cs="Times New Roman"/>
                <w:color w:val="auto"/>
                <w:kern w:val="1"/>
                <w:sz w:val="24"/>
                <w:highlight w:val="none"/>
                <w:lang w:val="en-US" w:eastAsia="zh-CN"/>
              </w:rPr>
              <w:t>建成</w:t>
            </w:r>
            <w:r>
              <w:rPr>
                <w:rFonts w:hint="default" w:ascii="Times New Roman" w:hAnsi="Times New Roman" w:eastAsia="宋体" w:cs="Times New Roman"/>
                <w:color w:val="auto"/>
                <w:kern w:val="1"/>
                <w:sz w:val="24"/>
                <w:highlight w:val="none"/>
                <w:lang w:val="en-US" w:eastAsia="zh-CN"/>
              </w:rPr>
              <w:t>后本项目的源强分析，本项目</w:t>
            </w:r>
            <w:r>
              <w:rPr>
                <w:rFonts w:hint="eastAsia" w:cs="Times New Roman"/>
                <w:color w:val="auto"/>
                <w:kern w:val="1"/>
                <w:sz w:val="24"/>
                <w:highlight w:val="none"/>
                <w:lang w:val="en-US" w:eastAsia="zh-CN"/>
              </w:rPr>
              <w:t>“</w:t>
            </w:r>
            <w:r>
              <w:rPr>
                <w:rFonts w:hint="default" w:ascii="Times New Roman" w:hAnsi="Times New Roman" w:eastAsia="宋体" w:cs="Times New Roman"/>
                <w:color w:val="auto"/>
                <w:kern w:val="1"/>
                <w:sz w:val="24"/>
                <w:highlight w:val="none"/>
                <w:lang w:val="en-US" w:eastAsia="zh-CN"/>
              </w:rPr>
              <w:t>三本账</w:t>
            </w:r>
            <w:r>
              <w:rPr>
                <w:rFonts w:hint="eastAsia" w:cs="Times New Roman"/>
                <w:color w:val="auto"/>
                <w:kern w:val="1"/>
                <w:sz w:val="24"/>
                <w:highlight w:val="none"/>
                <w:lang w:val="en-US" w:eastAsia="zh-CN"/>
              </w:rPr>
              <w:t>”</w:t>
            </w:r>
            <w:r>
              <w:rPr>
                <w:rFonts w:hint="default" w:ascii="Times New Roman" w:hAnsi="Times New Roman" w:eastAsia="宋体" w:cs="Times New Roman"/>
                <w:color w:val="auto"/>
                <w:kern w:val="1"/>
                <w:sz w:val="24"/>
                <w:highlight w:val="none"/>
                <w:lang w:val="en-US" w:eastAsia="zh-CN"/>
              </w:rPr>
              <w:t>统计如下表：</w:t>
            </w:r>
          </w:p>
          <w:p w14:paraId="029D0DEA">
            <w:pPr>
              <w:pStyle w:val="18"/>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w:t>
            </w:r>
            <w:r>
              <w:rPr>
                <w:rFonts w:hint="default" w:ascii="Times New Roman" w:hAnsi="Times New Roman" w:cs="Times New Roman"/>
                <w:color w:val="auto"/>
                <w:highlight w:val="none"/>
                <w:lang w:val="en-US" w:eastAsia="zh-CN"/>
              </w:rPr>
              <w:t>10</w:t>
            </w:r>
            <w:r>
              <w:rPr>
                <w:rFonts w:hint="default" w:ascii="Times New Roman" w:hAnsi="Times New Roman" w:eastAsia="宋体" w:cs="Times New Roman"/>
                <w:color w:val="auto"/>
                <w:highlight w:val="none"/>
              </w:rPr>
              <w:t xml:space="preserve"> </w:t>
            </w:r>
            <w:r>
              <w:rPr>
                <w:rFonts w:hint="default" w:ascii="Times New Roman" w:hAnsi="Times New Roman" w:cs="Times New Roman"/>
                <w:color w:val="auto"/>
                <w:highlight w:val="none"/>
                <w:lang w:val="en-US" w:eastAsia="zh-CN"/>
              </w:rPr>
              <w:t>三期工程建成</w:t>
            </w:r>
            <w:r>
              <w:rPr>
                <w:rFonts w:hint="default" w:ascii="Times New Roman" w:hAnsi="Times New Roman" w:eastAsia="宋体" w:cs="Times New Roman"/>
                <w:color w:val="auto"/>
                <w:highlight w:val="none"/>
                <w:lang w:val="en-US" w:eastAsia="zh-CN"/>
              </w:rPr>
              <w:t>前后</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三本账</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一览表（单位：t/a）</w:t>
            </w:r>
          </w:p>
          <w:tbl>
            <w:tblPr>
              <w:tblStyle w:val="11"/>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4"/>
              <w:gridCol w:w="1237"/>
              <w:gridCol w:w="1340"/>
              <w:gridCol w:w="1216"/>
              <w:gridCol w:w="1232"/>
              <w:gridCol w:w="1232"/>
              <w:gridCol w:w="1219"/>
            </w:tblGrid>
            <w:tr w14:paraId="6D1A5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744" w:type="dxa"/>
                  <w:vMerge w:val="restart"/>
                  <w:tcBorders>
                    <w:top w:val="single" w:color="auto" w:sz="4" w:space="0"/>
                    <w:left w:val="single" w:color="auto" w:sz="0" w:space="0"/>
                    <w:tl2br w:val="nil"/>
                    <w:tr2bl w:val="nil"/>
                  </w:tcBorders>
                  <w:shd w:val="clear" w:color="auto" w:fill="auto"/>
                  <w:vAlign w:val="center"/>
                </w:tcPr>
                <w:p w14:paraId="380A1E2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污染类型</w:t>
                  </w:r>
                </w:p>
              </w:tc>
              <w:tc>
                <w:tcPr>
                  <w:tcW w:w="1237" w:type="dxa"/>
                  <w:vMerge w:val="restart"/>
                  <w:tcBorders>
                    <w:top w:val="single" w:color="auto" w:sz="4" w:space="0"/>
                    <w:tl2br w:val="nil"/>
                    <w:tr2bl w:val="nil"/>
                  </w:tcBorders>
                  <w:shd w:val="clear" w:color="auto" w:fill="auto"/>
                  <w:vAlign w:val="center"/>
                </w:tcPr>
                <w:p w14:paraId="5214220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2556" w:type="dxa"/>
                  <w:gridSpan w:val="2"/>
                  <w:tcBorders>
                    <w:top w:val="single" w:color="auto" w:sz="4" w:space="0"/>
                    <w:tl2br w:val="nil"/>
                    <w:tr2bl w:val="nil"/>
                  </w:tcBorders>
                  <w:shd w:val="clear" w:color="auto" w:fill="auto"/>
                  <w:vAlign w:val="center"/>
                </w:tcPr>
                <w:p w14:paraId="113852D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现有工程</w:t>
                  </w:r>
                </w:p>
              </w:tc>
              <w:tc>
                <w:tcPr>
                  <w:tcW w:w="1232" w:type="dxa"/>
                  <w:tcBorders>
                    <w:top w:val="single" w:color="auto" w:sz="4" w:space="0"/>
                    <w:tl2br w:val="nil"/>
                    <w:tr2bl w:val="nil"/>
                  </w:tcBorders>
                  <w:shd w:val="clear" w:color="auto" w:fill="auto"/>
                  <w:vAlign w:val="center"/>
                </w:tcPr>
                <w:p w14:paraId="2536CC2B">
                  <w:pPr>
                    <w:keepNext w:val="0"/>
                    <w:keepLines w:val="0"/>
                    <w:widowControl/>
                    <w:suppressLineNumbers w:val="0"/>
                    <w:jc w:val="center"/>
                    <w:textAlignment w:val="center"/>
                    <w:rPr>
                      <w:rFonts w:hint="default" w:ascii="Times New Roman" w:hAnsi="Times New Roman" w:cs="Times New Roman"/>
                      <w:b/>
                      <w:bCs/>
                      <w:i w:val="0"/>
                      <w:iCs w:val="0"/>
                      <w:color w:val="auto"/>
                      <w:kern w:val="0"/>
                      <w:sz w:val="21"/>
                      <w:szCs w:val="21"/>
                      <w:u w:val="none"/>
                      <w:lang w:val="en-US" w:eastAsia="zh-CN" w:bidi="ar"/>
                    </w:rPr>
                  </w:pPr>
                  <w:r>
                    <w:rPr>
                      <w:rFonts w:hint="default" w:ascii="Times New Roman" w:hAnsi="Times New Roman" w:cs="Times New Roman"/>
                      <w:b/>
                      <w:bCs/>
                      <w:i w:val="0"/>
                      <w:iCs w:val="0"/>
                      <w:color w:val="auto"/>
                      <w:kern w:val="0"/>
                      <w:sz w:val="21"/>
                      <w:szCs w:val="21"/>
                      <w:u w:val="none"/>
                      <w:lang w:val="en-US" w:eastAsia="zh-CN" w:bidi="ar"/>
                    </w:rPr>
                    <w:t>本次新建</w:t>
                  </w:r>
                </w:p>
              </w:tc>
              <w:tc>
                <w:tcPr>
                  <w:tcW w:w="1232" w:type="dxa"/>
                  <w:vMerge w:val="restart"/>
                  <w:tcBorders>
                    <w:top w:val="single" w:color="auto" w:sz="4" w:space="0"/>
                    <w:tl2br w:val="nil"/>
                    <w:tr2bl w:val="nil"/>
                  </w:tcBorders>
                  <w:shd w:val="clear" w:color="auto" w:fill="auto"/>
                  <w:vAlign w:val="center"/>
                </w:tcPr>
                <w:p w14:paraId="0E54624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rPr>
                  </w:pPr>
                  <w:r>
                    <w:rPr>
                      <w:rFonts w:hint="default" w:ascii="Times New Roman" w:hAnsi="Times New Roman" w:cs="Times New Roman"/>
                      <w:b/>
                      <w:bCs/>
                      <w:i w:val="0"/>
                      <w:iCs w:val="0"/>
                      <w:color w:val="auto"/>
                      <w:kern w:val="0"/>
                      <w:sz w:val="21"/>
                      <w:szCs w:val="21"/>
                      <w:u w:val="none"/>
                      <w:lang w:val="en-US" w:eastAsia="zh-CN" w:bidi="ar"/>
                    </w:rPr>
                    <w:t>三期工程建成后全厂</w:t>
                  </w:r>
                </w:p>
              </w:tc>
              <w:tc>
                <w:tcPr>
                  <w:tcW w:w="1219" w:type="dxa"/>
                  <w:vMerge w:val="restart"/>
                  <w:tcBorders>
                    <w:top w:val="single" w:color="auto" w:sz="4" w:space="0"/>
                    <w:right w:val="single" w:color="auto" w:sz="4" w:space="0"/>
                    <w:tl2br w:val="nil"/>
                    <w:tr2bl w:val="nil"/>
                  </w:tcBorders>
                  <w:shd w:val="clear" w:color="auto" w:fill="auto"/>
                  <w:vAlign w:val="center"/>
                </w:tcPr>
                <w:p w14:paraId="0121FE7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eastAsia"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以新带老</w:t>
                  </w:r>
                  <w:r>
                    <w:rPr>
                      <w:rFonts w:hint="eastAsia"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削减总量</w:t>
                  </w:r>
                </w:p>
              </w:tc>
            </w:tr>
            <w:tr w14:paraId="6FD65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44" w:type="dxa"/>
                  <w:vMerge w:val="continue"/>
                  <w:tcBorders>
                    <w:left w:val="single" w:color="auto" w:sz="4" w:space="0"/>
                    <w:tl2br w:val="nil"/>
                    <w:tr2bl w:val="nil"/>
                  </w:tcBorders>
                  <w:shd w:val="clear" w:color="auto" w:fill="auto"/>
                  <w:vAlign w:val="center"/>
                </w:tcPr>
                <w:p w14:paraId="62967EFF">
                  <w:pPr>
                    <w:jc w:val="center"/>
                    <w:rPr>
                      <w:rFonts w:hint="default" w:ascii="Times New Roman" w:hAnsi="Times New Roman" w:eastAsia="宋体" w:cs="Times New Roman"/>
                      <w:b/>
                      <w:bCs/>
                      <w:i w:val="0"/>
                      <w:iCs w:val="0"/>
                      <w:color w:val="auto"/>
                      <w:sz w:val="21"/>
                      <w:szCs w:val="21"/>
                      <w:u w:val="none"/>
                    </w:rPr>
                  </w:pPr>
                </w:p>
              </w:tc>
              <w:tc>
                <w:tcPr>
                  <w:tcW w:w="1237" w:type="dxa"/>
                  <w:vMerge w:val="continue"/>
                  <w:tcBorders>
                    <w:tl2br w:val="nil"/>
                    <w:tr2bl w:val="nil"/>
                  </w:tcBorders>
                  <w:shd w:val="clear" w:color="auto" w:fill="auto"/>
                  <w:vAlign w:val="center"/>
                </w:tcPr>
                <w:p w14:paraId="1B4A589D">
                  <w:pPr>
                    <w:jc w:val="center"/>
                    <w:rPr>
                      <w:rFonts w:hint="default" w:ascii="Times New Roman" w:hAnsi="Times New Roman" w:eastAsia="宋体" w:cs="Times New Roman"/>
                      <w:b/>
                      <w:bCs/>
                      <w:i w:val="0"/>
                      <w:iCs w:val="0"/>
                      <w:color w:val="auto"/>
                      <w:sz w:val="21"/>
                      <w:szCs w:val="21"/>
                      <w:u w:val="none"/>
                    </w:rPr>
                  </w:pPr>
                </w:p>
              </w:tc>
              <w:tc>
                <w:tcPr>
                  <w:tcW w:w="1340" w:type="dxa"/>
                  <w:tcBorders>
                    <w:tl2br w:val="nil"/>
                    <w:tr2bl w:val="nil"/>
                  </w:tcBorders>
                  <w:shd w:val="clear" w:color="auto" w:fill="auto"/>
                  <w:noWrap/>
                  <w:vAlign w:val="center"/>
                </w:tcPr>
                <w:p w14:paraId="0734609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一期</w:t>
                  </w:r>
                </w:p>
              </w:tc>
              <w:tc>
                <w:tcPr>
                  <w:tcW w:w="1216" w:type="dxa"/>
                  <w:tcBorders>
                    <w:tl2br w:val="nil"/>
                    <w:tr2bl w:val="nil"/>
                  </w:tcBorders>
                  <w:shd w:val="clear" w:color="auto" w:fill="auto"/>
                  <w:noWrap/>
                  <w:vAlign w:val="center"/>
                </w:tcPr>
                <w:p w14:paraId="4068F65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二期</w:t>
                  </w:r>
                </w:p>
              </w:tc>
              <w:tc>
                <w:tcPr>
                  <w:tcW w:w="1232" w:type="dxa"/>
                  <w:tcBorders>
                    <w:tl2br w:val="nil"/>
                    <w:tr2bl w:val="nil"/>
                  </w:tcBorders>
                  <w:shd w:val="clear" w:color="auto" w:fill="auto"/>
                  <w:vAlign w:val="center"/>
                </w:tcPr>
                <w:p w14:paraId="6D10FCD6">
                  <w:pPr>
                    <w:jc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cs="Times New Roman"/>
                      <w:b/>
                      <w:bCs/>
                      <w:i w:val="0"/>
                      <w:iCs w:val="0"/>
                      <w:color w:val="auto"/>
                      <w:kern w:val="0"/>
                      <w:sz w:val="21"/>
                      <w:szCs w:val="21"/>
                      <w:u w:val="none"/>
                      <w:lang w:val="en-US" w:eastAsia="zh-CN" w:bidi="ar"/>
                    </w:rPr>
                    <w:t>三期</w:t>
                  </w:r>
                </w:p>
              </w:tc>
              <w:tc>
                <w:tcPr>
                  <w:tcW w:w="1232" w:type="dxa"/>
                  <w:vMerge w:val="continue"/>
                  <w:tcBorders>
                    <w:tl2br w:val="nil"/>
                    <w:tr2bl w:val="nil"/>
                  </w:tcBorders>
                  <w:shd w:val="clear" w:color="auto" w:fill="auto"/>
                  <w:vAlign w:val="center"/>
                </w:tcPr>
                <w:p w14:paraId="51F66825">
                  <w:pPr>
                    <w:jc w:val="center"/>
                    <w:rPr>
                      <w:rFonts w:hint="default" w:ascii="Times New Roman" w:hAnsi="Times New Roman" w:eastAsia="宋体" w:cs="Times New Roman"/>
                      <w:b/>
                      <w:bCs/>
                      <w:i w:val="0"/>
                      <w:iCs w:val="0"/>
                      <w:color w:val="auto"/>
                      <w:sz w:val="21"/>
                      <w:szCs w:val="21"/>
                      <w:u w:val="none"/>
                    </w:rPr>
                  </w:pPr>
                </w:p>
              </w:tc>
              <w:tc>
                <w:tcPr>
                  <w:tcW w:w="1219" w:type="dxa"/>
                  <w:vMerge w:val="continue"/>
                  <w:tcBorders>
                    <w:right w:val="single" w:color="auto" w:sz="4" w:space="0"/>
                    <w:tl2br w:val="nil"/>
                    <w:tr2bl w:val="nil"/>
                  </w:tcBorders>
                  <w:shd w:val="clear" w:color="auto" w:fill="auto"/>
                  <w:vAlign w:val="center"/>
                </w:tcPr>
                <w:p w14:paraId="23ACF39C">
                  <w:pPr>
                    <w:jc w:val="center"/>
                    <w:rPr>
                      <w:rFonts w:hint="default" w:ascii="Times New Roman" w:hAnsi="Times New Roman" w:eastAsia="宋体" w:cs="Times New Roman"/>
                      <w:b/>
                      <w:bCs/>
                      <w:i w:val="0"/>
                      <w:iCs w:val="0"/>
                      <w:color w:val="auto"/>
                      <w:sz w:val="21"/>
                      <w:szCs w:val="21"/>
                      <w:u w:val="none"/>
                    </w:rPr>
                  </w:pPr>
                </w:p>
              </w:tc>
            </w:tr>
            <w:tr w14:paraId="41500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dxa"/>
                  <w:vMerge w:val="restart"/>
                  <w:tcBorders>
                    <w:left w:val="single" w:color="auto" w:sz="4" w:space="0"/>
                    <w:tl2br w:val="nil"/>
                    <w:tr2bl w:val="nil"/>
                  </w:tcBorders>
                  <w:shd w:val="clear" w:color="auto" w:fill="auto"/>
                  <w:vAlign w:val="center"/>
                </w:tcPr>
                <w:p w14:paraId="460C0BC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废水</w:t>
                  </w:r>
                </w:p>
              </w:tc>
              <w:tc>
                <w:tcPr>
                  <w:tcW w:w="1237" w:type="dxa"/>
                  <w:tcBorders>
                    <w:tl2br w:val="nil"/>
                    <w:tr2bl w:val="nil"/>
                  </w:tcBorders>
                  <w:shd w:val="clear" w:color="auto" w:fill="auto"/>
                  <w:vAlign w:val="center"/>
                </w:tcPr>
                <w:p w14:paraId="7D0AAB9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生活污水</w:t>
                  </w:r>
                </w:p>
              </w:tc>
              <w:tc>
                <w:tcPr>
                  <w:tcW w:w="1340" w:type="dxa"/>
                  <w:tcBorders>
                    <w:tl2br w:val="nil"/>
                    <w:tr2bl w:val="nil"/>
                  </w:tcBorders>
                  <w:shd w:val="clear" w:color="auto" w:fill="auto"/>
                  <w:vAlign w:val="center"/>
                </w:tcPr>
                <w:p w14:paraId="2661DABD">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116.8 </w:t>
                  </w:r>
                </w:p>
              </w:tc>
              <w:tc>
                <w:tcPr>
                  <w:tcW w:w="1216" w:type="dxa"/>
                  <w:tcBorders>
                    <w:tl2br w:val="nil"/>
                    <w:tr2bl w:val="nil"/>
                  </w:tcBorders>
                  <w:shd w:val="clear" w:color="auto" w:fill="auto"/>
                  <w:vAlign w:val="center"/>
                </w:tcPr>
                <w:p w14:paraId="0D3E01D6">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210.2 </w:t>
                  </w:r>
                </w:p>
              </w:tc>
              <w:tc>
                <w:tcPr>
                  <w:tcW w:w="1232" w:type="dxa"/>
                  <w:tcBorders>
                    <w:tl2br w:val="nil"/>
                    <w:tr2bl w:val="nil"/>
                  </w:tcBorders>
                  <w:shd w:val="clear" w:color="auto" w:fill="auto"/>
                  <w:vAlign w:val="center"/>
                </w:tcPr>
                <w:p w14:paraId="54C92CE3">
                  <w:pPr>
                    <w:pStyle w:val="1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58.4 </w:t>
                  </w:r>
                </w:p>
              </w:tc>
              <w:tc>
                <w:tcPr>
                  <w:tcW w:w="1232" w:type="dxa"/>
                  <w:tcBorders>
                    <w:tl2br w:val="nil"/>
                    <w:tr2bl w:val="nil"/>
                  </w:tcBorders>
                  <w:shd w:val="clear" w:color="auto" w:fill="auto"/>
                  <w:vAlign w:val="center"/>
                </w:tcPr>
                <w:p w14:paraId="286A2D10">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385.4 </w:t>
                  </w:r>
                </w:p>
              </w:tc>
              <w:tc>
                <w:tcPr>
                  <w:tcW w:w="1219" w:type="dxa"/>
                  <w:tcBorders>
                    <w:right w:val="single" w:color="auto" w:sz="4" w:space="0"/>
                    <w:tl2br w:val="nil"/>
                    <w:tr2bl w:val="nil"/>
                  </w:tcBorders>
                  <w:shd w:val="clear" w:color="auto" w:fill="auto"/>
                  <w:vAlign w:val="center"/>
                </w:tcPr>
                <w:p w14:paraId="63B9A2FA">
                  <w:pPr>
                    <w:pStyle w:val="17"/>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r>
            <w:tr w14:paraId="75DA5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dxa"/>
                  <w:vMerge w:val="continue"/>
                  <w:tcBorders>
                    <w:left w:val="single" w:color="auto" w:sz="4" w:space="0"/>
                    <w:tl2br w:val="nil"/>
                    <w:tr2bl w:val="nil"/>
                  </w:tcBorders>
                  <w:shd w:val="clear" w:color="auto" w:fill="auto"/>
                  <w:vAlign w:val="center"/>
                </w:tcPr>
                <w:p w14:paraId="005C979E">
                  <w:pPr>
                    <w:jc w:val="center"/>
                    <w:rPr>
                      <w:rFonts w:hint="default" w:ascii="Times New Roman" w:hAnsi="Times New Roman" w:eastAsia="宋体" w:cs="Times New Roman"/>
                      <w:b/>
                      <w:bCs/>
                      <w:i w:val="0"/>
                      <w:iCs w:val="0"/>
                      <w:color w:val="auto"/>
                      <w:sz w:val="21"/>
                      <w:szCs w:val="21"/>
                      <w:u w:val="none"/>
                    </w:rPr>
                  </w:pPr>
                </w:p>
              </w:tc>
              <w:tc>
                <w:tcPr>
                  <w:tcW w:w="1237" w:type="dxa"/>
                  <w:tcBorders>
                    <w:tl2br w:val="nil"/>
                    <w:tr2bl w:val="nil"/>
                  </w:tcBorders>
                  <w:shd w:val="clear" w:color="auto" w:fill="auto"/>
                  <w:vAlign w:val="center"/>
                </w:tcPr>
                <w:p w14:paraId="18D572DA">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生产废水</w:t>
                  </w:r>
                </w:p>
              </w:tc>
              <w:tc>
                <w:tcPr>
                  <w:tcW w:w="1340" w:type="dxa"/>
                  <w:tcBorders>
                    <w:tl2br w:val="nil"/>
                    <w:tr2bl w:val="nil"/>
                  </w:tcBorders>
                  <w:shd w:val="clear" w:color="auto" w:fill="auto"/>
                  <w:vAlign w:val="center"/>
                </w:tcPr>
                <w:p w14:paraId="7CD41C6B">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29400 </w:t>
                  </w:r>
                </w:p>
              </w:tc>
              <w:tc>
                <w:tcPr>
                  <w:tcW w:w="1216" w:type="dxa"/>
                  <w:tcBorders>
                    <w:tl2br w:val="nil"/>
                    <w:tr2bl w:val="nil"/>
                  </w:tcBorders>
                  <w:shd w:val="clear" w:color="auto" w:fill="auto"/>
                  <w:noWrap/>
                  <w:vAlign w:val="center"/>
                </w:tcPr>
                <w:p w14:paraId="07A93E12">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95650 </w:t>
                  </w:r>
                </w:p>
              </w:tc>
              <w:tc>
                <w:tcPr>
                  <w:tcW w:w="1232" w:type="dxa"/>
                  <w:tcBorders>
                    <w:tl2br w:val="nil"/>
                    <w:tr2bl w:val="nil"/>
                  </w:tcBorders>
                  <w:shd w:val="clear" w:color="auto" w:fill="auto"/>
                  <w:vAlign w:val="center"/>
                </w:tcPr>
                <w:p w14:paraId="6036D7DA">
                  <w:pPr>
                    <w:pStyle w:val="17"/>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80940 </w:t>
                  </w:r>
                </w:p>
              </w:tc>
              <w:tc>
                <w:tcPr>
                  <w:tcW w:w="1232" w:type="dxa"/>
                  <w:tcBorders>
                    <w:tl2br w:val="nil"/>
                    <w:tr2bl w:val="nil"/>
                  </w:tcBorders>
                  <w:shd w:val="clear" w:color="auto" w:fill="auto"/>
                  <w:vAlign w:val="center"/>
                </w:tcPr>
                <w:p w14:paraId="175BAB43">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 xml:space="preserve">205990 </w:t>
                  </w:r>
                </w:p>
              </w:tc>
              <w:tc>
                <w:tcPr>
                  <w:tcW w:w="1219" w:type="dxa"/>
                  <w:tcBorders>
                    <w:right w:val="single" w:color="auto" w:sz="4" w:space="0"/>
                    <w:tl2br w:val="nil"/>
                    <w:tr2bl w:val="nil"/>
                  </w:tcBorders>
                  <w:shd w:val="clear" w:color="auto" w:fill="auto"/>
                  <w:vAlign w:val="center"/>
                </w:tcPr>
                <w:p w14:paraId="360BB5C3">
                  <w:pPr>
                    <w:pStyle w:val="17"/>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r>
            <w:tr w14:paraId="26772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dxa"/>
                  <w:vMerge w:val="restart"/>
                  <w:tcBorders>
                    <w:left w:val="single" w:color="auto" w:sz="4" w:space="0"/>
                    <w:tl2br w:val="nil"/>
                    <w:tr2bl w:val="nil"/>
                  </w:tcBorders>
                  <w:shd w:val="clear" w:color="auto" w:fill="auto"/>
                  <w:vAlign w:val="center"/>
                </w:tcPr>
                <w:p w14:paraId="395CBAB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废气</w:t>
                  </w:r>
                </w:p>
              </w:tc>
              <w:tc>
                <w:tcPr>
                  <w:tcW w:w="1237" w:type="dxa"/>
                  <w:tcBorders>
                    <w:tl2br w:val="nil"/>
                    <w:tr2bl w:val="nil"/>
                  </w:tcBorders>
                  <w:shd w:val="clear" w:color="auto" w:fill="auto"/>
                  <w:vAlign w:val="center"/>
                </w:tcPr>
                <w:p w14:paraId="5CDD5C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N</w:t>
                  </w:r>
                  <w:r>
                    <w:rPr>
                      <w:rFonts w:hint="default" w:ascii="Times New Roman" w:hAnsi="Times New Roman" w:cs="Times New Roman"/>
                      <w:i w:val="0"/>
                      <w:iCs w:val="0"/>
                      <w:color w:val="auto"/>
                      <w:kern w:val="0"/>
                      <w:sz w:val="21"/>
                      <w:szCs w:val="21"/>
                      <w:u w:val="none"/>
                      <w:vertAlign w:val="baseline"/>
                      <w:lang w:val="en-US" w:eastAsia="zh-CN" w:bidi="ar"/>
                    </w:rPr>
                    <w:t>H</w:t>
                  </w:r>
                  <w:r>
                    <w:rPr>
                      <w:rFonts w:hint="default" w:ascii="Times New Roman" w:hAnsi="Times New Roman" w:cs="Times New Roman"/>
                      <w:i w:val="0"/>
                      <w:iCs w:val="0"/>
                      <w:color w:val="auto"/>
                      <w:kern w:val="0"/>
                      <w:sz w:val="21"/>
                      <w:szCs w:val="21"/>
                      <w:u w:val="none"/>
                      <w:vertAlign w:val="subscript"/>
                      <w:lang w:val="en-US" w:eastAsia="zh-CN" w:bidi="ar"/>
                    </w:rPr>
                    <w:t>3</w:t>
                  </w:r>
                </w:p>
              </w:tc>
              <w:tc>
                <w:tcPr>
                  <w:tcW w:w="1340" w:type="dxa"/>
                  <w:tcBorders>
                    <w:tl2br w:val="nil"/>
                    <w:tr2bl w:val="nil"/>
                  </w:tcBorders>
                  <w:shd w:val="clear" w:color="auto" w:fill="auto"/>
                  <w:vAlign w:val="center"/>
                </w:tcPr>
                <w:p w14:paraId="03804038">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0.043</w:t>
                  </w:r>
                </w:p>
              </w:tc>
              <w:tc>
                <w:tcPr>
                  <w:tcW w:w="1216" w:type="dxa"/>
                  <w:tcBorders>
                    <w:tl2br w:val="nil"/>
                    <w:tr2bl w:val="nil"/>
                  </w:tcBorders>
                  <w:shd w:val="clear" w:color="auto" w:fill="auto"/>
                  <w:noWrap/>
                  <w:vAlign w:val="center"/>
                </w:tcPr>
                <w:p w14:paraId="03E5976B">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0.140</w:t>
                  </w:r>
                </w:p>
              </w:tc>
              <w:tc>
                <w:tcPr>
                  <w:tcW w:w="1232" w:type="dxa"/>
                  <w:tcBorders>
                    <w:tl2br w:val="nil"/>
                    <w:tr2bl w:val="nil"/>
                  </w:tcBorders>
                  <w:shd w:val="clear" w:color="auto" w:fill="auto"/>
                  <w:vAlign w:val="center"/>
                </w:tcPr>
                <w:p w14:paraId="0C1163FE">
                  <w:pPr>
                    <w:pStyle w:val="1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0.237</w:t>
                  </w:r>
                </w:p>
              </w:tc>
              <w:tc>
                <w:tcPr>
                  <w:tcW w:w="1232" w:type="dxa"/>
                  <w:tcBorders>
                    <w:tl2br w:val="nil"/>
                    <w:tr2bl w:val="nil"/>
                  </w:tcBorders>
                  <w:shd w:val="clear" w:color="auto" w:fill="auto"/>
                  <w:vAlign w:val="center"/>
                </w:tcPr>
                <w:p w14:paraId="26F59A41">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0.419</w:t>
                  </w:r>
                </w:p>
              </w:tc>
              <w:tc>
                <w:tcPr>
                  <w:tcW w:w="1219" w:type="dxa"/>
                  <w:tcBorders>
                    <w:right w:val="single" w:color="auto" w:sz="4" w:space="0"/>
                    <w:tl2br w:val="nil"/>
                    <w:tr2bl w:val="nil"/>
                  </w:tcBorders>
                  <w:shd w:val="clear" w:color="auto" w:fill="auto"/>
                  <w:vAlign w:val="center"/>
                </w:tcPr>
                <w:p w14:paraId="4C0E00F2">
                  <w:pPr>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w:t>
                  </w:r>
                </w:p>
              </w:tc>
            </w:tr>
            <w:tr w14:paraId="77CD5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dxa"/>
                  <w:vMerge w:val="continue"/>
                  <w:tcBorders>
                    <w:left w:val="single" w:color="auto" w:sz="4" w:space="0"/>
                    <w:tl2br w:val="nil"/>
                    <w:tr2bl w:val="nil"/>
                  </w:tcBorders>
                  <w:shd w:val="clear" w:color="auto" w:fill="auto"/>
                  <w:vAlign w:val="center"/>
                </w:tcPr>
                <w:p w14:paraId="51C03416">
                  <w:pPr>
                    <w:jc w:val="center"/>
                    <w:rPr>
                      <w:rFonts w:hint="default" w:ascii="Times New Roman" w:hAnsi="Times New Roman" w:eastAsia="宋体" w:cs="Times New Roman"/>
                      <w:b/>
                      <w:bCs/>
                      <w:i w:val="0"/>
                      <w:iCs w:val="0"/>
                      <w:color w:val="auto"/>
                      <w:sz w:val="21"/>
                      <w:szCs w:val="21"/>
                      <w:u w:val="none"/>
                    </w:rPr>
                  </w:pPr>
                </w:p>
              </w:tc>
              <w:tc>
                <w:tcPr>
                  <w:tcW w:w="1237" w:type="dxa"/>
                  <w:tcBorders>
                    <w:tl2br w:val="nil"/>
                    <w:tr2bl w:val="nil"/>
                  </w:tcBorders>
                  <w:shd w:val="clear" w:color="auto" w:fill="auto"/>
                  <w:vAlign w:val="center"/>
                </w:tcPr>
                <w:p w14:paraId="0FF673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i w:val="0"/>
                      <w:iCs w:val="0"/>
                      <w:color w:val="auto"/>
                      <w:kern w:val="0"/>
                      <w:sz w:val="21"/>
                      <w:szCs w:val="21"/>
                      <w:u w:val="none"/>
                      <w:vertAlign w:val="baseline"/>
                      <w:lang w:val="en-US" w:eastAsia="zh-CN" w:bidi="ar"/>
                    </w:rPr>
                    <w:t>H</w:t>
                  </w:r>
                  <w:r>
                    <w:rPr>
                      <w:rFonts w:hint="default" w:ascii="Times New Roman" w:hAnsi="Times New Roman" w:cs="Times New Roman"/>
                      <w:i w:val="0"/>
                      <w:iCs w:val="0"/>
                      <w:color w:val="auto"/>
                      <w:kern w:val="0"/>
                      <w:sz w:val="21"/>
                      <w:szCs w:val="21"/>
                      <w:u w:val="none"/>
                      <w:vertAlign w:val="sub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S</w:t>
                  </w:r>
                </w:p>
              </w:tc>
              <w:tc>
                <w:tcPr>
                  <w:tcW w:w="1340" w:type="dxa"/>
                  <w:tcBorders>
                    <w:tl2br w:val="nil"/>
                    <w:tr2bl w:val="nil"/>
                  </w:tcBorders>
                  <w:shd w:val="clear" w:color="auto" w:fill="auto"/>
                  <w:vAlign w:val="center"/>
                </w:tcPr>
                <w:p w14:paraId="7CFDE44E">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0.002</w:t>
                  </w:r>
                </w:p>
              </w:tc>
              <w:tc>
                <w:tcPr>
                  <w:tcW w:w="1216" w:type="dxa"/>
                  <w:tcBorders>
                    <w:tl2br w:val="nil"/>
                    <w:tr2bl w:val="nil"/>
                  </w:tcBorders>
                  <w:shd w:val="clear" w:color="auto" w:fill="auto"/>
                  <w:noWrap/>
                  <w:vAlign w:val="center"/>
                </w:tcPr>
                <w:p w14:paraId="73E366F8">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0.005</w:t>
                  </w:r>
                </w:p>
              </w:tc>
              <w:tc>
                <w:tcPr>
                  <w:tcW w:w="1232" w:type="dxa"/>
                  <w:tcBorders>
                    <w:tl2br w:val="nil"/>
                    <w:tr2bl w:val="nil"/>
                  </w:tcBorders>
                  <w:shd w:val="clear" w:color="auto" w:fill="auto"/>
                  <w:vAlign w:val="center"/>
                </w:tcPr>
                <w:p w14:paraId="192CE99A">
                  <w:pPr>
                    <w:pStyle w:val="1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0.009</w:t>
                  </w:r>
                </w:p>
              </w:tc>
              <w:tc>
                <w:tcPr>
                  <w:tcW w:w="1232" w:type="dxa"/>
                  <w:tcBorders>
                    <w:tl2br w:val="nil"/>
                    <w:tr2bl w:val="nil"/>
                  </w:tcBorders>
                  <w:shd w:val="clear" w:color="auto" w:fill="auto"/>
                  <w:vAlign w:val="center"/>
                </w:tcPr>
                <w:p w14:paraId="1EFFF53A">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0.016</w:t>
                  </w:r>
                </w:p>
              </w:tc>
              <w:tc>
                <w:tcPr>
                  <w:tcW w:w="1219" w:type="dxa"/>
                  <w:tcBorders>
                    <w:right w:val="single" w:color="auto" w:sz="4" w:space="0"/>
                    <w:tl2br w:val="nil"/>
                    <w:tr2bl w:val="nil"/>
                  </w:tcBorders>
                  <w:shd w:val="clear" w:color="auto" w:fill="auto"/>
                  <w:vAlign w:val="center"/>
                </w:tcPr>
                <w:p w14:paraId="4183BA86">
                  <w:pPr>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w:t>
                  </w:r>
                </w:p>
              </w:tc>
            </w:tr>
            <w:tr w14:paraId="738BF8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4" w:type="dxa"/>
                  <w:vMerge w:val="restart"/>
                  <w:tcBorders>
                    <w:left w:val="single" w:color="auto" w:sz="4" w:space="0"/>
                    <w:tl2br w:val="nil"/>
                    <w:tr2bl w:val="nil"/>
                  </w:tcBorders>
                  <w:shd w:val="clear" w:color="auto" w:fill="auto"/>
                  <w:vAlign w:val="center"/>
                </w:tcPr>
                <w:p w14:paraId="60038AF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固体废物</w:t>
                  </w:r>
                </w:p>
              </w:tc>
              <w:tc>
                <w:tcPr>
                  <w:tcW w:w="1237" w:type="dxa"/>
                  <w:tcBorders>
                    <w:tl2br w:val="nil"/>
                    <w:tr2bl w:val="nil"/>
                  </w:tcBorders>
                  <w:shd w:val="clear" w:color="auto" w:fill="auto"/>
                  <w:vAlign w:val="center"/>
                </w:tcPr>
                <w:p w14:paraId="5862E3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生活垃圾</w:t>
                  </w:r>
                </w:p>
              </w:tc>
              <w:tc>
                <w:tcPr>
                  <w:tcW w:w="1340" w:type="dxa"/>
                  <w:tcBorders>
                    <w:tl2br w:val="nil"/>
                    <w:tr2bl w:val="nil"/>
                  </w:tcBorders>
                  <w:shd w:val="clear" w:color="auto" w:fill="auto"/>
                  <w:noWrap/>
                  <w:vAlign w:val="center"/>
                </w:tcPr>
                <w:p w14:paraId="4F8176B0">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3.3</w:t>
                  </w:r>
                </w:p>
              </w:tc>
              <w:tc>
                <w:tcPr>
                  <w:tcW w:w="1216" w:type="dxa"/>
                  <w:tcBorders>
                    <w:tl2br w:val="nil"/>
                    <w:tr2bl w:val="nil"/>
                  </w:tcBorders>
                  <w:shd w:val="clear" w:color="auto" w:fill="auto"/>
                  <w:noWrap/>
                  <w:vAlign w:val="center"/>
                </w:tcPr>
                <w:p w14:paraId="4EA72064">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3.3</w:t>
                  </w:r>
                </w:p>
              </w:tc>
              <w:tc>
                <w:tcPr>
                  <w:tcW w:w="1232" w:type="dxa"/>
                  <w:tcBorders>
                    <w:tl2br w:val="nil"/>
                    <w:tr2bl w:val="nil"/>
                  </w:tcBorders>
                  <w:shd w:val="clear" w:color="auto" w:fill="auto"/>
                  <w:vAlign w:val="center"/>
                </w:tcPr>
                <w:p w14:paraId="7D2196CA">
                  <w:pPr>
                    <w:pStyle w:val="1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0.9</w:t>
                  </w:r>
                </w:p>
              </w:tc>
              <w:tc>
                <w:tcPr>
                  <w:tcW w:w="1232" w:type="dxa"/>
                  <w:tcBorders>
                    <w:tl2br w:val="nil"/>
                    <w:tr2bl w:val="nil"/>
                  </w:tcBorders>
                  <w:shd w:val="clear" w:color="auto" w:fill="auto"/>
                  <w:vAlign w:val="center"/>
                </w:tcPr>
                <w:p w14:paraId="6BB997FE">
                  <w:pPr>
                    <w:pStyle w:val="17"/>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7.5</w:t>
                  </w:r>
                </w:p>
              </w:tc>
              <w:tc>
                <w:tcPr>
                  <w:tcW w:w="1219" w:type="dxa"/>
                  <w:tcBorders>
                    <w:right w:val="single" w:color="auto" w:sz="4" w:space="0"/>
                    <w:tl2br w:val="nil"/>
                    <w:tr2bl w:val="nil"/>
                  </w:tcBorders>
                  <w:shd w:val="clear" w:color="auto" w:fill="auto"/>
                  <w:vAlign w:val="center"/>
                </w:tcPr>
                <w:p w14:paraId="1F7F0D41">
                  <w:pPr>
                    <w:bidi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w:t>
                  </w:r>
                </w:p>
              </w:tc>
            </w:tr>
            <w:tr w14:paraId="3E1EA0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dxa"/>
                  <w:vMerge w:val="continue"/>
                  <w:tcBorders>
                    <w:left w:val="single" w:color="auto" w:sz="4" w:space="0"/>
                    <w:tl2br w:val="nil"/>
                    <w:tr2bl w:val="nil"/>
                  </w:tcBorders>
                  <w:shd w:val="clear" w:color="auto" w:fill="auto"/>
                  <w:vAlign w:val="center"/>
                </w:tcPr>
                <w:p w14:paraId="4190EB37">
                  <w:pPr>
                    <w:jc w:val="center"/>
                    <w:rPr>
                      <w:rFonts w:hint="default" w:ascii="Times New Roman" w:hAnsi="Times New Roman" w:eastAsia="宋体" w:cs="Times New Roman"/>
                      <w:i w:val="0"/>
                      <w:iCs w:val="0"/>
                      <w:color w:val="auto"/>
                      <w:sz w:val="21"/>
                      <w:szCs w:val="21"/>
                      <w:u w:val="none"/>
                    </w:rPr>
                  </w:pPr>
                </w:p>
              </w:tc>
              <w:tc>
                <w:tcPr>
                  <w:tcW w:w="1237" w:type="dxa"/>
                  <w:tcBorders>
                    <w:tl2br w:val="nil"/>
                    <w:tr2bl w:val="nil"/>
                  </w:tcBorders>
                  <w:shd w:val="clear" w:color="auto" w:fill="auto"/>
                  <w:vAlign w:val="center"/>
                </w:tcPr>
                <w:p w14:paraId="781BD0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栅渣</w:t>
                  </w:r>
                </w:p>
              </w:tc>
              <w:tc>
                <w:tcPr>
                  <w:tcW w:w="1340" w:type="dxa"/>
                  <w:tcBorders>
                    <w:tl2br w:val="nil"/>
                    <w:tr2bl w:val="nil"/>
                  </w:tcBorders>
                  <w:shd w:val="clear" w:color="auto" w:fill="auto"/>
                  <w:vAlign w:val="center"/>
                </w:tcPr>
                <w:p w14:paraId="4A974D24">
                  <w:pPr>
                    <w:pStyle w:val="1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1216" w:type="dxa"/>
                  <w:tcBorders>
                    <w:tl2br w:val="nil"/>
                    <w:tr2bl w:val="nil"/>
                  </w:tcBorders>
                  <w:shd w:val="clear" w:color="auto" w:fill="auto"/>
                  <w:noWrap/>
                  <w:vAlign w:val="center"/>
                </w:tcPr>
                <w:p w14:paraId="3C958A57">
                  <w:pPr>
                    <w:pStyle w:val="1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38</w:t>
                  </w:r>
                </w:p>
              </w:tc>
              <w:tc>
                <w:tcPr>
                  <w:tcW w:w="1232" w:type="dxa"/>
                  <w:tcBorders>
                    <w:tl2br w:val="nil"/>
                    <w:tr2bl w:val="nil"/>
                  </w:tcBorders>
                  <w:shd w:val="clear" w:color="auto" w:fill="auto"/>
                  <w:vAlign w:val="center"/>
                </w:tcPr>
                <w:p w14:paraId="3B63E88E">
                  <w:pPr>
                    <w:pStyle w:val="1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w:t>
                  </w:r>
                </w:p>
              </w:tc>
              <w:tc>
                <w:tcPr>
                  <w:tcW w:w="1232" w:type="dxa"/>
                  <w:tcBorders>
                    <w:tl2br w:val="nil"/>
                    <w:tr2bl w:val="nil"/>
                  </w:tcBorders>
                  <w:shd w:val="clear" w:color="auto" w:fill="auto"/>
                  <w:vAlign w:val="center"/>
                </w:tcPr>
                <w:p w14:paraId="328E3D27">
                  <w:pPr>
                    <w:pStyle w:val="17"/>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85</w:t>
                  </w:r>
                </w:p>
              </w:tc>
              <w:tc>
                <w:tcPr>
                  <w:tcW w:w="1219" w:type="dxa"/>
                  <w:tcBorders>
                    <w:right w:val="single" w:color="auto" w:sz="4" w:space="0"/>
                    <w:tl2br w:val="nil"/>
                    <w:tr2bl w:val="nil"/>
                  </w:tcBorders>
                  <w:shd w:val="clear" w:color="auto" w:fill="auto"/>
                  <w:vAlign w:val="center"/>
                </w:tcPr>
                <w:p w14:paraId="79A24B06">
                  <w:pPr>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0</w:t>
                  </w:r>
                </w:p>
              </w:tc>
            </w:tr>
            <w:tr w14:paraId="0E6B8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dxa"/>
                  <w:vMerge w:val="continue"/>
                  <w:tcBorders>
                    <w:left w:val="single" w:color="auto" w:sz="4" w:space="0"/>
                    <w:tl2br w:val="nil"/>
                    <w:tr2bl w:val="nil"/>
                  </w:tcBorders>
                  <w:shd w:val="clear" w:color="auto" w:fill="auto"/>
                  <w:vAlign w:val="center"/>
                </w:tcPr>
                <w:p w14:paraId="255884E0">
                  <w:pPr>
                    <w:jc w:val="center"/>
                    <w:rPr>
                      <w:rFonts w:hint="default" w:ascii="Times New Roman" w:hAnsi="Times New Roman" w:eastAsia="宋体" w:cs="Times New Roman"/>
                      <w:i w:val="0"/>
                      <w:iCs w:val="0"/>
                      <w:color w:val="auto"/>
                      <w:sz w:val="21"/>
                      <w:szCs w:val="21"/>
                      <w:u w:val="none"/>
                    </w:rPr>
                  </w:pPr>
                </w:p>
              </w:tc>
              <w:tc>
                <w:tcPr>
                  <w:tcW w:w="1237" w:type="dxa"/>
                  <w:tcBorders>
                    <w:tl2br w:val="nil"/>
                    <w:tr2bl w:val="nil"/>
                  </w:tcBorders>
                  <w:shd w:val="clear" w:color="auto" w:fill="auto"/>
                  <w:vAlign w:val="center"/>
                </w:tcPr>
                <w:p w14:paraId="4DAE46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沉砂</w:t>
                  </w:r>
                </w:p>
              </w:tc>
              <w:tc>
                <w:tcPr>
                  <w:tcW w:w="1340" w:type="dxa"/>
                  <w:tcBorders>
                    <w:tl2br w:val="nil"/>
                    <w:tr2bl w:val="nil"/>
                  </w:tcBorders>
                  <w:shd w:val="clear" w:color="auto" w:fill="auto"/>
                  <w:vAlign w:val="center"/>
                </w:tcPr>
                <w:p w14:paraId="6B236C38">
                  <w:pPr>
                    <w:pStyle w:val="1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1216" w:type="dxa"/>
                  <w:tcBorders>
                    <w:tl2br w:val="nil"/>
                    <w:tr2bl w:val="nil"/>
                  </w:tcBorders>
                  <w:shd w:val="clear" w:color="auto" w:fill="auto"/>
                  <w:noWrap/>
                  <w:vAlign w:val="center"/>
                </w:tcPr>
                <w:p w14:paraId="52335D05">
                  <w:pPr>
                    <w:pStyle w:val="1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38</w:t>
                  </w:r>
                </w:p>
              </w:tc>
              <w:tc>
                <w:tcPr>
                  <w:tcW w:w="1232" w:type="dxa"/>
                  <w:tcBorders>
                    <w:tl2br w:val="nil"/>
                    <w:tr2bl w:val="nil"/>
                  </w:tcBorders>
                  <w:shd w:val="clear" w:color="auto" w:fill="auto"/>
                  <w:vAlign w:val="center"/>
                </w:tcPr>
                <w:p w14:paraId="1F11753F">
                  <w:pPr>
                    <w:pStyle w:val="1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w:t>
                  </w:r>
                </w:p>
              </w:tc>
              <w:tc>
                <w:tcPr>
                  <w:tcW w:w="1232" w:type="dxa"/>
                  <w:tcBorders>
                    <w:tl2br w:val="nil"/>
                    <w:tr2bl w:val="nil"/>
                  </w:tcBorders>
                  <w:shd w:val="clear" w:color="auto" w:fill="auto"/>
                  <w:vAlign w:val="center"/>
                </w:tcPr>
                <w:p w14:paraId="16A87F70">
                  <w:pPr>
                    <w:pStyle w:val="17"/>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85</w:t>
                  </w:r>
                </w:p>
              </w:tc>
              <w:tc>
                <w:tcPr>
                  <w:tcW w:w="1219" w:type="dxa"/>
                  <w:tcBorders>
                    <w:right w:val="single" w:color="auto" w:sz="4" w:space="0"/>
                    <w:tl2br w:val="nil"/>
                    <w:tr2bl w:val="nil"/>
                  </w:tcBorders>
                  <w:shd w:val="clear" w:color="auto" w:fill="auto"/>
                  <w:vAlign w:val="center"/>
                </w:tcPr>
                <w:p w14:paraId="4FF2D02C">
                  <w:pPr>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0</w:t>
                  </w:r>
                </w:p>
              </w:tc>
            </w:tr>
            <w:tr w14:paraId="587E4A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4" w:type="dxa"/>
                  <w:vMerge w:val="continue"/>
                  <w:tcBorders>
                    <w:left w:val="single" w:color="auto" w:sz="4" w:space="0"/>
                    <w:bottom w:val="single" w:color="auto" w:sz="4" w:space="0"/>
                    <w:tl2br w:val="nil"/>
                    <w:tr2bl w:val="nil"/>
                  </w:tcBorders>
                  <w:shd w:val="clear" w:color="auto" w:fill="auto"/>
                  <w:vAlign w:val="center"/>
                </w:tcPr>
                <w:p w14:paraId="6C269BF1">
                  <w:pPr>
                    <w:jc w:val="center"/>
                    <w:rPr>
                      <w:rFonts w:hint="default" w:ascii="Times New Roman" w:hAnsi="Times New Roman" w:eastAsia="宋体" w:cs="Times New Roman"/>
                      <w:i w:val="0"/>
                      <w:iCs w:val="0"/>
                      <w:color w:val="auto"/>
                      <w:sz w:val="21"/>
                      <w:szCs w:val="21"/>
                      <w:u w:val="none"/>
                    </w:rPr>
                  </w:pPr>
                </w:p>
              </w:tc>
              <w:tc>
                <w:tcPr>
                  <w:tcW w:w="1237" w:type="dxa"/>
                  <w:tcBorders>
                    <w:bottom w:val="single" w:color="auto" w:sz="4" w:space="0"/>
                    <w:tl2br w:val="nil"/>
                    <w:tr2bl w:val="nil"/>
                  </w:tcBorders>
                  <w:shd w:val="clear" w:color="auto" w:fill="auto"/>
                  <w:vAlign w:val="center"/>
                </w:tcPr>
                <w:p w14:paraId="3197A8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污泥</w:t>
                  </w:r>
                </w:p>
              </w:tc>
              <w:tc>
                <w:tcPr>
                  <w:tcW w:w="1340" w:type="dxa"/>
                  <w:tcBorders>
                    <w:bottom w:val="single" w:color="auto" w:sz="4" w:space="0"/>
                    <w:tl2br w:val="nil"/>
                    <w:tr2bl w:val="nil"/>
                  </w:tcBorders>
                  <w:shd w:val="clear" w:color="auto" w:fill="auto"/>
                  <w:vAlign w:val="center"/>
                </w:tcPr>
                <w:p w14:paraId="7DAEEE52">
                  <w:pPr>
                    <w:pStyle w:val="1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530</w:t>
                  </w:r>
                </w:p>
              </w:tc>
              <w:tc>
                <w:tcPr>
                  <w:tcW w:w="1216" w:type="dxa"/>
                  <w:tcBorders>
                    <w:bottom w:val="single" w:color="auto" w:sz="4" w:space="0"/>
                    <w:tl2br w:val="nil"/>
                    <w:tr2bl w:val="nil"/>
                  </w:tcBorders>
                  <w:shd w:val="clear" w:color="auto" w:fill="auto"/>
                  <w:noWrap/>
                  <w:vAlign w:val="center"/>
                </w:tcPr>
                <w:p w14:paraId="2507C800">
                  <w:pPr>
                    <w:pStyle w:val="1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2195</w:t>
                  </w:r>
                </w:p>
              </w:tc>
              <w:tc>
                <w:tcPr>
                  <w:tcW w:w="1232" w:type="dxa"/>
                  <w:tcBorders>
                    <w:bottom w:val="single" w:color="auto" w:sz="4" w:space="0"/>
                    <w:tl2br w:val="nil"/>
                    <w:tr2bl w:val="nil"/>
                  </w:tcBorders>
                  <w:shd w:val="clear" w:color="auto" w:fill="auto"/>
                  <w:vAlign w:val="center"/>
                </w:tcPr>
                <w:p w14:paraId="5FF5661E">
                  <w:pPr>
                    <w:pStyle w:val="17"/>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980</w:t>
                  </w:r>
                </w:p>
              </w:tc>
              <w:tc>
                <w:tcPr>
                  <w:tcW w:w="1232" w:type="dxa"/>
                  <w:tcBorders>
                    <w:bottom w:val="single" w:color="auto" w:sz="4" w:space="0"/>
                    <w:tl2br w:val="nil"/>
                    <w:tr2bl w:val="nil"/>
                  </w:tcBorders>
                  <w:shd w:val="clear" w:color="auto" w:fill="auto"/>
                  <w:vAlign w:val="center"/>
                </w:tcPr>
                <w:p w14:paraId="2C18EFA6">
                  <w:pPr>
                    <w:pStyle w:val="17"/>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3705</w:t>
                  </w:r>
                </w:p>
              </w:tc>
              <w:tc>
                <w:tcPr>
                  <w:tcW w:w="1219" w:type="dxa"/>
                  <w:tcBorders>
                    <w:bottom w:val="single" w:color="auto" w:sz="4" w:space="0"/>
                    <w:right w:val="single" w:color="auto" w:sz="4" w:space="0"/>
                    <w:tl2br w:val="nil"/>
                    <w:tr2bl w:val="nil"/>
                  </w:tcBorders>
                  <w:shd w:val="clear" w:color="auto" w:fill="auto"/>
                  <w:vAlign w:val="center"/>
                </w:tcPr>
                <w:p w14:paraId="1A893CAE">
                  <w:pPr>
                    <w:bidi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0</w:t>
                  </w:r>
                </w:p>
              </w:tc>
            </w:tr>
          </w:tbl>
          <w:p w14:paraId="2F40EE19">
            <w:pPr>
              <w:spacing w:before="240"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8</w:t>
            </w:r>
            <w:r>
              <w:rPr>
                <w:rFonts w:hint="default" w:ascii="Times New Roman" w:hAnsi="Times New Roman" w:eastAsia="宋体" w:cs="Times New Roman"/>
                <w:b/>
                <w:bCs/>
                <w:color w:val="auto"/>
                <w:sz w:val="24"/>
                <w:highlight w:val="none"/>
              </w:rPr>
              <w:t>.环保投资估算</w:t>
            </w:r>
          </w:p>
          <w:p w14:paraId="68FB1177">
            <w:pPr>
              <w:snapToGrid w:val="0"/>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w:t>
            </w:r>
            <w:r>
              <w:rPr>
                <w:rFonts w:hint="default" w:ascii="Times New Roman" w:hAnsi="Times New Roman" w:cs="Times New Roman"/>
                <w:color w:val="auto"/>
                <w:sz w:val="24"/>
                <w:highlight w:val="none"/>
                <w:lang w:val="en-US" w:eastAsia="zh-CN"/>
              </w:rPr>
              <w:t>为污水厂三期扩建工程，</w:t>
            </w:r>
            <w:r>
              <w:rPr>
                <w:rFonts w:hint="default" w:ascii="Times New Roman" w:hAnsi="Times New Roman" w:eastAsia="宋体" w:cs="Times New Roman"/>
                <w:color w:val="auto"/>
                <w:sz w:val="24"/>
                <w:highlight w:val="none"/>
              </w:rPr>
              <w:t>总投资为</w:t>
            </w:r>
            <w:r>
              <w:rPr>
                <w:rFonts w:hint="default" w:ascii="Times New Roman" w:hAnsi="Times New Roman" w:cs="Times New Roman"/>
                <w:color w:val="auto"/>
                <w:sz w:val="24"/>
                <w:highlight w:val="none"/>
                <w:lang w:val="en-US" w:eastAsia="zh-CN"/>
              </w:rPr>
              <w:t>6076.9</w:t>
            </w:r>
            <w:r>
              <w:rPr>
                <w:rFonts w:hint="default" w:ascii="Times New Roman" w:hAnsi="Times New Roman" w:eastAsia="宋体" w:cs="Times New Roman"/>
                <w:color w:val="auto"/>
                <w:sz w:val="24"/>
                <w:highlight w:val="none"/>
              </w:rPr>
              <w:t>万元，</w:t>
            </w:r>
            <w:r>
              <w:rPr>
                <w:rFonts w:hint="default" w:ascii="Times New Roman" w:hAnsi="Times New Roman" w:cs="Times New Roman"/>
                <w:color w:val="auto"/>
                <w:sz w:val="24"/>
                <w:highlight w:val="none"/>
                <w:lang w:val="en-US" w:eastAsia="zh-CN"/>
              </w:rPr>
              <w:t>其中</w:t>
            </w:r>
            <w:r>
              <w:rPr>
                <w:rFonts w:hint="default" w:ascii="Times New Roman" w:hAnsi="Times New Roman" w:eastAsia="宋体" w:cs="Times New Roman"/>
                <w:color w:val="auto"/>
                <w:sz w:val="24"/>
                <w:highlight w:val="none"/>
              </w:rPr>
              <w:t>环保投资</w:t>
            </w:r>
            <w:r>
              <w:rPr>
                <w:rFonts w:hint="default" w:ascii="Times New Roman" w:hAnsi="Times New Roman" w:cs="Times New Roman"/>
                <w:color w:val="auto"/>
                <w:sz w:val="24"/>
                <w:highlight w:val="none"/>
                <w:lang w:val="en-US" w:eastAsia="zh-CN"/>
              </w:rPr>
              <w:t>为1526万元，占总投资的25.11%</w:t>
            </w:r>
            <w:r>
              <w:rPr>
                <w:rFonts w:hint="default" w:ascii="Times New Roman" w:hAnsi="Times New Roman" w:eastAsia="宋体" w:cs="Times New Roman"/>
                <w:color w:val="auto"/>
                <w:sz w:val="24"/>
                <w:highlight w:val="none"/>
              </w:rPr>
              <w:t>。本项目属于环保项目，针对项目运行过程中产生的各类污染物治理过程的环保投资如下</w:t>
            </w:r>
            <w:r>
              <w:rPr>
                <w:rFonts w:hint="default" w:ascii="Times New Roman" w:hAnsi="Times New Roman" w:cs="Times New Roman"/>
                <w:color w:val="auto"/>
                <w:lang w:eastAsia="zh-CN"/>
              </w:rPr>
              <w:t>：</w:t>
            </w:r>
          </w:p>
          <w:p w14:paraId="0A65D878">
            <w:pPr>
              <w:spacing w:line="360" w:lineRule="auto"/>
              <w:jc w:val="center"/>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表</w:t>
            </w:r>
            <w:r>
              <w:rPr>
                <w:rFonts w:hint="default" w:ascii="Times New Roman" w:hAnsi="Times New Roman" w:cs="Times New Roman"/>
                <w:b/>
                <w:bCs w:val="0"/>
                <w:color w:val="auto"/>
                <w:sz w:val="24"/>
                <w:highlight w:val="none"/>
                <w:lang w:val="en-US" w:eastAsia="zh-CN"/>
              </w:rPr>
              <w:t>4-11</w:t>
            </w:r>
            <w:r>
              <w:rPr>
                <w:rFonts w:hint="default" w:ascii="Times New Roman" w:hAnsi="Times New Roman" w:eastAsia="宋体" w:cs="Times New Roman"/>
                <w:b/>
                <w:bCs w:val="0"/>
                <w:color w:val="auto"/>
                <w:sz w:val="24"/>
                <w:highlight w:val="none"/>
                <w:lang w:val="en-US" w:eastAsia="zh-CN"/>
              </w:rPr>
              <w:t xml:space="preserve"> </w:t>
            </w:r>
            <w:r>
              <w:rPr>
                <w:rFonts w:hint="default" w:ascii="Times New Roman" w:hAnsi="Times New Roman" w:cs="Times New Roman"/>
                <w:b/>
                <w:bCs w:val="0"/>
                <w:color w:val="auto"/>
                <w:sz w:val="24"/>
                <w:highlight w:val="none"/>
                <w:lang w:val="en-US" w:eastAsia="zh-CN"/>
              </w:rPr>
              <w:t>三期项目</w:t>
            </w:r>
            <w:r>
              <w:rPr>
                <w:rFonts w:hint="default" w:ascii="Times New Roman" w:hAnsi="Times New Roman" w:eastAsia="宋体" w:cs="Times New Roman"/>
                <w:b/>
                <w:bCs w:val="0"/>
                <w:color w:val="auto"/>
                <w:sz w:val="24"/>
                <w:highlight w:val="none"/>
                <w:lang w:val="en-US" w:eastAsia="zh-CN"/>
              </w:rPr>
              <w:t>环保投资一览表</w:t>
            </w:r>
          </w:p>
          <w:tbl>
            <w:tblPr>
              <w:tblStyle w:val="1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31"/>
              <w:gridCol w:w="4950"/>
              <w:gridCol w:w="1734"/>
            </w:tblGrid>
            <w:tr w14:paraId="788FFD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881" w:type="pct"/>
                  <w:tcBorders>
                    <w:top w:val="single" w:color="auto" w:sz="4" w:space="0"/>
                    <w:left w:val="single" w:color="auto" w:sz="0" w:space="0"/>
                  </w:tcBorders>
                  <w:noWrap w:val="0"/>
                  <w:vAlign w:val="center"/>
                </w:tcPr>
                <w:p w14:paraId="104C7435">
                  <w:pPr>
                    <w:pStyle w:val="17"/>
                    <w:bidi w:val="0"/>
                    <w:rPr>
                      <w:rFonts w:hint="default" w:ascii="Times New Roman" w:hAnsi="Times New Roman" w:cs="Times New Roman"/>
                      <w:color w:val="auto"/>
                    </w:rPr>
                  </w:pPr>
                  <w:r>
                    <w:rPr>
                      <w:rFonts w:hint="default" w:ascii="Times New Roman" w:hAnsi="Times New Roman" w:cs="Times New Roman"/>
                      <w:color w:val="auto"/>
                    </w:rPr>
                    <w:t>污染源</w:t>
                  </w:r>
                </w:p>
              </w:tc>
              <w:tc>
                <w:tcPr>
                  <w:tcW w:w="3049" w:type="pct"/>
                  <w:tcBorders>
                    <w:top w:val="single" w:color="auto" w:sz="4" w:space="0"/>
                  </w:tcBorders>
                  <w:noWrap w:val="0"/>
                  <w:vAlign w:val="center"/>
                </w:tcPr>
                <w:p w14:paraId="06D52966">
                  <w:pPr>
                    <w:pStyle w:val="17"/>
                    <w:bidi w:val="0"/>
                    <w:rPr>
                      <w:rFonts w:hint="default" w:ascii="Times New Roman" w:hAnsi="Times New Roman" w:cs="Times New Roman"/>
                      <w:color w:val="auto"/>
                    </w:rPr>
                  </w:pPr>
                  <w:r>
                    <w:rPr>
                      <w:rFonts w:hint="default" w:ascii="Times New Roman" w:hAnsi="Times New Roman" w:cs="Times New Roman"/>
                      <w:color w:val="auto"/>
                    </w:rPr>
                    <w:t>环保措施</w:t>
                  </w:r>
                </w:p>
              </w:tc>
              <w:tc>
                <w:tcPr>
                  <w:tcW w:w="1068" w:type="pct"/>
                  <w:tcBorders>
                    <w:top w:val="single" w:color="auto" w:sz="4" w:space="0"/>
                    <w:right w:val="single" w:color="auto" w:sz="4" w:space="0"/>
                  </w:tcBorders>
                  <w:noWrap w:val="0"/>
                  <w:vAlign w:val="center"/>
                </w:tcPr>
                <w:p w14:paraId="1EA932CE">
                  <w:pPr>
                    <w:pStyle w:val="17"/>
                    <w:bidi w:val="0"/>
                    <w:rPr>
                      <w:rFonts w:hint="default" w:ascii="Times New Roman" w:hAnsi="Times New Roman" w:cs="Times New Roman"/>
                      <w:color w:val="auto"/>
                    </w:rPr>
                  </w:pPr>
                  <w:r>
                    <w:rPr>
                      <w:rFonts w:hint="default" w:ascii="Times New Roman" w:hAnsi="Times New Roman" w:cs="Times New Roman"/>
                      <w:color w:val="auto"/>
                    </w:rPr>
                    <w:t>投资（万元）</w:t>
                  </w:r>
                </w:p>
              </w:tc>
            </w:tr>
            <w:tr w14:paraId="0A97EA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3" w:hRule="atLeast"/>
                <w:jc w:val="center"/>
              </w:trPr>
              <w:tc>
                <w:tcPr>
                  <w:tcW w:w="881" w:type="pct"/>
                  <w:tcBorders>
                    <w:left w:val="single" w:color="auto" w:sz="4" w:space="0"/>
                  </w:tcBorders>
                  <w:noWrap w:val="0"/>
                  <w:vAlign w:val="center"/>
                </w:tcPr>
                <w:p w14:paraId="1EB09E35">
                  <w:pPr>
                    <w:pStyle w:val="17"/>
                    <w:bidi w:val="0"/>
                    <w:rPr>
                      <w:rFonts w:hint="default" w:ascii="Times New Roman" w:hAnsi="Times New Roman" w:cs="Times New Roman"/>
                      <w:color w:val="auto"/>
                    </w:rPr>
                  </w:pPr>
                  <w:r>
                    <w:rPr>
                      <w:rFonts w:hint="default" w:ascii="Times New Roman" w:hAnsi="Times New Roman" w:cs="Times New Roman"/>
                      <w:color w:val="auto"/>
                    </w:rPr>
                    <w:t>废气</w:t>
                  </w:r>
                </w:p>
              </w:tc>
              <w:tc>
                <w:tcPr>
                  <w:tcW w:w="3049" w:type="pct"/>
                  <w:noWrap w:val="0"/>
                  <w:vAlign w:val="center"/>
                </w:tcPr>
                <w:p w14:paraId="782A07F2">
                  <w:pPr>
                    <w:pStyle w:val="17"/>
                    <w:bidi w:val="0"/>
                    <w:rPr>
                      <w:rFonts w:hint="default" w:ascii="Times New Roman" w:hAnsi="Times New Roman" w:cs="Times New Roman"/>
                      <w:color w:val="auto"/>
                    </w:rPr>
                  </w:pPr>
                  <w:r>
                    <w:rPr>
                      <w:rFonts w:hint="default" w:ascii="Times New Roman" w:hAnsi="Times New Roman" w:cs="Times New Roman"/>
                      <w:color w:val="auto"/>
                      <w:lang w:val="en-US" w:eastAsia="zh-CN"/>
                    </w:rPr>
                    <w:t>全封闭厂房+高效除臭微生物全过程除臭设备</w:t>
                  </w:r>
                  <w:r>
                    <w:rPr>
                      <w:rFonts w:hint="default" w:ascii="Times New Roman" w:hAnsi="Times New Roman" w:cs="Times New Roman"/>
                      <w:color w:val="auto"/>
                    </w:rPr>
                    <w:t>1套</w:t>
                  </w:r>
                </w:p>
              </w:tc>
              <w:tc>
                <w:tcPr>
                  <w:tcW w:w="1068" w:type="pct"/>
                  <w:tcBorders>
                    <w:right w:val="single" w:color="auto" w:sz="4" w:space="0"/>
                  </w:tcBorders>
                  <w:noWrap w:val="0"/>
                  <w:vAlign w:val="center"/>
                </w:tcPr>
                <w:p w14:paraId="743A2480">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1250</w:t>
                  </w:r>
                </w:p>
              </w:tc>
            </w:tr>
            <w:tr w14:paraId="016DE5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881" w:type="pct"/>
                  <w:tcBorders>
                    <w:left w:val="single" w:color="auto" w:sz="4" w:space="0"/>
                  </w:tcBorders>
                  <w:noWrap w:val="0"/>
                  <w:vAlign w:val="center"/>
                </w:tcPr>
                <w:p w14:paraId="64206EBB">
                  <w:pPr>
                    <w:pStyle w:val="17"/>
                    <w:bidi w:val="0"/>
                    <w:rPr>
                      <w:rFonts w:hint="default" w:ascii="Times New Roman" w:hAnsi="Times New Roman" w:cs="Times New Roman"/>
                      <w:color w:val="auto"/>
                    </w:rPr>
                  </w:pPr>
                  <w:r>
                    <w:rPr>
                      <w:rFonts w:hint="default" w:ascii="Times New Roman" w:hAnsi="Times New Roman" w:cs="Times New Roman"/>
                      <w:color w:val="auto"/>
                    </w:rPr>
                    <w:t>废水</w:t>
                  </w:r>
                </w:p>
              </w:tc>
              <w:tc>
                <w:tcPr>
                  <w:tcW w:w="3049" w:type="pct"/>
                  <w:shd w:val="clear" w:color="auto" w:fill="auto"/>
                  <w:noWrap w:val="0"/>
                  <w:vAlign w:val="center"/>
                </w:tcPr>
                <w:p w14:paraId="1FC8CBFC">
                  <w:pPr>
                    <w:pStyle w:val="17"/>
                    <w:bidi w:val="0"/>
                    <w:rPr>
                      <w:rFonts w:hint="default" w:ascii="Times New Roman" w:hAnsi="Times New Roman" w:cs="Times New Roman"/>
                      <w:color w:val="auto"/>
                    </w:rPr>
                  </w:pPr>
                  <w:r>
                    <w:rPr>
                      <w:rFonts w:hint="eastAsia" w:cs="Times New Roman"/>
                      <w:color w:val="auto"/>
                      <w:lang w:eastAsia="zh-CN"/>
                    </w:rPr>
                    <w:t>对</w:t>
                  </w:r>
                  <w:r>
                    <w:rPr>
                      <w:rFonts w:hint="default" w:ascii="Times New Roman" w:hAnsi="Times New Roman" w:cs="Times New Roman"/>
                      <w:color w:val="auto"/>
                    </w:rPr>
                    <w:t>各个池体、污水管网进行防渗设置，渗透系数</w:t>
                  </w:r>
                </w:p>
                <w:p w14:paraId="7F7FC245">
                  <w:pPr>
                    <w:pStyle w:val="17"/>
                    <w:bidi w:val="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rPr>
                    <w:t>小于1×10</w:t>
                  </w:r>
                  <w:r>
                    <w:rPr>
                      <w:rFonts w:hint="default" w:ascii="Times New Roman" w:hAnsi="Times New Roman" w:cs="Times New Roman"/>
                      <w:color w:val="auto"/>
                      <w:vertAlign w:val="superscript"/>
                    </w:rPr>
                    <w:t>-7</w:t>
                  </w:r>
                  <w:r>
                    <w:rPr>
                      <w:rFonts w:hint="default" w:ascii="Times New Roman" w:hAnsi="Times New Roman" w:cs="Times New Roman"/>
                      <w:color w:val="auto"/>
                    </w:rPr>
                    <w:t>c</w:t>
                  </w:r>
                  <w:r>
                    <w:rPr>
                      <w:rFonts w:hint="default" w:ascii="Times New Roman" w:hAnsi="Times New Roman" w:cs="Times New Roman"/>
                      <w:color w:val="auto"/>
                      <w:lang w:eastAsia="zh-CN"/>
                    </w:rPr>
                    <w:t>m</w:t>
                  </w:r>
                  <w:r>
                    <w:rPr>
                      <w:rFonts w:hint="default" w:ascii="Times New Roman" w:hAnsi="Times New Roman" w:cs="Times New Roman"/>
                      <w:color w:val="auto"/>
                    </w:rPr>
                    <w:t>/s</w:t>
                  </w:r>
                </w:p>
              </w:tc>
              <w:tc>
                <w:tcPr>
                  <w:tcW w:w="1068" w:type="pct"/>
                  <w:tcBorders>
                    <w:right w:val="single" w:color="auto" w:sz="4" w:space="0"/>
                  </w:tcBorders>
                  <w:shd w:val="clear" w:color="auto" w:fill="auto"/>
                  <w:noWrap w:val="0"/>
                  <w:vAlign w:val="center"/>
                </w:tcPr>
                <w:p w14:paraId="062BDB21">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200</w:t>
                  </w:r>
                </w:p>
              </w:tc>
            </w:tr>
            <w:tr w14:paraId="5CF6ED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881" w:type="pct"/>
                  <w:tcBorders>
                    <w:left w:val="single" w:color="auto" w:sz="4" w:space="0"/>
                  </w:tcBorders>
                  <w:noWrap w:val="0"/>
                  <w:vAlign w:val="center"/>
                </w:tcPr>
                <w:p w14:paraId="40997D58">
                  <w:pPr>
                    <w:pStyle w:val="17"/>
                    <w:bidi w:val="0"/>
                    <w:rPr>
                      <w:rFonts w:hint="default" w:ascii="Times New Roman" w:hAnsi="Times New Roman" w:cs="Times New Roman"/>
                      <w:color w:val="auto"/>
                    </w:rPr>
                  </w:pPr>
                  <w:r>
                    <w:rPr>
                      <w:rFonts w:hint="default" w:ascii="Times New Roman" w:hAnsi="Times New Roman" w:cs="Times New Roman"/>
                      <w:color w:val="auto"/>
                    </w:rPr>
                    <w:t>噪声治理</w:t>
                  </w:r>
                </w:p>
              </w:tc>
              <w:tc>
                <w:tcPr>
                  <w:tcW w:w="3049" w:type="pct"/>
                  <w:noWrap w:val="0"/>
                  <w:vAlign w:val="center"/>
                </w:tcPr>
                <w:p w14:paraId="37B8D770">
                  <w:pPr>
                    <w:pStyle w:val="17"/>
                    <w:bidi w:val="0"/>
                    <w:rPr>
                      <w:rFonts w:hint="default" w:ascii="Times New Roman" w:hAnsi="Times New Roman" w:cs="Times New Roman"/>
                      <w:color w:val="auto"/>
                    </w:rPr>
                  </w:pPr>
                  <w:r>
                    <w:rPr>
                      <w:rFonts w:hint="default" w:ascii="Times New Roman" w:hAnsi="Times New Roman" w:cs="Times New Roman"/>
                      <w:color w:val="auto"/>
                    </w:rPr>
                    <w:t>泵类振动部分采用软连接、减震器等</w:t>
                  </w:r>
                </w:p>
              </w:tc>
              <w:tc>
                <w:tcPr>
                  <w:tcW w:w="1068" w:type="pct"/>
                  <w:tcBorders>
                    <w:right w:val="single" w:color="auto" w:sz="4" w:space="0"/>
                  </w:tcBorders>
                  <w:noWrap w:val="0"/>
                  <w:vAlign w:val="center"/>
                </w:tcPr>
                <w:p w14:paraId="264FEAE7">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15</w:t>
                  </w:r>
                </w:p>
              </w:tc>
            </w:tr>
            <w:tr w14:paraId="6E0A35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881" w:type="pct"/>
                  <w:vMerge w:val="restart"/>
                  <w:tcBorders>
                    <w:left w:val="single" w:color="auto" w:sz="4" w:space="0"/>
                  </w:tcBorders>
                  <w:noWrap w:val="0"/>
                  <w:vAlign w:val="center"/>
                </w:tcPr>
                <w:p w14:paraId="63D3DE57">
                  <w:pPr>
                    <w:pStyle w:val="17"/>
                    <w:bidi w:val="0"/>
                    <w:rPr>
                      <w:rFonts w:hint="default" w:ascii="Times New Roman" w:hAnsi="Times New Roman" w:cs="Times New Roman"/>
                      <w:color w:val="auto"/>
                    </w:rPr>
                  </w:pPr>
                  <w:r>
                    <w:rPr>
                      <w:rFonts w:hint="default" w:ascii="Times New Roman" w:hAnsi="Times New Roman" w:cs="Times New Roman"/>
                      <w:color w:val="auto"/>
                    </w:rPr>
                    <w:t>固废治理</w:t>
                  </w:r>
                </w:p>
              </w:tc>
              <w:tc>
                <w:tcPr>
                  <w:tcW w:w="3049" w:type="pct"/>
                  <w:noWrap w:val="0"/>
                  <w:vAlign w:val="center"/>
                </w:tcPr>
                <w:p w14:paraId="570FA2BF">
                  <w:pPr>
                    <w:pStyle w:val="17"/>
                    <w:bidi w:val="0"/>
                    <w:rPr>
                      <w:rFonts w:hint="default" w:ascii="Times New Roman" w:hAnsi="Times New Roman" w:cs="Times New Roman"/>
                      <w:color w:val="auto"/>
                    </w:rPr>
                  </w:pPr>
                  <w:r>
                    <w:rPr>
                      <w:rFonts w:hint="default" w:ascii="Times New Roman" w:hAnsi="Times New Roman" w:cs="Times New Roman"/>
                      <w:color w:val="auto"/>
                    </w:rPr>
                    <w:t>1套污泥机械脱水、</w:t>
                  </w:r>
                  <w:r>
                    <w:rPr>
                      <w:rFonts w:hint="default" w:ascii="Times New Roman" w:hAnsi="Times New Roman" w:cs="Times New Roman"/>
                      <w:color w:val="auto"/>
                      <w:lang w:val="en-US" w:eastAsia="zh-CN"/>
                    </w:rPr>
                    <w:t>1</w:t>
                  </w:r>
                  <w:r>
                    <w:rPr>
                      <w:rFonts w:hint="default" w:ascii="Times New Roman" w:hAnsi="Times New Roman" w:cs="Times New Roman"/>
                      <w:color w:val="auto"/>
                    </w:rPr>
                    <w:t>辆污泥运输车</w:t>
                  </w:r>
                </w:p>
              </w:tc>
              <w:tc>
                <w:tcPr>
                  <w:tcW w:w="1068" w:type="pct"/>
                  <w:tcBorders>
                    <w:right w:val="single" w:color="auto" w:sz="4" w:space="0"/>
                  </w:tcBorders>
                  <w:noWrap w:val="0"/>
                  <w:vAlign w:val="center"/>
                </w:tcPr>
                <w:p w14:paraId="325F3FFC">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50</w:t>
                  </w:r>
                </w:p>
              </w:tc>
            </w:tr>
            <w:tr w14:paraId="34E493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881" w:type="pct"/>
                  <w:vMerge w:val="continue"/>
                  <w:tcBorders>
                    <w:left w:val="single" w:color="auto" w:sz="4" w:space="0"/>
                  </w:tcBorders>
                  <w:noWrap w:val="0"/>
                  <w:vAlign w:val="center"/>
                </w:tcPr>
                <w:p w14:paraId="158971D0">
                  <w:pPr>
                    <w:pStyle w:val="17"/>
                    <w:bidi w:val="0"/>
                    <w:rPr>
                      <w:rFonts w:hint="default" w:ascii="Times New Roman" w:hAnsi="Times New Roman" w:cs="Times New Roman"/>
                      <w:color w:val="auto"/>
                    </w:rPr>
                  </w:pPr>
                </w:p>
              </w:tc>
              <w:tc>
                <w:tcPr>
                  <w:tcW w:w="3049" w:type="pct"/>
                  <w:noWrap w:val="0"/>
                  <w:vAlign w:val="center"/>
                </w:tcPr>
                <w:p w14:paraId="24DDF6FE">
                  <w:pPr>
                    <w:pStyle w:val="17"/>
                    <w:bidi w:val="0"/>
                    <w:rPr>
                      <w:rFonts w:hint="default" w:ascii="Times New Roman" w:hAnsi="Times New Roman" w:cs="Times New Roman"/>
                      <w:color w:val="auto"/>
                    </w:rPr>
                  </w:pPr>
                  <w:r>
                    <w:rPr>
                      <w:rFonts w:hint="default" w:ascii="Times New Roman" w:hAnsi="Times New Roman" w:cs="Times New Roman"/>
                      <w:color w:val="auto"/>
                    </w:rPr>
                    <w:t>生活垃圾处理</w:t>
                  </w:r>
                </w:p>
              </w:tc>
              <w:tc>
                <w:tcPr>
                  <w:tcW w:w="1068" w:type="pct"/>
                  <w:tcBorders>
                    <w:right w:val="single" w:color="auto" w:sz="4" w:space="0"/>
                  </w:tcBorders>
                  <w:noWrap w:val="0"/>
                  <w:vAlign w:val="center"/>
                </w:tcPr>
                <w:p w14:paraId="188361EE">
                  <w:pPr>
                    <w:keepNext w:val="0"/>
                    <w:keepLines w:val="0"/>
                    <w:widowControl/>
                    <w:suppressLineNumbers w:val="0"/>
                    <w:jc w:val="center"/>
                    <w:textAlignment w:val="center"/>
                    <w:rPr>
                      <w:rFonts w:hint="default" w:ascii="Times New Roman" w:hAnsi="Times New Roman" w:eastAsia="宋体" w:cs="Times New Roman"/>
                      <w:color w:val="auto"/>
                      <w:lang w:eastAsia="zh-CN"/>
                    </w:rPr>
                  </w:pPr>
                  <w:r>
                    <w:rPr>
                      <w:rFonts w:hint="default" w:ascii="Times New Roman" w:hAnsi="Times New Roman" w:eastAsia="宋体" w:cs="Times New Roman"/>
                      <w:i w:val="0"/>
                      <w:iCs w:val="0"/>
                      <w:color w:val="auto"/>
                      <w:kern w:val="0"/>
                      <w:sz w:val="21"/>
                      <w:szCs w:val="21"/>
                      <w:u w:val="none"/>
                      <w:lang w:val="en-US" w:eastAsia="zh-CN" w:bidi="ar"/>
                    </w:rPr>
                    <w:t>1</w:t>
                  </w:r>
                </w:p>
              </w:tc>
            </w:tr>
            <w:tr w14:paraId="5459A2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881" w:type="pct"/>
                  <w:vMerge w:val="continue"/>
                  <w:tcBorders>
                    <w:left w:val="single" w:color="auto" w:sz="4" w:space="0"/>
                  </w:tcBorders>
                  <w:noWrap w:val="0"/>
                  <w:vAlign w:val="center"/>
                </w:tcPr>
                <w:p w14:paraId="4140F9BD">
                  <w:pPr>
                    <w:pStyle w:val="17"/>
                    <w:bidi w:val="0"/>
                    <w:rPr>
                      <w:rFonts w:hint="default" w:ascii="Times New Roman" w:hAnsi="Times New Roman" w:cs="Times New Roman"/>
                      <w:color w:val="auto"/>
                    </w:rPr>
                  </w:pPr>
                </w:p>
              </w:tc>
              <w:tc>
                <w:tcPr>
                  <w:tcW w:w="3049" w:type="pct"/>
                  <w:noWrap w:val="0"/>
                  <w:vAlign w:val="center"/>
                </w:tcPr>
                <w:p w14:paraId="63D1849A">
                  <w:pPr>
                    <w:pStyle w:val="17"/>
                    <w:bidi w:val="0"/>
                    <w:rPr>
                      <w:rFonts w:hint="default" w:ascii="Times New Roman" w:hAnsi="Times New Roman" w:cs="Times New Roman"/>
                      <w:color w:val="auto"/>
                    </w:rPr>
                  </w:pPr>
                  <w:r>
                    <w:rPr>
                      <w:rFonts w:hint="default" w:ascii="Times New Roman" w:hAnsi="Times New Roman" w:cs="Times New Roman"/>
                      <w:color w:val="auto"/>
                    </w:rPr>
                    <w:t>栅渣收集箱</w:t>
                  </w:r>
                </w:p>
              </w:tc>
              <w:tc>
                <w:tcPr>
                  <w:tcW w:w="1068" w:type="pct"/>
                  <w:tcBorders>
                    <w:right w:val="single" w:color="auto" w:sz="4" w:space="0"/>
                  </w:tcBorders>
                  <w:noWrap w:val="0"/>
                  <w:vAlign w:val="center"/>
                </w:tcPr>
                <w:p w14:paraId="647114BB">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5</w:t>
                  </w:r>
                </w:p>
              </w:tc>
            </w:tr>
            <w:tr w14:paraId="75C8CA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881" w:type="pct"/>
                  <w:vMerge w:val="continue"/>
                  <w:tcBorders>
                    <w:left w:val="single" w:color="auto" w:sz="4" w:space="0"/>
                  </w:tcBorders>
                  <w:noWrap w:val="0"/>
                  <w:vAlign w:val="center"/>
                </w:tcPr>
                <w:p w14:paraId="1479833E">
                  <w:pPr>
                    <w:pStyle w:val="17"/>
                    <w:bidi w:val="0"/>
                    <w:rPr>
                      <w:rFonts w:hint="default" w:ascii="Times New Roman" w:hAnsi="Times New Roman" w:cs="Times New Roman"/>
                      <w:color w:val="auto"/>
                    </w:rPr>
                  </w:pPr>
                </w:p>
              </w:tc>
              <w:tc>
                <w:tcPr>
                  <w:tcW w:w="3049" w:type="pct"/>
                  <w:noWrap w:val="0"/>
                  <w:vAlign w:val="center"/>
                </w:tcPr>
                <w:p w14:paraId="55BCC616">
                  <w:pPr>
                    <w:pStyle w:val="17"/>
                    <w:bidi w:val="0"/>
                    <w:rPr>
                      <w:rFonts w:hint="default" w:ascii="Times New Roman" w:hAnsi="Times New Roman" w:cs="Times New Roman"/>
                      <w:color w:val="auto"/>
                    </w:rPr>
                  </w:pPr>
                  <w:r>
                    <w:rPr>
                      <w:rFonts w:hint="default" w:ascii="Times New Roman" w:hAnsi="Times New Roman" w:cs="Times New Roman"/>
                      <w:color w:val="auto"/>
                    </w:rPr>
                    <w:t>沉砂收集池</w:t>
                  </w:r>
                </w:p>
              </w:tc>
              <w:tc>
                <w:tcPr>
                  <w:tcW w:w="1068" w:type="pct"/>
                  <w:tcBorders>
                    <w:right w:val="single" w:color="auto" w:sz="4" w:space="0"/>
                  </w:tcBorders>
                  <w:noWrap w:val="0"/>
                  <w:vAlign w:val="center"/>
                </w:tcPr>
                <w:p w14:paraId="76177E85">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5</w:t>
                  </w:r>
                </w:p>
              </w:tc>
            </w:tr>
            <w:tr w14:paraId="3586263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3931" w:type="pct"/>
                  <w:gridSpan w:val="2"/>
                  <w:tcBorders>
                    <w:left w:val="single" w:color="auto" w:sz="4" w:space="0"/>
                    <w:bottom w:val="single" w:color="auto" w:sz="4" w:space="0"/>
                  </w:tcBorders>
                  <w:noWrap w:val="0"/>
                  <w:vAlign w:val="center"/>
                </w:tcPr>
                <w:p w14:paraId="1A50FF1F">
                  <w:pPr>
                    <w:pStyle w:val="17"/>
                    <w:bidi w:val="0"/>
                    <w:rPr>
                      <w:rFonts w:hint="default" w:ascii="Times New Roman" w:hAnsi="Times New Roman" w:cs="Times New Roman"/>
                      <w:color w:val="auto"/>
                    </w:rPr>
                  </w:pPr>
                  <w:r>
                    <w:rPr>
                      <w:rFonts w:hint="default" w:ascii="Times New Roman" w:hAnsi="Times New Roman" w:cs="Times New Roman"/>
                      <w:color w:val="auto"/>
                    </w:rPr>
                    <w:t>合计</w:t>
                  </w:r>
                </w:p>
              </w:tc>
              <w:tc>
                <w:tcPr>
                  <w:tcW w:w="1068" w:type="pct"/>
                  <w:tcBorders>
                    <w:bottom w:val="single" w:color="auto" w:sz="4" w:space="0"/>
                    <w:right w:val="single" w:color="auto" w:sz="4" w:space="0"/>
                  </w:tcBorders>
                  <w:noWrap w:val="0"/>
                  <w:vAlign w:val="center"/>
                </w:tcPr>
                <w:p w14:paraId="7FB86F93">
                  <w:pPr>
                    <w:pStyle w:val="17"/>
                    <w:bidi w:val="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=SUM(ABOVE)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1526</w:t>
                  </w:r>
                  <w:r>
                    <w:rPr>
                      <w:rFonts w:hint="default" w:ascii="Times New Roman" w:hAnsi="Times New Roman" w:cs="Times New Roman"/>
                      <w:color w:val="auto"/>
                    </w:rPr>
                    <w:fldChar w:fldCharType="end"/>
                  </w:r>
                </w:p>
              </w:tc>
            </w:tr>
          </w:tbl>
          <w:p w14:paraId="38D61F0F">
            <w:pPr>
              <w:spacing w:line="360" w:lineRule="auto"/>
              <w:rPr>
                <w:rFonts w:hint="default" w:ascii="Times New Roman" w:hAnsi="Times New Roman" w:eastAsia="宋体" w:cs="Times New Roman"/>
                <w:bCs/>
                <w:color w:val="auto"/>
                <w:sz w:val="24"/>
                <w:highlight w:val="none"/>
              </w:rPr>
            </w:pPr>
          </w:p>
        </w:tc>
      </w:tr>
    </w:tbl>
    <w:p w14:paraId="01185D32">
      <w:pP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D98F993">
      <w:pPr>
        <w:pStyle w:val="9"/>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五、</w:t>
      </w:r>
      <w:bookmarkStart w:id="8" w:name="_Hlk54167917"/>
      <w:r>
        <w:rPr>
          <w:rFonts w:hint="default" w:ascii="Times New Roman" w:hAnsi="Times New Roman" w:eastAsia="宋体" w:cs="Times New Roman"/>
          <w:b/>
          <w:bCs/>
          <w:snapToGrid w:val="0"/>
          <w:color w:val="auto"/>
          <w:sz w:val="30"/>
          <w:szCs w:val="30"/>
          <w:highlight w:val="none"/>
        </w:rPr>
        <w:t>环境保护措施监督检查清单</w:t>
      </w:r>
      <w:bookmarkEnd w:id="8"/>
    </w:p>
    <w:tbl>
      <w:tblPr>
        <w:tblStyle w:val="11"/>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1" w:type="dxa"/>
          <w:bottom w:w="0" w:type="dxa"/>
          <w:right w:w="51" w:type="dxa"/>
        </w:tblCellMar>
      </w:tblPr>
      <w:tblGrid>
        <w:gridCol w:w="1538"/>
        <w:gridCol w:w="1701"/>
        <w:gridCol w:w="1275"/>
        <w:gridCol w:w="2105"/>
        <w:gridCol w:w="2181"/>
      </w:tblGrid>
      <w:tr w14:paraId="7C90B4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1538" w:type="dxa"/>
            <w:tcBorders>
              <w:tl2br w:val="single" w:color="auto" w:sz="4" w:space="0"/>
            </w:tcBorders>
          </w:tcPr>
          <w:p w14:paraId="60AB4D9F">
            <w:pPr>
              <w:adjustRightInd w:val="0"/>
              <w:snapToGrid w:val="0"/>
              <w:ind w:firstLine="84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内容</w:t>
            </w:r>
          </w:p>
          <w:p w14:paraId="26CDC912">
            <w:pPr>
              <w:adjustRightInd w:val="0"/>
              <w:snapToGrid w:val="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要素</w:t>
            </w:r>
          </w:p>
        </w:tc>
        <w:tc>
          <w:tcPr>
            <w:tcW w:w="1701" w:type="dxa"/>
            <w:vAlign w:val="center"/>
          </w:tcPr>
          <w:p w14:paraId="3FA77821">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排放口</w:t>
            </w:r>
            <w:r>
              <w:rPr>
                <w:rFonts w:hint="default"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编号、</w:t>
            </w:r>
          </w:p>
          <w:p w14:paraId="16B8537F">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名称</w:t>
            </w:r>
            <w:r>
              <w:rPr>
                <w:rFonts w:hint="default"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/污染源</w:t>
            </w:r>
          </w:p>
        </w:tc>
        <w:tc>
          <w:tcPr>
            <w:tcW w:w="1275" w:type="dxa"/>
            <w:vAlign w:val="center"/>
          </w:tcPr>
          <w:p w14:paraId="3867E9E2">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污染物项目</w:t>
            </w:r>
          </w:p>
        </w:tc>
        <w:tc>
          <w:tcPr>
            <w:tcW w:w="2105" w:type="dxa"/>
            <w:vAlign w:val="center"/>
          </w:tcPr>
          <w:p w14:paraId="0584462B">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环境保护措施</w:t>
            </w:r>
          </w:p>
        </w:tc>
        <w:tc>
          <w:tcPr>
            <w:tcW w:w="2181" w:type="dxa"/>
            <w:vAlign w:val="center"/>
          </w:tcPr>
          <w:p w14:paraId="3E84828A">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执行标准</w:t>
            </w:r>
          </w:p>
        </w:tc>
      </w:tr>
      <w:tr w14:paraId="252CAD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1538" w:type="dxa"/>
            <w:vAlign w:val="center"/>
          </w:tcPr>
          <w:p w14:paraId="566316AA">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大气环境</w:t>
            </w:r>
          </w:p>
        </w:tc>
        <w:tc>
          <w:tcPr>
            <w:tcW w:w="1701" w:type="dxa"/>
            <w:shd w:val="clear" w:color="auto" w:fill="auto"/>
            <w:vAlign w:val="center"/>
          </w:tcPr>
          <w:p w14:paraId="32696647">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无组织</w:t>
            </w:r>
          </w:p>
        </w:tc>
        <w:tc>
          <w:tcPr>
            <w:tcW w:w="1275" w:type="dxa"/>
            <w:vAlign w:val="center"/>
          </w:tcPr>
          <w:p w14:paraId="212387D6">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N</w:t>
            </w:r>
            <w:r>
              <w:rPr>
                <w:rFonts w:hint="default" w:ascii="Times New Roman" w:hAnsi="Times New Roman" w:cs="Times New Roman"/>
                <w:color w:val="auto"/>
                <w:sz w:val="24"/>
                <w:szCs w:val="24"/>
                <w:highlight w:val="none"/>
                <w:vertAlign w:val="baseline"/>
                <w:lang w:val="en-US" w:eastAsia="zh-CN"/>
              </w:rPr>
              <w:t>H</w:t>
            </w:r>
            <w:r>
              <w:rPr>
                <w:rFonts w:hint="default" w:ascii="Times New Roman" w:hAnsi="Times New Roman" w:cs="Times New Roman"/>
                <w:color w:val="auto"/>
                <w:sz w:val="24"/>
                <w:szCs w:val="24"/>
                <w:highlight w:val="none"/>
                <w:vertAlign w:val="subscript"/>
                <w:lang w:val="en-US" w:eastAsia="zh-CN"/>
              </w:rPr>
              <w:t>3</w:t>
            </w:r>
          </w:p>
          <w:p w14:paraId="2C0340FB">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vertAlign w:val="baseline"/>
                <w:lang w:eastAsia="zh-CN"/>
              </w:rPr>
              <w:t>H</w:t>
            </w:r>
            <w:r>
              <w:rPr>
                <w:rFonts w:hint="default" w:ascii="Times New Roman" w:hAnsi="Times New Roman"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rPr>
              <w:t>S</w:t>
            </w:r>
          </w:p>
          <w:p w14:paraId="0CA3F427">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臭气浓度</w:t>
            </w:r>
          </w:p>
          <w:p w14:paraId="61628BBA">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甲烷</w:t>
            </w:r>
          </w:p>
        </w:tc>
        <w:tc>
          <w:tcPr>
            <w:tcW w:w="2105" w:type="dxa"/>
            <w:shd w:val="clear" w:color="auto" w:fill="auto"/>
            <w:vAlign w:val="center"/>
          </w:tcPr>
          <w:p w14:paraId="6DD4BCD3">
            <w:pPr>
              <w:adjustRightInd w:val="0"/>
              <w:snapToGrid w:val="0"/>
              <w:jc w:val="center"/>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Cs/>
                <w:color w:val="auto"/>
                <w:sz w:val="24"/>
                <w:szCs w:val="24"/>
                <w:lang w:val="en-US" w:eastAsia="zh-CN"/>
              </w:rPr>
              <w:t>全封闭厂房+</w:t>
            </w:r>
            <w:r>
              <w:rPr>
                <w:rFonts w:hint="default" w:ascii="Times New Roman" w:hAnsi="Times New Roman" w:cs="Times New Roman"/>
                <w:bCs/>
                <w:color w:val="auto"/>
                <w:sz w:val="24"/>
                <w:szCs w:val="24"/>
                <w:lang w:val="en-US" w:eastAsia="zh-CN"/>
              </w:rPr>
              <w:t>高效除臭微生物全过程除臭。</w:t>
            </w:r>
          </w:p>
        </w:tc>
        <w:tc>
          <w:tcPr>
            <w:tcW w:w="2181" w:type="dxa"/>
            <w:vAlign w:val="center"/>
          </w:tcPr>
          <w:p w14:paraId="155CD38E">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城镇污水处理厂污染物排放标准》（</w:t>
            </w:r>
            <w:r>
              <w:rPr>
                <w:rFonts w:hint="default" w:ascii="Times New Roman" w:hAnsi="Times New Roman" w:cs="Times New Roman"/>
                <w:color w:val="auto"/>
                <w:sz w:val="24"/>
                <w:szCs w:val="24"/>
                <w:highlight w:val="none"/>
                <w:lang w:val="en-US" w:eastAsia="zh-CN"/>
              </w:rPr>
              <w:t xml:space="preserve">GB </w:t>
            </w:r>
            <w:r>
              <w:rPr>
                <w:rFonts w:hint="eastAsia" w:ascii="Times New Roman" w:hAnsi="Times New Roman" w:cs="Times New Roman"/>
                <w:color w:val="auto"/>
                <w:sz w:val="24"/>
                <w:szCs w:val="24"/>
                <w:highlight w:val="none"/>
                <w:lang w:val="en-US" w:eastAsia="zh-CN"/>
              </w:rPr>
              <w:t>18918—</w:t>
            </w:r>
            <w:r>
              <w:rPr>
                <w:rFonts w:hint="default" w:ascii="Times New Roman" w:hAnsi="Times New Roman" w:eastAsia="宋体" w:cs="Times New Roman"/>
                <w:color w:val="auto"/>
                <w:sz w:val="24"/>
                <w:szCs w:val="24"/>
                <w:highlight w:val="none"/>
                <w:lang w:val="en-US" w:eastAsia="zh-CN"/>
              </w:rPr>
              <w:t>2002）及其修改单表4中二级标准</w:t>
            </w:r>
            <w:r>
              <w:rPr>
                <w:rFonts w:hint="default" w:ascii="Times New Roman" w:hAnsi="Times New Roman" w:cs="Times New Roman"/>
                <w:color w:val="auto"/>
                <w:sz w:val="24"/>
                <w:szCs w:val="24"/>
                <w:highlight w:val="none"/>
                <w:lang w:val="en-US" w:eastAsia="zh-CN"/>
              </w:rPr>
              <w:t>。</w:t>
            </w:r>
          </w:p>
        </w:tc>
      </w:tr>
      <w:tr w14:paraId="198780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1538" w:type="dxa"/>
            <w:vAlign w:val="center"/>
          </w:tcPr>
          <w:p w14:paraId="01F1B711">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地表水环境</w:t>
            </w:r>
          </w:p>
        </w:tc>
        <w:tc>
          <w:tcPr>
            <w:tcW w:w="1701" w:type="dxa"/>
            <w:vAlign w:val="center"/>
          </w:tcPr>
          <w:p w14:paraId="3108A779">
            <w:pPr>
              <w:adjustRightInd w:val="0"/>
              <w:snapToGrid w:val="0"/>
              <w:jc w:val="center"/>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处理后的中水</w:t>
            </w:r>
          </w:p>
        </w:tc>
        <w:tc>
          <w:tcPr>
            <w:tcW w:w="1275" w:type="dxa"/>
            <w:vAlign w:val="center"/>
          </w:tcPr>
          <w:p w14:paraId="340D8B73">
            <w:pP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eastAsia="zh-CN"/>
              </w:rPr>
              <w:t>CODcr、</w:t>
            </w:r>
            <w:r>
              <w:rPr>
                <w:rFonts w:hint="default" w:ascii="Times New Roman" w:hAnsi="Times New Roman" w:eastAsia="宋体" w:cs="Times New Roman"/>
                <w:color w:val="auto"/>
                <w:sz w:val="24"/>
                <w:szCs w:val="24"/>
                <w:highlight w:val="none"/>
                <w:vertAlign w:val="baseline"/>
                <w:lang w:val="en-US" w:eastAsia="zh-CN"/>
              </w:rPr>
              <w:t>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、SS、N</w:t>
            </w:r>
            <w:r>
              <w:rPr>
                <w:rFonts w:hint="default" w:ascii="Times New Roman" w:hAnsi="Times New Roman" w:cs="Times New Roman"/>
                <w:color w:val="auto"/>
                <w:sz w:val="24"/>
                <w:szCs w:val="24"/>
                <w:highlight w:val="none"/>
                <w:vertAlign w:val="baseline"/>
                <w:lang w:val="en-US" w:eastAsia="zh-CN"/>
              </w:rPr>
              <w:t>H</w:t>
            </w:r>
            <w:r>
              <w:rPr>
                <w:rFonts w:hint="default" w:ascii="Times New Roman" w:hAnsi="Times New Roman" w:cs="Times New Roman"/>
                <w:color w:val="auto"/>
                <w:sz w:val="24"/>
                <w:szCs w:val="24"/>
                <w:highlight w:val="none"/>
                <w:vertAlign w:val="subscript"/>
                <w:lang w:val="en-US" w:eastAsia="zh-CN"/>
              </w:rPr>
              <w:t>3</w:t>
            </w:r>
            <w:r>
              <w:rPr>
                <w:rFonts w:hint="default" w:ascii="Times New Roman" w:hAnsi="Times New Roman" w:eastAsia="宋体" w:cs="Times New Roman"/>
                <w:color w:val="auto"/>
                <w:sz w:val="24"/>
                <w:szCs w:val="24"/>
                <w:highlight w:val="none"/>
                <w:lang w:val="en-US" w:eastAsia="zh-CN"/>
              </w:rPr>
              <w:t>-N、TN、TP</w:t>
            </w:r>
          </w:p>
        </w:tc>
        <w:tc>
          <w:tcPr>
            <w:tcW w:w="2105" w:type="dxa"/>
            <w:vAlign w:val="center"/>
          </w:tcPr>
          <w:p w14:paraId="06AB97FE">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三期工程建成后</w:t>
            </w:r>
            <w:r>
              <w:rPr>
                <w:rFonts w:hint="default" w:ascii="Times New Roman" w:hAnsi="Times New Roman" w:eastAsia="宋体" w:cs="Times New Roman"/>
                <w:color w:val="auto"/>
                <w:sz w:val="24"/>
                <w:szCs w:val="24"/>
                <w:highlight w:val="none"/>
                <w:lang w:val="en-US" w:eastAsia="zh-CN"/>
              </w:rPr>
              <w:t>，污水处理厂</w:t>
            </w:r>
            <w:r>
              <w:rPr>
                <w:rFonts w:hint="default" w:ascii="Times New Roman" w:hAnsi="Times New Roman" w:cs="Times New Roman"/>
                <w:color w:val="auto"/>
                <w:sz w:val="24"/>
                <w:szCs w:val="24"/>
                <w:highlight w:val="none"/>
                <w:lang w:val="en-US" w:eastAsia="zh-CN"/>
              </w:rPr>
              <w:t>全厂处理</w:t>
            </w:r>
            <w:r>
              <w:rPr>
                <w:rFonts w:hint="default" w:ascii="Times New Roman" w:hAnsi="Times New Roman" w:eastAsia="宋体" w:cs="Times New Roman"/>
                <w:color w:val="auto"/>
                <w:sz w:val="24"/>
                <w:szCs w:val="24"/>
                <w:highlight w:val="none"/>
                <w:lang w:val="en-US" w:eastAsia="zh-CN"/>
              </w:rPr>
              <w:t>中水能力为1</w:t>
            </w:r>
            <w:r>
              <w:rPr>
                <w:rFonts w:hint="default" w:ascii="Times New Roman" w:hAnsi="Times New Roman"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lang w:val="en-US" w:eastAsia="zh-CN"/>
              </w:rPr>
              <w:t>00t/d，其中</w:t>
            </w:r>
            <w:r>
              <w:rPr>
                <w:rFonts w:hint="default" w:ascii="Times New Roman" w:hAnsi="Times New Roman" w:cs="Times New Roman"/>
                <w:color w:val="auto"/>
                <w:sz w:val="24"/>
                <w:szCs w:val="24"/>
                <w:highlight w:val="none"/>
                <w:lang w:val="en-US" w:eastAsia="zh-CN"/>
              </w:rPr>
              <w:t>原一二期的3000</w:t>
            </w:r>
            <w:r>
              <w:rPr>
                <w:rFonts w:hint="eastAsia" w:cs="Times New Roman"/>
                <w:color w:val="auto"/>
                <w:sz w:val="24"/>
                <w:szCs w:val="24"/>
                <w:highlight w:val="none"/>
                <w:lang w:val="en-US" w:eastAsia="zh-CN"/>
              </w:rPr>
              <w:t>吨</w:t>
            </w:r>
            <w:r>
              <w:rPr>
                <w:rFonts w:hint="default" w:ascii="Times New Roman" w:hAnsi="Times New Roman" w:cs="Times New Roman"/>
                <w:color w:val="auto"/>
                <w:sz w:val="24"/>
                <w:szCs w:val="24"/>
                <w:highlight w:val="none"/>
                <w:lang w:val="en-US" w:eastAsia="zh-CN"/>
              </w:rPr>
              <w:t>及本次新增的5500</w:t>
            </w:r>
            <w:r>
              <w:rPr>
                <w:rFonts w:hint="eastAsia" w:cs="Times New Roman"/>
                <w:color w:val="auto"/>
                <w:sz w:val="24"/>
                <w:szCs w:val="24"/>
                <w:highlight w:val="none"/>
                <w:lang w:val="en-US" w:eastAsia="zh-CN"/>
              </w:rPr>
              <w:t>吨</w:t>
            </w:r>
            <w:r>
              <w:rPr>
                <w:rFonts w:hint="default" w:ascii="Times New Roman" w:hAnsi="Times New Roman" w:eastAsia="宋体" w:cs="Times New Roman"/>
                <w:color w:val="auto"/>
                <w:sz w:val="24"/>
                <w:szCs w:val="24"/>
                <w:highlight w:val="none"/>
                <w:lang w:val="en-US" w:eastAsia="zh-CN"/>
              </w:rPr>
              <w:t>排入杭锦旗锡尼镇污水处理厂尾水水质净化工程进行深度处理，处理达标后用于周边企业回用及陶赖沟生态补水。</w:t>
            </w:r>
            <w:r>
              <w:rPr>
                <w:rFonts w:hint="default" w:ascii="Times New Roman" w:hAnsi="Times New Roman" w:cs="Times New Roman"/>
                <w:color w:val="auto"/>
                <w:sz w:val="24"/>
                <w:szCs w:val="24"/>
                <w:highlight w:val="none"/>
                <w:lang w:val="en-US" w:eastAsia="zh-CN"/>
              </w:rPr>
              <w:t>其余5500</w:t>
            </w:r>
            <w:r>
              <w:rPr>
                <w:rFonts w:hint="eastAsia" w:cs="Times New Roman"/>
                <w:color w:val="auto"/>
                <w:sz w:val="24"/>
                <w:szCs w:val="24"/>
                <w:highlight w:val="none"/>
                <w:lang w:val="en-US" w:eastAsia="zh-CN"/>
              </w:rPr>
              <w:t>吨</w:t>
            </w:r>
            <w:r>
              <w:rPr>
                <w:rFonts w:hint="default" w:ascii="Times New Roman" w:hAnsi="Times New Roman" w:eastAsia="宋体" w:cs="Times New Roman"/>
                <w:color w:val="auto"/>
                <w:sz w:val="24"/>
                <w:szCs w:val="24"/>
                <w:highlight w:val="none"/>
                <w:lang w:val="en-US" w:eastAsia="zh-CN"/>
              </w:rPr>
              <w:t>统筹用于园林绿化、鄂尔多斯市新能源产业示范区企业及内蒙古能源发电杭锦发电有限公司工业用水，</w:t>
            </w:r>
            <w:r>
              <w:rPr>
                <w:rFonts w:hint="default" w:ascii="Times New Roman" w:hAnsi="Times New Roman" w:cs="Times New Roman"/>
                <w:color w:val="auto"/>
                <w:sz w:val="24"/>
                <w:szCs w:val="24"/>
                <w:highlight w:val="none"/>
                <w:lang w:val="en-US" w:eastAsia="zh-CN"/>
              </w:rPr>
              <w:t>不外排。</w:t>
            </w:r>
          </w:p>
        </w:tc>
        <w:tc>
          <w:tcPr>
            <w:tcW w:w="2181" w:type="dxa"/>
            <w:vAlign w:val="center"/>
          </w:tcPr>
          <w:p w14:paraId="7FF29D3F">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城镇污水处理厂污染物排放标准》（</w:t>
            </w:r>
            <w:r>
              <w:rPr>
                <w:rFonts w:hint="default" w:ascii="Times New Roman" w:hAnsi="Times New Roman" w:cs="Times New Roman"/>
                <w:color w:val="auto"/>
                <w:sz w:val="24"/>
                <w:szCs w:val="24"/>
                <w:highlight w:val="none"/>
                <w:lang w:val="en-US" w:eastAsia="zh-CN"/>
              </w:rPr>
              <w:t xml:space="preserve">GB </w:t>
            </w:r>
            <w:r>
              <w:rPr>
                <w:rFonts w:hint="eastAsia" w:ascii="Times New Roman" w:hAnsi="Times New Roman" w:cs="Times New Roman"/>
                <w:color w:val="auto"/>
                <w:sz w:val="24"/>
                <w:szCs w:val="24"/>
                <w:highlight w:val="none"/>
                <w:lang w:val="en-US" w:eastAsia="zh-CN"/>
              </w:rPr>
              <w:t>18918—</w:t>
            </w:r>
            <w:r>
              <w:rPr>
                <w:rFonts w:hint="default" w:ascii="Times New Roman" w:hAnsi="Times New Roman" w:eastAsia="宋体" w:cs="Times New Roman"/>
                <w:color w:val="auto"/>
                <w:sz w:val="24"/>
                <w:szCs w:val="24"/>
                <w:highlight w:val="none"/>
                <w:lang w:val="en-US" w:eastAsia="zh-CN"/>
              </w:rPr>
              <w:t>2002）及其修改单中一级A标准、《城市污水再生利用 工业用水水质》（</w:t>
            </w:r>
            <w:r>
              <w:rPr>
                <w:rFonts w:hint="default" w:ascii="Times New Roman" w:hAnsi="Times New Roman" w:cs="Times New Roman"/>
                <w:color w:val="auto"/>
                <w:sz w:val="24"/>
                <w:szCs w:val="24"/>
                <w:highlight w:val="none"/>
                <w:lang w:val="en-US" w:eastAsia="zh-CN"/>
              </w:rPr>
              <w:t xml:space="preserve">GB/T </w:t>
            </w:r>
            <w:r>
              <w:rPr>
                <w:rFonts w:hint="eastAsia" w:ascii="Times New Roman" w:hAnsi="Times New Roman" w:cs="Times New Roman"/>
                <w:color w:val="auto"/>
                <w:sz w:val="24"/>
                <w:szCs w:val="24"/>
                <w:highlight w:val="none"/>
                <w:lang w:val="en-US" w:eastAsia="zh-CN"/>
              </w:rPr>
              <w:t>19923—</w:t>
            </w:r>
            <w:r>
              <w:rPr>
                <w:rFonts w:hint="default" w:ascii="Times New Roman" w:hAnsi="Times New Roman" w:eastAsia="宋体" w:cs="Times New Roman"/>
                <w:color w:val="auto"/>
                <w:sz w:val="24"/>
                <w:szCs w:val="24"/>
                <w:highlight w:val="none"/>
                <w:lang w:val="en-US" w:eastAsia="zh-CN"/>
              </w:rPr>
              <w:t>2024）、《城市污水再生利用 城市杂用水水质》（</w:t>
            </w:r>
            <w:r>
              <w:rPr>
                <w:rFonts w:hint="default" w:ascii="Times New Roman" w:hAnsi="Times New Roman" w:cs="Times New Roman"/>
                <w:color w:val="auto"/>
                <w:sz w:val="24"/>
                <w:szCs w:val="24"/>
                <w:highlight w:val="none"/>
                <w:lang w:val="en-US" w:eastAsia="zh-CN"/>
              </w:rPr>
              <w:t>GB/T 18920</w:t>
            </w:r>
            <w:r>
              <w:rPr>
                <w:rFonts w:hint="eastAsia" w:ascii="Times New Roman" w:hAnsi="Times New Roman" w:cs="Times New Roman"/>
                <w:color w:val="auto"/>
                <w:sz w:val="24"/>
                <w:szCs w:val="24"/>
                <w:highlight w:val="none"/>
                <w:lang w:val="en-US" w:eastAsia="zh-CN"/>
              </w:rPr>
              <w:t>—2020</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w:t>
            </w:r>
          </w:p>
        </w:tc>
      </w:tr>
      <w:tr w14:paraId="360A18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454" w:hRule="atLeast"/>
          <w:jc w:val="center"/>
        </w:trPr>
        <w:tc>
          <w:tcPr>
            <w:tcW w:w="1538" w:type="dxa"/>
            <w:vAlign w:val="center"/>
          </w:tcPr>
          <w:p w14:paraId="2C1FB206">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声环境</w:t>
            </w:r>
          </w:p>
        </w:tc>
        <w:tc>
          <w:tcPr>
            <w:tcW w:w="1701" w:type="dxa"/>
            <w:vAlign w:val="center"/>
          </w:tcPr>
          <w:p w14:paraId="56FD5F87">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bidi="ar"/>
              </w:rPr>
              <w:t>生产</w:t>
            </w:r>
            <w:r>
              <w:rPr>
                <w:rFonts w:hint="default" w:ascii="Times New Roman" w:hAnsi="Times New Roman" w:eastAsia="宋体" w:cs="Times New Roman"/>
                <w:color w:val="auto"/>
                <w:sz w:val="24"/>
                <w:szCs w:val="24"/>
                <w:highlight w:val="none"/>
                <w:lang w:bidi="ar"/>
              </w:rPr>
              <w:t>设备</w:t>
            </w:r>
          </w:p>
        </w:tc>
        <w:tc>
          <w:tcPr>
            <w:tcW w:w="1275" w:type="dxa"/>
            <w:vAlign w:val="center"/>
          </w:tcPr>
          <w:p w14:paraId="5146A598">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等效连续A声级</w:t>
            </w:r>
          </w:p>
        </w:tc>
        <w:tc>
          <w:tcPr>
            <w:tcW w:w="2105" w:type="dxa"/>
            <w:vAlign w:val="center"/>
          </w:tcPr>
          <w:p w14:paraId="1E4B931C">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选用低噪声设备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设备安装减振垫，并加强维护</w:t>
            </w:r>
            <w:r>
              <w:rPr>
                <w:rFonts w:hint="default" w:ascii="Times New Roman" w:hAnsi="Times New Roman" w:eastAsia="宋体" w:cs="Times New Roman"/>
                <w:color w:val="auto"/>
                <w:sz w:val="24"/>
                <w:szCs w:val="24"/>
                <w:highlight w:val="none"/>
                <w:lang w:eastAsia="zh-CN"/>
              </w:rPr>
              <w:t>。</w:t>
            </w:r>
          </w:p>
        </w:tc>
        <w:tc>
          <w:tcPr>
            <w:tcW w:w="2181" w:type="dxa"/>
            <w:vAlign w:val="center"/>
          </w:tcPr>
          <w:p w14:paraId="5457594F">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《工业企业厂界环境噪声排放标准》（</w:t>
            </w:r>
            <w:r>
              <w:rPr>
                <w:rFonts w:hint="eastAsia" w:ascii="Times New Roman" w:hAnsi="Times New Roman" w:cs="Times New Roman"/>
                <w:color w:val="auto"/>
                <w:sz w:val="24"/>
                <w:szCs w:val="24"/>
                <w:highlight w:val="none"/>
                <w:lang w:eastAsia="zh-CN"/>
              </w:rPr>
              <w:t>GB 12348—2008</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类标准要求</w:t>
            </w:r>
            <w:r>
              <w:rPr>
                <w:rFonts w:hint="default" w:ascii="Times New Roman" w:hAnsi="Times New Roman" w:cs="Times New Roman"/>
                <w:color w:val="auto"/>
                <w:sz w:val="24"/>
                <w:szCs w:val="24"/>
                <w:highlight w:val="none"/>
                <w:lang w:eastAsia="zh-CN"/>
              </w:rPr>
              <w:t>。</w:t>
            </w:r>
          </w:p>
        </w:tc>
      </w:tr>
      <w:tr w14:paraId="735ED9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766" w:hRule="atLeast"/>
          <w:jc w:val="center"/>
        </w:trPr>
        <w:tc>
          <w:tcPr>
            <w:tcW w:w="1538" w:type="dxa"/>
            <w:vAlign w:val="center"/>
          </w:tcPr>
          <w:p w14:paraId="3C4C30BB">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固体废物</w:t>
            </w:r>
          </w:p>
        </w:tc>
        <w:tc>
          <w:tcPr>
            <w:tcW w:w="7262" w:type="dxa"/>
            <w:gridSpan w:val="4"/>
            <w:vAlign w:val="center"/>
          </w:tcPr>
          <w:p w14:paraId="51F65D1C">
            <w:pPr>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项目运行过程中产生的</w:t>
            </w:r>
            <w:r>
              <w:rPr>
                <w:rFonts w:hint="default" w:ascii="Times New Roman" w:hAnsi="Times New Roman" w:eastAsia="宋体" w:cs="Times New Roman"/>
                <w:color w:val="auto"/>
                <w:sz w:val="24"/>
                <w:szCs w:val="24"/>
                <w:highlight w:val="none"/>
                <w:lang w:eastAsia="zh-CN"/>
              </w:rPr>
              <w:t>栅渣、沉砂</w:t>
            </w:r>
            <w:r>
              <w:rPr>
                <w:rFonts w:hint="default" w:ascii="Times New Roman" w:hAnsi="Times New Roman" w:cs="Times New Roman"/>
                <w:color w:val="auto"/>
                <w:sz w:val="24"/>
                <w:szCs w:val="24"/>
                <w:highlight w:val="none"/>
                <w:lang w:eastAsia="zh-CN"/>
              </w:rPr>
              <w:t>和</w:t>
            </w:r>
            <w:r>
              <w:rPr>
                <w:rFonts w:hint="default" w:ascii="Times New Roman" w:hAnsi="Times New Roman" w:eastAsia="宋体" w:cs="Times New Roman"/>
                <w:color w:val="auto"/>
                <w:sz w:val="24"/>
                <w:szCs w:val="24"/>
                <w:highlight w:val="none"/>
                <w:lang w:val="en-US" w:eastAsia="zh-CN"/>
              </w:rPr>
              <w:t>脱水污泥</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集中收集</w:t>
            </w:r>
            <w:r>
              <w:rPr>
                <w:rFonts w:hint="default" w:ascii="Times New Roman" w:hAnsi="Times New Roman" w:eastAsia="宋体" w:cs="Times New Roman"/>
                <w:color w:val="auto"/>
                <w:sz w:val="24"/>
                <w:szCs w:val="24"/>
                <w:highlight w:val="none"/>
                <w:lang w:val="en-US" w:eastAsia="zh-CN"/>
              </w:rPr>
              <w:t>后</w:t>
            </w:r>
            <w:r>
              <w:rPr>
                <w:rFonts w:hint="default" w:ascii="Times New Roman" w:hAnsi="Times New Roman" w:cs="Times New Roman"/>
                <w:color w:val="auto"/>
                <w:sz w:val="24"/>
                <w:szCs w:val="24"/>
                <w:highlight w:val="none"/>
                <w:lang w:val="en-US" w:eastAsia="zh-CN"/>
              </w:rPr>
              <w:t>定期</w:t>
            </w:r>
            <w:r>
              <w:rPr>
                <w:rFonts w:hint="default" w:ascii="Times New Roman" w:hAnsi="Times New Roman" w:eastAsia="宋体" w:cs="Times New Roman"/>
                <w:color w:val="auto"/>
                <w:sz w:val="24"/>
                <w:szCs w:val="24"/>
                <w:highlight w:val="none"/>
                <w:lang w:eastAsia="zh-CN"/>
              </w:rPr>
              <w:t>送锡尼镇垃圾填埋场处理</w:t>
            </w:r>
            <w:r>
              <w:rPr>
                <w:rFonts w:hint="default" w:ascii="Times New Roman" w:hAnsi="Times New Roman" w:eastAsia="宋体" w:cs="Times New Roman"/>
                <w:color w:val="auto"/>
                <w:sz w:val="24"/>
                <w:szCs w:val="24"/>
                <w:highlight w:val="none"/>
              </w:rPr>
              <w:t>。</w:t>
            </w:r>
          </w:p>
          <w:p w14:paraId="3E49AA1A">
            <w:pPr>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生活垃圾经厂内垃圾箱收集后交由当地环卫部门定期清运处理</w:t>
            </w:r>
            <w:r>
              <w:rPr>
                <w:rFonts w:hint="default" w:ascii="Times New Roman" w:hAnsi="Times New Roman" w:cs="Times New Roman"/>
                <w:color w:val="auto"/>
                <w:sz w:val="24"/>
                <w:szCs w:val="24"/>
                <w:highlight w:val="none"/>
                <w:lang w:val="en-US" w:eastAsia="zh-CN"/>
              </w:rPr>
              <w:t>。</w:t>
            </w:r>
          </w:p>
        </w:tc>
      </w:tr>
      <w:tr w14:paraId="64EE2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704" w:hRule="atLeast"/>
          <w:jc w:val="center"/>
        </w:trPr>
        <w:tc>
          <w:tcPr>
            <w:tcW w:w="1538" w:type="dxa"/>
            <w:vAlign w:val="center"/>
          </w:tcPr>
          <w:p w14:paraId="31913EA3">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土壤及地下水污染防治措施</w:t>
            </w:r>
          </w:p>
        </w:tc>
        <w:tc>
          <w:tcPr>
            <w:tcW w:w="7262" w:type="dxa"/>
            <w:gridSpan w:val="4"/>
            <w:vAlign w:val="center"/>
          </w:tcPr>
          <w:p w14:paraId="2C1CB8E6">
            <w:pPr>
              <w:adjustRightInd w:val="0"/>
              <w:snapToGrid w:val="0"/>
              <w:ind w:firstLine="480" w:firstLineChars="200"/>
              <w:jc w:val="left"/>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bidi="ar"/>
              </w:rPr>
              <w:t>建构筑物、路面</w:t>
            </w:r>
            <w:r>
              <w:rPr>
                <w:rFonts w:hint="default" w:ascii="Times New Roman" w:hAnsi="Times New Roman" w:cs="Times New Roman"/>
                <w:color w:val="auto"/>
                <w:sz w:val="24"/>
                <w:szCs w:val="24"/>
                <w:highlight w:val="none"/>
                <w:lang w:val="en-US" w:eastAsia="zh-CN" w:bidi="ar"/>
              </w:rPr>
              <w:t>、管道</w:t>
            </w:r>
            <w:r>
              <w:rPr>
                <w:rFonts w:hint="default" w:ascii="Times New Roman" w:hAnsi="Times New Roman" w:eastAsia="宋体" w:cs="Times New Roman"/>
                <w:color w:val="auto"/>
                <w:sz w:val="24"/>
                <w:szCs w:val="24"/>
                <w:highlight w:val="none"/>
                <w:lang w:val="en-US" w:eastAsia="zh-CN" w:bidi="ar"/>
              </w:rPr>
              <w:t>必须落实底部硬底化、防漏防渗措施，所有水池构筑物均进行防渗处理。厂内埋地管道需做好防漏防渗措施。做好分区防控工作，定期检查项目废水管道和池体，加强管理</w:t>
            </w:r>
            <w:r>
              <w:rPr>
                <w:rFonts w:hint="default" w:ascii="Times New Roman" w:hAnsi="Times New Roman" w:cs="Times New Roman"/>
                <w:color w:val="auto"/>
                <w:sz w:val="24"/>
                <w:szCs w:val="24"/>
                <w:highlight w:val="none"/>
                <w:lang w:val="en-US" w:eastAsia="zh-CN" w:bidi="ar"/>
              </w:rPr>
              <w:t>。</w:t>
            </w:r>
          </w:p>
        </w:tc>
      </w:tr>
      <w:tr w14:paraId="3C160A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224" w:hRule="atLeast"/>
          <w:jc w:val="center"/>
        </w:trPr>
        <w:tc>
          <w:tcPr>
            <w:tcW w:w="1538" w:type="dxa"/>
            <w:vAlign w:val="center"/>
          </w:tcPr>
          <w:p w14:paraId="1F499E48">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生态保护措施</w:t>
            </w:r>
          </w:p>
        </w:tc>
        <w:tc>
          <w:tcPr>
            <w:tcW w:w="7262" w:type="dxa"/>
            <w:gridSpan w:val="4"/>
            <w:vAlign w:val="center"/>
          </w:tcPr>
          <w:p w14:paraId="6649E654">
            <w:pPr>
              <w:adjustRightInd w:val="0"/>
              <w:snapToGrid w:val="0"/>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无</w:t>
            </w:r>
            <w:r>
              <w:rPr>
                <w:rFonts w:hint="default" w:ascii="Times New Roman" w:hAnsi="Times New Roman" w:eastAsia="宋体" w:cs="Times New Roman"/>
                <w:color w:val="auto"/>
                <w:sz w:val="24"/>
                <w:szCs w:val="24"/>
                <w:highlight w:val="none"/>
              </w:rPr>
              <w:t>。</w:t>
            </w:r>
          </w:p>
        </w:tc>
      </w:tr>
      <w:tr w14:paraId="5B6C12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6032" w:hRule="atLeast"/>
          <w:jc w:val="center"/>
        </w:trPr>
        <w:tc>
          <w:tcPr>
            <w:tcW w:w="1538" w:type="dxa"/>
            <w:vAlign w:val="center"/>
          </w:tcPr>
          <w:p w14:paraId="34ABC522">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环境风险</w:t>
            </w:r>
          </w:p>
          <w:p w14:paraId="3CB68510">
            <w:pPr>
              <w:adjustRightInd w:val="0"/>
              <w:snapToGrid w:val="0"/>
              <w:jc w:val="center"/>
              <w:rPr>
                <w:rFonts w:hint="default" w:ascii="Times New Roman" w:hAnsi="Times New Roman" w:eastAsia="宋体" w:cs="Times New Roman"/>
                <w:b/>
                <w:bCs/>
                <w:color w:val="auto"/>
                <w:spacing w:val="-8"/>
                <w:sz w:val="24"/>
                <w:szCs w:val="24"/>
                <w:highlight w:val="none"/>
              </w:rPr>
            </w:pPr>
            <w:r>
              <w:rPr>
                <w:rFonts w:hint="default" w:ascii="Times New Roman" w:hAnsi="Times New Roman" w:eastAsia="宋体" w:cs="Times New Roman"/>
                <w:b/>
                <w:bCs/>
                <w:color w:val="auto"/>
                <w:sz w:val="24"/>
                <w:szCs w:val="24"/>
                <w:highlight w:val="none"/>
              </w:rPr>
              <w:t>防范措施</w:t>
            </w:r>
          </w:p>
        </w:tc>
        <w:tc>
          <w:tcPr>
            <w:tcW w:w="7262" w:type="dxa"/>
            <w:gridSpan w:val="4"/>
            <w:vAlign w:val="center"/>
          </w:tcPr>
          <w:p w14:paraId="2C01E9CA">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（1）重视维护及管理厂内污水管道，防止</w:t>
            </w:r>
            <w:r>
              <w:rPr>
                <w:rFonts w:hint="default" w:ascii="Times New Roman" w:hAnsi="Times New Roman" w:cs="Times New Roman"/>
                <w:color w:val="auto"/>
                <w:sz w:val="24"/>
                <w:szCs w:val="24"/>
                <w:highlight w:val="none"/>
                <w:lang w:val="en-US" w:eastAsia="zh-CN" w:bidi="ar"/>
              </w:rPr>
              <w:t>因</w:t>
            </w:r>
            <w:r>
              <w:rPr>
                <w:rFonts w:hint="default" w:ascii="Times New Roman" w:hAnsi="Times New Roman" w:eastAsia="宋体" w:cs="Times New Roman"/>
                <w:color w:val="auto"/>
                <w:sz w:val="24"/>
                <w:szCs w:val="24"/>
                <w:highlight w:val="none"/>
                <w:lang w:val="en-US" w:eastAsia="zh-CN" w:bidi="ar"/>
              </w:rPr>
              <w:t xml:space="preserve">泥沙沉积堵塞而影响管道的过水能力。 </w:t>
            </w:r>
          </w:p>
          <w:p w14:paraId="0CA18EFE">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（2）在主要</w:t>
            </w:r>
            <w:r>
              <w:rPr>
                <w:rFonts w:hint="default" w:ascii="Times New Roman" w:hAnsi="Times New Roman" w:cs="Times New Roman"/>
                <w:color w:val="auto"/>
                <w:sz w:val="24"/>
                <w:szCs w:val="24"/>
                <w:highlight w:val="none"/>
                <w:lang w:val="en-US" w:eastAsia="zh-CN" w:bidi="ar"/>
              </w:rPr>
              <w:t>建筑物和</w:t>
            </w:r>
            <w:r>
              <w:rPr>
                <w:rFonts w:hint="default" w:ascii="Times New Roman" w:hAnsi="Times New Roman" w:eastAsia="宋体" w:cs="Times New Roman"/>
                <w:color w:val="auto"/>
                <w:sz w:val="24"/>
                <w:szCs w:val="24"/>
                <w:highlight w:val="none"/>
                <w:lang w:val="en-US" w:eastAsia="zh-CN" w:bidi="ar"/>
              </w:rPr>
              <w:t>构筑物</w:t>
            </w:r>
            <w:r>
              <w:rPr>
                <w:rFonts w:hint="eastAsia" w:cs="Times New Roman"/>
                <w:color w:val="auto"/>
                <w:sz w:val="24"/>
                <w:szCs w:val="24"/>
                <w:highlight w:val="none"/>
                <w:lang w:val="en-US" w:eastAsia="zh-CN" w:bidi="ar"/>
              </w:rPr>
              <w:t>之间</w:t>
            </w:r>
            <w:r>
              <w:rPr>
                <w:rFonts w:hint="default" w:ascii="Times New Roman" w:hAnsi="Times New Roman" w:eastAsia="宋体" w:cs="Times New Roman"/>
                <w:color w:val="auto"/>
                <w:sz w:val="24"/>
                <w:szCs w:val="24"/>
                <w:highlight w:val="none"/>
                <w:lang w:val="en-US" w:eastAsia="zh-CN" w:bidi="ar"/>
              </w:rPr>
              <w:t>预留缓冲空间，</w:t>
            </w:r>
            <w:r>
              <w:rPr>
                <w:rFonts w:hint="default" w:ascii="Times New Roman" w:hAnsi="Times New Roman" w:cs="Times New Roman"/>
                <w:color w:val="auto"/>
                <w:sz w:val="24"/>
                <w:szCs w:val="24"/>
                <w:highlight w:val="none"/>
                <w:lang w:val="en-US" w:eastAsia="zh-CN" w:bidi="ar"/>
              </w:rPr>
              <w:t>以便</w:t>
            </w:r>
            <w:r>
              <w:rPr>
                <w:rFonts w:hint="default" w:ascii="Times New Roman" w:hAnsi="Times New Roman" w:eastAsia="宋体" w:cs="Times New Roman"/>
                <w:color w:val="auto"/>
                <w:sz w:val="24"/>
                <w:szCs w:val="24"/>
                <w:highlight w:val="none"/>
                <w:lang w:val="en-US" w:eastAsia="zh-CN" w:bidi="ar"/>
              </w:rPr>
              <w:t xml:space="preserve">在非正常工况下污水处理厂能够迅速恢复正常运行。 </w:t>
            </w:r>
          </w:p>
          <w:p w14:paraId="01BB6A36">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（3）严格控制处理单元的水量、水质、停留时间、负荷强度等，确保处理效果的稳定性。定期采样监测。操作人员及时调整</w:t>
            </w:r>
            <w:r>
              <w:rPr>
                <w:rFonts w:hint="default" w:ascii="Times New Roman" w:hAnsi="Times New Roman" w:cs="Times New Roman"/>
                <w:color w:val="auto"/>
                <w:sz w:val="24"/>
                <w:szCs w:val="24"/>
                <w:highlight w:val="none"/>
                <w:lang w:val="en-US" w:eastAsia="zh-CN" w:bidi="ar"/>
              </w:rPr>
              <w:t>设备</w:t>
            </w:r>
            <w:r>
              <w:rPr>
                <w:rFonts w:hint="default" w:ascii="Times New Roman" w:hAnsi="Times New Roman" w:eastAsia="宋体" w:cs="Times New Roman"/>
                <w:color w:val="auto"/>
                <w:sz w:val="24"/>
                <w:szCs w:val="24"/>
                <w:highlight w:val="none"/>
                <w:lang w:val="en-US" w:eastAsia="zh-CN" w:bidi="ar"/>
              </w:rPr>
              <w:t xml:space="preserve">，使设备处于最佳工况。 </w:t>
            </w:r>
          </w:p>
          <w:p w14:paraId="264E8190">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 xml:space="preserve">（4）加强污水处理厂人员的操作技能的培训，提高工作人员的应变能力，及时有效处理意外情况。 </w:t>
            </w:r>
          </w:p>
          <w:p w14:paraId="52911D6A">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（5）加强运行管理和进出水水质的监测工作，配备流量、水质自动分析控制仪器，定期取样监测，并</w:t>
            </w:r>
            <w:r>
              <w:rPr>
                <w:rFonts w:hint="default" w:ascii="Times New Roman" w:hAnsi="Times New Roman" w:cs="Times New Roman"/>
                <w:color w:val="auto"/>
                <w:sz w:val="24"/>
                <w:szCs w:val="24"/>
                <w:highlight w:val="none"/>
                <w:lang w:val="en-US" w:eastAsia="zh-CN" w:bidi="ar"/>
              </w:rPr>
              <w:t>做好</w:t>
            </w:r>
            <w:r>
              <w:rPr>
                <w:rFonts w:hint="default" w:ascii="Times New Roman" w:hAnsi="Times New Roman" w:eastAsia="宋体" w:cs="Times New Roman"/>
                <w:color w:val="auto"/>
                <w:sz w:val="24"/>
                <w:szCs w:val="24"/>
                <w:highlight w:val="none"/>
                <w:lang w:val="en-US" w:eastAsia="zh-CN" w:bidi="ar"/>
              </w:rPr>
              <w:t xml:space="preserve">消毒工作，未经处理达标的污水严禁外排。 </w:t>
            </w:r>
          </w:p>
          <w:p w14:paraId="008107FA">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 xml:space="preserve">（6）制定风险事故应急预案。在发生风险事故时，能够以最快的速度、最大的效能、最有序地实施救援，从而减少因事故造成的损失。 </w:t>
            </w:r>
          </w:p>
          <w:p w14:paraId="149C5598">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（7）本厂危险品由专人运输，不可在阳光下暴晒，远离热源、火种，与自燃物、易燃物隔离储运，隔离存放。</w:t>
            </w:r>
          </w:p>
          <w:p w14:paraId="3BB0BEE1">
            <w:pPr>
              <w:adjustRightInd w:val="0"/>
              <w:snapToGrid w:val="0"/>
              <w:ind w:firstLine="480" w:firstLineChars="200"/>
              <w:jc w:val="left"/>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bidi="ar"/>
              </w:rPr>
              <w:t>（8）次氯酸钠储罐区四周设置围堰，防止泄漏物料四处漫流，同时储罐区按防渗要求做好地面防渗。</w:t>
            </w:r>
          </w:p>
          <w:p w14:paraId="55A453D9">
            <w:pPr>
              <w:adjustRightInd w:val="0"/>
              <w:snapToGrid w:val="0"/>
              <w:ind w:firstLine="480" w:firstLineChars="200"/>
              <w:jc w:val="left"/>
              <w:rPr>
                <w:rFonts w:hint="default" w:ascii="Times New Roman" w:hAnsi="Times New Roman" w:eastAsia="宋体" w:cs="Times New Roman"/>
                <w:color w:val="auto"/>
                <w:sz w:val="24"/>
                <w:szCs w:val="24"/>
                <w:highlight w:val="none"/>
                <w:lang w:bidi="zh-CN"/>
              </w:rPr>
            </w:pPr>
            <w:r>
              <w:rPr>
                <w:rFonts w:hint="default" w:ascii="Times New Roman" w:hAnsi="Times New Roman" w:eastAsia="宋体" w:cs="Times New Roman"/>
                <w:color w:val="auto"/>
                <w:sz w:val="24"/>
                <w:szCs w:val="24"/>
                <w:highlight w:val="none"/>
                <w:lang w:val="en-US" w:eastAsia="zh-CN" w:bidi="ar"/>
              </w:rPr>
              <w:t>（9）厂区已建应急池位于污水处理厂南墙南侧60米处，水池为钢筋混凝土结构，无盖，结构尺寸为37</w:t>
            </w:r>
            <w:r>
              <w:rPr>
                <w:rFonts w:hint="default" w:ascii="Times New Roman" w:hAnsi="Times New Roman" w:cs="Times New Roman"/>
                <w:color w:val="auto"/>
                <w:sz w:val="24"/>
                <w:szCs w:val="24"/>
                <w:highlight w:val="none"/>
                <w:lang w:val="en-US" w:eastAsia="zh-CN" w:bidi="ar"/>
              </w:rPr>
              <w:t>m</w:t>
            </w:r>
            <w:r>
              <w:rPr>
                <w:rFonts w:hint="default" w:ascii="Times New Roman" w:hAnsi="Times New Roman" w:eastAsia="宋体" w:cs="Times New Roman"/>
                <w:color w:val="auto"/>
                <w:sz w:val="24"/>
                <w:szCs w:val="24"/>
                <w:highlight w:val="none"/>
                <w:lang w:val="en-US" w:eastAsia="zh-CN" w:bidi="ar"/>
              </w:rPr>
              <w:t>×35</w:t>
            </w:r>
            <w:r>
              <w:rPr>
                <w:rFonts w:hint="default" w:ascii="Times New Roman" w:hAnsi="Times New Roman" w:cs="Times New Roman"/>
                <w:color w:val="auto"/>
                <w:sz w:val="24"/>
                <w:szCs w:val="24"/>
                <w:highlight w:val="none"/>
                <w:lang w:val="en-US" w:eastAsia="zh-CN" w:bidi="ar"/>
              </w:rPr>
              <w:t>m</w:t>
            </w:r>
            <w:r>
              <w:rPr>
                <w:rFonts w:hint="default" w:ascii="Times New Roman" w:hAnsi="Times New Roman" w:eastAsia="宋体" w:cs="Times New Roman"/>
                <w:color w:val="auto"/>
                <w:sz w:val="24"/>
                <w:szCs w:val="24"/>
                <w:highlight w:val="none"/>
                <w:lang w:val="en-US" w:eastAsia="zh-CN" w:bidi="ar"/>
              </w:rPr>
              <w:t>×5</w:t>
            </w:r>
            <w:r>
              <w:rPr>
                <w:rFonts w:hint="default" w:ascii="Times New Roman" w:hAnsi="Times New Roman" w:cs="Times New Roman"/>
                <w:color w:val="auto"/>
                <w:sz w:val="24"/>
                <w:szCs w:val="24"/>
                <w:highlight w:val="none"/>
                <w:lang w:val="en-US" w:eastAsia="zh-CN" w:bidi="ar"/>
              </w:rPr>
              <w:t>m</w:t>
            </w:r>
            <w:r>
              <w:rPr>
                <w:rFonts w:hint="default" w:ascii="Times New Roman" w:hAnsi="Times New Roman" w:eastAsia="宋体" w:cs="Times New Roman"/>
                <w:color w:val="auto"/>
                <w:sz w:val="24"/>
                <w:szCs w:val="24"/>
                <w:highlight w:val="none"/>
                <w:lang w:val="en-US" w:eastAsia="zh-CN" w:bidi="ar"/>
              </w:rPr>
              <w:t>，容积约为6475</w:t>
            </w:r>
            <w:r>
              <w:rPr>
                <w:rFonts w:hint="default" w:ascii="Times New Roman" w:hAnsi="Times New Roman" w:cs="Times New Roman"/>
                <w:color w:val="auto"/>
                <w:sz w:val="24"/>
                <w:szCs w:val="24"/>
                <w:highlight w:val="none"/>
                <w:lang w:val="en-US" w:eastAsia="zh-CN" w:bidi="ar"/>
              </w:rPr>
              <w:t>m</w:t>
            </w:r>
            <w:r>
              <w:rPr>
                <w:rFonts w:hint="default" w:ascii="Times New Roman" w:hAnsi="Times New Roman" w:eastAsia="宋体" w:cs="Times New Roman"/>
                <w:color w:val="auto"/>
                <w:sz w:val="24"/>
                <w:szCs w:val="24"/>
                <w:highlight w:val="none"/>
                <w:lang w:val="en-US" w:eastAsia="zh-CN" w:bidi="ar"/>
              </w:rPr>
              <w:t>³，事故时可将未处理废水暂存至应急池，待事故解决后逐步将废水打入处理系统处理，不会对外环境造成冲击影响</w:t>
            </w:r>
            <w:r>
              <w:rPr>
                <w:rFonts w:hint="default" w:ascii="Times New Roman" w:hAnsi="Times New Roman" w:cs="Times New Roman"/>
                <w:color w:val="auto"/>
                <w:sz w:val="24"/>
                <w:szCs w:val="24"/>
                <w:highlight w:val="none"/>
                <w:lang w:val="en-US" w:eastAsia="zh-CN" w:bidi="ar"/>
              </w:rPr>
              <w:t>。</w:t>
            </w:r>
          </w:p>
        </w:tc>
      </w:tr>
      <w:tr w14:paraId="391A8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1" w:type="dxa"/>
            <w:bottom w:w="0" w:type="dxa"/>
            <w:right w:w="51" w:type="dxa"/>
          </w:tblCellMar>
        </w:tblPrEx>
        <w:trPr>
          <w:trHeight w:val="981" w:hRule="atLeast"/>
          <w:jc w:val="center"/>
        </w:trPr>
        <w:tc>
          <w:tcPr>
            <w:tcW w:w="1538" w:type="dxa"/>
            <w:vAlign w:val="center"/>
          </w:tcPr>
          <w:p w14:paraId="5C12E8A0">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其他环境</w:t>
            </w:r>
          </w:p>
          <w:p w14:paraId="5C7328ED">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管理要求</w:t>
            </w:r>
          </w:p>
        </w:tc>
        <w:tc>
          <w:tcPr>
            <w:tcW w:w="7262" w:type="dxa"/>
            <w:gridSpan w:val="4"/>
            <w:vAlign w:val="center"/>
          </w:tcPr>
          <w:p w14:paraId="48F5EE07">
            <w:pPr>
              <w:adjustRightInd w:val="0"/>
              <w:snapToGrid w:val="0"/>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1.环境保护管理</w:t>
            </w:r>
          </w:p>
          <w:p w14:paraId="1DB96BE5">
            <w:pPr>
              <w:adjustRightInd w:val="0"/>
              <w:snapToGrid w:val="0"/>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加强管理，保证污染防治设施的正常运行，最大限度地减少污染排放给环境造成的影响。</w:t>
            </w:r>
            <w:r>
              <w:rPr>
                <w:rFonts w:hint="default" w:ascii="Times New Roman" w:hAnsi="Times New Roman" w:cs="Times New Roman"/>
                <w:color w:val="auto"/>
                <w:sz w:val="24"/>
                <w:szCs w:val="24"/>
                <w:lang w:eastAsia="zh-CN"/>
              </w:rPr>
              <w:t>加强</w:t>
            </w:r>
            <w:r>
              <w:rPr>
                <w:rFonts w:hint="default" w:ascii="Times New Roman" w:hAnsi="Times New Roman" w:cs="Times New Roman"/>
                <w:color w:val="auto"/>
                <w:sz w:val="24"/>
                <w:szCs w:val="24"/>
              </w:rPr>
              <w:t>环保设施的日常管理和维护保养</w:t>
            </w:r>
            <w:r>
              <w:rPr>
                <w:rFonts w:hint="default" w:ascii="Times New Roman" w:hAnsi="Times New Roman" w:cs="Times New Roman"/>
                <w:color w:val="auto"/>
                <w:sz w:val="24"/>
                <w:szCs w:val="24"/>
                <w:lang w:eastAsia="zh-CN"/>
              </w:rPr>
              <w:t>，保障</w:t>
            </w:r>
            <w:r>
              <w:rPr>
                <w:rFonts w:hint="default" w:ascii="Times New Roman" w:hAnsi="Times New Roman" w:cs="Times New Roman"/>
                <w:color w:val="auto"/>
                <w:sz w:val="24"/>
                <w:szCs w:val="24"/>
              </w:rPr>
              <w:t>其长期稳定运行。通过宣传、学习，增强职工的环保意识，将生产管理和环保管理有机结合起来。</w:t>
            </w:r>
          </w:p>
          <w:p w14:paraId="6D6CF280">
            <w:pPr>
              <w:adjustRightInd w:val="0"/>
              <w:snapToGrid w:val="0"/>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2.与排污许可证制度的衔接</w:t>
            </w:r>
          </w:p>
          <w:p w14:paraId="07A00F31">
            <w:pPr>
              <w:adjustRightInd w:val="0"/>
              <w:snapToGrid w:val="0"/>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根据《关于做好环境影响评价制度与排污许可制度衔接相关工作的通知》（环办环评〔2017〕84号）及《固定污染源排污许可分类管理名录（2019年版）》（生态环境部令第11号），本项目属于</w:t>
            </w:r>
            <w:r>
              <w:rPr>
                <w:rFonts w:hint="eastAsia" w:cs="Times New Roman"/>
                <w:color w:val="auto"/>
                <w:sz w:val="24"/>
                <w:szCs w:val="24"/>
                <w:lang w:eastAsia="zh-CN"/>
              </w:rPr>
              <w:t>“</w:t>
            </w:r>
            <w:r>
              <w:rPr>
                <w:rFonts w:hint="default" w:ascii="Times New Roman" w:hAnsi="Times New Roman" w:cs="Times New Roman"/>
                <w:color w:val="auto"/>
                <w:sz w:val="24"/>
                <w:szCs w:val="24"/>
              </w:rPr>
              <w:t>四十一、水的生产和供应业46—99</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污水处理及其再生利用462—日处理能力500吨及以上2万吨以下的城乡污水集中处理场所</w:t>
            </w:r>
            <w:r>
              <w:rPr>
                <w:rFonts w:hint="eastAsia" w:cs="Times New Roman"/>
                <w:color w:val="auto"/>
                <w:sz w:val="24"/>
                <w:szCs w:val="24"/>
                <w:lang w:eastAsia="zh-CN"/>
              </w:rPr>
              <w:t>”</w:t>
            </w:r>
            <w:r>
              <w:rPr>
                <w:rFonts w:hint="default" w:ascii="Times New Roman" w:hAnsi="Times New Roman" w:cs="Times New Roman"/>
                <w:color w:val="auto"/>
                <w:sz w:val="24"/>
                <w:szCs w:val="24"/>
              </w:rPr>
              <w:t>，属于排污简化管理类别。</w:t>
            </w:r>
            <w:r>
              <w:rPr>
                <w:rFonts w:hint="default" w:ascii="Times New Roman" w:hAnsi="Times New Roman" w:cs="Times New Roman"/>
                <w:color w:val="auto"/>
                <w:sz w:val="24"/>
                <w:szCs w:val="24"/>
                <w:lang w:val="en-US" w:eastAsia="zh-CN"/>
              </w:rPr>
              <w:t>本项目扩建完成后</w:t>
            </w:r>
            <w:r>
              <w:rPr>
                <w:rFonts w:hint="default" w:ascii="Times New Roman" w:hAnsi="Times New Roman" w:cs="Times New Roman"/>
                <w:color w:val="auto"/>
                <w:sz w:val="24"/>
                <w:szCs w:val="24"/>
              </w:rPr>
              <w:t>需重新申请取得排污许可证。</w:t>
            </w:r>
          </w:p>
          <w:p w14:paraId="2273737D">
            <w:pPr>
              <w:adjustRightInd w:val="0"/>
              <w:snapToGrid w:val="0"/>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3.竣工环保验收要求</w:t>
            </w:r>
          </w:p>
          <w:p w14:paraId="3D1C3D8D">
            <w:pPr>
              <w:adjustRightInd w:val="0"/>
              <w:snapToGrid w:val="0"/>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根据《建设项目竣工环境保护验收暂行办法》的规定，建设项目竣工后，建设单位应当如实查验、监测、记载建设项目环境保护设施的建设和调试情况，并编制验收监测报告。</w:t>
            </w:r>
          </w:p>
          <w:p w14:paraId="4A025374">
            <w:pPr>
              <w:adjustRightInd w:val="0"/>
              <w:snapToGrid w:val="0"/>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4.自行监测</w:t>
            </w:r>
          </w:p>
          <w:p w14:paraId="4E0627C4">
            <w:pPr>
              <w:adjustRightInd w:val="0"/>
              <w:snapToGrid w:val="0"/>
              <w:ind w:firstLine="480"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根据《排污单位自行监测技术指南总则》（HJ</w:t>
            </w:r>
            <w:r>
              <w:rPr>
                <w:rFonts w:hint="eastAsia"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val="en-US" w:eastAsia="zh-CN"/>
              </w:rPr>
              <w:t>819</w:t>
            </w:r>
            <w:r>
              <w:rPr>
                <w:rFonts w:hint="eastAsia" w:ascii="Times New Roman" w:hAnsi="Times New Roman" w:cs="Times New Roman"/>
                <w:color w:val="auto"/>
                <w:sz w:val="24"/>
                <w:szCs w:val="24"/>
                <w:lang w:val="en-US" w:eastAsia="zh-CN"/>
              </w:rPr>
              <w:t>—2017</w:t>
            </w:r>
            <w:r>
              <w:rPr>
                <w:rFonts w:hint="default" w:ascii="Times New Roman" w:hAnsi="Times New Roman" w:cs="Times New Roman"/>
                <w:color w:val="auto"/>
                <w:sz w:val="24"/>
                <w:szCs w:val="24"/>
                <w:lang w:val="en-US" w:eastAsia="zh-CN"/>
              </w:rPr>
              <w:t>）、《排污单位自行监测技术指南 水处理》（HJ 1083</w:t>
            </w:r>
            <w:r>
              <w:rPr>
                <w:rFonts w:hint="eastAsia" w:ascii="Times New Roman" w:hAnsi="Times New Roman" w:cs="Times New Roman"/>
                <w:color w:val="auto"/>
                <w:sz w:val="24"/>
                <w:szCs w:val="24"/>
                <w:lang w:val="en-US" w:eastAsia="zh-CN"/>
              </w:rPr>
              <w:t>—2020</w:t>
            </w:r>
            <w:r>
              <w:rPr>
                <w:rFonts w:hint="default" w:ascii="Times New Roman" w:hAnsi="Times New Roman" w:cs="Times New Roman"/>
                <w:color w:val="auto"/>
                <w:sz w:val="24"/>
                <w:szCs w:val="24"/>
                <w:lang w:val="en-US" w:eastAsia="zh-CN"/>
              </w:rPr>
              <w:t>）要求，定期进行排污监测。</w:t>
            </w:r>
          </w:p>
        </w:tc>
      </w:tr>
    </w:tbl>
    <w:p w14:paraId="4AAE0DCA">
      <w:pPr>
        <w:pStyle w:val="9"/>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r>
        <w:rPr>
          <w:rFonts w:hint="default" w:ascii="Times New Roman" w:hAnsi="Times New Roman" w:eastAsia="宋体" w:cs="Times New Roman"/>
          <w:b/>
          <w:bCs/>
          <w:snapToGrid w:val="0"/>
          <w:color w:val="auto"/>
          <w:sz w:val="30"/>
          <w:szCs w:val="30"/>
          <w:highlight w:val="none"/>
        </w:rPr>
        <w:t>六、结论</w:t>
      </w:r>
    </w:p>
    <w:tbl>
      <w:tblPr>
        <w:tblStyle w:val="1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6A6D4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253D288">
            <w:pPr>
              <w:spacing w:line="360" w:lineRule="auto"/>
              <w:ind w:firstLine="480" w:firstLineChars="200"/>
              <w:rPr>
                <w:rFonts w:hint="default" w:ascii="Times New Roman" w:hAnsi="Times New Roman" w:eastAsia="宋体" w:cs="Times New Roman"/>
                <w:bCs/>
                <w:color w:val="auto"/>
                <w:szCs w:val="21"/>
                <w:highlight w:val="none"/>
              </w:rPr>
            </w:pPr>
          </w:p>
          <w:p w14:paraId="34C05E35">
            <w:pPr>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本项目符合产业政策、选址合理，项目的建设</w:t>
            </w:r>
            <w:r>
              <w:rPr>
                <w:rFonts w:hint="default" w:ascii="Times New Roman" w:hAnsi="Times New Roman" w:cs="Times New Roman"/>
                <w:bCs/>
                <w:color w:val="auto"/>
                <w:sz w:val="24"/>
                <w:szCs w:val="24"/>
                <w:highlight w:val="none"/>
                <w:lang w:eastAsia="zh-CN"/>
              </w:rPr>
              <w:t>会</w:t>
            </w:r>
            <w:r>
              <w:rPr>
                <w:rFonts w:hint="default" w:ascii="Times New Roman" w:hAnsi="Times New Roman" w:eastAsia="宋体" w:cs="Times New Roman"/>
                <w:bCs/>
                <w:color w:val="auto"/>
                <w:sz w:val="24"/>
                <w:szCs w:val="24"/>
                <w:highlight w:val="none"/>
              </w:rPr>
              <w:t>对周围环境产生一定影响。在认真落实本报告中提出的各项污染防治措施及建议的前提下，加强环境管理，</w:t>
            </w:r>
            <w:r>
              <w:rPr>
                <w:rFonts w:hint="default" w:ascii="Times New Roman" w:hAnsi="Times New Roman" w:cs="Times New Roman"/>
                <w:bCs/>
                <w:color w:val="auto"/>
                <w:sz w:val="24"/>
                <w:szCs w:val="24"/>
                <w:highlight w:val="none"/>
                <w:lang w:eastAsia="zh-CN"/>
              </w:rPr>
              <w:t>使</w:t>
            </w:r>
            <w:r>
              <w:rPr>
                <w:rFonts w:hint="default" w:ascii="Times New Roman" w:hAnsi="Times New Roman" w:eastAsia="宋体" w:cs="Times New Roman"/>
                <w:bCs/>
                <w:color w:val="auto"/>
                <w:sz w:val="24"/>
                <w:szCs w:val="24"/>
                <w:highlight w:val="none"/>
                <w:lang w:eastAsia="zh-CN"/>
              </w:rPr>
              <w:t>其</w:t>
            </w:r>
            <w:r>
              <w:rPr>
                <w:rFonts w:hint="default" w:ascii="Times New Roman" w:hAnsi="Times New Roman" w:eastAsia="宋体" w:cs="Times New Roman"/>
                <w:bCs/>
                <w:color w:val="auto"/>
                <w:sz w:val="24"/>
                <w:szCs w:val="24"/>
                <w:highlight w:val="none"/>
              </w:rPr>
              <w:t xml:space="preserve">废气、废水、噪声、固体废物等对周围环境的影响控制在可接受范围内。项目建设对周边生态影响较小。从环境保护角度分析，该项目建设可行。 </w:t>
            </w:r>
          </w:p>
          <w:p w14:paraId="52EAF6F0">
            <w:pPr>
              <w:spacing w:line="360" w:lineRule="auto"/>
              <w:ind w:firstLine="480" w:firstLineChars="200"/>
              <w:rPr>
                <w:rFonts w:hint="default" w:ascii="Times New Roman" w:hAnsi="Times New Roman" w:eastAsia="宋体" w:cs="Times New Roman"/>
                <w:bCs/>
                <w:color w:val="auto"/>
                <w:szCs w:val="21"/>
                <w:highlight w:val="none"/>
              </w:rPr>
            </w:pPr>
          </w:p>
          <w:p w14:paraId="1B102D4E">
            <w:pPr>
              <w:spacing w:line="360" w:lineRule="auto"/>
              <w:ind w:firstLine="480" w:firstLineChars="200"/>
              <w:rPr>
                <w:rFonts w:hint="default" w:ascii="Times New Roman" w:hAnsi="Times New Roman" w:eastAsia="宋体" w:cs="Times New Roman"/>
                <w:color w:val="auto"/>
                <w:szCs w:val="21"/>
                <w:highlight w:val="none"/>
              </w:rPr>
            </w:pPr>
          </w:p>
        </w:tc>
      </w:tr>
    </w:tbl>
    <w:p w14:paraId="685A85B1">
      <w:pPr>
        <w:rPr>
          <w:rFonts w:hint="default" w:ascii="Times New Roman" w:hAnsi="Times New Roman" w:eastAsia="宋体"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D256A13">
      <w:pPr>
        <w:pStyle w:val="9"/>
        <w:adjustRightInd w:val="0"/>
        <w:snapToGrid w:val="0"/>
        <w:spacing w:before="0" w:beforeAutospacing="0" w:after="0" w:afterAutospacing="0"/>
        <w:outlineLvl w:val="0"/>
        <w:rPr>
          <w:rFonts w:hint="default" w:ascii="Times New Roman" w:hAnsi="Times New Roman" w:eastAsia="宋体" w:cs="Times New Roman"/>
          <w:b/>
          <w:bCs/>
          <w:snapToGrid w:val="0"/>
          <w:color w:val="auto"/>
          <w:sz w:val="32"/>
          <w:szCs w:val="32"/>
          <w:highlight w:val="none"/>
        </w:rPr>
      </w:pPr>
      <w:r>
        <w:rPr>
          <w:rFonts w:hint="default" w:ascii="Times New Roman" w:hAnsi="Times New Roman" w:eastAsia="宋体" w:cs="Times New Roman"/>
          <w:b/>
          <w:bCs/>
          <w:snapToGrid w:val="0"/>
          <w:color w:val="auto"/>
          <w:sz w:val="32"/>
          <w:szCs w:val="32"/>
          <w:highlight w:val="none"/>
        </w:rPr>
        <w:t>附表</w:t>
      </w:r>
    </w:p>
    <w:p w14:paraId="2F632AED">
      <w:pPr>
        <w:pStyle w:val="9"/>
        <w:adjustRightInd w:val="0"/>
        <w:snapToGrid w:val="0"/>
        <w:spacing w:before="0" w:beforeAutospacing="0" w:after="0" w:afterAutospacing="0"/>
        <w:jc w:val="center"/>
        <w:rPr>
          <w:rFonts w:hint="default" w:ascii="Times New Roman" w:hAnsi="Times New Roman" w:eastAsia="宋体" w:cs="Times New Roman"/>
          <w:b/>
          <w:bCs/>
          <w:snapToGrid w:val="0"/>
          <w:color w:val="auto"/>
          <w:sz w:val="38"/>
          <w:szCs w:val="38"/>
          <w:highlight w:val="none"/>
          <w:lang w:eastAsia="zh-CN"/>
        </w:rPr>
      </w:pPr>
      <w:r>
        <w:rPr>
          <w:rFonts w:hint="default" w:ascii="Times New Roman" w:hAnsi="Times New Roman" w:eastAsia="宋体" w:cs="Times New Roman"/>
          <w:b/>
          <w:bCs/>
          <w:snapToGrid w:val="0"/>
          <w:color w:val="auto"/>
          <w:sz w:val="38"/>
          <w:szCs w:val="38"/>
          <w:highlight w:val="none"/>
        </w:rPr>
        <w:t>建设项目污染物排放量汇总表</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单位：t/a</w:t>
      </w:r>
      <w:r>
        <w:rPr>
          <w:rFonts w:hint="default" w:ascii="Times New Roman" w:hAnsi="Times New Roman" w:cs="Times New Roman"/>
          <w:color w:val="auto"/>
          <w:lang w:eastAsia="zh-CN"/>
        </w:rPr>
        <w:t>）</w:t>
      </w:r>
    </w:p>
    <w:tbl>
      <w:tblPr>
        <w:tblStyle w:val="11"/>
        <w:tblW w:w="139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641"/>
        <w:gridCol w:w="1276"/>
      </w:tblGrid>
      <w:tr w14:paraId="351492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tcMar>
              <w:left w:w="28" w:type="dxa"/>
              <w:right w:w="28" w:type="dxa"/>
            </w:tcMar>
            <w:vAlign w:val="center"/>
          </w:tcPr>
          <w:p w14:paraId="0A729FA4">
            <w:pPr>
              <w:pStyle w:val="17"/>
              <w:spacing w:beforeLines="0" w:afterLines="0" w:line="240" w:lineRule="auto"/>
              <w:jc w:val="right"/>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项目</w:t>
            </w:r>
          </w:p>
          <w:p w14:paraId="6A630C60">
            <w:pPr>
              <w:pStyle w:val="17"/>
              <w:spacing w:beforeLines="0" w:afterLines="0" w:line="240" w:lineRule="auto"/>
              <w:jc w:val="left"/>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分类</w:t>
            </w:r>
          </w:p>
        </w:tc>
        <w:tc>
          <w:tcPr>
            <w:tcW w:w="1417" w:type="dxa"/>
            <w:tcMar>
              <w:left w:w="28" w:type="dxa"/>
              <w:right w:w="28" w:type="dxa"/>
            </w:tcMar>
            <w:vAlign w:val="center"/>
          </w:tcPr>
          <w:p w14:paraId="74DEA8BF">
            <w:pPr>
              <w:pStyle w:val="17"/>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污染物名称</w:t>
            </w:r>
          </w:p>
        </w:tc>
        <w:tc>
          <w:tcPr>
            <w:tcW w:w="1701" w:type="dxa"/>
            <w:tcMar>
              <w:left w:w="28" w:type="dxa"/>
              <w:right w:w="28" w:type="dxa"/>
            </w:tcMar>
            <w:vAlign w:val="center"/>
          </w:tcPr>
          <w:p w14:paraId="1CFC9A7B">
            <w:pPr>
              <w:pStyle w:val="17"/>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现有工程</w:t>
            </w:r>
          </w:p>
          <w:p w14:paraId="21BF1429">
            <w:pPr>
              <w:pStyle w:val="17"/>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①</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276" w:type="dxa"/>
            <w:tcMar>
              <w:left w:w="28" w:type="dxa"/>
              <w:right w:w="28" w:type="dxa"/>
            </w:tcMar>
            <w:vAlign w:val="center"/>
          </w:tcPr>
          <w:p w14:paraId="3A753A91">
            <w:pPr>
              <w:pStyle w:val="17"/>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现有工程</w:t>
            </w:r>
          </w:p>
          <w:p w14:paraId="3E54A611">
            <w:pPr>
              <w:pStyle w:val="17"/>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许可排放量</w:t>
            </w:r>
          </w:p>
          <w:p w14:paraId="5073A866">
            <w:pPr>
              <w:pStyle w:val="17"/>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2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snapToGrid w:val="0"/>
                <w:color w:val="auto"/>
                <w:spacing w:val="-6"/>
                <w:kern w:val="21"/>
                <w:sz w:val="24"/>
                <w:szCs w:val="24"/>
                <w:highlight w:val="none"/>
              </w:rPr>
              <w:t>②</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701" w:type="dxa"/>
            <w:tcMar>
              <w:left w:w="28" w:type="dxa"/>
              <w:right w:w="28" w:type="dxa"/>
            </w:tcMar>
            <w:vAlign w:val="center"/>
          </w:tcPr>
          <w:p w14:paraId="0010432D">
            <w:pPr>
              <w:pStyle w:val="17"/>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在建工程</w:t>
            </w:r>
          </w:p>
          <w:p w14:paraId="0AEDBAF7">
            <w:pPr>
              <w:pStyle w:val="17"/>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3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③</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559" w:type="dxa"/>
            <w:tcMar>
              <w:left w:w="28" w:type="dxa"/>
              <w:right w:w="28" w:type="dxa"/>
            </w:tcMar>
            <w:vAlign w:val="center"/>
          </w:tcPr>
          <w:p w14:paraId="5D2A5040">
            <w:pPr>
              <w:pStyle w:val="17"/>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本项目</w:t>
            </w:r>
          </w:p>
          <w:p w14:paraId="3B55896D">
            <w:pPr>
              <w:pStyle w:val="17"/>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排放量（固体废物产生量）</w:t>
            </w:r>
            <w:r>
              <w:rPr>
                <w:rFonts w:hint="default" w:ascii="Times New Roman" w:hAnsi="Times New Roman" w:eastAsia="宋体" w:cs="Times New Roman"/>
                <w:b/>
                <w:bCs/>
                <w:snapToGrid w:val="0"/>
                <w:color w:val="auto"/>
                <w:spacing w:val="-6"/>
                <w:kern w:val="21"/>
                <w:sz w:val="24"/>
                <w:szCs w:val="24"/>
                <w:highlight w:val="none"/>
              </w:rPr>
              <w:fldChar w:fldCharType="begin"/>
            </w:r>
            <w:r>
              <w:rPr>
                <w:rFonts w:hint="default" w:ascii="Times New Roman" w:hAnsi="Times New Roman" w:eastAsia="宋体" w:cs="Times New Roman"/>
                <w:b/>
                <w:bCs/>
                <w:snapToGrid w:val="0"/>
                <w:color w:val="auto"/>
                <w:spacing w:val="-6"/>
                <w:kern w:val="21"/>
                <w:sz w:val="24"/>
                <w:szCs w:val="24"/>
                <w:highlight w:val="none"/>
              </w:rPr>
              <w:instrText xml:space="preserve"> = 4 \* GB3 \* MERGEFORMAT </w:instrText>
            </w:r>
            <w:r>
              <w:rPr>
                <w:rFonts w:hint="default" w:ascii="Times New Roman" w:hAnsi="Times New Roman" w:eastAsia="宋体" w:cs="Times New Roman"/>
                <w:b/>
                <w:bCs/>
                <w:snapToGrid w:val="0"/>
                <w:color w:val="auto"/>
                <w:spacing w:val="-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④</w:t>
            </w:r>
            <w:r>
              <w:rPr>
                <w:rFonts w:hint="default" w:ascii="Times New Roman" w:hAnsi="Times New Roman" w:eastAsia="宋体" w:cs="Times New Roman"/>
                <w:b/>
                <w:bCs/>
                <w:snapToGrid w:val="0"/>
                <w:color w:val="auto"/>
                <w:spacing w:val="-6"/>
                <w:kern w:val="21"/>
                <w:sz w:val="24"/>
                <w:szCs w:val="24"/>
                <w:highlight w:val="none"/>
              </w:rPr>
              <w:fldChar w:fldCharType="end"/>
            </w:r>
          </w:p>
        </w:tc>
        <w:tc>
          <w:tcPr>
            <w:tcW w:w="1761" w:type="dxa"/>
            <w:tcMar>
              <w:left w:w="28" w:type="dxa"/>
              <w:right w:w="28" w:type="dxa"/>
            </w:tcMar>
            <w:vAlign w:val="center"/>
          </w:tcPr>
          <w:p w14:paraId="5B85EA9F">
            <w:pPr>
              <w:pStyle w:val="17"/>
              <w:spacing w:beforeLines="0" w:afterLines="0" w:line="240" w:lineRule="auto"/>
              <w:jc w:val="center"/>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以新带老削减总量</w:t>
            </w:r>
          </w:p>
          <w:p w14:paraId="3B86AF4D">
            <w:pPr>
              <w:pStyle w:val="17"/>
              <w:spacing w:beforeLines="0" w:afterLines="0" w:line="240" w:lineRule="auto"/>
              <w:jc w:val="center"/>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（新建项目不填）</w:t>
            </w:r>
            <w:r>
              <w:rPr>
                <w:rFonts w:hint="default" w:ascii="Times New Roman" w:hAnsi="Times New Roman" w:eastAsia="宋体" w:cs="Times New Roman"/>
                <w:b/>
                <w:bCs/>
                <w:snapToGrid w:val="0"/>
                <w:color w:val="auto"/>
                <w:spacing w:val="-16"/>
                <w:kern w:val="21"/>
                <w:sz w:val="24"/>
                <w:szCs w:val="24"/>
                <w:highlight w:val="none"/>
              </w:rPr>
              <w:fldChar w:fldCharType="begin"/>
            </w:r>
            <w:r>
              <w:rPr>
                <w:rFonts w:hint="default" w:ascii="Times New Roman" w:hAnsi="Times New Roman" w:eastAsia="宋体" w:cs="Times New Roman"/>
                <w:b/>
                <w:bCs/>
                <w:snapToGrid w:val="0"/>
                <w:color w:val="auto"/>
                <w:spacing w:val="-16"/>
                <w:kern w:val="21"/>
                <w:sz w:val="24"/>
                <w:szCs w:val="24"/>
                <w:highlight w:val="none"/>
              </w:rPr>
              <w:instrText xml:space="preserve"> = 5 \* GB3 \* MERGEFORMAT </w:instrText>
            </w:r>
            <w:r>
              <w:rPr>
                <w:rFonts w:hint="default" w:ascii="Times New Roman" w:hAnsi="Times New Roman" w:eastAsia="宋体" w:cs="Times New Roman"/>
                <w:b/>
                <w:bCs/>
                <w:snapToGrid w:val="0"/>
                <w:color w:val="auto"/>
                <w:spacing w:val="-1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⑤</w:t>
            </w:r>
            <w:r>
              <w:rPr>
                <w:rFonts w:hint="default" w:ascii="Times New Roman" w:hAnsi="Times New Roman" w:eastAsia="宋体" w:cs="Times New Roman"/>
                <w:b/>
                <w:bCs/>
                <w:snapToGrid w:val="0"/>
                <w:color w:val="auto"/>
                <w:spacing w:val="-16"/>
                <w:kern w:val="21"/>
                <w:sz w:val="24"/>
                <w:szCs w:val="24"/>
                <w:highlight w:val="none"/>
              </w:rPr>
              <w:fldChar w:fldCharType="end"/>
            </w:r>
          </w:p>
        </w:tc>
        <w:tc>
          <w:tcPr>
            <w:tcW w:w="1641" w:type="dxa"/>
            <w:tcMar>
              <w:left w:w="28" w:type="dxa"/>
              <w:right w:w="28" w:type="dxa"/>
            </w:tcMar>
            <w:vAlign w:val="center"/>
          </w:tcPr>
          <w:p w14:paraId="38FFF923">
            <w:pPr>
              <w:pStyle w:val="17"/>
              <w:spacing w:beforeLines="0" w:afterLines="0" w:line="240" w:lineRule="auto"/>
              <w:jc w:val="center"/>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本项目建成后</w:t>
            </w:r>
          </w:p>
          <w:p w14:paraId="4F05773A">
            <w:pPr>
              <w:pStyle w:val="17"/>
              <w:spacing w:beforeLines="0" w:afterLines="0" w:line="240" w:lineRule="auto"/>
              <w:jc w:val="center"/>
              <w:rPr>
                <w:rFonts w:hint="default" w:ascii="Times New Roman" w:hAnsi="Times New Roman" w:eastAsia="宋体" w:cs="Times New Roman"/>
                <w:b/>
                <w:bCs/>
                <w:snapToGrid w:val="0"/>
                <w:color w:val="auto"/>
                <w:spacing w:val="-16"/>
                <w:kern w:val="21"/>
                <w:sz w:val="24"/>
                <w:szCs w:val="24"/>
                <w:highlight w:val="none"/>
              </w:rPr>
            </w:pPr>
            <w:r>
              <w:rPr>
                <w:rFonts w:hint="default" w:ascii="Times New Roman" w:hAnsi="Times New Roman" w:eastAsia="宋体" w:cs="Times New Roman"/>
                <w:b/>
                <w:bCs/>
                <w:snapToGrid w:val="0"/>
                <w:color w:val="auto"/>
                <w:spacing w:val="-16"/>
                <w:kern w:val="21"/>
                <w:sz w:val="24"/>
                <w:szCs w:val="24"/>
                <w:highlight w:val="none"/>
              </w:rPr>
              <w:t>全厂排放量（固体废物产生量）</w:t>
            </w:r>
            <w:r>
              <w:rPr>
                <w:rFonts w:hint="default" w:ascii="Times New Roman" w:hAnsi="Times New Roman" w:eastAsia="宋体" w:cs="Times New Roman"/>
                <w:b/>
                <w:bCs/>
                <w:snapToGrid w:val="0"/>
                <w:color w:val="auto"/>
                <w:spacing w:val="-16"/>
                <w:kern w:val="21"/>
                <w:sz w:val="24"/>
                <w:szCs w:val="24"/>
                <w:highlight w:val="none"/>
              </w:rPr>
              <w:fldChar w:fldCharType="begin"/>
            </w:r>
            <w:r>
              <w:rPr>
                <w:rFonts w:hint="default" w:ascii="Times New Roman" w:hAnsi="Times New Roman" w:eastAsia="宋体" w:cs="Times New Roman"/>
                <w:b/>
                <w:bCs/>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b/>
                <w:bCs/>
                <w:snapToGrid w:val="0"/>
                <w:color w:val="auto"/>
                <w:spacing w:val="-16"/>
                <w:kern w:val="21"/>
                <w:sz w:val="24"/>
                <w:szCs w:val="24"/>
                <w:highlight w:val="none"/>
              </w:rPr>
              <w:fldChar w:fldCharType="separate"/>
            </w:r>
            <w:r>
              <w:rPr>
                <w:rFonts w:hint="default" w:ascii="Times New Roman" w:hAnsi="Times New Roman" w:eastAsia="宋体" w:cs="Times New Roman"/>
                <w:b/>
                <w:bCs/>
                <w:color w:val="auto"/>
                <w:kern w:val="2"/>
                <w:sz w:val="24"/>
                <w:szCs w:val="24"/>
                <w:highlight w:val="none"/>
              </w:rPr>
              <w:t>⑥</w:t>
            </w:r>
            <w:r>
              <w:rPr>
                <w:rFonts w:hint="default" w:ascii="Times New Roman" w:hAnsi="Times New Roman" w:eastAsia="宋体" w:cs="Times New Roman"/>
                <w:b/>
                <w:bCs/>
                <w:snapToGrid w:val="0"/>
                <w:color w:val="auto"/>
                <w:spacing w:val="-16"/>
                <w:kern w:val="21"/>
                <w:sz w:val="24"/>
                <w:szCs w:val="24"/>
                <w:highlight w:val="none"/>
              </w:rPr>
              <w:fldChar w:fldCharType="end"/>
            </w:r>
          </w:p>
        </w:tc>
        <w:tc>
          <w:tcPr>
            <w:tcW w:w="1276" w:type="dxa"/>
            <w:tcMar>
              <w:left w:w="28" w:type="dxa"/>
              <w:right w:w="28" w:type="dxa"/>
            </w:tcMar>
            <w:vAlign w:val="center"/>
          </w:tcPr>
          <w:p w14:paraId="1FBBB8CD">
            <w:pPr>
              <w:pStyle w:val="17"/>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spacing w:val="-6"/>
                <w:kern w:val="21"/>
                <w:sz w:val="24"/>
                <w:szCs w:val="24"/>
                <w:highlight w:val="none"/>
              </w:rPr>
              <w:t>变化量</w:t>
            </w:r>
          </w:p>
          <w:p w14:paraId="7FAD43F2">
            <w:pPr>
              <w:pStyle w:val="17"/>
              <w:spacing w:beforeLines="0" w:afterLines="0" w:line="240" w:lineRule="auto"/>
              <w:jc w:val="center"/>
              <w:rPr>
                <w:rFonts w:hint="default" w:ascii="Times New Roman" w:hAnsi="Times New Roman" w:eastAsia="宋体" w:cs="Times New Roman"/>
                <w:b/>
                <w:bCs/>
                <w:snapToGrid w:val="0"/>
                <w:color w:val="auto"/>
                <w:spacing w:val="-6"/>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fldChar w:fldCharType="begin"/>
            </w:r>
            <w:r>
              <w:rPr>
                <w:rFonts w:hint="default" w:ascii="Times New Roman" w:hAnsi="Times New Roman" w:eastAsia="宋体" w:cs="Times New Roman"/>
                <w:b/>
                <w:bCs/>
                <w:snapToGrid w:val="0"/>
                <w:color w:val="auto"/>
                <w:kern w:val="21"/>
                <w:sz w:val="24"/>
                <w:szCs w:val="24"/>
                <w:highlight w:val="none"/>
              </w:rPr>
              <w:instrText xml:space="preserve"> = 7 \* GB3 \* MERGEFORMAT </w:instrText>
            </w:r>
            <w:r>
              <w:rPr>
                <w:rFonts w:hint="default" w:ascii="Times New Roman" w:hAnsi="Times New Roman" w:eastAsia="宋体" w:cs="Times New Roman"/>
                <w:b/>
                <w:bCs/>
                <w:snapToGrid w:val="0"/>
                <w:color w:val="auto"/>
                <w:kern w:val="21"/>
                <w:sz w:val="24"/>
                <w:szCs w:val="24"/>
                <w:highlight w:val="none"/>
              </w:rPr>
              <w:fldChar w:fldCharType="separate"/>
            </w:r>
            <w:r>
              <w:rPr>
                <w:rFonts w:hint="default" w:ascii="Times New Roman" w:hAnsi="Times New Roman" w:eastAsia="宋体" w:cs="Times New Roman"/>
                <w:b/>
                <w:bCs/>
                <w:snapToGrid w:val="0"/>
                <w:color w:val="auto"/>
                <w:kern w:val="21"/>
                <w:sz w:val="24"/>
                <w:szCs w:val="24"/>
                <w:highlight w:val="none"/>
              </w:rPr>
              <w:t>⑦</w:t>
            </w:r>
            <w:r>
              <w:rPr>
                <w:rFonts w:hint="default" w:ascii="Times New Roman" w:hAnsi="Times New Roman" w:eastAsia="宋体" w:cs="Times New Roman"/>
                <w:b/>
                <w:bCs/>
                <w:snapToGrid w:val="0"/>
                <w:color w:val="auto"/>
                <w:kern w:val="21"/>
                <w:sz w:val="24"/>
                <w:szCs w:val="24"/>
                <w:highlight w:val="none"/>
              </w:rPr>
              <w:fldChar w:fldCharType="end"/>
            </w:r>
          </w:p>
        </w:tc>
      </w:tr>
      <w:tr w14:paraId="6A243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71564DD0">
            <w:pPr>
              <w:pStyle w:val="17"/>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废气</w:t>
            </w:r>
          </w:p>
        </w:tc>
        <w:tc>
          <w:tcPr>
            <w:tcW w:w="1417" w:type="dxa"/>
            <w:shd w:val="clear" w:color="auto" w:fill="auto"/>
            <w:vAlign w:val="center"/>
          </w:tcPr>
          <w:p w14:paraId="16F42717">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N</w:t>
            </w:r>
            <w:r>
              <w:rPr>
                <w:rFonts w:hint="default" w:ascii="Times New Roman" w:hAnsi="Times New Roman" w:cs="Times New Roman"/>
                <w:i w:val="0"/>
                <w:iCs w:val="0"/>
                <w:color w:val="auto"/>
                <w:kern w:val="0"/>
                <w:sz w:val="24"/>
                <w:szCs w:val="24"/>
                <w:u w:val="none"/>
                <w:vertAlign w:val="baseline"/>
                <w:lang w:val="en-US" w:eastAsia="zh-CN" w:bidi="ar"/>
              </w:rPr>
              <w:t>H</w:t>
            </w:r>
            <w:r>
              <w:rPr>
                <w:rFonts w:hint="default" w:ascii="Times New Roman" w:hAnsi="Times New Roman" w:cs="Times New Roman"/>
                <w:i w:val="0"/>
                <w:iCs w:val="0"/>
                <w:color w:val="auto"/>
                <w:kern w:val="0"/>
                <w:sz w:val="24"/>
                <w:szCs w:val="24"/>
                <w:u w:val="none"/>
                <w:vertAlign w:val="subscript"/>
                <w:lang w:val="en-US" w:eastAsia="zh-CN" w:bidi="ar"/>
              </w:rPr>
              <w:t>3</w:t>
            </w:r>
          </w:p>
        </w:tc>
        <w:tc>
          <w:tcPr>
            <w:tcW w:w="1701" w:type="dxa"/>
            <w:shd w:val="clear" w:color="auto" w:fill="auto"/>
            <w:vAlign w:val="center"/>
          </w:tcPr>
          <w:p w14:paraId="2F8C6104">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0.183 </w:t>
            </w:r>
          </w:p>
        </w:tc>
        <w:tc>
          <w:tcPr>
            <w:tcW w:w="1276" w:type="dxa"/>
            <w:shd w:val="clear" w:color="auto" w:fill="auto"/>
            <w:vAlign w:val="center"/>
          </w:tcPr>
          <w:p w14:paraId="3772B11E">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701" w:type="dxa"/>
            <w:shd w:val="clear" w:color="auto" w:fill="auto"/>
            <w:vAlign w:val="center"/>
          </w:tcPr>
          <w:p w14:paraId="46019D7F">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559" w:type="dxa"/>
            <w:shd w:val="clear" w:color="auto" w:fill="auto"/>
            <w:vAlign w:val="center"/>
          </w:tcPr>
          <w:p w14:paraId="4703E38F">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0.237 </w:t>
            </w:r>
          </w:p>
        </w:tc>
        <w:tc>
          <w:tcPr>
            <w:tcW w:w="1761" w:type="dxa"/>
            <w:shd w:val="clear" w:color="auto" w:fill="auto"/>
            <w:vAlign w:val="center"/>
          </w:tcPr>
          <w:p w14:paraId="7B3DB74B">
            <w:pPr>
              <w:bidi w:val="0"/>
              <w:jc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w:t>
            </w:r>
          </w:p>
        </w:tc>
        <w:tc>
          <w:tcPr>
            <w:tcW w:w="1641" w:type="dxa"/>
            <w:shd w:val="clear" w:color="auto" w:fill="auto"/>
            <w:vAlign w:val="center"/>
          </w:tcPr>
          <w:p w14:paraId="09ADA9FE">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0.419 </w:t>
            </w:r>
          </w:p>
        </w:tc>
        <w:tc>
          <w:tcPr>
            <w:tcW w:w="1276" w:type="dxa"/>
            <w:shd w:val="clear" w:color="auto" w:fill="auto"/>
            <w:vAlign w:val="center"/>
          </w:tcPr>
          <w:p w14:paraId="665F1E8F">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+0.237 </w:t>
            </w:r>
          </w:p>
        </w:tc>
      </w:tr>
      <w:tr w14:paraId="248C6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6F977D64">
            <w:pPr>
              <w:pStyle w:val="17"/>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p>
        </w:tc>
        <w:tc>
          <w:tcPr>
            <w:tcW w:w="1417" w:type="dxa"/>
            <w:shd w:val="clear" w:color="auto" w:fill="auto"/>
            <w:vAlign w:val="center"/>
          </w:tcPr>
          <w:p w14:paraId="5E7DF81E">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cs="Times New Roman"/>
                <w:i w:val="0"/>
                <w:iCs w:val="0"/>
                <w:color w:val="auto"/>
                <w:kern w:val="0"/>
                <w:sz w:val="24"/>
                <w:szCs w:val="24"/>
                <w:u w:val="none"/>
                <w:vertAlign w:val="baseline"/>
                <w:lang w:val="en-US" w:eastAsia="zh-CN" w:bidi="ar"/>
              </w:rPr>
              <w:t>H</w:t>
            </w:r>
            <w:r>
              <w:rPr>
                <w:rFonts w:hint="default" w:ascii="Times New Roman" w:hAnsi="Times New Roman" w:cs="Times New Roman"/>
                <w:i w:val="0"/>
                <w:iCs w:val="0"/>
                <w:color w:val="auto"/>
                <w:kern w:val="0"/>
                <w:sz w:val="24"/>
                <w:szCs w:val="24"/>
                <w:u w:val="none"/>
                <w:vertAlign w:val="subscript"/>
                <w:lang w:val="en-US" w:eastAsia="zh-CN" w:bidi="ar"/>
              </w:rPr>
              <w:t>2</w:t>
            </w:r>
            <w:r>
              <w:rPr>
                <w:rFonts w:hint="default" w:ascii="Times New Roman" w:hAnsi="Times New Roman" w:eastAsia="宋体" w:cs="Times New Roman"/>
                <w:i w:val="0"/>
                <w:iCs w:val="0"/>
                <w:color w:val="auto"/>
                <w:kern w:val="0"/>
                <w:sz w:val="24"/>
                <w:szCs w:val="24"/>
                <w:u w:val="none"/>
                <w:lang w:val="en-US" w:eastAsia="zh-CN" w:bidi="ar"/>
              </w:rPr>
              <w:t>S</w:t>
            </w:r>
          </w:p>
        </w:tc>
        <w:tc>
          <w:tcPr>
            <w:tcW w:w="1701" w:type="dxa"/>
            <w:shd w:val="clear" w:color="auto" w:fill="auto"/>
            <w:vAlign w:val="center"/>
          </w:tcPr>
          <w:p w14:paraId="39F38888">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0.007 </w:t>
            </w:r>
          </w:p>
        </w:tc>
        <w:tc>
          <w:tcPr>
            <w:tcW w:w="1276" w:type="dxa"/>
            <w:shd w:val="clear" w:color="auto" w:fill="auto"/>
            <w:vAlign w:val="center"/>
          </w:tcPr>
          <w:p w14:paraId="65413029">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701" w:type="dxa"/>
            <w:shd w:val="clear" w:color="auto" w:fill="auto"/>
            <w:vAlign w:val="center"/>
          </w:tcPr>
          <w:p w14:paraId="6C476BA3">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559" w:type="dxa"/>
            <w:shd w:val="clear" w:color="auto" w:fill="auto"/>
            <w:vAlign w:val="center"/>
          </w:tcPr>
          <w:p w14:paraId="7968F3EE">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0.009 </w:t>
            </w:r>
          </w:p>
        </w:tc>
        <w:tc>
          <w:tcPr>
            <w:tcW w:w="1761" w:type="dxa"/>
            <w:shd w:val="clear" w:color="auto" w:fill="auto"/>
            <w:vAlign w:val="center"/>
          </w:tcPr>
          <w:p w14:paraId="284772D4">
            <w:pPr>
              <w:bidi w:val="0"/>
              <w:jc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w:t>
            </w:r>
          </w:p>
        </w:tc>
        <w:tc>
          <w:tcPr>
            <w:tcW w:w="1641" w:type="dxa"/>
            <w:shd w:val="clear" w:color="auto" w:fill="auto"/>
            <w:vAlign w:val="center"/>
          </w:tcPr>
          <w:p w14:paraId="2CA1F34B">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0.016 </w:t>
            </w:r>
          </w:p>
        </w:tc>
        <w:tc>
          <w:tcPr>
            <w:tcW w:w="1276" w:type="dxa"/>
            <w:shd w:val="clear" w:color="auto" w:fill="auto"/>
            <w:vAlign w:val="center"/>
          </w:tcPr>
          <w:p w14:paraId="468F82A4">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+0.009 </w:t>
            </w:r>
          </w:p>
        </w:tc>
      </w:tr>
      <w:tr w14:paraId="143834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Align w:val="center"/>
          </w:tcPr>
          <w:p w14:paraId="097AD9D9">
            <w:pPr>
              <w:pStyle w:val="17"/>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废水</w:t>
            </w:r>
          </w:p>
        </w:tc>
        <w:tc>
          <w:tcPr>
            <w:tcW w:w="1417" w:type="dxa"/>
            <w:shd w:val="clear" w:color="auto" w:fill="auto"/>
            <w:vAlign w:val="center"/>
          </w:tcPr>
          <w:p w14:paraId="49041433">
            <w:pPr>
              <w:pStyle w:val="17"/>
              <w:spacing w:beforeLines="0" w:afterLines="0" w:line="240" w:lineRule="auto"/>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cs="Times New Roman"/>
                <w:snapToGrid w:val="0"/>
                <w:color w:val="auto"/>
                <w:kern w:val="21"/>
                <w:sz w:val="24"/>
                <w:szCs w:val="24"/>
                <w:highlight w:val="none"/>
                <w:lang w:val="en-US" w:eastAsia="zh-CN" w:bidi="ar-SA"/>
              </w:rPr>
              <w:t>/</w:t>
            </w:r>
          </w:p>
        </w:tc>
        <w:tc>
          <w:tcPr>
            <w:tcW w:w="1701" w:type="dxa"/>
            <w:shd w:val="clear" w:color="auto" w:fill="auto"/>
            <w:vAlign w:val="center"/>
          </w:tcPr>
          <w:p w14:paraId="3C87D579">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276" w:type="dxa"/>
            <w:shd w:val="clear" w:color="auto" w:fill="auto"/>
            <w:vAlign w:val="center"/>
          </w:tcPr>
          <w:p w14:paraId="421560D8">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701" w:type="dxa"/>
            <w:shd w:val="clear" w:color="auto" w:fill="auto"/>
            <w:vAlign w:val="center"/>
          </w:tcPr>
          <w:p w14:paraId="493108CC">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559" w:type="dxa"/>
            <w:shd w:val="clear" w:color="auto" w:fill="auto"/>
            <w:vAlign w:val="center"/>
          </w:tcPr>
          <w:p w14:paraId="792B5B23">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761" w:type="dxa"/>
            <w:shd w:val="clear" w:color="auto" w:fill="auto"/>
            <w:vAlign w:val="center"/>
          </w:tcPr>
          <w:p w14:paraId="0F54568A">
            <w:pPr>
              <w:bidi w:val="0"/>
              <w:jc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w:t>
            </w:r>
          </w:p>
        </w:tc>
        <w:tc>
          <w:tcPr>
            <w:tcW w:w="1641" w:type="dxa"/>
            <w:shd w:val="clear" w:color="auto" w:fill="auto"/>
            <w:vAlign w:val="center"/>
          </w:tcPr>
          <w:p w14:paraId="31889352">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276" w:type="dxa"/>
            <w:shd w:val="clear" w:color="auto" w:fill="auto"/>
            <w:vAlign w:val="center"/>
          </w:tcPr>
          <w:p w14:paraId="5F888A8D">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14:paraId="1D5C2F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vAlign w:val="center"/>
          </w:tcPr>
          <w:p w14:paraId="7E52927C">
            <w:pPr>
              <w:pStyle w:val="17"/>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一般工业</w:t>
            </w:r>
          </w:p>
          <w:p w14:paraId="5603C1D2">
            <w:pPr>
              <w:pStyle w:val="17"/>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固体废物</w:t>
            </w:r>
          </w:p>
        </w:tc>
        <w:tc>
          <w:tcPr>
            <w:tcW w:w="1417" w:type="dxa"/>
            <w:tcBorders>
              <w:bottom w:val="single" w:color="auto" w:sz="4" w:space="0"/>
            </w:tcBorders>
            <w:shd w:val="clear" w:color="auto" w:fill="auto"/>
            <w:vAlign w:val="center"/>
          </w:tcPr>
          <w:p w14:paraId="44936BC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栅渣</w:t>
            </w:r>
          </w:p>
        </w:tc>
        <w:tc>
          <w:tcPr>
            <w:tcW w:w="1701" w:type="dxa"/>
            <w:shd w:val="clear" w:color="auto" w:fill="auto"/>
            <w:vAlign w:val="center"/>
          </w:tcPr>
          <w:p w14:paraId="669A4526">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50</w:t>
            </w:r>
          </w:p>
        </w:tc>
        <w:tc>
          <w:tcPr>
            <w:tcW w:w="1276" w:type="dxa"/>
            <w:shd w:val="clear" w:color="auto" w:fill="auto"/>
            <w:vAlign w:val="center"/>
          </w:tcPr>
          <w:p w14:paraId="475BA1D0">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701" w:type="dxa"/>
            <w:shd w:val="clear" w:color="auto" w:fill="auto"/>
            <w:vAlign w:val="center"/>
          </w:tcPr>
          <w:p w14:paraId="215B8EB1">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559" w:type="dxa"/>
            <w:shd w:val="clear" w:color="auto" w:fill="auto"/>
            <w:vAlign w:val="center"/>
          </w:tcPr>
          <w:p w14:paraId="507DE5E1">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35</w:t>
            </w:r>
          </w:p>
        </w:tc>
        <w:tc>
          <w:tcPr>
            <w:tcW w:w="1761" w:type="dxa"/>
            <w:shd w:val="clear" w:color="auto" w:fill="auto"/>
            <w:vAlign w:val="center"/>
          </w:tcPr>
          <w:p w14:paraId="08E8D0D1">
            <w:pPr>
              <w:bidi w:val="0"/>
              <w:jc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w:t>
            </w:r>
          </w:p>
        </w:tc>
        <w:tc>
          <w:tcPr>
            <w:tcW w:w="1641" w:type="dxa"/>
            <w:shd w:val="clear" w:color="auto" w:fill="auto"/>
            <w:vAlign w:val="center"/>
          </w:tcPr>
          <w:p w14:paraId="669FA0DD">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85 </w:t>
            </w:r>
          </w:p>
        </w:tc>
        <w:tc>
          <w:tcPr>
            <w:tcW w:w="1276" w:type="dxa"/>
            <w:shd w:val="clear" w:color="auto" w:fill="auto"/>
            <w:vAlign w:val="center"/>
          </w:tcPr>
          <w:p w14:paraId="14EB2E4E">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+35 </w:t>
            </w:r>
          </w:p>
        </w:tc>
      </w:tr>
      <w:tr w14:paraId="015D3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084B65B3">
            <w:pPr>
              <w:pStyle w:val="17"/>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p>
        </w:tc>
        <w:tc>
          <w:tcPr>
            <w:tcW w:w="1417" w:type="dxa"/>
            <w:tcBorders>
              <w:bottom w:val="single" w:color="auto" w:sz="4" w:space="0"/>
            </w:tcBorders>
            <w:shd w:val="clear" w:color="auto" w:fill="auto"/>
            <w:vAlign w:val="center"/>
          </w:tcPr>
          <w:p w14:paraId="666527CE">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沉砂</w:t>
            </w:r>
          </w:p>
        </w:tc>
        <w:tc>
          <w:tcPr>
            <w:tcW w:w="1701" w:type="dxa"/>
            <w:shd w:val="clear" w:color="auto" w:fill="auto"/>
            <w:vAlign w:val="center"/>
          </w:tcPr>
          <w:p w14:paraId="2CD024AA">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50</w:t>
            </w:r>
          </w:p>
        </w:tc>
        <w:tc>
          <w:tcPr>
            <w:tcW w:w="1276" w:type="dxa"/>
            <w:shd w:val="clear" w:color="auto" w:fill="auto"/>
            <w:vAlign w:val="center"/>
          </w:tcPr>
          <w:p w14:paraId="6CF6FE27">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701" w:type="dxa"/>
            <w:shd w:val="clear" w:color="auto" w:fill="auto"/>
            <w:vAlign w:val="center"/>
          </w:tcPr>
          <w:p w14:paraId="55515973">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559" w:type="dxa"/>
            <w:shd w:val="clear" w:color="auto" w:fill="auto"/>
            <w:vAlign w:val="center"/>
          </w:tcPr>
          <w:p w14:paraId="7DD81D46">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35</w:t>
            </w:r>
          </w:p>
        </w:tc>
        <w:tc>
          <w:tcPr>
            <w:tcW w:w="1761" w:type="dxa"/>
            <w:shd w:val="clear" w:color="auto" w:fill="auto"/>
            <w:vAlign w:val="center"/>
          </w:tcPr>
          <w:p w14:paraId="26642F01">
            <w:pPr>
              <w:bidi w:val="0"/>
              <w:jc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w:t>
            </w:r>
          </w:p>
        </w:tc>
        <w:tc>
          <w:tcPr>
            <w:tcW w:w="1641" w:type="dxa"/>
            <w:shd w:val="clear" w:color="auto" w:fill="auto"/>
            <w:vAlign w:val="center"/>
          </w:tcPr>
          <w:p w14:paraId="2EA6999F">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85 </w:t>
            </w:r>
          </w:p>
        </w:tc>
        <w:tc>
          <w:tcPr>
            <w:tcW w:w="1276" w:type="dxa"/>
            <w:shd w:val="clear" w:color="auto" w:fill="auto"/>
            <w:vAlign w:val="center"/>
          </w:tcPr>
          <w:p w14:paraId="327B1A2D">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+35 </w:t>
            </w:r>
          </w:p>
        </w:tc>
      </w:tr>
      <w:tr w14:paraId="3B2C3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vAlign w:val="center"/>
          </w:tcPr>
          <w:p w14:paraId="65F4F2A8">
            <w:pPr>
              <w:pStyle w:val="17"/>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p>
        </w:tc>
        <w:tc>
          <w:tcPr>
            <w:tcW w:w="1417" w:type="dxa"/>
            <w:tcBorders>
              <w:bottom w:val="single" w:color="auto" w:sz="4" w:space="0"/>
            </w:tcBorders>
            <w:shd w:val="clear" w:color="auto" w:fill="auto"/>
            <w:vAlign w:val="center"/>
          </w:tcPr>
          <w:p w14:paraId="564823E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污泥</w:t>
            </w:r>
          </w:p>
        </w:tc>
        <w:tc>
          <w:tcPr>
            <w:tcW w:w="1701" w:type="dxa"/>
            <w:shd w:val="clear" w:color="auto" w:fill="auto"/>
            <w:vAlign w:val="center"/>
          </w:tcPr>
          <w:p w14:paraId="0471448C">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2725</w:t>
            </w:r>
          </w:p>
        </w:tc>
        <w:tc>
          <w:tcPr>
            <w:tcW w:w="1276" w:type="dxa"/>
            <w:shd w:val="clear" w:color="auto" w:fill="auto"/>
            <w:vAlign w:val="center"/>
          </w:tcPr>
          <w:p w14:paraId="2D1D9869">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701" w:type="dxa"/>
            <w:shd w:val="clear" w:color="auto" w:fill="auto"/>
            <w:vAlign w:val="center"/>
          </w:tcPr>
          <w:p w14:paraId="23D5A587">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559" w:type="dxa"/>
            <w:shd w:val="clear" w:color="auto" w:fill="auto"/>
            <w:vAlign w:val="center"/>
          </w:tcPr>
          <w:p w14:paraId="08591549">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980</w:t>
            </w:r>
          </w:p>
        </w:tc>
        <w:tc>
          <w:tcPr>
            <w:tcW w:w="1761" w:type="dxa"/>
            <w:shd w:val="clear" w:color="auto" w:fill="auto"/>
            <w:vAlign w:val="center"/>
          </w:tcPr>
          <w:p w14:paraId="0E0E53FC">
            <w:pPr>
              <w:bidi w:val="0"/>
              <w:jc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w:t>
            </w:r>
          </w:p>
        </w:tc>
        <w:tc>
          <w:tcPr>
            <w:tcW w:w="1641" w:type="dxa"/>
            <w:shd w:val="clear" w:color="auto" w:fill="auto"/>
            <w:vAlign w:val="center"/>
          </w:tcPr>
          <w:p w14:paraId="7779BBE3">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3705 </w:t>
            </w:r>
          </w:p>
        </w:tc>
        <w:tc>
          <w:tcPr>
            <w:tcW w:w="1276" w:type="dxa"/>
            <w:shd w:val="clear" w:color="auto" w:fill="auto"/>
            <w:vAlign w:val="center"/>
          </w:tcPr>
          <w:p w14:paraId="447975FD">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+980 </w:t>
            </w:r>
          </w:p>
        </w:tc>
      </w:tr>
      <w:tr w14:paraId="6CFD9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Align w:val="center"/>
          </w:tcPr>
          <w:p w14:paraId="2E5C14B1">
            <w:pPr>
              <w:pStyle w:val="17"/>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lang w:val="en-US" w:eastAsia="zh-CN"/>
              </w:rPr>
            </w:pPr>
            <w:r>
              <w:rPr>
                <w:rFonts w:hint="default" w:ascii="Times New Roman" w:hAnsi="Times New Roman" w:cs="Times New Roman"/>
                <w:b/>
                <w:bCs/>
                <w:snapToGrid w:val="0"/>
                <w:color w:val="auto"/>
                <w:kern w:val="21"/>
                <w:sz w:val="24"/>
                <w:szCs w:val="24"/>
                <w:highlight w:val="none"/>
                <w:lang w:val="en-US" w:eastAsia="zh-CN"/>
              </w:rPr>
              <w:t>生活垃圾</w:t>
            </w:r>
          </w:p>
        </w:tc>
        <w:tc>
          <w:tcPr>
            <w:tcW w:w="1417" w:type="dxa"/>
            <w:tcBorders>
              <w:bottom w:val="single" w:color="auto" w:sz="4" w:space="0"/>
            </w:tcBorders>
            <w:shd w:val="clear" w:color="auto" w:fill="auto"/>
            <w:vAlign w:val="center"/>
          </w:tcPr>
          <w:p w14:paraId="1709C07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生活垃圾</w:t>
            </w:r>
          </w:p>
        </w:tc>
        <w:tc>
          <w:tcPr>
            <w:tcW w:w="1701" w:type="dxa"/>
            <w:shd w:val="clear" w:color="auto" w:fill="auto"/>
            <w:vAlign w:val="center"/>
          </w:tcPr>
          <w:p w14:paraId="4C47342D">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6.6</w:t>
            </w:r>
          </w:p>
        </w:tc>
        <w:tc>
          <w:tcPr>
            <w:tcW w:w="1276" w:type="dxa"/>
            <w:shd w:val="clear" w:color="auto" w:fill="auto"/>
            <w:vAlign w:val="center"/>
          </w:tcPr>
          <w:p w14:paraId="6EB8E991">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701" w:type="dxa"/>
            <w:shd w:val="clear" w:color="auto" w:fill="auto"/>
            <w:vAlign w:val="center"/>
          </w:tcPr>
          <w:p w14:paraId="3FF968CB">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559" w:type="dxa"/>
            <w:shd w:val="clear" w:color="auto" w:fill="auto"/>
            <w:vAlign w:val="center"/>
          </w:tcPr>
          <w:p w14:paraId="09CED58B">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0.9</w:t>
            </w:r>
          </w:p>
        </w:tc>
        <w:tc>
          <w:tcPr>
            <w:tcW w:w="1761" w:type="dxa"/>
            <w:shd w:val="clear" w:color="auto" w:fill="auto"/>
            <w:vAlign w:val="center"/>
          </w:tcPr>
          <w:p w14:paraId="2E21D53F">
            <w:pPr>
              <w:bidi w:val="0"/>
              <w:jc w:val="center"/>
              <w:rPr>
                <w:rFonts w:hint="default" w:ascii="Times New Roman" w:hAnsi="Times New Roman" w:cs="Times New Roman"/>
                <w:color w:val="auto"/>
                <w:sz w:val="24"/>
                <w:szCs w:val="24"/>
                <w:lang w:val="en-US" w:eastAsia="zh-CN"/>
              </w:rPr>
            </w:pPr>
            <w:r>
              <w:rPr>
                <w:rFonts w:hint="default" w:ascii="Times New Roman" w:hAnsi="Times New Roman" w:eastAsia="宋体" w:cs="Times New Roman"/>
                <w:i w:val="0"/>
                <w:iCs w:val="0"/>
                <w:color w:val="auto"/>
                <w:kern w:val="0"/>
                <w:sz w:val="24"/>
                <w:szCs w:val="24"/>
                <w:u w:val="none"/>
                <w:lang w:val="en-US" w:eastAsia="zh-CN" w:bidi="ar"/>
              </w:rPr>
              <w:t>/</w:t>
            </w:r>
          </w:p>
        </w:tc>
        <w:tc>
          <w:tcPr>
            <w:tcW w:w="1641" w:type="dxa"/>
            <w:shd w:val="clear" w:color="auto" w:fill="auto"/>
            <w:vAlign w:val="center"/>
          </w:tcPr>
          <w:p w14:paraId="231EB0A8">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7.5 </w:t>
            </w:r>
          </w:p>
        </w:tc>
        <w:tc>
          <w:tcPr>
            <w:tcW w:w="1276" w:type="dxa"/>
            <w:shd w:val="clear" w:color="auto" w:fill="auto"/>
            <w:vAlign w:val="center"/>
          </w:tcPr>
          <w:p w14:paraId="2F67AC2D">
            <w:pPr>
              <w:pStyle w:val="1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+0.9 </w:t>
            </w:r>
          </w:p>
        </w:tc>
      </w:tr>
      <w:tr w14:paraId="37DD8E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Align w:val="center"/>
          </w:tcPr>
          <w:p w14:paraId="20160435">
            <w:pPr>
              <w:pStyle w:val="17"/>
              <w:spacing w:beforeLines="0" w:afterLines="0" w:line="240" w:lineRule="auto"/>
              <w:jc w:val="center"/>
              <w:rPr>
                <w:rFonts w:hint="default" w:ascii="Times New Roman" w:hAnsi="Times New Roman" w:eastAsia="宋体" w:cs="Times New Roman"/>
                <w:b/>
                <w:bCs/>
                <w:snapToGrid w:val="0"/>
                <w:color w:val="auto"/>
                <w:kern w:val="21"/>
                <w:sz w:val="24"/>
                <w:szCs w:val="24"/>
                <w:highlight w:val="none"/>
              </w:rPr>
            </w:pPr>
            <w:r>
              <w:rPr>
                <w:rFonts w:hint="default" w:ascii="Times New Roman" w:hAnsi="Times New Roman" w:eastAsia="宋体" w:cs="Times New Roman"/>
                <w:b/>
                <w:bCs/>
                <w:snapToGrid w:val="0"/>
                <w:color w:val="auto"/>
                <w:kern w:val="21"/>
                <w:sz w:val="24"/>
                <w:szCs w:val="24"/>
                <w:highlight w:val="none"/>
              </w:rPr>
              <w:t>危险废物</w:t>
            </w:r>
          </w:p>
        </w:tc>
        <w:tc>
          <w:tcPr>
            <w:tcW w:w="1417" w:type="dxa"/>
            <w:vAlign w:val="center"/>
          </w:tcPr>
          <w:p w14:paraId="07AC38CD">
            <w:pPr>
              <w:pStyle w:val="17"/>
              <w:spacing w:beforeLines="0" w:afterLines="0" w:line="240" w:lineRule="auto"/>
              <w:jc w:val="center"/>
              <w:rPr>
                <w:rFonts w:hint="default" w:ascii="Times New Roman" w:hAnsi="Times New Roman" w:eastAsia="宋体" w:cs="Times New Roman"/>
                <w:snapToGrid w:val="0"/>
                <w:color w:val="auto"/>
                <w:kern w:val="21"/>
                <w:sz w:val="24"/>
                <w:szCs w:val="24"/>
                <w:highlight w:val="none"/>
              </w:rPr>
            </w:pPr>
            <w:r>
              <w:rPr>
                <w:rFonts w:hint="default" w:ascii="Times New Roman" w:hAnsi="Times New Roman" w:eastAsia="宋体" w:cs="Times New Roman"/>
                <w:snapToGrid w:val="0"/>
                <w:color w:val="auto"/>
                <w:kern w:val="21"/>
                <w:sz w:val="24"/>
                <w:szCs w:val="24"/>
                <w:highlight w:val="none"/>
              </w:rPr>
              <w:t>/</w:t>
            </w:r>
          </w:p>
        </w:tc>
        <w:tc>
          <w:tcPr>
            <w:tcW w:w="1701" w:type="dxa"/>
            <w:shd w:val="clear" w:color="auto" w:fill="auto"/>
            <w:vAlign w:val="center"/>
          </w:tcPr>
          <w:p w14:paraId="750BD84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276" w:type="dxa"/>
            <w:shd w:val="clear" w:color="auto" w:fill="auto"/>
            <w:vAlign w:val="center"/>
          </w:tcPr>
          <w:p w14:paraId="62740FE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701" w:type="dxa"/>
            <w:shd w:val="clear" w:color="auto" w:fill="auto"/>
            <w:vAlign w:val="center"/>
          </w:tcPr>
          <w:p w14:paraId="1992E61D">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559" w:type="dxa"/>
            <w:shd w:val="clear" w:color="auto" w:fill="auto"/>
            <w:vAlign w:val="center"/>
          </w:tcPr>
          <w:p w14:paraId="3392AE2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761" w:type="dxa"/>
            <w:shd w:val="clear" w:color="auto" w:fill="auto"/>
            <w:vAlign w:val="center"/>
          </w:tcPr>
          <w:p w14:paraId="1D3073F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641" w:type="dxa"/>
            <w:shd w:val="clear" w:color="auto" w:fill="auto"/>
            <w:vAlign w:val="center"/>
          </w:tcPr>
          <w:p w14:paraId="66DDF4D1">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c>
          <w:tcPr>
            <w:tcW w:w="1276" w:type="dxa"/>
            <w:shd w:val="clear" w:color="auto" w:fill="auto"/>
            <w:vAlign w:val="center"/>
          </w:tcPr>
          <w:p w14:paraId="6C05DC3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4"/>
                <w:szCs w:val="24"/>
                <w:u w:val="none"/>
                <w:lang w:val="en-US" w:eastAsia="zh-CN" w:bidi="ar-SA"/>
              </w:rPr>
            </w:pPr>
            <w:r>
              <w:rPr>
                <w:rFonts w:hint="default" w:ascii="Times New Roman" w:hAnsi="Times New Roman" w:eastAsia="宋体" w:cs="Times New Roman"/>
                <w:i w:val="0"/>
                <w:iCs w:val="0"/>
                <w:color w:val="auto"/>
                <w:kern w:val="0"/>
                <w:sz w:val="24"/>
                <w:szCs w:val="24"/>
                <w:u w:val="none"/>
                <w:lang w:val="en-US" w:eastAsia="zh-CN" w:bidi="ar"/>
              </w:rPr>
              <w:t>/</w:t>
            </w:r>
          </w:p>
        </w:tc>
      </w:tr>
    </w:tbl>
    <w:p w14:paraId="30942611">
      <w:pPr>
        <w:ind w:left="0" w:leftChars="0"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sectPr>
      <w:footerReference r:id="rId4" w:type="default"/>
      <w:pgSz w:w="16838" w:h="11906" w:orient="landscape"/>
      <w:pgMar w:top="1134" w:right="1276" w:bottom="991" w:left="1062"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A64FE">
    <w:pPr>
      <w:pStyle w:val="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DB1CEA">
                          <w:pPr>
                            <w:pStyle w:val="7"/>
                            <w:jc w:val="center"/>
                          </w:pPr>
                          <w:r>
                            <w:fldChar w:fldCharType="begin"/>
                          </w:r>
                          <w:r>
                            <w:instrText xml:space="preserve">PAGE   \* MERGEFORMAT</w:instrText>
                          </w:r>
                          <w:r>
                            <w:fldChar w:fldCharType="separate"/>
                          </w:r>
                          <w:r>
                            <w:rPr>
                              <w:lang w:val="zh-CN"/>
                            </w:rP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2DDB1CEA">
                    <w:pPr>
                      <w:pStyle w:val="7"/>
                      <w:jc w:val="center"/>
                    </w:pPr>
                    <w:r>
                      <w:fldChar w:fldCharType="begin"/>
                    </w:r>
                    <w:r>
                      <w:instrText xml:space="preserve">PAGE   \* MERGEFORMAT</w:instrText>
                    </w:r>
                    <w:r>
                      <w:fldChar w:fldCharType="separate"/>
                    </w:r>
                    <w:r>
                      <w:rPr>
                        <w:lang w:val="zh-CN"/>
                      </w:rPr>
                      <w:t>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A82FA">
    <w:pPr>
      <w:pStyle w:val="7"/>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wMTk2ZGY0YzRkZmExZTFhNjFkOWVhYTgyNGZiNjAifQ=="/>
  </w:docVars>
  <w:rsids>
    <w:rsidRoot w:val="37FD1ED2"/>
    <w:rsid w:val="00002B95"/>
    <w:rsid w:val="00004541"/>
    <w:rsid w:val="0000467E"/>
    <w:rsid w:val="000074C8"/>
    <w:rsid w:val="000122F6"/>
    <w:rsid w:val="000155E0"/>
    <w:rsid w:val="00024163"/>
    <w:rsid w:val="00030AAA"/>
    <w:rsid w:val="000442C6"/>
    <w:rsid w:val="00045695"/>
    <w:rsid w:val="00050EFD"/>
    <w:rsid w:val="000537B3"/>
    <w:rsid w:val="00070A1A"/>
    <w:rsid w:val="0007210A"/>
    <w:rsid w:val="00095186"/>
    <w:rsid w:val="000A5C60"/>
    <w:rsid w:val="000B6F8F"/>
    <w:rsid w:val="000C59BD"/>
    <w:rsid w:val="000C6B10"/>
    <w:rsid w:val="000D4FE2"/>
    <w:rsid w:val="000E1E4C"/>
    <w:rsid w:val="000F0E7F"/>
    <w:rsid w:val="000F14A4"/>
    <w:rsid w:val="000F2EFD"/>
    <w:rsid w:val="000F723D"/>
    <w:rsid w:val="001011B2"/>
    <w:rsid w:val="001015A1"/>
    <w:rsid w:val="001128FE"/>
    <w:rsid w:val="001138AD"/>
    <w:rsid w:val="00116B80"/>
    <w:rsid w:val="00121B1D"/>
    <w:rsid w:val="0012390D"/>
    <w:rsid w:val="0013603E"/>
    <w:rsid w:val="00136F0C"/>
    <w:rsid w:val="001441E3"/>
    <w:rsid w:val="0015460F"/>
    <w:rsid w:val="001642C1"/>
    <w:rsid w:val="00167C6C"/>
    <w:rsid w:val="00174A8D"/>
    <w:rsid w:val="00176352"/>
    <w:rsid w:val="00185081"/>
    <w:rsid w:val="0018617B"/>
    <w:rsid w:val="00187925"/>
    <w:rsid w:val="0019059F"/>
    <w:rsid w:val="0019112D"/>
    <w:rsid w:val="00191ECA"/>
    <w:rsid w:val="0019469A"/>
    <w:rsid w:val="001A0C8C"/>
    <w:rsid w:val="001A3342"/>
    <w:rsid w:val="001B12FB"/>
    <w:rsid w:val="001B6B31"/>
    <w:rsid w:val="001D6532"/>
    <w:rsid w:val="001E489E"/>
    <w:rsid w:val="001E7E93"/>
    <w:rsid w:val="001F1A0A"/>
    <w:rsid w:val="001F3741"/>
    <w:rsid w:val="001F5C85"/>
    <w:rsid w:val="002012D6"/>
    <w:rsid w:val="0020215E"/>
    <w:rsid w:val="00234292"/>
    <w:rsid w:val="002452B8"/>
    <w:rsid w:val="00245CCA"/>
    <w:rsid w:val="00252502"/>
    <w:rsid w:val="00270AC3"/>
    <w:rsid w:val="00276C09"/>
    <w:rsid w:val="0028686D"/>
    <w:rsid w:val="00286ECA"/>
    <w:rsid w:val="0029527D"/>
    <w:rsid w:val="002A0C0D"/>
    <w:rsid w:val="002B4F07"/>
    <w:rsid w:val="002C3FA4"/>
    <w:rsid w:val="002C45BF"/>
    <w:rsid w:val="002D225B"/>
    <w:rsid w:val="002D5C4D"/>
    <w:rsid w:val="002E1465"/>
    <w:rsid w:val="002E33D5"/>
    <w:rsid w:val="002F40AE"/>
    <w:rsid w:val="003052FA"/>
    <w:rsid w:val="00311049"/>
    <w:rsid w:val="00312DBA"/>
    <w:rsid w:val="003142D3"/>
    <w:rsid w:val="003164D1"/>
    <w:rsid w:val="00317843"/>
    <w:rsid w:val="00320B5B"/>
    <w:rsid w:val="00321F61"/>
    <w:rsid w:val="00322632"/>
    <w:rsid w:val="003456B0"/>
    <w:rsid w:val="00350A10"/>
    <w:rsid w:val="003550A8"/>
    <w:rsid w:val="00355CC2"/>
    <w:rsid w:val="0037360D"/>
    <w:rsid w:val="0037628B"/>
    <w:rsid w:val="00396A8B"/>
    <w:rsid w:val="003A7914"/>
    <w:rsid w:val="003B25C0"/>
    <w:rsid w:val="003B436D"/>
    <w:rsid w:val="003C44B8"/>
    <w:rsid w:val="003C4DFF"/>
    <w:rsid w:val="003D0DEE"/>
    <w:rsid w:val="003D119D"/>
    <w:rsid w:val="003E654E"/>
    <w:rsid w:val="003E708F"/>
    <w:rsid w:val="003F05C1"/>
    <w:rsid w:val="003F06F0"/>
    <w:rsid w:val="003F7EF6"/>
    <w:rsid w:val="004056F9"/>
    <w:rsid w:val="00406810"/>
    <w:rsid w:val="004068E3"/>
    <w:rsid w:val="004243FB"/>
    <w:rsid w:val="00440872"/>
    <w:rsid w:val="00441472"/>
    <w:rsid w:val="00444367"/>
    <w:rsid w:val="004447B4"/>
    <w:rsid w:val="00447980"/>
    <w:rsid w:val="00452B45"/>
    <w:rsid w:val="004636FB"/>
    <w:rsid w:val="00467DF9"/>
    <w:rsid w:val="00471D88"/>
    <w:rsid w:val="00472650"/>
    <w:rsid w:val="00475713"/>
    <w:rsid w:val="00487F21"/>
    <w:rsid w:val="0049667B"/>
    <w:rsid w:val="004A31EA"/>
    <w:rsid w:val="004A4245"/>
    <w:rsid w:val="004B5178"/>
    <w:rsid w:val="004C149C"/>
    <w:rsid w:val="004F1759"/>
    <w:rsid w:val="0050090A"/>
    <w:rsid w:val="00516A3C"/>
    <w:rsid w:val="005174A3"/>
    <w:rsid w:val="00517CE7"/>
    <w:rsid w:val="00521E7D"/>
    <w:rsid w:val="005351F9"/>
    <w:rsid w:val="00537B3E"/>
    <w:rsid w:val="00537E7E"/>
    <w:rsid w:val="0054239B"/>
    <w:rsid w:val="00545B10"/>
    <w:rsid w:val="00545CC8"/>
    <w:rsid w:val="005530EB"/>
    <w:rsid w:val="005539EB"/>
    <w:rsid w:val="00554FE6"/>
    <w:rsid w:val="005674FE"/>
    <w:rsid w:val="00577D25"/>
    <w:rsid w:val="005907EC"/>
    <w:rsid w:val="005964CA"/>
    <w:rsid w:val="005A02FA"/>
    <w:rsid w:val="005A37F1"/>
    <w:rsid w:val="005A6EE5"/>
    <w:rsid w:val="005A725B"/>
    <w:rsid w:val="005B2B16"/>
    <w:rsid w:val="005B3776"/>
    <w:rsid w:val="005B44F1"/>
    <w:rsid w:val="005B6791"/>
    <w:rsid w:val="005C37F4"/>
    <w:rsid w:val="005C383E"/>
    <w:rsid w:val="005C661A"/>
    <w:rsid w:val="005C71B2"/>
    <w:rsid w:val="005D1FCC"/>
    <w:rsid w:val="005D2ABA"/>
    <w:rsid w:val="005D54CF"/>
    <w:rsid w:val="005D6010"/>
    <w:rsid w:val="005E2D01"/>
    <w:rsid w:val="005E2D0D"/>
    <w:rsid w:val="005E48F1"/>
    <w:rsid w:val="005E5CB8"/>
    <w:rsid w:val="005F7649"/>
    <w:rsid w:val="00600A33"/>
    <w:rsid w:val="00602959"/>
    <w:rsid w:val="00603B77"/>
    <w:rsid w:val="00625B6E"/>
    <w:rsid w:val="006453C7"/>
    <w:rsid w:val="00645715"/>
    <w:rsid w:val="00652CE7"/>
    <w:rsid w:val="00657C8F"/>
    <w:rsid w:val="0066189E"/>
    <w:rsid w:val="00663E7C"/>
    <w:rsid w:val="00673EF8"/>
    <w:rsid w:val="00675C56"/>
    <w:rsid w:val="00676A0A"/>
    <w:rsid w:val="00683AA5"/>
    <w:rsid w:val="00687D61"/>
    <w:rsid w:val="0069069D"/>
    <w:rsid w:val="006A5DF5"/>
    <w:rsid w:val="006B12E7"/>
    <w:rsid w:val="006B1C77"/>
    <w:rsid w:val="006C1A55"/>
    <w:rsid w:val="006C2CE8"/>
    <w:rsid w:val="006C2ED2"/>
    <w:rsid w:val="006C7282"/>
    <w:rsid w:val="006D7301"/>
    <w:rsid w:val="006D7836"/>
    <w:rsid w:val="006D7C1F"/>
    <w:rsid w:val="006F0AEC"/>
    <w:rsid w:val="006F1A08"/>
    <w:rsid w:val="006F2861"/>
    <w:rsid w:val="007107D8"/>
    <w:rsid w:val="00713B5B"/>
    <w:rsid w:val="00723EB8"/>
    <w:rsid w:val="007258C9"/>
    <w:rsid w:val="007321F3"/>
    <w:rsid w:val="0073672E"/>
    <w:rsid w:val="00737ED8"/>
    <w:rsid w:val="0074063E"/>
    <w:rsid w:val="00743763"/>
    <w:rsid w:val="00743BE6"/>
    <w:rsid w:val="00743C07"/>
    <w:rsid w:val="007446DE"/>
    <w:rsid w:val="00744818"/>
    <w:rsid w:val="00745961"/>
    <w:rsid w:val="00763B7D"/>
    <w:rsid w:val="00771254"/>
    <w:rsid w:val="00771829"/>
    <w:rsid w:val="00781EEE"/>
    <w:rsid w:val="007A08E0"/>
    <w:rsid w:val="007A0FB5"/>
    <w:rsid w:val="007A15C7"/>
    <w:rsid w:val="007A175A"/>
    <w:rsid w:val="007A7627"/>
    <w:rsid w:val="007A7D27"/>
    <w:rsid w:val="007C027D"/>
    <w:rsid w:val="007C47D8"/>
    <w:rsid w:val="007C6A31"/>
    <w:rsid w:val="007D4AD6"/>
    <w:rsid w:val="007E1E9D"/>
    <w:rsid w:val="007E2459"/>
    <w:rsid w:val="007E41B1"/>
    <w:rsid w:val="007F0238"/>
    <w:rsid w:val="007F1729"/>
    <w:rsid w:val="007F54A4"/>
    <w:rsid w:val="008001C9"/>
    <w:rsid w:val="00801C75"/>
    <w:rsid w:val="0080405E"/>
    <w:rsid w:val="0081089A"/>
    <w:rsid w:val="008350F4"/>
    <w:rsid w:val="00842232"/>
    <w:rsid w:val="008511C5"/>
    <w:rsid w:val="00851A8C"/>
    <w:rsid w:val="00860E75"/>
    <w:rsid w:val="00872C0D"/>
    <w:rsid w:val="00884D95"/>
    <w:rsid w:val="00890F55"/>
    <w:rsid w:val="00896C4A"/>
    <w:rsid w:val="008A22CF"/>
    <w:rsid w:val="008B2E76"/>
    <w:rsid w:val="008C059B"/>
    <w:rsid w:val="008C69AF"/>
    <w:rsid w:val="00905E60"/>
    <w:rsid w:val="00916EE1"/>
    <w:rsid w:val="0093701F"/>
    <w:rsid w:val="00940FAD"/>
    <w:rsid w:val="00944F40"/>
    <w:rsid w:val="00946BA1"/>
    <w:rsid w:val="00960078"/>
    <w:rsid w:val="0097279A"/>
    <w:rsid w:val="00982A9B"/>
    <w:rsid w:val="00985583"/>
    <w:rsid w:val="009A2242"/>
    <w:rsid w:val="009A2380"/>
    <w:rsid w:val="009B346E"/>
    <w:rsid w:val="009B7836"/>
    <w:rsid w:val="009C17E8"/>
    <w:rsid w:val="009D7A4F"/>
    <w:rsid w:val="009E4211"/>
    <w:rsid w:val="009E7834"/>
    <w:rsid w:val="00A0248E"/>
    <w:rsid w:val="00A037AE"/>
    <w:rsid w:val="00A134C9"/>
    <w:rsid w:val="00A51829"/>
    <w:rsid w:val="00A5702D"/>
    <w:rsid w:val="00A710A3"/>
    <w:rsid w:val="00A75302"/>
    <w:rsid w:val="00AA0F48"/>
    <w:rsid w:val="00AA4088"/>
    <w:rsid w:val="00AB1892"/>
    <w:rsid w:val="00AB36DD"/>
    <w:rsid w:val="00AB5DB9"/>
    <w:rsid w:val="00AB6DA8"/>
    <w:rsid w:val="00AD508B"/>
    <w:rsid w:val="00AD60FC"/>
    <w:rsid w:val="00AD7D86"/>
    <w:rsid w:val="00AF08AF"/>
    <w:rsid w:val="00B07AAF"/>
    <w:rsid w:val="00B135FF"/>
    <w:rsid w:val="00B22D11"/>
    <w:rsid w:val="00B26AC1"/>
    <w:rsid w:val="00B3351B"/>
    <w:rsid w:val="00B34734"/>
    <w:rsid w:val="00B45F20"/>
    <w:rsid w:val="00B50C8E"/>
    <w:rsid w:val="00B5578A"/>
    <w:rsid w:val="00B623C3"/>
    <w:rsid w:val="00B658AF"/>
    <w:rsid w:val="00B775FE"/>
    <w:rsid w:val="00BA2517"/>
    <w:rsid w:val="00BB4737"/>
    <w:rsid w:val="00BC1324"/>
    <w:rsid w:val="00BC5FE0"/>
    <w:rsid w:val="00BC7B50"/>
    <w:rsid w:val="00BE43DE"/>
    <w:rsid w:val="00BE6BD8"/>
    <w:rsid w:val="00BE6FE8"/>
    <w:rsid w:val="00BF2B5B"/>
    <w:rsid w:val="00C05055"/>
    <w:rsid w:val="00C06E6A"/>
    <w:rsid w:val="00C245E3"/>
    <w:rsid w:val="00C36C9C"/>
    <w:rsid w:val="00C429E1"/>
    <w:rsid w:val="00C47A66"/>
    <w:rsid w:val="00C514F0"/>
    <w:rsid w:val="00C5152E"/>
    <w:rsid w:val="00C52ACC"/>
    <w:rsid w:val="00C52FD0"/>
    <w:rsid w:val="00C65787"/>
    <w:rsid w:val="00C710CC"/>
    <w:rsid w:val="00C75A05"/>
    <w:rsid w:val="00C75E83"/>
    <w:rsid w:val="00C83131"/>
    <w:rsid w:val="00C8515B"/>
    <w:rsid w:val="00C85A81"/>
    <w:rsid w:val="00C90939"/>
    <w:rsid w:val="00C93A62"/>
    <w:rsid w:val="00CA7A5C"/>
    <w:rsid w:val="00CB00F2"/>
    <w:rsid w:val="00CB1995"/>
    <w:rsid w:val="00CC26D3"/>
    <w:rsid w:val="00CE0AAE"/>
    <w:rsid w:val="00CE1ED2"/>
    <w:rsid w:val="00CF18E6"/>
    <w:rsid w:val="00D05EEE"/>
    <w:rsid w:val="00D15161"/>
    <w:rsid w:val="00D20E6D"/>
    <w:rsid w:val="00D220DE"/>
    <w:rsid w:val="00D22E2D"/>
    <w:rsid w:val="00D2367D"/>
    <w:rsid w:val="00D24C8C"/>
    <w:rsid w:val="00D27A2B"/>
    <w:rsid w:val="00D51E67"/>
    <w:rsid w:val="00D52CE4"/>
    <w:rsid w:val="00D564AD"/>
    <w:rsid w:val="00D56B58"/>
    <w:rsid w:val="00D65203"/>
    <w:rsid w:val="00D71651"/>
    <w:rsid w:val="00D74D44"/>
    <w:rsid w:val="00D801E0"/>
    <w:rsid w:val="00D81474"/>
    <w:rsid w:val="00D847E8"/>
    <w:rsid w:val="00DA67FF"/>
    <w:rsid w:val="00DA7E8D"/>
    <w:rsid w:val="00DB1AEA"/>
    <w:rsid w:val="00DB5391"/>
    <w:rsid w:val="00DC6A47"/>
    <w:rsid w:val="00DD1EF5"/>
    <w:rsid w:val="00DD3842"/>
    <w:rsid w:val="00DD70D8"/>
    <w:rsid w:val="00DE1BDC"/>
    <w:rsid w:val="00DF011F"/>
    <w:rsid w:val="00DF2CE6"/>
    <w:rsid w:val="00DF46AF"/>
    <w:rsid w:val="00E06479"/>
    <w:rsid w:val="00E06FA3"/>
    <w:rsid w:val="00E1013D"/>
    <w:rsid w:val="00E2063C"/>
    <w:rsid w:val="00E225E5"/>
    <w:rsid w:val="00E24D9F"/>
    <w:rsid w:val="00E3356C"/>
    <w:rsid w:val="00E36D90"/>
    <w:rsid w:val="00E50441"/>
    <w:rsid w:val="00E5069F"/>
    <w:rsid w:val="00E550D3"/>
    <w:rsid w:val="00E60652"/>
    <w:rsid w:val="00E65D0C"/>
    <w:rsid w:val="00E65F91"/>
    <w:rsid w:val="00E777E2"/>
    <w:rsid w:val="00E9025C"/>
    <w:rsid w:val="00E90EEE"/>
    <w:rsid w:val="00E95AF3"/>
    <w:rsid w:val="00EB3C1B"/>
    <w:rsid w:val="00EB3FD6"/>
    <w:rsid w:val="00EB5EA4"/>
    <w:rsid w:val="00EB6832"/>
    <w:rsid w:val="00EB6995"/>
    <w:rsid w:val="00EB7A24"/>
    <w:rsid w:val="00EC33C9"/>
    <w:rsid w:val="00EC34D1"/>
    <w:rsid w:val="00EC583F"/>
    <w:rsid w:val="00ED098D"/>
    <w:rsid w:val="00ED1629"/>
    <w:rsid w:val="00ED21F1"/>
    <w:rsid w:val="00ED331E"/>
    <w:rsid w:val="00EE5F55"/>
    <w:rsid w:val="00EF2A16"/>
    <w:rsid w:val="00F02153"/>
    <w:rsid w:val="00F0668E"/>
    <w:rsid w:val="00F213A7"/>
    <w:rsid w:val="00F24610"/>
    <w:rsid w:val="00F248C9"/>
    <w:rsid w:val="00F252AD"/>
    <w:rsid w:val="00F26E40"/>
    <w:rsid w:val="00F3099C"/>
    <w:rsid w:val="00F350BE"/>
    <w:rsid w:val="00F53F97"/>
    <w:rsid w:val="00F60705"/>
    <w:rsid w:val="00F6339B"/>
    <w:rsid w:val="00F7000F"/>
    <w:rsid w:val="00F76F8C"/>
    <w:rsid w:val="00F77083"/>
    <w:rsid w:val="00F82145"/>
    <w:rsid w:val="00F82B0B"/>
    <w:rsid w:val="00FA588B"/>
    <w:rsid w:val="00FB64A8"/>
    <w:rsid w:val="00FC2FB8"/>
    <w:rsid w:val="00FC3A04"/>
    <w:rsid w:val="00FD5D4B"/>
    <w:rsid w:val="00FE300E"/>
    <w:rsid w:val="00FE5758"/>
    <w:rsid w:val="00FF0D01"/>
    <w:rsid w:val="00FF0D02"/>
    <w:rsid w:val="012B64AF"/>
    <w:rsid w:val="012C2BC2"/>
    <w:rsid w:val="01374E54"/>
    <w:rsid w:val="01914D69"/>
    <w:rsid w:val="021B4775"/>
    <w:rsid w:val="02247ACE"/>
    <w:rsid w:val="02704AC1"/>
    <w:rsid w:val="02A36C44"/>
    <w:rsid w:val="02FA6079"/>
    <w:rsid w:val="030D582D"/>
    <w:rsid w:val="033E0386"/>
    <w:rsid w:val="03566EDD"/>
    <w:rsid w:val="037E6D6A"/>
    <w:rsid w:val="039C229E"/>
    <w:rsid w:val="03E424F8"/>
    <w:rsid w:val="041727B2"/>
    <w:rsid w:val="04564B34"/>
    <w:rsid w:val="04BD38C2"/>
    <w:rsid w:val="05215B1B"/>
    <w:rsid w:val="059565ED"/>
    <w:rsid w:val="05C6785F"/>
    <w:rsid w:val="06761402"/>
    <w:rsid w:val="067B33E9"/>
    <w:rsid w:val="070B47DC"/>
    <w:rsid w:val="074B3407"/>
    <w:rsid w:val="075B5D40"/>
    <w:rsid w:val="079D75B6"/>
    <w:rsid w:val="08252B72"/>
    <w:rsid w:val="0886328A"/>
    <w:rsid w:val="08BB636A"/>
    <w:rsid w:val="092108C3"/>
    <w:rsid w:val="09293304"/>
    <w:rsid w:val="09DF42DA"/>
    <w:rsid w:val="0A664845"/>
    <w:rsid w:val="0AFD2868"/>
    <w:rsid w:val="0B024724"/>
    <w:rsid w:val="0B0E131B"/>
    <w:rsid w:val="0B8B007F"/>
    <w:rsid w:val="0BE66B6F"/>
    <w:rsid w:val="0CA05FA3"/>
    <w:rsid w:val="0CB56E1A"/>
    <w:rsid w:val="0CE15C60"/>
    <w:rsid w:val="0CED2325"/>
    <w:rsid w:val="0D1349C7"/>
    <w:rsid w:val="0DBC505E"/>
    <w:rsid w:val="0E211365"/>
    <w:rsid w:val="0E3F3599"/>
    <w:rsid w:val="0E7121DC"/>
    <w:rsid w:val="0EB36461"/>
    <w:rsid w:val="0F1111AF"/>
    <w:rsid w:val="0F405A07"/>
    <w:rsid w:val="0F503CB0"/>
    <w:rsid w:val="0FFC564D"/>
    <w:rsid w:val="10305D78"/>
    <w:rsid w:val="1050688C"/>
    <w:rsid w:val="10F16B5E"/>
    <w:rsid w:val="112D68D6"/>
    <w:rsid w:val="114333A1"/>
    <w:rsid w:val="115E01DA"/>
    <w:rsid w:val="117A1366"/>
    <w:rsid w:val="11F97259"/>
    <w:rsid w:val="12301B77"/>
    <w:rsid w:val="125C6E10"/>
    <w:rsid w:val="12744380"/>
    <w:rsid w:val="12B747B9"/>
    <w:rsid w:val="12C32D62"/>
    <w:rsid w:val="12D82C44"/>
    <w:rsid w:val="132C1FB2"/>
    <w:rsid w:val="134A6C68"/>
    <w:rsid w:val="13A06677"/>
    <w:rsid w:val="14270E79"/>
    <w:rsid w:val="14D02C0A"/>
    <w:rsid w:val="156A53A0"/>
    <w:rsid w:val="15A62D19"/>
    <w:rsid w:val="15B900D5"/>
    <w:rsid w:val="15E474E8"/>
    <w:rsid w:val="15F829AC"/>
    <w:rsid w:val="164A7FFD"/>
    <w:rsid w:val="16B12AAB"/>
    <w:rsid w:val="16F75418"/>
    <w:rsid w:val="17305017"/>
    <w:rsid w:val="17580A4C"/>
    <w:rsid w:val="178720F0"/>
    <w:rsid w:val="179731DF"/>
    <w:rsid w:val="17A86360"/>
    <w:rsid w:val="183D4A90"/>
    <w:rsid w:val="185D2F9A"/>
    <w:rsid w:val="188062D0"/>
    <w:rsid w:val="1890336F"/>
    <w:rsid w:val="18DA45EA"/>
    <w:rsid w:val="18E84F59"/>
    <w:rsid w:val="19027896"/>
    <w:rsid w:val="19372DD5"/>
    <w:rsid w:val="19704F75"/>
    <w:rsid w:val="19941750"/>
    <w:rsid w:val="19D84FCE"/>
    <w:rsid w:val="1A481C3E"/>
    <w:rsid w:val="1A5F75D3"/>
    <w:rsid w:val="1A966AE4"/>
    <w:rsid w:val="1AA93F5F"/>
    <w:rsid w:val="1ADB7B71"/>
    <w:rsid w:val="1B966EEF"/>
    <w:rsid w:val="1BAD5FE6"/>
    <w:rsid w:val="1BEA548C"/>
    <w:rsid w:val="1BFA35F5"/>
    <w:rsid w:val="1C2344FA"/>
    <w:rsid w:val="1C550B58"/>
    <w:rsid w:val="1C9A6AD6"/>
    <w:rsid w:val="1CB303A9"/>
    <w:rsid w:val="1D1A7A3A"/>
    <w:rsid w:val="1D2305AB"/>
    <w:rsid w:val="1D3D1123"/>
    <w:rsid w:val="1D4017BF"/>
    <w:rsid w:val="1E373AB0"/>
    <w:rsid w:val="1E495B3F"/>
    <w:rsid w:val="1E7E3139"/>
    <w:rsid w:val="1E861030"/>
    <w:rsid w:val="1E861341"/>
    <w:rsid w:val="1EC87D5A"/>
    <w:rsid w:val="200B13BD"/>
    <w:rsid w:val="200B6D2A"/>
    <w:rsid w:val="20CD7E55"/>
    <w:rsid w:val="20D564EE"/>
    <w:rsid w:val="211E5AAE"/>
    <w:rsid w:val="215869F4"/>
    <w:rsid w:val="21AA2451"/>
    <w:rsid w:val="21EA7F94"/>
    <w:rsid w:val="21F849EF"/>
    <w:rsid w:val="220903C1"/>
    <w:rsid w:val="22725764"/>
    <w:rsid w:val="22822393"/>
    <w:rsid w:val="240470FA"/>
    <w:rsid w:val="24690EA8"/>
    <w:rsid w:val="24A1247D"/>
    <w:rsid w:val="24A70634"/>
    <w:rsid w:val="24B77ED6"/>
    <w:rsid w:val="264668B0"/>
    <w:rsid w:val="26ED0FB3"/>
    <w:rsid w:val="272A633C"/>
    <w:rsid w:val="27451C7A"/>
    <w:rsid w:val="275C2D28"/>
    <w:rsid w:val="279938C3"/>
    <w:rsid w:val="27AC683A"/>
    <w:rsid w:val="27BD3A55"/>
    <w:rsid w:val="27FD667E"/>
    <w:rsid w:val="281648E6"/>
    <w:rsid w:val="283454E6"/>
    <w:rsid w:val="283C2BCC"/>
    <w:rsid w:val="287A6993"/>
    <w:rsid w:val="288307FB"/>
    <w:rsid w:val="28E079FB"/>
    <w:rsid w:val="29214463"/>
    <w:rsid w:val="29631412"/>
    <w:rsid w:val="29B82CA8"/>
    <w:rsid w:val="29E9432E"/>
    <w:rsid w:val="29F574D6"/>
    <w:rsid w:val="2A2B114A"/>
    <w:rsid w:val="2A435709"/>
    <w:rsid w:val="2A9800F6"/>
    <w:rsid w:val="2A9D36CA"/>
    <w:rsid w:val="2B7B131F"/>
    <w:rsid w:val="2B8D2153"/>
    <w:rsid w:val="2BA271EA"/>
    <w:rsid w:val="2BB77950"/>
    <w:rsid w:val="2BC71186"/>
    <w:rsid w:val="2C135E4D"/>
    <w:rsid w:val="2C3D700C"/>
    <w:rsid w:val="2C567B9C"/>
    <w:rsid w:val="2CFD4D1B"/>
    <w:rsid w:val="2E051E23"/>
    <w:rsid w:val="2E734E6D"/>
    <w:rsid w:val="2E7D7A9A"/>
    <w:rsid w:val="2E82382C"/>
    <w:rsid w:val="2EEE2746"/>
    <w:rsid w:val="2F1D0548"/>
    <w:rsid w:val="2F5702EB"/>
    <w:rsid w:val="2F642A08"/>
    <w:rsid w:val="2FC16DE4"/>
    <w:rsid w:val="2FE156A9"/>
    <w:rsid w:val="302C79CA"/>
    <w:rsid w:val="303D5733"/>
    <w:rsid w:val="303F5B52"/>
    <w:rsid w:val="30815AC1"/>
    <w:rsid w:val="30AF44D2"/>
    <w:rsid w:val="30E42A95"/>
    <w:rsid w:val="310260A8"/>
    <w:rsid w:val="3117336A"/>
    <w:rsid w:val="317F1D7B"/>
    <w:rsid w:val="31964F30"/>
    <w:rsid w:val="32455894"/>
    <w:rsid w:val="32587458"/>
    <w:rsid w:val="3293788C"/>
    <w:rsid w:val="329E2CAA"/>
    <w:rsid w:val="333706DA"/>
    <w:rsid w:val="33386686"/>
    <w:rsid w:val="33455810"/>
    <w:rsid w:val="33552D94"/>
    <w:rsid w:val="3383721E"/>
    <w:rsid w:val="33AD46D4"/>
    <w:rsid w:val="33CC25A8"/>
    <w:rsid w:val="33ED121E"/>
    <w:rsid w:val="34DF3720"/>
    <w:rsid w:val="355157DD"/>
    <w:rsid w:val="355F614C"/>
    <w:rsid w:val="35727C2D"/>
    <w:rsid w:val="35DC0849"/>
    <w:rsid w:val="35EB19AF"/>
    <w:rsid w:val="36070CBD"/>
    <w:rsid w:val="36716510"/>
    <w:rsid w:val="36910587"/>
    <w:rsid w:val="36B56AC9"/>
    <w:rsid w:val="36DD557A"/>
    <w:rsid w:val="37056C92"/>
    <w:rsid w:val="37066109"/>
    <w:rsid w:val="373A48BE"/>
    <w:rsid w:val="3757357E"/>
    <w:rsid w:val="37DE5801"/>
    <w:rsid w:val="37FD1ED2"/>
    <w:rsid w:val="384A3F9B"/>
    <w:rsid w:val="385C4BC4"/>
    <w:rsid w:val="38701DF2"/>
    <w:rsid w:val="3878446A"/>
    <w:rsid w:val="38C52A81"/>
    <w:rsid w:val="39180AEB"/>
    <w:rsid w:val="3A240A4F"/>
    <w:rsid w:val="3A5D2B79"/>
    <w:rsid w:val="3AA34435"/>
    <w:rsid w:val="3AD82C28"/>
    <w:rsid w:val="3B1F6622"/>
    <w:rsid w:val="3B3F60CE"/>
    <w:rsid w:val="3B6A569C"/>
    <w:rsid w:val="3B716BD9"/>
    <w:rsid w:val="3C130F7E"/>
    <w:rsid w:val="3C4A353A"/>
    <w:rsid w:val="3C636533"/>
    <w:rsid w:val="3CA14E85"/>
    <w:rsid w:val="3CF861D7"/>
    <w:rsid w:val="3D00417F"/>
    <w:rsid w:val="3D5E1FBF"/>
    <w:rsid w:val="3D6764E5"/>
    <w:rsid w:val="3D93286E"/>
    <w:rsid w:val="3D9F5F7E"/>
    <w:rsid w:val="3DB04350"/>
    <w:rsid w:val="3E3A03F2"/>
    <w:rsid w:val="3E706080"/>
    <w:rsid w:val="3E8B55CC"/>
    <w:rsid w:val="3F06144F"/>
    <w:rsid w:val="3F214472"/>
    <w:rsid w:val="3F542A99"/>
    <w:rsid w:val="3FA13A1C"/>
    <w:rsid w:val="3FC040DE"/>
    <w:rsid w:val="3FF83425"/>
    <w:rsid w:val="402661E4"/>
    <w:rsid w:val="40552625"/>
    <w:rsid w:val="40FB7670"/>
    <w:rsid w:val="41305F56"/>
    <w:rsid w:val="413C1A16"/>
    <w:rsid w:val="419E1D8A"/>
    <w:rsid w:val="41E30365"/>
    <w:rsid w:val="41F0672D"/>
    <w:rsid w:val="42543B0A"/>
    <w:rsid w:val="42985647"/>
    <w:rsid w:val="42BC4BDD"/>
    <w:rsid w:val="42C76054"/>
    <w:rsid w:val="42F44377"/>
    <w:rsid w:val="4300794B"/>
    <w:rsid w:val="43BC275F"/>
    <w:rsid w:val="43C95E9E"/>
    <w:rsid w:val="43E4722E"/>
    <w:rsid w:val="43E51F12"/>
    <w:rsid w:val="43F809F6"/>
    <w:rsid w:val="443E4864"/>
    <w:rsid w:val="44406369"/>
    <w:rsid w:val="44840E86"/>
    <w:rsid w:val="44B12B62"/>
    <w:rsid w:val="44D6775C"/>
    <w:rsid w:val="44FB7C59"/>
    <w:rsid w:val="450F36EA"/>
    <w:rsid w:val="4577303D"/>
    <w:rsid w:val="459E05CA"/>
    <w:rsid w:val="45A82E9E"/>
    <w:rsid w:val="45EA75D4"/>
    <w:rsid w:val="46092A54"/>
    <w:rsid w:val="46845A12"/>
    <w:rsid w:val="47484C91"/>
    <w:rsid w:val="475C24EB"/>
    <w:rsid w:val="47AD2D46"/>
    <w:rsid w:val="48262027"/>
    <w:rsid w:val="48341DE7"/>
    <w:rsid w:val="48463978"/>
    <w:rsid w:val="486C2C02"/>
    <w:rsid w:val="489107F2"/>
    <w:rsid w:val="48B907AE"/>
    <w:rsid w:val="48BD520B"/>
    <w:rsid w:val="48EC583F"/>
    <w:rsid w:val="490A5710"/>
    <w:rsid w:val="49377541"/>
    <w:rsid w:val="49EF7646"/>
    <w:rsid w:val="49F66C27"/>
    <w:rsid w:val="4A3D5016"/>
    <w:rsid w:val="4A7A1270"/>
    <w:rsid w:val="4AAF5028"/>
    <w:rsid w:val="4AB67965"/>
    <w:rsid w:val="4ACB203C"/>
    <w:rsid w:val="4AD60CD1"/>
    <w:rsid w:val="4AFD2237"/>
    <w:rsid w:val="4BB52448"/>
    <w:rsid w:val="4BBF225F"/>
    <w:rsid w:val="4BDC72DB"/>
    <w:rsid w:val="4BEE392E"/>
    <w:rsid w:val="4C9E6D8F"/>
    <w:rsid w:val="4CCF550D"/>
    <w:rsid w:val="4CDF5745"/>
    <w:rsid w:val="4D0478AD"/>
    <w:rsid w:val="4D330192"/>
    <w:rsid w:val="4D482A8D"/>
    <w:rsid w:val="4D4B18DC"/>
    <w:rsid w:val="4DA22C22"/>
    <w:rsid w:val="4DED7D8D"/>
    <w:rsid w:val="4E3A4E06"/>
    <w:rsid w:val="4E494F67"/>
    <w:rsid w:val="4E8C7B5A"/>
    <w:rsid w:val="4E99401C"/>
    <w:rsid w:val="4EB12F52"/>
    <w:rsid w:val="4EB91DBD"/>
    <w:rsid w:val="4F354191"/>
    <w:rsid w:val="4F4A0E3B"/>
    <w:rsid w:val="4FB37368"/>
    <w:rsid w:val="4FCC3F86"/>
    <w:rsid w:val="4FE10E31"/>
    <w:rsid w:val="50034F5C"/>
    <w:rsid w:val="510D4856"/>
    <w:rsid w:val="5123601C"/>
    <w:rsid w:val="51311A6B"/>
    <w:rsid w:val="513573BA"/>
    <w:rsid w:val="51575BFE"/>
    <w:rsid w:val="51581A8F"/>
    <w:rsid w:val="51A1583A"/>
    <w:rsid w:val="51EC7239"/>
    <w:rsid w:val="53187450"/>
    <w:rsid w:val="537961D3"/>
    <w:rsid w:val="53E22A2B"/>
    <w:rsid w:val="53FF492A"/>
    <w:rsid w:val="54CA13DC"/>
    <w:rsid w:val="54F2117E"/>
    <w:rsid w:val="54FC4B9F"/>
    <w:rsid w:val="55155422"/>
    <w:rsid w:val="557C0051"/>
    <w:rsid w:val="559519EA"/>
    <w:rsid w:val="55E02539"/>
    <w:rsid w:val="56404E40"/>
    <w:rsid w:val="564D2A9A"/>
    <w:rsid w:val="5667099F"/>
    <w:rsid w:val="57263F2F"/>
    <w:rsid w:val="574720D1"/>
    <w:rsid w:val="57686347"/>
    <w:rsid w:val="57E52089"/>
    <w:rsid w:val="5827444F"/>
    <w:rsid w:val="58975754"/>
    <w:rsid w:val="58A8162D"/>
    <w:rsid w:val="58AB27D1"/>
    <w:rsid w:val="59030A18"/>
    <w:rsid w:val="59140E77"/>
    <w:rsid w:val="5955323E"/>
    <w:rsid w:val="59666258"/>
    <w:rsid w:val="59D85102"/>
    <w:rsid w:val="59E949AA"/>
    <w:rsid w:val="5A160AE5"/>
    <w:rsid w:val="5A624541"/>
    <w:rsid w:val="5B307FE1"/>
    <w:rsid w:val="5B426C68"/>
    <w:rsid w:val="5BE2700B"/>
    <w:rsid w:val="5CA1023B"/>
    <w:rsid w:val="5CE95B0C"/>
    <w:rsid w:val="5CFB5EAA"/>
    <w:rsid w:val="5D2E6280"/>
    <w:rsid w:val="5D6B54A8"/>
    <w:rsid w:val="5DB0643F"/>
    <w:rsid w:val="5E6462AF"/>
    <w:rsid w:val="5E704A1A"/>
    <w:rsid w:val="5F092B01"/>
    <w:rsid w:val="5F2C303F"/>
    <w:rsid w:val="5FA148BD"/>
    <w:rsid w:val="5FCC1F66"/>
    <w:rsid w:val="5FFB47B8"/>
    <w:rsid w:val="5FFE7049"/>
    <w:rsid w:val="600A7C53"/>
    <w:rsid w:val="609774DA"/>
    <w:rsid w:val="612C2AD6"/>
    <w:rsid w:val="61747218"/>
    <w:rsid w:val="618835BC"/>
    <w:rsid w:val="6280036F"/>
    <w:rsid w:val="62CC7D62"/>
    <w:rsid w:val="63251ED3"/>
    <w:rsid w:val="636E73D6"/>
    <w:rsid w:val="63E15DFA"/>
    <w:rsid w:val="645D2EE9"/>
    <w:rsid w:val="64D751A7"/>
    <w:rsid w:val="64FD5FD7"/>
    <w:rsid w:val="65530F79"/>
    <w:rsid w:val="65877860"/>
    <w:rsid w:val="66291CDA"/>
    <w:rsid w:val="66847740"/>
    <w:rsid w:val="66886271"/>
    <w:rsid w:val="66FC7AF6"/>
    <w:rsid w:val="67107BA4"/>
    <w:rsid w:val="67381BC7"/>
    <w:rsid w:val="67534662"/>
    <w:rsid w:val="6780373E"/>
    <w:rsid w:val="67943DA4"/>
    <w:rsid w:val="679D64DC"/>
    <w:rsid w:val="68327EF7"/>
    <w:rsid w:val="686A38EF"/>
    <w:rsid w:val="69346428"/>
    <w:rsid w:val="69E508F6"/>
    <w:rsid w:val="6ABD6A04"/>
    <w:rsid w:val="6AC56475"/>
    <w:rsid w:val="6B120F8F"/>
    <w:rsid w:val="6B2A0511"/>
    <w:rsid w:val="6B432AA4"/>
    <w:rsid w:val="6B876F3C"/>
    <w:rsid w:val="6CBD6E76"/>
    <w:rsid w:val="6CE91644"/>
    <w:rsid w:val="6D943EDD"/>
    <w:rsid w:val="6D9E55C4"/>
    <w:rsid w:val="6DC876EA"/>
    <w:rsid w:val="6E10454B"/>
    <w:rsid w:val="6E1A2179"/>
    <w:rsid w:val="6E3E3B2E"/>
    <w:rsid w:val="6E9A7825"/>
    <w:rsid w:val="6E9C129B"/>
    <w:rsid w:val="6F1277AF"/>
    <w:rsid w:val="6FC13F41"/>
    <w:rsid w:val="6FFFE446"/>
    <w:rsid w:val="700E54F4"/>
    <w:rsid w:val="70D44FF7"/>
    <w:rsid w:val="70D932B0"/>
    <w:rsid w:val="70E231B1"/>
    <w:rsid w:val="71C90672"/>
    <w:rsid w:val="71FB4CFB"/>
    <w:rsid w:val="72A03324"/>
    <w:rsid w:val="74795BDB"/>
    <w:rsid w:val="74892F7E"/>
    <w:rsid w:val="74953DE8"/>
    <w:rsid w:val="74F43EC3"/>
    <w:rsid w:val="750000AA"/>
    <w:rsid w:val="750D1A10"/>
    <w:rsid w:val="756D3EB3"/>
    <w:rsid w:val="75B0448C"/>
    <w:rsid w:val="762769D7"/>
    <w:rsid w:val="764B2C8D"/>
    <w:rsid w:val="773D51B4"/>
    <w:rsid w:val="77D60760"/>
    <w:rsid w:val="77F35CA4"/>
    <w:rsid w:val="78AA2807"/>
    <w:rsid w:val="78E0447A"/>
    <w:rsid w:val="78F73403"/>
    <w:rsid w:val="794F0342"/>
    <w:rsid w:val="796D48BB"/>
    <w:rsid w:val="79924211"/>
    <w:rsid w:val="79CD5799"/>
    <w:rsid w:val="79E00282"/>
    <w:rsid w:val="79E474AC"/>
    <w:rsid w:val="79E755A9"/>
    <w:rsid w:val="7A2465E9"/>
    <w:rsid w:val="7A9D6F19"/>
    <w:rsid w:val="7AF16E13"/>
    <w:rsid w:val="7B030CF3"/>
    <w:rsid w:val="7BE10C20"/>
    <w:rsid w:val="7BEB41C7"/>
    <w:rsid w:val="7C982661"/>
    <w:rsid w:val="7CA37DEC"/>
    <w:rsid w:val="7CB742F1"/>
    <w:rsid w:val="7CD36E45"/>
    <w:rsid w:val="7D662DD6"/>
    <w:rsid w:val="7DA05B77"/>
    <w:rsid w:val="7DE46E30"/>
    <w:rsid w:val="7E636C20"/>
    <w:rsid w:val="7F1E3F4E"/>
    <w:rsid w:val="DEF69D7A"/>
    <w:rsid w:val="DFF9C6D7"/>
    <w:rsid w:val="EBBD3912"/>
    <w:rsid w:val="F63FF873"/>
    <w:rsid w:val="F97BDF65"/>
    <w:rsid w:val="FDF771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4">
    <w:name w:val="heading 4"/>
    <w:basedOn w:val="1"/>
    <w:next w:val="1"/>
    <w:qFormat/>
    <w:uiPriority w:val="0"/>
    <w:pPr>
      <w:keepNext/>
      <w:spacing w:line="440" w:lineRule="exact"/>
      <w:outlineLvl w:val="3"/>
    </w:pPr>
    <w:rPr>
      <w:kern w:val="0"/>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Plain Text"/>
    <w:basedOn w:val="1"/>
    <w:qFormat/>
    <w:uiPriority w:val="0"/>
    <w:rPr>
      <w:rFonts w:ascii="宋体" w:hAnsi="Courier New"/>
      <w:sz w:val="21"/>
      <w:szCs w:val="21"/>
    </w:rPr>
  </w:style>
  <w:style w:type="paragraph" w:styleId="7">
    <w:name w:val="footer"/>
    <w:basedOn w:val="1"/>
    <w:qFormat/>
    <w:uiPriority w:val="99"/>
    <w:pPr>
      <w:tabs>
        <w:tab w:val="center" w:pos="4153"/>
        <w:tab w:val="right" w:pos="8306"/>
      </w:tabs>
      <w:snapToGrid w:val="0"/>
      <w:jc w:val="left"/>
    </w:pPr>
    <w:rPr>
      <w:kern w:val="0"/>
      <w:sz w:val="18"/>
      <w:szCs w:val="20"/>
    </w:rPr>
  </w:style>
  <w:style w:type="paragraph" w:styleId="8">
    <w:name w:val="header"/>
    <w:basedOn w:val="1"/>
    <w:link w:val="19"/>
    <w:qFormat/>
    <w:uiPriority w:val="0"/>
    <w:pP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0">
    <w:name w:val="Body Text First Indent 2"/>
    <w:basedOn w:val="1"/>
    <w:next w:val="1"/>
    <w:qFormat/>
    <w:uiPriority w:val="0"/>
    <w:pPr>
      <w:ind w:firstLine="42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qFormat/>
    <w:uiPriority w:val="0"/>
  </w:style>
  <w:style w:type="character" w:styleId="16">
    <w:name w:val="Hyperlink"/>
    <w:basedOn w:val="13"/>
    <w:qFormat/>
    <w:uiPriority w:val="0"/>
    <w:rPr>
      <w:color w:val="0000FF"/>
      <w:u w:val="single"/>
    </w:rPr>
  </w:style>
  <w:style w:type="paragraph" w:customStyle="1" w:styleId="17">
    <w:name w:val="表格"/>
    <w:basedOn w:val="1"/>
    <w:next w:val="1"/>
    <w:qFormat/>
    <w:uiPriority w:val="0"/>
    <w:pPr>
      <w:snapToGrid w:val="0"/>
      <w:jc w:val="center"/>
    </w:pPr>
    <w:rPr>
      <w:color w:val="auto"/>
      <w:sz w:val="21"/>
      <w:szCs w:val="21"/>
    </w:rPr>
  </w:style>
  <w:style w:type="paragraph" w:customStyle="1" w:styleId="18">
    <w:name w:val="【表头】"/>
    <w:basedOn w:val="1"/>
    <w:qFormat/>
    <w:uiPriority w:val="0"/>
    <w:pPr>
      <w:adjustRightInd w:val="0"/>
      <w:snapToGrid w:val="0"/>
      <w:spacing w:line="360" w:lineRule="auto"/>
      <w:jc w:val="center"/>
    </w:pPr>
    <w:rPr>
      <w:b/>
      <w:bCs/>
      <w:sz w:val="24"/>
    </w:rPr>
  </w:style>
  <w:style w:type="character" w:customStyle="1" w:styleId="19">
    <w:name w:val="页眉 字符"/>
    <w:basedOn w:val="13"/>
    <w:link w:val="8"/>
    <w:qFormat/>
    <w:uiPriority w:val="0"/>
    <w:rPr>
      <w:kern w:val="2"/>
      <w:sz w:val="18"/>
      <w:szCs w:val="18"/>
    </w:rPr>
  </w:style>
  <w:style w:type="table" w:customStyle="1" w:styleId="20">
    <w:name w:val="Table Normal"/>
    <w:semiHidden/>
    <w:unhideWhenUsed/>
    <w:qFormat/>
    <w:uiPriority w:val="0"/>
    <w:tblPr>
      <w:tblCellMar>
        <w:top w:w="0" w:type="dxa"/>
        <w:left w:w="0" w:type="dxa"/>
        <w:bottom w:w="0" w:type="dxa"/>
        <w:right w:w="0" w:type="dxa"/>
      </w:tblCellMar>
    </w:tblPr>
  </w:style>
  <w:style w:type="paragraph" w:customStyle="1" w:styleId="2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
    <w:name w:val="Table Text"/>
    <w:basedOn w:val="1"/>
    <w:semiHidden/>
    <w:qFormat/>
    <w:uiPriority w:val="0"/>
    <w:rPr>
      <w:rFonts w:ascii="宋体" w:hAnsi="宋体" w:eastAsia="宋体" w:cs="宋体"/>
      <w:sz w:val="24"/>
      <w:szCs w:val="24"/>
      <w:lang w:val="en-US" w:eastAsia="en-US" w:bidi="ar-SA"/>
    </w:rPr>
  </w:style>
  <w:style w:type="character" w:customStyle="1" w:styleId="23">
    <w:name w:val="font21"/>
    <w:basedOn w:val="13"/>
    <w:qFormat/>
    <w:uiPriority w:val="0"/>
    <w:rPr>
      <w:rFonts w:hint="default" w:ascii="Times New Roman" w:hAnsi="Times New Roman" w:cs="Times New Roman"/>
      <w:color w:val="000000"/>
      <w:sz w:val="21"/>
      <w:szCs w:val="21"/>
      <w:u w:val="none"/>
    </w:rPr>
  </w:style>
  <w:style w:type="character" w:customStyle="1" w:styleId="24">
    <w:name w:val="font11"/>
    <w:basedOn w:val="13"/>
    <w:qFormat/>
    <w:uiPriority w:val="0"/>
    <w:rPr>
      <w:rFonts w:hint="eastAsia" w:ascii="宋体" w:hAnsi="宋体" w:eastAsia="宋体" w:cs="宋体"/>
      <w:color w:val="000000"/>
      <w:sz w:val="21"/>
      <w:szCs w:val="21"/>
      <w:u w:val="none"/>
    </w:rPr>
  </w:style>
  <w:style w:type="character" w:customStyle="1" w:styleId="25">
    <w:name w:val="font41"/>
    <w:basedOn w:val="13"/>
    <w:qFormat/>
    <w:uiPriority w:val="0"/>
    <w:rPr>
      <w:rFonts w:hint="default" w:ascii="Cambria Math" w:hAnsi="Cambria Math" w:eastAsia="Cambria Math" w:cs="Cambria Math"/>
      <w:color w:val="000000"/>
      <w:sz w:val="21"/>
      <w:szCs w:val="21"/>
      <w:u w:val="none"/>
    </w:rPr>
  </w:style>
  <w:style w:type="character" w:customStyle="1" w:styleId="26">
    <w:name w:val="font51"/>
    <w:basedOn w:val="13"/>
    <w:qFormat/>
    <w:uiPriority w:val="0"/>
    <w:rPr>
      <w:rFonts w:hint="default" w:ascii="Times New Roman" w:hAnsi="Times New Roman" w:cs="Times New Roman"/>
      <w:color w:val="000000"/>
      <w:sz w:val="13"/>
      <w:szCs w:val="13"/>
      <w:u w:val="none"/>
    </w:rPr>
  </w:style>
  <w:style w:type="character" w:customStyle="1" w:styleId="27">
    <w:name w:val="font31"/>
    <w:basedOn w:val="13"/>
    <w:qFormat/>
    <w:uiPriority w:val="0"/>
    <w:rPr>
      <w:rFonts w:hint="eastAsia" w:ascii="宋体" w:hAnsi="宋体" w:eastAsia="宋体" w:cs="宋体"/>
      <w:color w:val="000000"/>
      <w:sz w:val="21"/>
      <w:szCs w:val="21"/>
      <w:u w:val="none"/>
    </w:rPr>
  </w:style>
  <w:style w:type="character" w:customStyle="1" w:styleId="28">
    <w:name w:val="font61"/>
    <w:basedOn w:val="13"/>
    <w:qFormat/>
    <w:uiPriority w:val="0"/>
    <w:rPr>
      <w:rFonts w:hint="default" w:ascii="Times New Roman" w:hAnsi="Times New Roman" w:cs="Times New Roman"/>
      <w:b/>
      <w:bCs/>
      <w:color w:val="000000"/>
      <w:sz w:val="21"/>
      <w:szCs w:val="21"/>
      <w:u w:val="none"/>
      <w:vertAlign w:val="superscript"/>
    </w:rPr>
  </w:style>
  <w:style w:type="paragraph" w:customStyle="1" w:styleId="29">
    <w:name w:val="表头"/>
    <w:basedOn w:val="1"/>
    <w:qFormat/>
    <w:uiPriority w:val="0"/>
    <w:pPr>
      <w:spacing w:line="360" w:lineRule="auto"/>
      <w:jc w:val="center"/>
    </w:pPr>
    <w:rPr>
      <w:szCs w:val="24"/>
    </w:rPr>
  </w:style>
  <w:style w:type="paragraph" w:customStyle="1" w:styleId="30">
    <w:name w:val="样式 表文字 + 字符缩放: 90%"/>
    <w:basedOn w:val="31"/>
    <w:qFormat/>
    <w:uiPriority w:val="0"/>
    <w:pPr>
      <w:ind w:left="-50" w:leftChars="-50" w:right="-50" w:rightChars="-50"/>
    </w:pPr>
    <w:rPr>
      <w:rFonts w:cs="宋体"/>
      <w:sz w:val="18"/>
      <w:szCs w:val="18"/>
    </w:rPr>
  </w:style>
  <w:style w:type="paragraph" w:customStyle="1" w:styleId="31">
    <w:name w:val="表文字"/>
    <w:qFormat/>
    <w:uiPriority w:val="0"/>
    <w:pPr>
      <w:keepNext/>
      <w:widowControl w:val="0"/>
      <w:adjustRightInd w:val="0"/>
      <w:spacing w:line="240" w:lineRule="exact"/>
      <w:jc w:val="center"/>
      <w:textAlignment w:val="baseline"/>
    </w:pPr>
    <w:rPr>
      <w:rFonts w:ascii="Times New Roman" w:hAnsi="Times New Roman" w:eastAsia="宋体" w:cs="Times New Roman"/>
      <w:sz w:val="21"/>
      <w:szCs w:val="21"/>
      <w:lang w:val="en-US" w:eastAsia="zh-CN" w:bidi="ar-SA"/>
    </w:rPr>
  </w:style>
  <w:style w:type="paragraph" w:customStyle="1" w:styleId="32">
    <w:name w:val="Table Paragraph"/>
    <w:basedOn w:val="1"/>
    <w:qFormat/>
    <w:uiPriority w:val="1"/>
    <w:pPr>
      <w:spacing w:line="240" w:lineRule="auto"/>
      <w:ind w:firstLine="0" w:firstLineChars="0"/>
      <w:jc w:val="left"/>
    </w:pPr>
    <w:rPr>
      <w:rFonts w:ascii="Calibri" w:hAnsi="Calibri"/>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b35182-b99c-4a05-a905-4795403fba43}">
  <ds:schemaRefs/>
</ds:datastoreItem>
</file>

<file path=docProps/app.xml><?xml version="1.0" encoding="utf-8"?>
<Properties xmlns="http://schemas.openxmlformats.org/officeDocument/2006/extended-properties" xmlns:vt="http://schemas.openxmlformats.org/officeDocument/2006/docPropsVTypes">
  <Template>Normal</Template>
  <Pages>66</Pages>
  <Words>21026</Words>
  <Characters>26458</Characters>
  <Lines>171</Lines>
  <Paragraphs>48</Paragraphs>
  <TotalTime>20</TotalTime>
  <ScaleCrop>false</ScaleCrop>
  <LinksUpToDate>false</LinksUpToDate>
  <CharactersWithSpaces>26599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2022-07-23T03:31:00Z</dcterms:created>
  <dc:creator>Administrator</dc:creator>
  <cp:lastModifiedBy>唯有你</cp:lastModifiedBy>
  <cp:lastPrinted>2023-07-20T01:21:00Z</cp:lastPrinted>
  <dcterms:modified xsi:type="dcterms:W3CDTF">2026-06-26T07:50:06Z</dcterms:modified>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338794335A73476B9209BB85A8759048_13</vt:lpwstr>
  </property>
  <property fmtid="{D5CDD505-2E9C-101B-9397-08002B2CF9AE}" pid="4" name="KSOTemplateDocerSaveRecord">
    <vt:lpwstr>eyJoZGlkIjoiM2M1MzQ5YjJjYTY4ZmZjN2I1YmFhNzM4MjFjYTdlY2IiLCJ1c2VySWQiOiI2MDEyMTE3NDEifQ==</vt:lpwstr>
  </property>
</Properties>
</file>