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C96E84">
      <w:pPr>
        <w:rPr>
          <w:rFonts w:eastAsia="仿宋_GB2312"/>
          <w:sz w:val="36"/>
          <w:szCs w:val="36"/>
        </w:rPr>
      </w:pPr>
    </w:p>
    <w:p w14:paraId="4E763E52">
      <w:pPr>
        <w:rPr>
          <w:rFonts w:eastAsia="仿宋_GB2312"/>
          <w:sz w:val="36"/>
          <w:szCs w:val="36"/>
        </w:rPr>
      </w:pPr>
    </w:p>
    <w:p w14:paraId="2B85202D">
      <w:pPr>
        <w:rPr>
          <w:rFonts w:eastAsia="仿宋_GB2312"/>
          <w:sz w:val="36"/>
          <w:szCs w:val="36"/>
        </w:rPr>
      </w:pPr>
    </w:p>
    <w:p w14:paraId="69208EFA">
      <w:pPr>
        <w:rPr>
          <w:rFonts w:eastAsia="仿宋_GB2312"/>
          <w:sz w:val="36"/>
          <w:szCs w:val="36"/>
        </w:rPr>
      </w:pPr>
    </w:p>
    <w:p w14:paraId="41064D16">
      <w:pPr>
        <w:adjustRightInd w:val="0"/>
        <w:snapToGrid w:val="0"/>
        <w:jc w:val="center"/>
        <w:rPr>
          <w:rFonts w:eastAsia="方正小标宋_GBK"/>
          <w:bCs/>
          <w:sz w:val="72"/>
          <w:szCs w:val="72"/>
        </w:rPr>
      </w:pPr>
      <w:r>
        <w:rPr>
          <w:rFonts w:eastAsia="方正小标宋_GBK"/>
          <w:bCs/>
          <w:sz w:val="72"/>
          <w:szCs w:val="72"/>
        </w:rPr>
        <w:t>建设项目环境影响报告表</w:t>
      </w:r>
    </w:p>
    <w:p w14:paraId="31B8B9CC">
      <w:pPr>
        <w:adjustRightInd w:val="0"/>
        <w:snapToGrid w:val="0"/>
        <w:spacing w:before="192" w:beforeLines="80"/>
        <w:jc w:val="center"/>
        <w:rPr>
          <w:rFonts w:eastAsia="楷体_GB2312"/>
          <w:bCs/>
          <w:sz w:val="48"/>
          <w:szCs w:val="48"/>
        </w:rPr>
      </w:pPr>
      <w:r>
        <w:rPr>
          <w:rFonts w:eastAsia="楷体_GB2312"/>
          <w:bCs/>
          <w:sz w:val="48"/>
          <w:szCs w:val="48"/>
        </w:rPr>
        <w:t>（</w:t>
      </w:r>
      <w:r>
        <w:rPr>
          <w:rFonts w:hint="eastAsia" w:eastAsia="楷体_GB2312"/>
          <w:bCs/>
          <w:sz w:val="48"/>
          <w:szCs w:val="48"/>
        </w:rPr>
        <w:t>生态</w:t>
      </w:r>
      <w:r>
        <w:rPr>
          <w:rFonts w:eastAsia="楷体_GB2312"/>
          <w:bCs/>
          <w:sz w:val="48"/>
          <w:szCs w:val="48"/>
        </w:rPr>
        <w:t>影响类）</w:t>
      </w:r>
    </w:p>
    <w:p w14:paraId="1B70DC46">
      <w:pPr>
        <w:adjustRightInd w:val="0"/>
        <w:snapToGrid w:val="0"/>
        <w:spacing w:line="288" w:lineRule="auto"/>
        <w:jc w:val="center"/>
        <w:rPr>
          <w:rFonts w:eastAsia="华文仿宋"/>
          <w:kern w:val="44"/>
          <w:sz w:val="44"/>
          <w:szCs w:val="44"/>
        </w:rPr>
      </w:pPr>
    </w:p>
    <w:p w14:paraId="7F683B15">
      <w:pPr>
        <w:jc w:val="center"/>
        <w:rPr>
          <w:rFonts w:eastAsia="仿宋"/>
          <w:sz w:val="52"/>
          <w:szCs w:val="52"/>
        </w:rPr>
      </w:pPr>
    </w:p>
    <w:p w14:paraId="24AC748A">
      <w:pPr>
        <w:ind w:firstLine="1040"/>
        <w:rPr>
          <w:rFonts w:eastAsia="仿宋"/>
          <w:sz w:val="44"/>
          <w:szCs w:val="44"/>
        </w:rPr>
      </w:pPr>
    </w:p>
    <w:p w14:paraId="25B89311">
      <w:pPr>
        <w:ind w:firstLine="1040"/>
        <w:rPr>
          <w:rFonts w:eastAsia="仿宋"/>
          <w:sz w:val="44"/>
          <w:szCs w:val="44"/>
        </w:rPr>
      </w:pPr>
    </w:p>
    <w:p w14:paraId="1FB2EC0F">
      <w:pPr>
        <w:ind w:firstLine="1040"/>
        <w:rPr>
          <w:rFonts w:eastAsia="仿宋"/>
          <w:sz w:val="44"/>
          <w:szCs w:val="44"/>
        </w:rPr>
      </w:pPr>
    </w:p>
    <w:p w14:paraId="2C2893DB">
      <w:pPr>
        <w:adjustRightInd w:val="0"/>
        <w:snapToGrid w:val="0"/>
        <w:spacing w:line="288" w:lineRule="auto"/>
        <w:rPr>
          <w:rFonts w:eastAsia="仿宋_GB2312"/>
          <w:sz w:val="36"/>
          <w:szCs w:val="36"/>
        </w:rPr>
      </w:pPr>
    </w:p>
    <w:p w14:paraId="5AD9EDAB">
      <w:pPr>
        <w:adjustRightInd w:val="0"/>
        <w:snapToGrid w:val="0"/>
        <w:spacing w:line="360" w:lineRule="auto"/>
        <w:ind w:left="2518" w:leftChars="342" w:hanging="1800" w:hangingChars="500"/>
        <w:rPr>
          <w:rFonts w:eastAsia="仿宋_GB2312"/>
          <w:sz w:val="36"/>
          <w:szCs w:val="36"/>
          <w:u w:val="single"/>
        </w:rPr>
      </w:pPr>
      <w:r>
        <w:rPr>
          <w:rFonts w:eastAsia="仿宋_GB2312"/>
          <w:sz w:val="36"/>
          <w:szCs w:val="36"/>
        </w:rPr>
        <w:t>项目名称：</w:t>
      </w:r>
      <w:r>
        <w:rPr>
          <w:rFonts w:hint="eastAsia" w:eastAsia="仿宋_GB2312"/>
          <w:sz w:val="36"/>
          <w:szCs w:val="36"/>
          <w:u w:val="single"/>
          <w:lang w:val="en-US" w:eastAsia="zh-CN"/>
        </w:rPr>
        <w:t>鹏泰-伊泰化工物料输送管线及管廊建设项目</w:t>
      </w:r>
    </w:p>
    <w:p w14:paraId="16BC00E0">
      <w:pPr>
        <w:adjustRightInd w:val="0"/>
        <w:snapToGrid w:val="0"/>
        <w:spacing w:line="360" w:lineRule="auto"/>
        <w:ind w:firstLine="720" w:firstLineChars="200"/>
        <w:rPr>
          <w:rFonts w:eastAsia="仿宋_GB2312"/>
          <w:sz w:val="36"/>
          <w:szCs w:val="36"/>
        </w:rPr>
      </w:pPr>
      <w:r>
        <w:rPr>
          <w:rFonts w:eastAsia="仿宋_GB2312"/>
          <w:sz w:val="36"/>
          <w:szCs w:val="36"/>
        </w:rPr>
        <w:t>建设单位：</w:t>
      </w:r>
      <w:r>
        <w:rPr>
          <w:rFonts w:hint="eastAsia" w:eastAsia="仿宋_GB2312"/>
          <w:sz w:val="36"/>
          <w:szCs w:val="36"/>
          <w:u w:val="single"/>
          <w:lang w:val="en-US" w:eastAsia="zh-CN"/>
        </w:rPr>
        <w:t>内蒙古伊泰化工</w:t>
      </w:r>
      <w:r>
        <w:rPr>
          <w:rFonts w:eastAsia="仿宋_GB2312"/>
          <w:sz w:val="36"/>
          <w:szCs w:val="36"/>
          <w:u w:val="single"/>
        </w:rPr>
        <w:t>有限</w:t>
      </w:r>
      <w:r>
        <w:rPr>
          <w:rFonts w:hint="eastAsia" w:eastAsia="仿宋_GB2312"/>
          <w:sz w:val="36"/>
          <w:szCs w:val="36"/>
          <w:u w:val="single"/>
          <w:lang w:val="en-US" w:eastAsia="zh-CN"/>
        </w:rPr>
        <w:t>责任</w:t>
      </w:r>
      <w:r>
        <w:rPr>
          <w:rFonts w:eastAsia="仿宋_GB2312"/>
          <w:sz w:val="36"/>
          <w:szCs w:val="36"/>
          <w:u w:val="single"/>
        </w:rPr>
        <w:t>公司</w:t>
      </w:r>
    </w:p>
    <w:p w14:paraId="4104F518">
      <w:pPr>
        <w:adjustRightInd w:val="0"/>
        <w:snapToGrid w:val="0"/>
        <w:spacing w:line="360" w:lineRule="auto"/>
        <w:ind w:firstLine="720" w:firstLineChars="200"/>
        <w:rPr>
          <w:rFonts w:hint="default" w:eastAsia="仿宋_GB2312"/>
          <w:sz w:val="36"/>
          <w:szCs w:val="36"/>
          <w:u w:val="single"/>
          <w:lang w:val="en-US" w:eastAsia="zh-CN"/>
        </w:rPr>
      </w:pPr>
      <w:r>
        <w:rPr>
          <w:rFonts w:hint="eastAsia" w:eastAsia="仿宋_GB2312"/>
          <w:sz w:val="36"/>
          <w:szCs w:val="36"/>
          <w:lang w:val="en-US" w:eastAsia="zh-CN"/>
        </w:rPr>
        <w:t>编制单位</w:t>
      </w:r>
      <w:r>
        <w:rPr>
          <w:rFonts w:eastAsia="仿宋_GB2312"/>
          <w:sz w:val="36"/>
          <w:szCs w:val="36"/>
        </w:rPr>
        <w:t>：</w:t>
      </w:r>
      <w:r>
        <w:rPr>
          <w:rFonts w:hint="eastAsia" w:eastAsia="仿宋_GB2312"/>
          <w:sz w:val="36"/>
          <w:szCs w:val="36"/>
          <w:u w:val="single"/>
          <w:lang w:val="en-US" w:eastAsia="zh-CN"/>
        </w:rPr>
        <w:t>内蒙古尚清环保科技有限公司</w:t>
      </w:r>
    </w:p>
    <w:p w14:paraId="02065963">
      <w:pPr>
        <w:adjustRightInd w:val="0"/>
        <w:snapToGrid w:val="0"/>
        <w:spacing w:line="288" w:lineRule="auto"/>
        <w:ind w:firstLine="1040"/>
        <w:rPr>
          <w:rFonts w:eastAsia="仿宋_GB2312"/>
          <w:sz w:val="36"/>
          <w:szCs w:val="36"/>
          <w:u w:val="single"/>
        </w:rPr>
      </w:pPr>
      <w:bookmarkStart w:id="0" w:name="_Hlk57884087"/>
    </w:p>
    <w:p w14:paraId="63192EE0">
      <w:pPr>
        <w:adjustRightInd w:val="0"/>
        <w:snapToGrid w:val="0"/>
        <w:spacing w:line="288" w:lineRule="auto"/>
        <w:ind w:firstLine="1040"/>
        <w:rPr>
          <w:rFonts w:eastAsia="仿宋_GB2312"/>
          <w:sz w:val="36"/>
          <w:szCs w:val="36"/>
        </w:rPr>
      </w:pPr>
    </w:p>
    <w:p w14:paraId="24916A4B">
      <w:pPr>
        <w:adjustRightInd w:val="0"/>
        <w:snapToGrid w:val="0"/>
        <w:spacing w:line="288" w:lineRule="auto"/>
        <w:ind w:firstLine="1040"/>
        <w:rPr>
          <w:rFonts w:eastAsia="仿宋_GB2312"/>
          <w:sz w:val="36"/>
          <w:szCs w:val="36"/>
        </w:rPr>
      </w:pPr>
    </w:p>
    <w:p w14:paraId="51742F14">
      <w:pPr>
        <w:adjustRightInd w:val="0"/>
        <w:snapToGrid w:val="0"/>
        <w:spacing w:line="288" w:lineRule="auto"/>
        <w:ind w:firstLine="1040"/>
        <w:rPr>
          <w:rFonts w:eastAsia="仿宋_GB2312"/>
          <w:sz w:val="36"/>
          <w:szCs w:val="36"/>
        </w:rPr>
      </w:pPr>
    </w:p>
    <w:p w14:paraId="22B032DB">
      <w:pPr>
        <w:pStyle w:val="6"/>
      </w:pPr>
    </w:p>
    <w:bookmarkEnd w:id="0"/>
    <w:p w14:paraId="2577C96A">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14:paraId="1F34C5B2">
      <w:pPr>
        <w:adjustRightInd w:val="0"/>
        <w:snapToGrid w:val="0"/>
        <w:spacing w:line="288" w:lineRule="auto"/>
        <w:jc w:val="center"/>
        <w:rPr>
          <w:rFonts w:hint="default" w:eastAsia="楷体_GB2312"/>
          <w:sz w:val="36"/>
          <w:szCs w:val="36"/>
          <w:lang w:val="en-US" w:eastAsia="zh-CN"/>
        </w:rPr>
        <w:sectPr>
          <w:headerReference r:id="rId3" w:type="default"/>
          <w:footerReference r:id="rId4" w:type="default"/>
          <w:pgSz w:w="11906" w:h="16838"/>
          <w:pgMar w:top="1701" w:right="1701" w:bottom="1701" w:left="1701" w:header="851" w:footer="1077" w:gutter="0"/>
          <w:pgNumType w:start="3"/>
          <w:cols w:space="720" w:num="1"/>
          <w:docGrid w:linePitch="312" w:charSpace="0"/>
        </w:sectPr>
      </w:pPr>
      <w:r>
        <w:rPr>
          <w:rFonts w:hint="eastAsia" w:eastAsia="楷体_GB2312"/>
          <w:sz w:val="36"/>
          <w:szCs w:val="36"/>
          <w:lang w:val="en-US" w:eastAsia="zh-CN"/>
        </w:rPr>
        <w:t>2025年12月</w:t>
      </w:r>
    </w:p>
    <w:p w14:paraId="3E67FF28">
      <w:pPr>
        <w:pStyle w:val="18"/>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19"/>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95"/>
        <w:gridCol w:w="2289"/>
        <w:gridCol w:w="2217"/>
        <w:gridCol w:w="10"/>
        <w:gridCol w:w="2728"/>
      </w:tblGrid>
      <w:tr w14:paraId="15DF7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795" w:type="dxa"/>
            <w:noWrap w:val="0"/>
            <w:tcMar>
              <w:top w:w="16" w:type="dxa"/>
              <w:left w:w="16" w:type="dxa"/>
              <w:right w:w="16" w:type="dxa"/>
            </w:tcMar>
            <w:vAlign w:val="center"/>
          </w:tcPr>
          <w:p w14:paraId="6467A3FC">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建设项目名称</w:t>
            </w:r>
          </w:p>
        </w:tc>
        <w:tc>
          <w:tcPr>
            <w:tcW w:w="7244" w:type="dxa"/>
            <w:gridSpan w:val="4"/>
            <w:noWrap w:val="0"/>
            <w:vAlign w:val="center"/>
          </w:tcPr>
          <w:p w14:paraId="031CA427">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lang w:val="en-US" w:eastAsia="zh-CN"/>
              </w:rPr>
              <w:t>鹏泰-伊泰化工物料输送管线及管廊建设项目</w:t>
            </w:r>
          </w:p>
        </w:tc>
      </w:tr>
      <w:tr w14:paraId="7A7E99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795" w:type="dxa"/>
            <w:noWrap w:val="0"/>
            <w:tcMar>
              <w:top w:w="16" w:type="dxa"/>
              <w:left w:w="16" w:type="dxa"/>
              <w:right w:w="16" w:type="dxa"/>
            </w:tcMar>
            <w:vAlign w:val="center"/>
          </w:tcPr>
          <w:p w14:paraId="334FA798">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项目代码</w:t>
            </w:r>
          </w:p>
        </w:tc>
        <w:tc>
          <w:tcPr>
            <w:tcW w:w="7244" w:type="dxa"/>
            <w:gridSpan w:val="4"/>
            <w:noWrap w:val="0"/>
            <w:vAlign w:val="center"/>
          </w:tcPr>
          <w:p w14:paraId="208B8192">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2508-150625-07-02-100656</w:t>
            </w:r>
          </w:p>
        </w:tc>
      </w:tr>
      <w:tr w14:paraId="64913E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795" w:type="dxa"/>
            <w:noWrap w:val="0"/>
            <w:tcMar>
              <w:top w:w="16" w:type="dxa"/>
              <w:left w:w="16" w:type="dxa"/>
              <w:right w:w="16" w:type="dxa"/>
            </w:tcMar>
            <w:vAlign w:val="center"/>
          </w:tcPr>
          <w:p w14:paraId="57576632">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建设单位联系人</w:t>
            </w:r>
          </w:p>
        </w:tc>
        <w:tc>
          <w:tcPr>
            <w:tcW w:w="2289" w:type="dxa"/>
            <w:noWrap w:val="0"/>
            <w:vAlign w:val="center"/>
          </w:tcPr>
          <w:p w14:paraId="4902628F">
            <w:pPr>
              <w:adjustRightInd w:val="0"/>
              <w:snapToGrid w:val="0"/>
              <w:jc w:val="center"/>
              <w:rPr>
                <w:rFonts w:hint="default" w:ascii="Times New Roman" w:hAnsi="Times New Roman" w:eastAsia="宋体" w:cs="Times New Roman"/>
                <w:sz w:val="24"/>
                <w:highlight w:val="none"/>
                <w:lang w:eastAsia="zh-CN"/>
              </w:rPr>
            </w:pPr>
            <w:r>
              <w:rPr>
                <w:rFonts w:hint="default" w:ascii="Times New Roman" w:hAnsi="Times New Roman" w:cs="Times New Roman"/>
                <w:sz w:val="24"/>
                <w:highlight w:val="none"/>
                <w:lang w:val="en-US" w:eastAsia="zh-CN"/>
              </w:rPr>
              <w:t>王超</w:t>
            </w:r>
          </w:p>
        </w:tc>
        <w:tc>
          <w:tcPr>
            <w:tcW w:w="2227" w:type="dxa"/>
            <w:gridSpan w:val="2"/>
            <w:noWrap w:val="0"/>
            <w:vAlign w:val="center"/>
          </w:tcPr>
          <w:p w14:paraId="586F499F">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联系方式</w:t>
            </w:r>
          </w:p>
        </w:tc>
        <w:tc>
          <w:tcPr>
            <w:tcW w:w="2728" w:type="dxa"/>
            <w:noWrap w:val="0"/>
            <w:vAlign w:val="center"/>
          </w:tcPr>
          <w:p w14:paraId="27F82E0D">
            <w:pPr>
              <w:adjustRightInd w:val="0"/>
              <w:snapToGrid w:val="0"/>
              <w:jc w:val="center"/>
              <w:rPr>
                <w:rFonts w:hint="default" w:ascii="Times New Roman" w:hAnsi="Times New Roman" w:cs="Times New Roman"/>
                <w:color w:val="1900FF"/>
                <w:sz w:val="24"/>
                <w:highlight w:val="none"/>
              </w:rPr>
            </w:pPr>
            <w:r>
              <w:rPr>
                <w:rFonts w:hint="default" w:ascii="Times New Roman" w:hAnsi="Times New Roman" w:eastAsia="宋体" w:cs="Times New Roman"/>
                <w:color w:val="000000"/>
                <w:sz w:val="24"/>
                <w:highlight w:val="none"/>
              </w:rPr>
              <w:t>15149466912</w:t>
            </w:r>
          </w:p>
        </w:tc>
      </w:tr>
      <w:tr w14:paraId="394CC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795" w:type="dxa"/>
            <w:noWrap w:val="0"/>
            <w:tcMar>
              <w:top w:w="16" w:type="dxa"/>
              <w:left w:w="16" w:type="dxa"/>
              <w:right w:w="16" w:type="dxa"/>
            </w:tcMar>
            <w:vAlign w:val="center"/>
          </w:tcPr>
          <w:p w14:paraId="5B8DE89C">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建设地点</w:t>
            </w:r>
          </w:p>
        </w:tc>
        <w:tc>
          <w:tcPr>
            <w:tcW w:w="7244" w:type="dxa"/>
            <w:gridSpan w:val="4"/>
            <w:noWrap w:val="0"/>
            <w:vAlign w:val="center"/>
          </w:tcPr>
          <w:p w14:paraId="504100E9">
            <w:pPr>
              <w:keepNext w:val="0"/>
              <w:keepLines w:val="0"/>
              <w:widowControl/>
              <w:suppressLineNumbers w:val="0"/>
              <w:jc w:val="center"/>
              <w:rPr>
                <w:rFonts w:hint="default" w:ascii="Times New Roman" w:hAnsi="Times New Roman" w:cs="Times New Roman"/>
                <w:sz w:val="24"/>
                <w:highlight w:val="none"/>
              </w:rPr>
            </w:pPr>
            <w:r>
              <w:rPr>
                <w:rFonts w:hint="eastAsia"/>
                <w:color w:val="000000"/>
                <w:sz w:val="24"/>
                <w:highlight w:val="none"/>
              </w:rPr>
              <w:t>内蒙古鄂尔多斯杭锦旗经济开发区独贵塔拉产业园南项目区</w:t>
            </w:r>
          </w:p>
        </w:tc>
      </w:tr>
      <w:tr w14:paraId="43F772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795" w:type="dxa"/>
            <w:noWrap w:val="0"/>
            <w:tcMar>
              <w:top w:w="16" w:type="dxa"/>
              <w:left w:w="16" w:type="dxa"/>
              <w:right w:w="16" w:type="dxa"/>
            </w:tcMar>
            <w:vAlign w:val="center"/>
          </w:tcPr>
          <w:p w14:paraId="0D7FCFEE">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地理坐标</w:t>
            </w:r>
          </w:p>
        </w:tc>
        <w:tc>
          <w:tcPr>
            <w:tcW w:w="7244" w:type="dxa"/>
            <w:gridSpan w:val="4"/>
            <w:noWrap w:val="0"/>
            <w:vAlign w:val="center"/>
          </w:tcPr>
          <w:p w14:paraId="71CD63CA">
            <w:pPr>
              <w:adjustRightInd w:val="0"/>
              <w:snapToGrid w:val="0"/>
              <w:jc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各管道终起点坐标</w:t>
            </w:r>
          </w:p>
          <w:tbl>
            <w:tblPr>
              <w:tblStyle w:val="19"/>
              <w:tblW w:w="46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6"/>
              <w:gridCol w:w="2187"/>
              <w:gridCol w:w="2325"/>
            </w:tblGrid>
            <w:tr w14:paraId="0BC8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2" w:type="pct"/>
                  <w:noWrap/>
                  <w:vAlign w:val="center"/>
                </w:tcPr>
                <w:p w14:paraId="1E2B79B6">
                  <w:pPr>
                    <w:pStyle w:val="3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名称</w:t>
                  </w:r>
                </w:p>
              </w:tc>
              <w:tc>
                <w:tcPr>
                  <w:tcW w:w="1632" w:type="pct"/>
                  <w:noWrap/>
                  <w:vAlign w:val="center"/>
                </w:tcPr>
                <w:p w14:paraId="29B6497E">
                  <w:pPr>
                    <w:pStyle w:val="3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起点（度）</w:t>
                  </w:r>
                </w:p>
              </w:tc>
              <w:tc>
                <w:tcPr>
                  <w:tcW w:w="1735" w:type="pct"/>
                  <w:noWrap/>
                  <w:vAlign w:val="center"/>
                </w:tcPr>
                <w:p w14:paraId="5A3E3DEA">
                  <w:pPr>
                    <w:pStyle w:val="3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终点（度）</w:t>
                  </w:r>
                </w:p>
              </w:tc>
            </w:tr>
            <w:tr w14:paraId="51EE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pct"/>
                  <w:noWrap/>
                  <w:vAlign w:val="center"/>
                </w:tcPr>
                <w:p w14:paraId="5995F497">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合成脱碳尾气</w:t>
                  </w:r>
                </w:p>
              </w:tc>
              <w:tc>
                <w:tcPr>
                  <w:tcW w:w="1632" w:type="pct"/>
                  <w:noWrap/>
                  <w:vAlign w:val="center"/>
                </w:tcPr>
                <w:p w14:paraId="3D93E67A">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108.499034290</w:t>
                  </w:r>
                  <w:r>
                    <w:rPr>
                      <w:rFonts w:hint="eastAsia" w:cs="Times New Roman"/>
                      <w:color w:val="auto"/>
                      <w:highlight w:val="none"/>
                      <w:lang w:eastAsia="zh-CN"/>
                    </w:rPr>
                    <w:t>，</w:t>
                  </w:r>
                </w:p>
                <w:p w14:paraId="14E91801">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40.027871235</w:t>
                  </w:r>
                </w:p>
              </w:tc>
              <w:tc>
                <w:tcPr>
                  <w:tcW w:w="1735" w:type="pct"/>
                  <w:noWrap/>
                  <w:vAlign w:val="center"/>
                </w:tcPr>
                <w:p w14:paraId="5FDFC2EB">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108.499985133</w:t>
                  </w:r>
                  <w:r>
                    <w:rPr>
                      <w:rFonts w:hint="eastAsia" w:cs="Times New Roman"/>
                      <w:color w:val="auto"/>
                      <w:highlight w:val="none"/>
                      <w:lang w:eastAsia="zh-CN"/>
                    </w:rPr>
                    <w:t>，</w:t>
                  </w:r>
                </w:p>
                <w:p w14:paraId="127BE2C1">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40.026430889</w:t>
                  </w:r>
                </w:p>
              </w:tc>
            </w:tr>
            <w:tr w14:paraId="4D51E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088D44BC">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未变换净化气</w:t>
                  </w:r>
                </w:p>
              </w:tc>
              <w:tc>
                <w:tcPr>
                  <w:tcW w:w="1632" w:type="pct"/>
                  <w:noWrap/>
                  <w:vAlign w:val="center"/>
                </w:tcPr>
                <w:p w14:paraId="76DA05C6">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108.496523742</w:t>
                  </w:r>
                  <w:r>
                    <w:rPr>
                      <w:rFonts w:hint="eastAsia" w:cs="Times New Roman"/>
                      <w:color w:val="auto"/>
                      <w:highlight w:val="none"/>
                      <w:lang w:eastAsia="zh-CN"/>
                    </w:rPr>
                    <w:t>，</w:t>
                  </w:r>
                </w:p>
                <w:p w14:paraId="17974464">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40.028025463</w:t>
                  </w:r>
                </w:p>
              </w:tc>
              <w:tc>
                <w:tcPr>
                  <w:tcW w:w="1735" w:type="pct"/>
                  <w:noWrap/>
                  <w:vAlign w:val="center"/>
                </w:tcPr>
                <w:p w14:paraId="0FF2005F">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108.499991838</w:t>
                  </w:r>
                  <w:r>
                    <w:rPr>
                      <w:rFonts w:hint="eastAsia" w:cs="Times New Roman"/>
                      <w:color w:val="auto"/>
                      <w:highlight w:val="none"/>
                      <w:lang w:eastAsia="zh-CN"/>
                    </w:rPr>
                    <w:t>，</w:t>
                  </w:r>
                </w:p>
                <w:p w14:paraId="1BF88B8D">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40.026434913</w:t>
                  </w:r>
                </w:p>
              </w:tc>
            </w:tr>
            <w:tr w14:paraId="4C38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485C4B81">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尾气</w:t>
                  </w:r>
                </w:p>
              </w:tc>
              <w:tc>
                <w:tcPr>
                  <w:tcW w:w="1632" w:type="pct"/>
                  <w:noWrap/>
                  <w:vAlign w:val="center"/>
                </w:tcPr>
                <w:p w14:paraId="5B931DA1">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108.499951605</w:t>
                  </w:r>
                  <w:r>
                    <w:rPr>
                      <w:rFonts w:hint="eastAsia" w:cs="Times New Roman"/>
                      <w:color w:val="auto"/>
                      <w:highlight w:val="none"/>
                      <w:lang w:eastAsia="zh-CN"/>
                    </w:rPr>
                    <w:t>，</w:t>
                  </w:r>
                </w:p>
                <w:p w14:paraId="30E87373">
                  <w:pPr>
                    <w:pStyle w:val="38"/>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40.026386633</w:t>
                  </w:r>
                </w:p>
              </w:tc>
              <w:tc>
                <w:tcPr>
                  <w:tcW w:w="1735" w:type="pct"/>
                  <w:noWrap/>
                  <w:vAlign w:val="center"/>
                </w:tcPr>
                <w:p w14:paraId="0476F400">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108.496735637</w:t>
                  </w:r>
                  <w:r>
                    <w:rPr>
                      <w:rFonts w:hint="eastAsia" w:cs="Times New Roman"/>
                      <w:color w:val="auto"/>
                      <w:highlight w:val="none"/>
                      <w:lang w:eastAsia="zh-CN"/>
                    </w:rPr>
                    <w:t>，</w:t>
                  </w:r>
                </w:p>
                <w:p w14:paraId="1F4D118C">
                  <w:pPr>
                    <w:pStyle w:val="38"/>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40.028969600</w:t>
                  </w:r>
                </w:p>
              </w:tc>
            </w:tr>
            <w:tr w14:paraId="314D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25AFD117">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WTR甲烷气</w:t>
                  </w:r>
                </w:p>
              </w:tc>
              <w:tc>
                <w:tcPr>
                  <w:tcW w:w="1632" w:type="pct"/>
                  <w:noWrap/>
                  <w:vAlign w:val="center"/>
                </w:tcPr>
                <w:p w14:paraId="4C39CE7A">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108.500077669</w:t>
                  </w:r>
                  <w:r>
                    <w:rPr>
                      <w:rFonts w:hint="eastAsia" w:cs="Times New Roman"/>
                      <w:color w:val="auto"/>
                      <w:highlight w:val="none"/>
                      <w:lang w:eastAsia="zh-CN"/>
                    </w:rPr>
                    <w:t>，</w:t>
                  </w:r>
                </w:p>
                <w:p w14:paraId="664DAF00">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40.026523425</w:t>
                  </w:r>
                </w:p>
              </w:tc>
              <w:tc>
                <w:tcPr>
                  <w:tcW w:w="1735" w:type="pct"/>
                  <w:noWrap/>
                  <w:vAlign w:val="center"/>
                </w:tcPr>
                <w:p w14:paraId="0420072F">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108.507275377</w:t>
                  </w:r>
                  <w:r>
                    <w:rPr>
                      <w:rFonts w:hint="eastAsia" w:cs="Times New Roman"/>
                      <w:color w:val="auto"/>
                      <w:highlight w:val="none"/>
                      <w:lang w:eastAsia="zh-CN"/>
                    </w:rPr>
                    <w:t>，</w:t>
                  </w:r>
                </w:p>
                <w:p w14:paraId="0792AF0F">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40.031288370</w:t>
                  </w:r>
                </w:p>
              </w:tc>
            </w:tr>
            <w:tr w14:paraId="01D6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54CD739D">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甲烷</w:t>
                  </w:r>
                </w:p>
              </w:tc>
              <w:tc>
                <w:tcPr>
                  <w:tcW w:w="1632" w:type="pct"/>
                  <w:noWrap/>
                  <w:vAlign w:val="center"/>
                </w:tcPr>
                <w:p w14:paraId="48BD5A7F">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108.500997667</w:t>
                  </w:r>
                  <w:r>
                    <w:rPr>
                      <w:rFonts w:hint="eastAsia" w:cs="Times New Roman"/>
                      <w:color w:val="auto"/>
                      <w:highlight w:val="none"/>
                      <w:lang w:eastAsia="zh-CN"/>
                    </w:rPr>
                    <w:t>，</w:t>
                  </w:r>
                </w:p>
                <w:p w14:paraId="703E54C5">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40.032633498</w:t>
                  </w:r>
                </w:p>
              </w:tc>
              <w:tc>
                <w:tcPr>
                  <w:tcW w:w="1735" w:type="pct"/>
                  <w:noWrap/>
                  <w:vAlign w:val="center"/>
                </w:tcPr>
                <w:p w14:paraId="06B359AE">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108.499975745</w:t>
                  </w:r>
                  <w:r>
                    <w:rPr>
                      <w:rFonts w:hint="eastAsia" w:cs="Times New Roman"/>
                      <w:color w:val="auto"/>
                      <w:highlight w:val="none"/>
                      <w:lang w:eastAsia="zh-CN"/>
                    </w:rPr>
                    <w:t>，</w:t>
                  </w:r>
                </w:p>
                <w:p w14:paraId="58D310AE">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40.026404067</w:t>
                  </w:r>
                </w:p>
              </w:tc>
            </w:tr>
            <w:tr w14:paraId="6412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5DF3EB88">
                  <w:pPr>
                    <w:jc w:val="center"/>
                    <w:rPr>
                      <w:rFonts w:hint="default" w:ascii="Times New Roman" w:hAnsi="Times New Roman" w:cs="Times New Roman"/>
                      <w:color w:val="auto"/>
                      <w:highlight w:val="none"/>
                      <w:lang w:val="en-US"/>
                    </w:rPr>
                  </w:pPr>
                  <w:r>
                    <w:rPr>
                      <w:rFonts w:hint="default" w:ascii="Times New Roman" w:hAnsi="Times New Roman" w:cs="Times New Roman"/>
                      <w:highlight w:val="none"/>
                      <w:lang w:val="en-US" w:eastAsia="zh-CN"/>
                    </w:rPr>
                    <w:t>低压含烃火炬气</w:t>
                  </w:r>
                </w:p>
              </w:tc>
              <w:tc>
                <w:tcPr>
                  <w:tcW w:w="1632" w:type="pct"/>
                  <w:noWrap/>
                  <w:vAlign w:val="center"/>
                </w:tcPr>
                <w:p w14:paraId="550B2128">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108.499963675</w:t>
                  </w:r>
                  <w:r>
                    <w:rPr>
                      <w:rFonts w:hint="eastAsia" w:cs="Times New Roman"/>
                      <w:color w:val="auto"/>
                      <w:highlight w:val="none"/>
                      <w:lang w:eastAsia="zh-CN"/>
                    </w:rPr>
                    <w:t>，</w:t>
                  </w:r>
                </w:p>
                <w:p w14:paraId="1C0A35FA">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40.026416137</w:t>
                  </w:r>
                </w:p>
              </w:tc>
              <w:tc>
                <w:tcPr>
                  <w:tcW w:w="1735" w:type="pct"/>
                  <w:noWrap/>
                  <w:vAlign w:val="center"/>
                </w:tcPr>
                <w:p w14:paraId="1850A18D">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108.503512238</w:t>
                  </w:r>
                  <w:r>
                    <w:rPr>
                      <w:rFonts w:hint="eastAsia" w:cs="Times New Roman"/>
                      <w:color w:val="auto"/>
                      <w:highlight w:val="none"/>
                      <w:lang w:eastAsia="zh-CN"/>
                    </w:rPr>
                    <w:t>，</w:t>
                  </w:r>
                </w:p>
                <w:p w14:paraId="49605E22">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40.032984867</w:t>
                  </w:r>
                </w:p>
              </w:tc>
            </w:tr>
            <w:tr w14:paraId="649D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118A2FA2">
                  <w:pPr>
                    <w:jc w:val="center"/>
                    <w:rPr>
                      <w:rFonts w:hint="default" w:ascii="Times New Roman" w:hAnsi="Times New Roman" w:cs="Times New Roman"/>
                      <w:color w:val="auto"/>
                      <w:highlight w:val="none"/>
                      <w:lang w:val="en-US"/>
                    </w:rPr>
                  </w:pPr>
                  <w:r>
                    <w:rPr>
                      <w:rFonts w:hint="default" w:ascii="Times New Roman" w:hAnsi="Times New Roman" w:cs="Times New Roman"/>
                      <w:highlight w:val="none"/>
                      <w:lang w:val="en-US" w:eastAsia="zh-CN"/>
                    </w:rPr>
                    <w:t>湿酸火炬气</w:t>
                  </w:r>
                </w:p>
              </w:tc>
              <w:tc>
                <w:tcPr>
                  <w:tcW w:w="1632" w:type="pct"/>
                  <w:noWrap/>
                  <w:vAlign w:val="center"/>
                </w:tcPr>
                <w:p w14:paraId="5D77A31A">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108.499955628</w:t>
                  </w:r>
                  <w:r>
                    <w:rPr>
                      <w:rFonts w:hint="eastAsia" w:cs="Times New Roman"/>
                      <w:color w:val="auto"/>
                      <w:highlight w:val="none"/>
                      <w:lang w:eastAsia="zh-CN"/>
                    </w:rPr>
                    <w:t>，</w:t>
                  </w:r>
                </w:p>
                <w:p w14:paraId="7C618F57">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40.026410773</w:t>
                  </w:r>
                </w:p>
              </w:tc>
              <w:tc>
                <w:tcPr>
                  <w:tcW w:w="1735" w:type="pct"/>
                  <w:noWrap/>
                  <w:vAlign w:val="center"/>
                </w:tcPr>
                <w:p w14:paraId="23019825">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108.495147769</w:t>
                  </w:r>
                  <w:r>
                    <w:rPr>
                      <w:rFonts w:hint="eastAsia" w:cs="Times New Roman"/>
                      <w:color w:val="auto"/>
                      <w:highlight w:val="none"/>
                      <w:lang w:eastAsia="zh-CN"/>
                    </w:rPr>
                    <w:t>，</w:t>
                  </w:r>
                </w:p>
                <w:p w14:paraId="05F98706">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40.027364298</w:t>
                  </w:r>
                </w:p>
              </w:tc>
            </w:tr>
            <w:tr w14:paraId="576A6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64CD721B">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中压蒸汽</w:t>
                  </w:r>
                </w:p>
              </w:tc>
              <w:tc>
                <w:tcPr>
                  <w:tcW w:w="1632" w:type="pct"/>
                  <w:noWrap/>
                  <w:vAlign w:val="center"/>
                </w:tcPr>
                <w:p w14:paraId="586E6E96">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108.497229163</w:t>
                  </w:r>
                  <w:r>
                    <w:rPr>
                      <w:rFonts w:hint="eastAsia" w:cs="Times New Roman"/>
                      <w:color w:val="auto"/>
                      <w:highlight w:val="none"/>
                      <w:lang w:eastAsia="zh-CN"/>
                    </w:rPr>
                    <w:t>，</w:t>
                  </w:r>
                </w:p>
                <w:p w14:paraId="1505759F">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40.029417529</w:t>
                  </w:r>
                </w:p>
              </w:tc>
              <w:tc>
                <w:tcPr>
                  <w:tcW w:w="1735" w:type="pct"/>
                  <w:noWrap/>
                  <w:vAlign w:val="center"/>
                </w:tcPr>
                <w:p w14:paraId="2393F401">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108.499989156</w:t>
                  </w:r>
                  <w:r>
                    <w:rPr>
                      <w:rFonts w:hint="eastAsia" w:cs="Times New Roman"/>
                      <w:color w:val="auto"/>
                      <w:highlight w:val="none"/>
                      <w:lang w:eastAsia="zh-CN"/>
                    </w:rPr>
                    <w:t>，</w:t>
                  </w:r>
                </w:p>
                <w:p w14:paraId="7918CC5C">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40.026414796</w:t>
                  </w:r>
                </w:p>
              </w:tc>
            </w:tr>
            <w:tr w14:paraId="1CD0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5B6E6532">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凝结水</w:t>
                  </w:r>
                </w:p>
              </w:tc>
              <w:tc>
                <w:tcPr>
                  <w:tcW w:w="1632" w:type="pct"/>
                  <w:noWrap/>
                  <w:vAlign w:val="center"/>
                </w:tcPr>
                <w:p w14:paraId="5B3D0747">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108.496895228</w:t>
                  </w:r>
                  <w:r>
                    <w:rPr>
                      <w:rFonts w:hint="eastAsia" w:cs="Times New Roman"/>
                      <w:color w:val="auto"/>
                      <w:highlight w:val="none"/>
                      <w:lang w:eastAsia="zh-CN"/>
                    </w:rPr>
                    <w:t>，</w:t>
                  </w:r>
                </w:p>
                <w:p w14:paraId="4F4C204A">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40.029098346</w:t>
                  </w:r>
                </w:p>
              </w:tc>
              <w:tc>
                <w:tcPr>
                  <w:tcW w:w="1735" w:type="pct"/>
                  <w:noWrap/>
                  <w:vAlign w:val="center"/>
                </w:tcPr>
                <w:p w14:paraId="22413B3C">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108.500026707</w:t>
                  </w:r>
                  <w:r>
                    <w:rPr>
                      <w:rFonts w:hint="eastAsia" w:cs="Times New Roman"/>
                      <w:color w:val="auto"/>
                      <w:highlight w:val="none"/>
                      <w:lang w:eastAsia="zh-CN"/>
                    </w:rPr>
                    <w:t>，</w:t>
                  </w:r>
                </w:p>
                <w:p w14:paraId="2E29472E">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40.026460394</w:t>
                  </w:r>
                </w:p>
              </w:tc>
            </w:tr>
            <w:tr w14:paraId="54216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79C31567">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仪表风</w:t>
                  </w:r>
                </w:p>
              </w:tc>
              <w:tc>
                <w:tcPr>
                  <w:tcW w:w="1632" w:type="pct"/>
                  <w:noWrap/>
                  <w:vAlign w:val="center"/>
                </w:tcPr>
                <w:p w14:paraId="776F2BE3">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108.496860359</w:t>
                  </w:r>
                  <w:r>
                    <w:rPr>
                      <w:rFonts w:hint="eastAsia" w:cs="Times New Roman"/>
                      <w:color w:val="auto"/>
                      <w:highlight w:val="none"/>
                      <w:lang w:eastAsia="zh-CN"/>
                    </w:rPr>
                    <w:t>，</w:t>
                  </w:r>
                </w:p>
                <w:p w14:paraId="3B8E4677">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40.02907554</w:t>
                  </w:r>
                </w:p>
              </w:tc>
              <w:tc>
                <w:tcPr>
                  <w:tcW w:w="1735" w:type="pct"/>
                  <w:noWrap/>
                  <w:vAlign w:val="center"/>
                </w:tcPr>
                <w:p w14:paraId="200706AF">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108.500018660</w:t>
                  </w:r>
                  <w:r>
                    <w:rPr>
                      <w:rFonts w:hint="eastAsia" w:cs="Times New Roman"/>
                      <w:color w:val="auto"/>
                      <w:highlight w:val="none"/>
                      <w:lang w:eastAsia="zh-CN"/>
                    </w:rPr>
                    <w:t>，</w:t>
                  </w:r>
                </w:p>
                <w:p w14:paraId="0B41BA78">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40.026457711</w:t>
                  </w:r>
                </w:p>
              </w:tc>
            </w:tr>
            <w:tr w14:paraId="0DDF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2F57CB5F">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工厂风</w:t>
                  </w:r>
                </w:p>
              </w:tc>
              <w:tc>
                <w:tcPr>
                  <w:tcW w:w="1632" w:type="pct"/>
                  <w:noWrap/>
                  <w:vAlign w:val="center"/>
                </w:tcPr>
                <w:p w14:paraId="4A9ED988">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108.496849630</w:t>
                  </w:r>
                  <w:r>
                    <w:rPr>
                      <w:rFonts w:hint="eastAsia" w:cs="Times New Roman"/>
                      <w:color w:val="auto"/>
                      <w:highlight w:val="none"/>
                      <w:lang w:eastAsia="zh-CN"/>
                    </w:rPr>
                    <w:t>，</w:t>
                  </w:r>
                </w:p>
                <w:p w14:paraId="7CDC679F">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40.029072865</w:t>
                  </w:r>
                </w:p>
              </w:tc>
              <w:tc>
                <w:tcPr>
                  <w:tcW w:w="1735" w:type="pct"/>
                  <w:noWrap/>
                  <w:vAlign w:val="center"/>
                </w:tcPr>
                <w:p w14:paraId="783E4C93">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108.500010614</w:t>
                  </w:r>
                  <w:r>
                    <w:rPr>
                      <w:rFonts w:hint="eastAsia" w:cs="Times New Roman"/>
                      <w:color w:val="auto"/>
                      <w:highlight w:val="none"/>
                      <w:lang w:eastAsia="zh-CN"/>
                    </w:rPr>
                    <w:t>，</w:t>
                  </w:r>
                </w:p>
                <w:p w14:paraId="63C468D1">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40.026452347</w:t>
                  </w:r>
                </w:p>
              </w:tc>
            </w:tr>
            <w:tr w14:paraId="7F2C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08EA60AC">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氮气</w:t>
                  </w:r>
                </w:p>
              </w:tc>
              <w:tc>
                <w:tcPr>
                  <w:tcW w:w="1632" w:type="pct"/>
                  <w:noWrap/>
                  <w:vAlign w:val="center"/>
                </w:tcPr>
                <w:p w14:paraId="58C8DF79">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108.496860359</w:t>
                  </w:r>
                  <w:r>
                    <w:rPr>
                      <w:rFonts w:hint="eastAsia" w:cs="Times New Roman"/>
                      <w:color w:val="auto"/>
                      <w:highlight w:val="none"/>
                      <w:lang w:eastAsia="zh-CN"/>
                    </w:rPr>
                    <w:t>，</w:t>
                  </w:r>
                </w:p>
                <w:p w14:paraId="2B335544">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40.029075547</w:t>
                  </w:r>
                </w:p>
              </w:tc>
              <w:tc>
                <w:tcPr>
                  <w:tcW w:w="1735" w:type="pct"/>
                  <w:noWrap/>
                  <w:vAlign w:val="center"/>
                </w:tcPr>
                <w:p w14:paraId="4A6A25D8">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108.500021343</w:t>
                  </w:r>
                  <w:r>
                    <w:rPr>
                      <w:rFonts w:hint="eastAsia" w:cs="Times New Roman"/>
                      <w:color w:val="auto"/>
                      <w:highlight w:val="none"/>
                      <w:lang w:eastAsia="zh-CN"/>
                    </w:rPr>
                    <w:t>，</w:t>
                  </w:r>
                </w:p>
                <w:p w14:paraId="33ECC239">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40.026455029</w:t>
                  </w:r>
                </w:p>
              </w:tc>
            </w:tr>
            <w:tr w14:paraId="5A43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0D096A24">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黄河水</w:t>
                  </w:r>
                </w:p>
              </w:tc>
              <w:tc>
                <w:tcPr>
                  <w:tcW w:w="1632" w:type="pct"/>
                  <w:noWrap/>
                  <w:vAlign w:val="center"/>
                </w:tcPr>
                <w:p w14:paraId="1B7BF895">
                  <w:pPr>
                    <w:pStyle w:val="38"/>
                    <w:rPr>
                      <w:rFonts w:hint="eastAsia" w:ascii="Times New Roman" w:hAnsi="Times New Roman" w:eastAsia="宋体" w:cs="Times New Roman"/>
                      <w:highlight w:val="none"/>
                      <w:lang w:eastAsia="zh-CN"/>
                    </w:rPr>
                  </w:pPr>
                  <w:r>
                    <w:rPr>
                      <w:rFonts w:hint="default" w:ascii="Times New Roman" w:hAnsi="Times New Roman" w:cs="Times New Roman"/>
                      <w:highlight w:val="none"/>
                    </w:rPr>
                    <w:t>108.508656715</w:t>
                  </w:r>
                  <w:r>
                    <w:rPr>
                      <w:rFonts w:hint="eastAsia" w:cs="Times New Roman"/>
                      <w:highlight w:val="none"/>
                      <w:lang w:eastAsia="zh-CN"/>
                    </w:rPr>
                    <w:t>，</w:t>
                  </w:r>
                </w:p>
                <w:p w14:paraId="0E9D3714">
                  <w:pPr>
                    <w:pStyle w:val="38"/>
                    <w:rPr>
                      <w:rFonts w:hint="default" w:ascii="Times New Roman" w:hAnsi="Times New Roman" w:cs="Times New Roman"/>
                      <w:color w:val="auto"/>
                      <w:highlight w:val="none"/>
                    </w:rPr>
                  </w:pPr>
                  <w:r>
                    <w:rPr>
                      <w:rFonts w:hint="default" w:ascii="Times New Roman" w:hAnsi="Times New Roman" w:cs="Times New Roman"/>
                      <w:highlight w:val="none"/>
                    </w:rPr>
                    <w:t>40.035823985</w:t>
                  </w:r>
                </w:p>
              </w:tc>
              <w:tc>
                <w:tcPr>
                  <w:tcW w:w="1735" w:type="pct"/>
                  <w:noWrap/>
                  <w:vAlign w:val="center"/>
                </w:tcPr>
                <w:p w14:paraId="38B8EE6E">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108.499991838</w:t>
                  </w:r>
                  <w:r>
                    <w:rPr>
                      <w:rFonts w:hint="eastAsia" w:cs="Times New Roman"/>
                      <w:color w:val="auto"/>
                      <w:highlight w:val="none"/>
                      <w:lang w:eastAsia="zh-CN"/>
                    </w:rPr>
                    <w:t>，</w:t>
                  </w:r>
                </w:p>
                <w:p w14:paraId="49969035">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40.026387974</w:t>
                  </w:r>
                </w:p>
              </w:tc>
            </w:tr>
            <w:tr w14:paraId="41A6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1C85AFF0">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回用水</w:t>
                  </w:r>
                </w:p>
              </w:tc>
              <w:tc>
                <w:tcPr>
                  <w:tcW w:w="1632" w:type="pct"/>
                  <w:noWrap/>
                  <w:vAlign w:val="center"/>
                </w:tcPr>
                <w:p w14:paraId="6DB0DDB5">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108.497335110</w:t>
                  </w:r>
                  <w:r>
                    <w:rPr>
                      <w:rFonts w:hint="eastAsia" w:cs="Times New Roman"/>
                      <w:color w:val="auto"/>
                      <w:highlight w:val="none"/>
                      <w:lang w:eastAsia="zh-CN"/>
                    </w:rPr>
                    <w:t>，</w:t>
                  </w:r>
                </w:p>
                <w:p w14:paraId="195F2DBB">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40.029386684</w:t>
                  </w:r>
                </w:p>
              </w:tc>
              <w:tc>
                <w:tcPr>
                  <w:tcW w:w="1735" w:type="pct"/>
                  <w:noWrap/>
                  <w:vAlign w:val="center"/>
                </w:tcPr>
                <w:p w14:paraId="7C38040A">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108.499967698</w:t>
                  </w:r>
                  <w:r>
                    <w:rPr>
                      <w:rFonts w:hint="eastAsia" w:cs="Times New Roman"/>
                      <w:color w:val="auto"/>
                      <w:highlight w:val="none"/>
                      <w:lang w:eastAsia="zh-CN"/>
                    </w:rPr>
                    <w:t>，</w:t>
                  </w:r>
                </w:p>
                <w:p w14:paraId="1ACF6B47">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40.026401385</w:t>
                  </w:r>
                </w:p>
              </w:tc>
            </w:tr>
            <w:tr w14:paraId="08EC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32" w:type="pct"/>
                  <w:noWrap/>
                  <w:vAlign w:val="center"/>
                </w:tcPr>
                <w:p w14:paraId="655C22D4">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污水1</w:t>
                  </w:r>
                </w:p>
              </w:tc>
              <w:tc>
                <w:tcPr>
                  <w:tcW w:w="1632" w:type="pct"/>
                  <w:noWrap/>
                  <w:vAlign w:val="center"/>
                </w:tcPr>
                <w:p w14:paraId="3E8F9F44">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108.499979768</w:t>
                  </w:r>
                  <w:r>
                    <w:rPr>
                      <w:rFonts w:hint="eastAsia" w:cs="Times New Roman"/>
                      <w:color w:val="auto"/>
                      <w:highlight w:val="none"/>
                      <w:lang w:eastAsia="zh-CN"/>
                    </w:rPr>
                    <w:t>，</w:t>
                  </w:r>
                </w:p>
                <w:p w14:paraId="33F84AFF">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40.026426866</w:t>
                  </w:r>
                </w:p>
              </w:tc>
              <w:tc>
                <w:tcPr>
                  <w:tcW w:w="1735" w:type="pct"/>
                  <w:noWrap/>
                  <w:vAlign w:val="center"/>
                </w:tcPr>
                <w:p w14:paraId="3EE66453">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108.499989156</w:t>
                  </w:r>
                  <w:r>
                    <w:rPr>
                      <w:rFonts w:hint="eastAsia" w:cs="Times New Roman"/>
                      <w:color w:val="auto"/>
                      <w:highlight w:val="none"/>
                      <w:lang w:eastAsia="zh-CN"/>
                    </w:rPr>
                    <w:t>，</w:t>
                  </w:r>
                </w:p>
                <w:p w14:paraId="45C50E43">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40.033291980</w:t>
                  </w:r>
                </w:p>
              </w:tc>
            </w:tr>
            <w:tr w14:paraId="2954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0516AFBB">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污水2</w:t>
                  </w:r>
                </w:p>
              </w:tc>
              <w:tc>
                <w:tcPr>
                  <w:tcW w:w="1632" w:type="pct"/>
                  <w:noWrap/>
                  <w:vAlign w:val="center"/>
                </w:tcPr>
                <w:p w14:paraId="0056D7B4">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108.500033412</w:t>
                  </w:r>
                  <w:r>
                    <w:rPr>
                      <w:rFonts w:hint="eastAsia" w:cs="Times New Roman"/>
                      <w:color w:val="auto"/>
                      <w:highlight w:val="none"/>
                      <w:lang w:eastAsia="zh-CN"/>
                    </w:rPr>
                    <w:t>，</w:t>
                  </w:r>
                </w:p>
                <w:p w14:paraId="0E0E5DA2">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40.026463076</w:t>
                  </w:r>
                </w:p>
              </w:tc>
              <w:tc>
                <w:tcPr>
                  <w:tcW w:w="1735" w:type="pct"/>
                  <w:noWrap/>
                  <w:vAlign w:val="center"/>
                </w:tcPr>
                <w:p w14:paraId="7957851B">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108.492043112</w:t>
                  </w:r>
                  <w:r>
                    <w:rPr>
                      <w:rFonts w:hint="eastAsia" w:cs="Times New Roman"/>
                      <w:color w:val="auto"/>
                      <w:highlight w:val="none"/>
                      <w:lang w:eastAsia="zh-CN"/>
                    </w:rPr>
                    <w:t>，</w:t>
                  </w:r>
                </w:p>
                <w:p w14:paraId="37665A95">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40.025309726</w:t>
                  </w:r>
                </w:p>
              </w:tc>
            </w:tr>
            <w:tr w14:paraId="4716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1BF770EE">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清净废水</w:t>
                  </w:r>
                </w:p>
              </w:tc>
              <w:tc>
                <w:tcPr>
                  <w:tcW w:w="1632" w:type="pct"/>
                  <w:noWrap/>
                  <w:vAlign w:val="center"/>
                </w:tcPr>
                <w:p w14:paraId="155FDD65">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108.500062917</w:t>
                  </w:r>
                  <w:r>
                    <w:rPr>
                      <w:rFonts w:hint="eastAsia" w:cs="Times New Roman"/>
                      <w:color w:val="auto"/>
                      <w:highlight w:val="none"/>
                      <w:lang w:eastAsia="zh-CN"/>
                    </w:rPr>
                    <w:t>，</w:t>
                  </w:r>
                </w:p>
                <w:p w14:paraId="272AA417">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40.026465758</w:t>
                  </w:r>
                </w:p>
              </w:tc>
              <w:tc>
                <w:tcPr>
                  <w:tcW w:w="1735" w:type="pct"/>
                  <w:noWrap/>
                  <w:vAlign w:val="center"/>
                </w:tcPr>
                <w:p w14:paraId="3258B9AA">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108.506698702</w:t>
                  </w:r>
                  <w:r>
                    <w:rPr>
                      <w:rFonts w:hint="eastAsia" w:cs="Times New Roman"/>
                      <w:color w:val="auto"/>
                      <w:highlight w:val="none"/>
                      <w:lang w:eastAsia="zh-CN"/>
                    </w:rPr>
                    <w:t>，</w:t>
                  </w:r>
                </w:p>
                <w:p w14:paraId="0D09CDDE">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40.031352743</w:t>
                  </w:r>
                </w:p>
              </w:tc>
            </w:tr>
            <w:tr w14:paraId="198F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378CE10E">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酸性气</w:t>
                  </w:r>
                </w:p>
              </w:tc>
              <w:tc>
                <w:tcPr>
                  <w:tcW w:w="1632" w:type="pct"/>
                  <w:noWrap/>
                  <w:vAlign w:val="center"/>
                </w:tcPr>
                <w:p w14:paraId="13416557">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108.499952276</w:t>
                  </w:r>
                  <w:r>
                    <w:rPr>
                      <w:rFonts w:hint="eastAsia" w:cs="Times New Roman"/>
                      <w:color w:val="auto"/>
                      <w:highlight w:val="none"/>
                      <w:lang w:eastAsia="zh-CN"/>
                    </w:rPr>
                    <w:t>，</w:t>
                  </w:r>
                </w:p>
                <w:p w14:paraId="1DD7BF16">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40.026383280</w:t>
                  </w:r>
                </w:p>
              </w:tc>
              <w:tc>
                <w:tcPr>
                  <w:tcW w:w="1735" w:type="pct"/>
                  <w:noWrap/>
                  <w:vAlign w:val="center"/>
                </w:tcPr>
                <w:p w14:paraId="1F29F2DD">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108.493794595</w:t>
                  </w:r>
                  <w:r>
                    <w:rPr>
                      <w:rFonts w:hint="eastAsia" w:cs="Times New Roman"/>
                      <w:color w:val="auto"/>
                      <w:highlight w:val="none"/>
                      <w:lang w:eastAsia="zh-CN"/>
                    </w:rPr>
                    <w:t>，</w:t>
                  </w:r>
                </w:p>
                <w:p w14:paraId="41C8DD4E">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40.026864066</w:t>
                  </w:r>
                </w:p>
              </w:tc>
            </w:tr>
            <w:tr w14:paraId="55BC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4915B484">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冷冻水来</w:t>
                  </w:r>
                </w:p>
              </w:tc>
              <w:tc>
                <w:tcPr>
                  <w:tcW w:w="1632" w:type="pct"/>
                  <w:noWrap/>
                  <w:vAlign w:val="center"/>
                </w:tcPr>
                <w:p w14:paraId="0D645BA5">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108.494813834</w:t>
                  </w:r>
                  <w:r>
                    <w:rPr>
                      <w:rFonts w:hint="eastAsia" w:cs="Times New Roman"/>
                      <w:color w:val="auto"/>
                      <w:highlight w:val="none"/>
                      <w:lang w:eastAsia="zh-CN"/>
                    </w:rPr>
                    <w:t>，</w:t>
                  </w:r>
                </w:p>
                <w:p w14:paraId="26EBA50B">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40.030427381</w:t>
                  </w:r>
                </w:p>
              </w:tc>
              <w:tc>
                <w:tcPr>
                  <w:tcW w:w="1735" w:type="pct"/>
                  <w:noWrap/>
                  <w:vAlign w:val="center"/>
                </w:tcPr>
                <w:p w14:paraId="077F4E0D">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108.499947582</w:t>
                  </w:r>
                  <w:r>
                    <w:rPr>
                      <w:rFonts w:hint="eastAsia" w:cs="Times New Roman"/>
                      <w:color w:val="auto"/>
                      <w:highlight w:val="none"/>
                      <w:lang w:eastAsia="zh-CN"/>
                    </w:rPr>
                    <w:t>，</w:t>
                  </w:r>
                </w:p>
                <w:p w14:paraId="49D27F2D">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40.026383951</w:t>
                  </w:r>
                </w:p>
              </w:tc>
            </w:tr>
            <w:tr w14:paraId="32E0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6E5D9355">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冷冻水回</w:t>
                  </w:r>
                </w:p>
              </w:tc>
              <w:tc>
                <w:tcPr>
                  <w:tcW w:w="1632" w:type="pct"/>
                  <w:noWrap/>
                  <w:vAlign w:val="center"/>
                </w:tcPr>
                <w:p w14:paraId="2D45E1A2">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108.499938194</w:t>
                  </w:r>
                  <w:r>
                    <w:rPr>
                      <w:rFonts w:hint="eastAsia" w:cs="Times New Roman"/>
                      <w:color w:val="auto"/>
                      <w:highlight w:val="none"/>
                      <w:lang w:eastAsia="zh-CN"/>
                    </w:rPr>
                    <w:t>，</w:t>
                  </w:r>
                </w:p>
                <w:p w14:paraId="291AD766">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40.026381268</w:t>
                  </w:r>
                </w:p>
              </w:tc>
              <w:tc>
                <w:tcPr>
                  <w:tcW w:w="1735" w:type="pct"/>
                  <w:noWrap/>
                  <w:vAlign w:val="center"/>
                </w:tcPr>
                <w:p w14:paraId="4AF73BF9">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108.494823222</w:t>
                  </w:r>
                  <w:r>
                    <w:rPr>
                      <w:rFonts w:hint="eastAsia" w:cs="Times New Roman"/>
                      <w:color w:val="auto"/>
                      <w:highlight w:val="none"/>
                      <w:lang w:eastAsia="zh-CN"/>
                    </w:rPr>
                    <w:t>，</w:t>
                  </w:r>
                </w:p>
                <w:p w14:paraId="2A0C8C2E">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40.030434086</w:t>
                  </w:r>
                </w:p>
              </w:tc>
            </w:tr>
            <w:tr w14:paraId="4334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632" w:type="pct"/>
                  <w:noWrap/>
                  <w:vAlign w:val="center"/>
                </w:tcPr>
                <w:p w14:paraId="7512515E">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富甲烷气</w:t>
                  </w:r>
                </w:p>
              </w:tc>
              <w:tc>
                <w:tcPr>
                  <w:tcW w:w="1632" w:type="pct"/>
                  <w:noWrap/>
                  <w:vAlign w:val="center"/>
                </w:tcPr>
                <w:p w14:paraId="1E06E256">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108.499991838</w:t>
                  </w:r>
                  <w:r>
                    <w:rPr>
                      <w:rFonts w:hint="eastAsia" w:cs="Times New Roman"/>
                      <w:color w:val="auto"/>
                      <w:highlight w:val="none"/>
                      <w:lang w:eastAsia="zh-CN"/>
                    </w:rPr>
                    <w:t>，</w:t>
                  </w:r>
                </w:p>
                <w:p w14:paraId="1C8CD14F">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40.026434913</w:t>
                  </w:r>
                </w:p>
              </w:tc>
              <w:tc>
                <w:tcPr>
                  <w:tcW w:w="1735" w:type="pct"/>
                  <w:noWrap/>
                  <w:vAlign w:val="center"/>
                </w:tcPr>
                <w:p w14:paraId="2B07A6EA">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108.496687025</w:t>
                  </w:r>
                  <w:r>
                    <w:rPr>
                      <w:rFonts w:hint="eastAsia" w:cs="Times New Roman"/>
                      <w:color w:val="auto"/>
                      <w:highlight w:val="none"/>
                      <w:lang w:eastAsia="zh-CN"/>
                    </w:rPr>
                    <w:t>，</w:t>
                  </w:r>
                </w:p>
                <w:p w14:paraId="262A3839">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40.027827582</w:t>
                  </w:r>
                </w:p>
              </w:tc>
            </w:tr>
            <w:tr w14:paraId="5EAE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185E9124">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真空泵尾气</w:t>
                  </w:r>
                </w:p>
              </w:tc>
              <w:tc>
                <w:tcPr>
                  <w:tcW w:w="1632" w:type="pct"/>
                  <w:noWrap/>
                  <w:vAlign w:val="center"/>
                </w:tcPr>
                <w:p w14:paraId="5453A301">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108.499971722</w:t>
                  </w:r>
                  <w:r>
                    <w:rPr>
                      <w:rFonts w:hint="eastAsia" w:cs="Times New Roman"/>
                      <w:color w:val="auto"/>
                      <w:highlight w:val="none"/>
                      <w:lang w:eastAsia="zh-CN"/>
                    </w:rPr>
                    <w:t>，</w:t>
                  </w:r>
                </w:p>
                <w:p w14:paraId="6718D4FC">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40.026381268</w:t>
                  </w:r>
                </w:p>
              </w:tc>
              <w:tc>
                <w:tcPr>
                  <w:tcW w:w="1735" w:type="pct"/>
                  <w:noWrap/>
                  <w:vAlign w:val="center"/>
                </w:tcPr>
                <w:p w14:paraId="6819E4F9">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108.492898737</w:t>
                  </w:r>
                  <w:r>
                    <w:rPr>
                      <w:rFonts w:hint="eastAsia" w:cs="Times New Roman"/>
                      <w:color w:val="auto"/>
                      <w:highlight w:val="none"/>
                      <w:lang w:eastAsia="zh-CN"/>
                    </w:rPr>
                    <w:t>，</w:t>
                  </w:r>
                </w:p>
                <w:p w14:paraId="584B8389">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40.027483656</w:t>
                  </w:r>
                </w:p>
              </w:tc>
            </w:tr>
            <w:tr w14:paraId="2CD7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32" w:type="pct"/>
                  <w:noWrap/>
                  <w:vAlign w:val="center"/>
                </w:tcPr>
                <w:p w14:paraId="6A743451">
                  <w:pPr>
                    <w:jc w:val="center"/>
                    <w:rPr>
                      <w:rFonts w:hint="default" w:ascii="Times New Roman" w:hAnsi="Times New Roman" w:cs="Times New Roman"/>
                      <w:color w:val="auto"/>
                      <w:highlight w:val="none"/>
                    </w:rPr>
                  </w:pPr>
                  <w:r>
                    <w:rPr>
                      <w:rFonts w:hint="default" w:ascii="Times New Roman" w:hAnsi="Times New Roman" w:cs="Times New Roman"/>
                      <w:highlight w:val="none"/>
                      <w:lang w:val="en-US" w:eastAsia="zh-CN"/>
                    </w:rPr>
                    <w:t>CO</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管线</w:t>
                  </w:r>
                </w:p>
              </w:tc>
              <w:tc>
                <w:tcPr>
                  <w:tcW w:w="1632" w:type="pct"/>
                  <w:noWrap/>
                  <w:vAlign w:val="center"/>
                </w:tcPr>
                <w:p w14:paraId="1B0D8D58">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108.498960529</w:t>
                  </w:r>
                  <w:r>
                    <w:rPr>
                      <w:rFonts w:hint="eastAsia" w:cs="Times New Roman"/>
                      <w:color w:val="auto"/>
                      <w:highlight w:val="none"/>
                      <w:lang w:eastAsia="zh-CN"/>
                    </w:rPr>
                    <w:t>，</w:t>
                  </w:r>
                </w:p>
                <w:p w14:paraId="005A26C6">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40.027934267</w:t>
                  </w:r>
                </w:p>
              </w:tc>
              <w:tc>
                <w:tcPr>
                  <w:tcW w:w="1735" w:type="pct"/>
                  <w:noWrap/>
                  <w:vAlign w:val="center"/>
                </w:tcPr>
                <w:p w14:paraId="0B48EDBA">
                  <w:pPr>
                    <w:pStyle w:val="38"/>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108.499970381</w:t>
                  </w:r>
                  <w:r>
                    <w:rPr>
                      <w:rFonts w:hint="eastAsia" w:cs="Times New Roman"/>
                      <w:color w:val="auto"/>
                      <w:highlight w:val="none"/>
                      <w:lang w:eastAsia="zh-CN"/>
                    </w:rPr>
                    <w:t>，</w:t>
                  </w:r>
                </w:p>
                <w:p w14:paraId="31EA404E">
                  <w:pPr>
                    <w:pStyle w:val="38"/>
                    <w:rPr>
                      <w:rFonts w:hint="default" w:ascii="Times New Roman" w:hAnsi="Times New Roman" w:cs="Times New Roman"/>
                      <w:color w:val="auto"/>
                      <w:highlight w:val="none"/>
                    </w:rPr>
                  </w:pPr>
                  <w:r>
                    <w:rPr>
                      <w:rFonts w:hint="default" w:ascii="Times New Roman" w:hAnsi="Times New Roman" w:cs="Times New Roman"/>
                      <w:color w:val="auto"/>
                      <w:highlight w:val="none"/>
                    </w:rPr>
                    <w:t>40.026416137</w:t>
                  </w:r>
                </w:p>
              </w:tc>
            </w:tr>
          </w:tbl>
          <w:p w14:paraId="0F39B38C">
            <w:pPr>
              <w:adjustRightInd w:val="0"/>
              <w:snapToGrid w:val="0"/>
              <w:jc w:val="center"/>
              <w:rPr>
                <w:rFonts w:hint="default" w:ascii="Times New Roman" w:hAnsi="Times New Roman" w:cs="Times New Roman"/>
                <w:sz w:val="24"/>
                <w:highlight w:val="none"/>
                <w:lang w:val="en-US" w:eastAsia="zh-CN"/>
              </w:rPr>
            </w:pPr>
          </w:p>
        </w:tc>
      </w:tr>
      <w:tr w14:paraId="452F17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795" w:type="dxa"/>
            <w:noWrap w:val="0"/>
            <w:tcMar>
              <w:top w:w="16" w:type="dxa"/>
              <w:left w:w="16" w:type="dxa"/>
              <w:right w:w="16" w:type="dxa"/>
            </w:tcMar>
            <w:vAlign w:val="center"/>
          </w:tcPr>
          <w:p w14:paraId="2F708011">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建设项目</w:t>
            </w:r>
          </w:p>
          <w:p w14:paraId="513365A8">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行业类别</w:t>
            </w:r>
          </w:p>
        </w:tc>
        <w:tc>
          <w:tcPr>
            <w:tcW w:w="2289" w:type="dxa"/>
            <w:noWrap w:val="0"/>
            <w:vAlign w:val="center"/>
          </w:tcPr>
          <w:p w14:paraId="626D9748">
            <w:pPr>
              <w:adjustRightInd w:val="0"/>
              <w:snapToGrid w:val="0"/>
              <w:jc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五十二、交通运输业、管道运输业</w:t>
            </w:r>
            <w:r>
              <w:rPr>
                <w:rFonts w:hint="eastAsia" w:cs="Times New Roman"/>
                <w:sz w:val="24"/>
                <w:highlight w:val="none"/>
                <w:lang w:val="en-US" w:eastAsia="zh-CN"/>
              </w:rPr>
              <w:t>，</w:t>
            </w:r>
            <w:r>
              <w:rPr>
                <w:rFonts w:hint="default" w:ascii="Times New Roman" w:hAnsi="Times New Roman" w:cs="Times New Roman"/>
                <w:sz w:val="24"/>
                <w:highlight w:val="none"/>
              </w:rPr>
              <w:t>148</w:t>
            </w:r>
            <w:r>
              <w:rPr>
                <w:rFonts w:hint="eastAsia" w:cs="Times New Roman"/>
                <w:sz w:val="24"/>
                <w:highlight w:val="none"/>
                <w:lang w:val="en-US" w:eastAsia="zh-CN"/>
              </w:rPr>
              <w:t>.</w:t>
            </w:r>
            <w:r>
              <w:rPr>
                <w:rFonts w:hint="default" w:ascii="Times New Roman" w:hAnsi="Times New Roman" w:cs="Times New Roman"/>
                <w:sz w:val="24"/>
                <w:highlight w:val="none"/>
              </w:rPr>
              <w:t>危险化学品输送管线</w:t>
            </w:r>
            <w:r>
              <w:rPr>
                <w:rFonts w:hint="eastAsia" w:cs="Times New Roman"/>
                <w:sz w:val="24"/>
                <w:highlight w:val="none"/>
                <w:lang w:eastAsia="zh-CN"/>
              </w:rPr>
              <w:t>（</w:t>
            </w:r>
            <w:r>
              <w:rPr>
                <w:rFonts w:hint="default" w:ascii="Times New Roman" w:hAnsi="Times New Roman" w:cs="Times New Roman"/>
                <w:sz w:val="24"/>
                <w:highlight w:val="none"/>
              </w:rPr>
              <w:t>不含企业厂区内管</w:t>
            </w:r>
          </w:p>
          <w:p w14:paraId="0B7709C4">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线</w:t>
            </w:r>
            <w:r>
              <w:rPr>
                <w:rFonts w:hint="eastAsia" w:cs="Times New Roman"/>
                <w:sz w:val="24"/>
                <w:highlight w:val="none"/>
                <w:lang w:eastAsia="zh-CN"/>
              </w:rPr>
              <w:t>）——</w:t>
            </w:r>
            <w:r>
              <w:rPr>
                <w:rFonts w:hint="default" w:ascii="Times New Roman" w:hAnsi="Times New Roman" w:cs="Times New Roman"/>
                <w:sz w:val="24"/>
                <w:highlight w:val="none"/>
              </w:rPr>
              <w:t>其他。</w:t>
            </w:r>
          </w:p>
        </w:tc>
        <w:tc>
          <w:tcPr>
            <w:tcW w:w="2217" w:type="dxa"/>
            <w:noWrap w:val="0"/>
            <w:vAlign w:val="center"/>
          </w:tcPr>
          <w:p w14:paraId="035FD284">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用地（用海）面积（m</w:t>
            </w:r>
            <w:r>
              <w:rPr>
                <w:rFonts w:hint="default" w:ascii="Times New Roman" w:hAnsi="Times New Roman" w:cs="Times New Roman"/>
                <w:sz w:val="24"/>
                <w:highlight w:val="none"/>
                <w:vertAlign w:val="superscript"/>
              </w:rPr>
              <w:t>2</w:t>
            </w:r>
            <w:r>
              <w:rPr>
                <w:rFonts w:hint="default" w:ascii="Times New Roman" w:hAnsi="Times New Roman" w:cs="Times New Roman"/>
                <w:sz w:val="24"/>
                <w:highlight w:val="none"/>
              </w:rPr>
              <w:t>）/长度（km）</w:t>
            </w:r>
          </w:p>
        </w:tc>
        <w:tc>
          <w:tcPr>
            <w:tcW w:w="2738" w:type="dxa"/>
            <w:gridSpan w:val="2"/>
            <w:noWrap w:val="0"/>
            <w:vAlign w:val="center"/>
          </w:tcPr>
          <w:p w14:paraId="7A8E7467">
            <w:pPr>
              <w:adjustRightInd w:val="0"/>
              <w:snapToGrid w:val="0"/>
              <w:jc w:val="center"/>
              <w:rPr>
                <w:rFonts w:hint="default" w:ascii="Times New Roman" w:hAnsi="Times New Roman" w:cs="Times New Roman"/>
                <w:sz w:val="24"/>
                <w:highlight w:val="none"/>
                <w:lang w:val="en-US"/>
              </w:rPr>
            </w:pPr>
            <w:r>
              <w:rPr>
                <w:rFonts w:hint="eastAsia" w:ascii="Times New Roman" w:hAnsi="Times New Roman" w:cs="Times New Roman"/>
                <w:sz w:val="24"/>
                <w:highlight w:val="none"/>
                <w:lang w:val="en-US" w:eastAsia="zh-CN"/>
              </w:rPr>
              <w:t>16.333km</w:t>
            </w:r>
          </w:p>
        </w:tc>
      </w:tr>
      <w:tr w14:paraId="59DB35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795" w:type="dxa"/>
            <w:noWrap w:val="0"/>
            <w:tcMar>
              <w:top w:w="16" w:type="dxa"/>
              <w:left w:w="16" w:type="dxa"/>
              <w:right w:w="16" w:type="dxa"/>
            </w:tcMar>
            <w:vAlign w:val="center"/>
          </w:tcPr>
          <w:p w14:paraId="787D3EFE">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建设性质</w:t>
            </w:r>
          </w:p>
        </w:tc>
        <w:tc>
          <w:tcPr>
            <w:tcW w:w="2289" w:type="dxa"/>
            <w:noWrap w:val="0"/>
            <w:vAlign w:val="center"/>
          </w:tcPr>
          <w:p w14:paraId="4C64361C">
            <w:pPr>
              <w:adjustRightInd w:val="0"/>
              <w:snapToGrid w:val="0"/>
              <w:jc w:val="center"/>
              <w:rPr>
                <w:rFonts w:hint="default" w:ascii="Times New Roman" w:hAnsi="Times New Roman" w:cs="Times New Roman"/>
                <w:sz w:val="24"/>
                <w:highlight w:val="none"/>
              </w:rPr>
            </w:pPr>
            <w:r>
              <w:rPr>
                <w:rFonts w:hint="eastAsia" w:cs="Times New Roman"/>
                <w:sz w:val="24"/>
                <w:highlight w:val="none"/>
                <w:lang w:eastAsia="zh-CN"/>
              </w:rPr>
              <w:t>□</w:t>
            </w:r>
            <w:r>
              <w:rPr>
                <w:rFonts w:hint="default" w:ascii="Times New Roman" w:hAnsi="Times New Roman" w:cs="Times New Roman"/>
                <w:sz w:val="24"/>
                <w:highlight w:val="none"/>
              </w:rPr>
              <w:t>新建（迁建）</w:t>
            </w:r>
          </w:p>
          <w:p w14:paraId="69E6A6CC">
            <w:pPr>
              <w:adjustRightInd w:val="0"/>
              <w:snapToGrid w:val="0"/>
              <w:jc w:val="center"/>
              <w:rPr>
                <w:rFonts w:hint="default" w:ascii="Times New Roman" w:hAnsi="Times New Roman" w:cs="Times New Roman"/>
                <w:sz w:val="24"/>
                <w:highlight w:val="none"/>
              </w:rPr>
            </w:pPr>
            <w:r>
              <w:rPr>
                <w:rFonts w:hint="eastAsia" w:cs="Times New Roman"/>
                <w:sz w:val="24"/>
                <w:highlight w:val="none"/>
                <w:lang w:eastAsia="zh-CN"/>
              </w:rPr>
              <w:t>□</w:t>
            </w:r>
            <w:r>
              <w:rPr>
                <w:rFonts w:hint="default" w:ascii="Times New Roman" w:hAnsi="Times New Roman" w:cs="Times New Roman"/>
                <w:sz w:val="24"/>
                <w:highlight w:val="none"/>
              </w:rPr>
              <w:t>改建</w:t>
            </w:r>
          </w:p>
          <w:p w14:paraId="4FAB168A">
            <w:pPr>
              <w:adjustRightInd w:val="0"/>
              <w:snapToGrid w:val="0"/>
              <w:jc w:val="center"/>
              <w:rPr>
                <w:rFonts w:hint="default" w:ascii="Times New Roman" w:hAnsi="Times New Roman" w:cs="Times New Roman"/>
                <w:sz w:val="24"/>
                <w:highlight w:val="none"/>
              </w:rPr>
            </w:pPr>
            <w:r>
              <w:rPr>
                <w:rFonts w:hint="eastAsia" w:cs="Times New Roman"/>
                <w:sz w:val="24"/>
                <w:highlight w:val="none"/>
                <w:lang w:eastAsia="zh-CN"/>
              </w:rPr>
              <w:t>□</w:t>
            </w:r>
            <w:r>
              <w:rPr>
                <w:rFonts w:hint="default" w:ascii="Times New Roman" w:hAnsi="Times New Roman" w:cs="Times New Roman"/>
                <w:sz w:val="24"/>
                <w:highlight w:val="none"/>
              </w:rPr>
              <w:t>扩建</w:t>
            </w:r>
          </w:p>
          <w:p w14:paraId="489C7D30">
            <w:pPr>
              <w:adjustRightInd w:val="0"/>
              <w:snapToGrid w:val="0"/>
              <w:jc w:val="center"/>
              <w:rPr>
                <w:rFonts w:hint="default" w:ascii="Times New Roman" w:hAnsi="Times New Roman" w:cs="Times New Roman"/>
                <w:sz w:val="24"/>
                <w:highlight w:val="none"/>
              </w:rPr>
            </w:pPr>
            <w:r>
              <w:rPr>
                <w:rFonts w:hint="eastAsia" w:cs="Times New Roman"/>
                <w:sz w:val="24"/>
                <w:highlight w:val="none"/>
                <w:lang w:eastAsia="zh-CN"/>
              </w:rPr>
              <w:t>☑</w:t>
            </w:r>
            <w:r>
              <w:rPr>
                <w:rFonts w:hint="default" w:ascii="Times New Roman" w:hAnsi="Times New Roman" w:cs="Times New Roman"/>
                <w:sz w:val="24"/>
                <w:highlight w:val="none"/>
              </w:rPr>
              <w:t>技术改造</w:t>
            </w:r>
          </w:p>
        </w:tc>
        <w:tc>
          <w:tcPr>
            <w:tcW w:w="2217" w:type="dxa"/>
            <w:noWrap w:val="0"/>
            <w:vAlign w:val="center"/>
          </w:tcPr>
          <w:p w14:paraId="43F1F5C7">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建设项目</w:t>
            </w:r>
          </w:p>
          <w:p w14:paraId="2D772C26">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申报情形</w:t>
            </w:r>
          </w:p>
        </w:tc>
        <w:tc>
          <w:tcPr>
            <w:tcW w:w="2738" w:type="dxa"/>
            <w:gridSpan w:val="2"/>
            <w:noWrap w:val="0"/>
            <w:vAlign w:val="center"/>
          </w:tcPr>
          <w:p w14:paraId="2BF593D4">
            <w:pPr>
              <w:adjustRightInd w:val="0"/>
              <w:snapToGrid w:val="0"/>
              <w:jc w:val="left"/>
              <w:rPr>
                <w:rFonts w:hint="default" w:ascii="Times New Roman" w:hAnsi="Times New Roman" w:cs="Times New Roman"/>
                <w:sz w:val="24"/>
                <w:highlight w:val="none"/>
              </w:rPr>
            </w:pPr>
            <w:r>
              <w:rPr>
                <w:rFonts w:hint="eastAsia" w:cs="Times New Roman"/>
                <w:sz w:val="24"/>
                <w:highlight w:val="none"/>
                <w:lang w:eastAsia="zh-CN"/>
              </w:rPr>
              <w:t>☑</w:t>
            </w:r>
            <w:r>
              <w:rPr>
                <w:rFonts w:hint="default" w:ascii="Times New Roman" w:hAnsi="Times New Roman" w:cs="Times New Roman"/>
                <w:sz w:val="24"/>
                <w:highlight w:val="none"/>
              </w:rPr>
              <w:t>首次申报项目</w:t>
            </w:r>
          </w:p>
          <w:p w14:paraId="4C96817B">
            <w:pPr>
              <w:adjustRightInd w:val="0"/>
              <w:snapToGrid w:val="0"/>
              <w:jc w:val="left"/>
              <w:rPr>
                <w:rFonts w:hint="default" w:ascii="Times New Roman" w:hAnsi="Times New Roman" w:cs="Times New Roman"/>
                <w:sz w:val="24"/>
                <w:highlight w:val="none"/>
              </w:rPr>
            </w:pPr>
            <w:r>
              <w:rPr>
                <w:rFonts w:hint="eastAsia" w:cs="Times New Roman"/>
                <w:sz w:val="24"/>
                <w:highlight w:val="none"/>
                <w:lang w:eastAsia="zh-CN"/>
              </w:rPr>
              <w:t>□</w:t>
            </w:r>
            <w:r>
              <w:rPr>
                <w:rFonts w:hint="default" w:ascii="Times New Roman" w:hAnsi="Times New Roman" w:cs="Times New Roman"/>
                <w:sz w:val="24"/>
                <w:highlight w:val="none"/>
              </w:rPr>
              <w:t>不予批准后再次申报项目</w:t>
            </w:r>
          </w:p>
          <w:p w14:paraId="63B1B592">
            <w:pPr>
              <w:adjustRightInd w:val="0"/>
              <w:snapToGrid w:val="0"/>
              <w:jc w:val="left"/>
              <w:rPr>
                <w:rFonts w:hint="default" w:ascii="Times New Roman" w:hAnsi="Times New Roman" w:cs="Times New Roman"/>
                <w:sz w:val="24"/>
                <w:highlight w:val="none"/>
              </w:rPr>
            </w:pPr>
            <w:r>
              <w:rPr>
                <w:rFonts w:hint="eastAsia" w:cs="Times New Roman"/>
                <w:sz w:val="24"/>
                <w:highlight w:val="none"/>
                <w:lang w:eastAsia="zh-CN"/>
              </w:rPr>
              <w:t>□</w:t>
            </w:r>
            <w:r>
              <w:rPr>
                <w:rFonts w:hint="default" w:ascii="Times New Roman" w:hAnsi="Times New Roman" w:cs="Times New Roman"/>
                <w:sz w:val="24"/>
                <w:highlight w:val="none"/>
              </w:rPr>
              <w:t>超五年重新审核项目</w:t>
            </w:r>
          </w:p>
          <w:p w14:paraId="45B1876A">
            <w:pPr>
              <w:adjustRightInd w:val="0"/>
              <w:snapToGrid w:val="0"/>
              <w:rPr>
                <w:rFonts w:hint="default" w:ascii="Times New Roman" w:hAnsi="Times New Roman" w:cs="Times New Roman"/>
                <w:sz w:val="24"/>
                <w:highlight w:val="none"/>
              </w:rPr>
            </w:pPr>
            <w:r>
              <w:rPr>
                <w:rFonts w:hint="eastAsia" w:cs="Times New Roman"/>
                <w:sz w:val="24"/>
                <w:highlight w:val="none"/>
                <w:lang w:eastAsia="zh-CN"/>
              </w:rPr>
              <w:t>□</w:t>
            </w:r>
            <w:r>
              <w:rPr>
                <w:rFonts w:hint="default" w:ascii="Times New Roman" w:hAnsi="Times New Roman" w:cs="Times New Roman"/>
                <w:sz w:val="24"/>
                <w:highlight w:val="none"/>
              </w:rPr>
              <w:t>重大变动重新报批项目</w:t>
            </w:r>
          </w:p>
        </w:tc>
      </w:tr>
      <w:tr w14:paraId="161772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795" w:type="dxa"/>
            <w:noWrap w:val="0"/>
            <w:tcMar>
              <w:top w:w="16" w:type="dxa"/>
              <w:left w:w="16" w:type="dxa"/>
              <w:right w:w="16" w:type="dxa"/>
            </w:tcMar>
            <w:vAlign w:val="center"/>
          </w:tcPr>
          <w:p w14:paraId="265EEA38">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项目审批（核准/</w:t>
            </w:r>
          </w:p>
          <w:p w14:paraId="1DAA4E1A">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备案）部门（选填）</w:t>
            </w:r>
          </w:p>
        </w:tc>
        <w:tc>
          <w:tcPr>
            <w:tcW w:w="2289" w:type="dxa"/>
            <w:noWrap w:val="0"/>
            <w:vAlign w:val="center"/>
          </w:tcPr>
          <w:p w14:paraId="2CAC7C68">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lang w:val="en-US" w:eastAsia="zh-CN"/>
              </w:rPr>
              <w:t>杭锦旗工信和科技局</w:t>
            </w:r>
          </w:p>
        </w:tc>
        <w:tc>
          <w:tcPr>
            <w:tcW w:w="2217" w:type="dxa"/>
            <w:noWrap w:val="0"/>
            <w:vAlign w:val="center"/>
          </w:tcPr>
          <w:p w14:paraId="2B08706F">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项目审批（核准/</w:t>
            </w:r>
          </w:p>
          <w:p w14:paraId="4B619928">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备案）文号（选填）</w:t>
            </w:r>
          </w:p>
        </w:tc>
        <w:tc>
          <w:tcPr>
            <w:tcW w:w="2738" w:type="dxa"/>
            <w:gridSpan w:val="2"/>
            <w:noWrap w:val="0"/>
            <w:vAlign w:val="center"/>
          </w:tcPr>
          <w:p w14:paraId="2F679353">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2508-150625-07-02-100656</w:t>
            </w:r>
          </w:p>
        </w:tc>
      </w:tr>
      <w:tr w14:paraId="75B833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795" w:type="dxa"/>
            <w:noWrap w:val="0"/>
            <w:tcMar>
              <w:top w:w="16" w:type="dxa"/>
              <w:left w:w="16" w:type="dxa"/>
              <w:right w:w="16" w:type="dxa"/>
            </w:tcMar>
            <w:vAlign w:val="center"/>
          </w:tcPr>
          <w:p w14:paraId="2AE499B3">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总投资（万元）</w:t>
            </w:r>
          </w:p>
        </w:tc>
        <w:tc>
          <w:tcPr>
            <w:tcW w:w="2289" w:type="dxa"/>
            <w:noWrap w:val="0"/>
            <w:vAlign w:val="center"/>
          </w:tcPr>
          <w:p w14:paraId="3F34ADDF">
            <w:pPr>
              <w:adjustRightInd w:val="0"/>
              <w:snapToGrid w:val="0"/>
              <w:jc w:val="center"/>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lang w:val="en-US" w:eastAsia="zh-CN"/>
              </w:rPr>
              <w:t>4191.02</w:t>
            </w:r>
          </w:p>
        </w:tc>
        <w:tc>
          <w:tcPr>
            <w:tcW w:w="2217" w:type="dxa"/>
            <w:noWrap w:val="0"/>
            <w:tcMar>
              <w:top w:w="16" w:type="dxa"/>
              <w:left w:w="16" w:type="dxa"/>
              <w:right w:w="16" w:type="dxa"/>
            </w:tcMar>
            <w:vAlign w:val="center"/>
          </w:tcPr>
          <w:p w14:paraId="7BF2CA16">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环保投资（万元）</w:t>
            </w:r>
          </w:p>
        </w:tc>
        <w:tc>
          <w:tcPr>
            <w:tcW w:w="2738" w:type="dxa"/>
            <w:gridSpan w:val="2"/>
            <w:noWrap w:val="0"/>
            <w:vAlign w:val="center"/>
          </w:tcPr>
          <w:p w14:paraId="49B66C60">
            <w:pPr>
              <w:adjustRightInd w:val="0"/>
              <w:snapToGrid w:val="0"/>
              <w:jc w:val="center"/>
              <w:rPr>
                <w:rFonts w:hint="default" w:ascii="Times New Roman" w:hAnsi="Times New Roman" w:eastAsia="宋体" w:cs="Times New Roman"/>
                <w:sz w:val="24"/>
                <w:highlight w:val="none"/>
                <w:lang w:val="en-US" w:eastAsia="zh-CN"/>
              </w:rPr>
            </w:pPr>
            <w:r>
              <w:rPr>
                <w:rFonts w:hint="eastAsia" w:ascii="Times New Roman" w:hAnsi="Times New Roman" w:cs="Times New Roman"/>
                <w:sz w:val="24"/>
                <w:highlight w:val="none"/>
                <w:lang w:val="en-US" w:eastAsia="zh-CN"/>
              </w:rPr>
              <w:t>50</w:t>
            </w:r>
          </w:p>
        </w:tc>
      </w:tr>
      <w:tr w14:paraId="140FC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795" w:type="dxa"/>
            <w:noWrap w:val="0"/>
            <w:tcMar>
              <w:top w:w="16" w:type="dxa"/>
              <w:left w:w="16" w:type="dxa"/>
              <w:right w:w="16" w:type="dxa"/>
            </w:tcMar>
            <w:vAlign w:val="center"/>
          </w:tcPr>
          <w:p w14:paraId="5BD48E1D">
            <w:pPr>
              <w:adjustRightInd w:val="0"/>
              <w:snapToGrid w:val="0"/>
              <w:jc w:val="center"/>
              <w:rPr>
                <w:rFonts w:hint="default" w:ascii="Times New Roman" w:hAnsi="Times New Roman" w:cs="Times New Roman"/>
                <w:color w:val="1900FF"/>
                <w:sz w:val="24"/>
                <w:highlight w:val="none"/>
              </w:rPr>
            </w:pPr>
            <w:r>
              <w:rPr>
                <w:rFonts w:hint="default" w:ascii="Times New Roman" w:hAnsi="Times New Roman" w:cs="Times New Roman"/>
                <w:sz w:val="24"/>
                <w:highlight w:val="none"/>
              </w:rPr>
              <w:t>环保投资占比（%）</w:t>
            </w:r>
          </w:p>
        </w:tc>
        <w:tc>
          <w:tcPr>
            <w:tcW w:w="2289" w:type="dxa"/>
            <w:noWrap w:val="0"/>
            <w:vAlign w:val="center"/>
          </w:tcPr>
          <w:p w14:paraId="7D8F49B4">
            <w:pPr>
              <w:adjustRightInd w:val="0"/>
              <w:snapToGrid w:val="0"/>
              <w:jc w:val="center"/>
              <w:rPr>
                <w:rFonts w:hint="default" w:ascii="Times New Roman" w:hAnsi="Times New Roman" w:eastAsia="宋体" w:cs="Times New Roman"/>
                <w:sz w:val="24"/>
                <w:highlight w:val="none"/>
                <w:lang w:val="en-US" w:eastAsia="zh-CN"/>
              </w:rPr>
            </w:pPr>
            <w:r>
              <w:rPr>
                <w:rFonts w:hint="eastAsia" w:ascii="Times New Roman" w:hAnsi="Times New Roman" w:cs="Times New Roman"/>
                <w:sz w:val="24"/>
                <w:highlight w:val="none"/>
                <w:lang w:val="en-US" w:eastAsia="zh-CN"/>
              </w:rPr>
              <w:t>1.19</w:t>
            </w:r>
          </w:p>
        </w:tc>
        <w:tc>
          <w:tcPr>
            <w:tcW w:w="2217" w:type="dxa"/>
            <w:noWrap w:val="0"/>
            <w:tcMar>
              <w:top w:w="16" w:type="dxa"/>
              <w:left w:w="16" w:type="dxa"/>
              <w:right w:w="16" w:type="dxa"/>
            </w:tcMar>
            <w:vAlign w:val="center"/>
          </w:tcPr>
          <w:p w14:paraId="7E3D6D22">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施工工期</w:t>
            </w:r>
          </w:p>
        </w:tc>
        <w:tc>
          <w:tcPr>
            <w:tcW w:w="2738" w:type="dxa"/>
            <w:gridSpan w:val="2"/>
            <w:noWrap w:val="0"/>
            <w:vAlign w:val="center"/>
          </w:tcPr>
          <w:p w14:paraId="21E92287">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12个月</w:t>
            </w:r>
          </w:p>
        </w:tc>
      </w:tr>
      <w:tr w14:paraId="311FC4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795" w:type="dxa"/>
            <w:noWrap w:val="0"/>
            <w:tcMar>
              <w:top w:w="16" w:type="dxa"/>
              <w:left w:w="16" w:type="dxa"/>
              <w:right w:w="16" w:type="dxa"/>
            </w:tcMar>
            <w:vAlign w:val="center"/>
          </w:tcPr>
          <w:p w14:paraId="13F82667">
            <w:pPr>
              <w:adjustRightInd w:val="0"/>
              <w:snapToGrid w:val="0"/>
              <w:jc w:val="center"/>
              <w:rPr>
                <w:rFonts w:hint="default" w:ascii="Times New Roman" w:hAnsi="Times New Roman" w:cs="Times New Roman"/>
                <w:sz w:val="24"/>
                <w:highlight w:val="none"/>
              </w:rPr>
            </w:pPr>
            <w:r>
              <w:rPr>
                <w:rFonts w:hint="default" w:ascii="Times New Roman" w:hAnsi="Times New Roman" w:cs="Times New Roman"/>
                <w:sz w:val="24"/>
                <w:highlight w:val="none"/>
              </w:rPr>
              <w:t>是否开工建设</w:t>
            </w:r>
          </w:p>
        </w:tc>
        <w:tc>
          <w:tcPr>
            <w:tcW w:w="7244" w:type="dxa"/>
            <w:gridSpan w:val="4"/>
            <w:noWrap w:val="0"/>
            <w:vAlign w:val="center"/>
          </w:tcPr>
          <w:p w14:paraId="00BE032F">
            <w:pPr>
              <w:adjustRightInd w:val="0"/>
              <w:snapToGrid w:val="0"/>
              <w:ind w:firstLine="105"/>
              <w:jc w:val="left"/>
              <w:rPr>
                <w:rFonts w:hint="default" w:ascii="Times New Roman" w:hAnsi="Times New Roman" w:cs="Times New Roman"/>
                <w:sz w:val="24"/>
                <w:highlight w:val="none"/>
              </w:rPr>
            </w:pPr>
            <w:r>
              <w:rPr>
                <w:rFonts w:hint="eastAsia" w:cs="Times New Roman"/>
                <w:sz w:val="24"/>
                <w:highlight w:val="none"/>
                <w:lang w:eastAsia="zh-CN"/>
              </w:rPr>
              <w:t>☑</w:t>
            </w:r>
            <w:r>
              <w:rPr>
                <w:rFonts w:hint="default" w:ascii="Times New Roman" w:hAnsi="Times New Roman" w:cs="Times New Roman"/>
                <w:sz w:val="24"/>
                <w:highlight w:val="none"/>
              </w:rPr>
              <w:t>否</w:t>
            </w:r>
          </w:p>
          <w:p w14:paraId="3234492D">
            <w:pPr>
              <w:adjustRightInd w:val="0"/>
              <w:snapToGrid w:val="0"/>
              <w:ind w:firstLine="92"/>
              <w:jc w:val="left"/>
              <w:rPr>
                <w:rFonts w:hint="default" w:ascii="Times New Roman" w:hAnsi="Times New Roman" w:cs="Times New Roman"/>
                <w:sz w:val="24"/>
                <w:highlight w:val="none"/>
              </w:rPr>
            </w:pPr>
            <w:r>
              <w:rPr>
                <w:rFonts w:hint="eastAsia" w:cs="Times New Roman"/>
                <w:sz w:val="24"/>
                <w:highlight w:val="none"/>
                <w:lang w:eastAsia="zh-CN"/>
              </w:rPr>
              <w:t>□</w:t>
            </w:r>
            <w:r>
              <w:rPr>
                <w:rFonts w:hint="default" w:ascii="Times New Roman" w:hAnsi="Times New Roman" w:cs="Times New Roman"/>
                <w:sz w:val="24"/>
                <w:highlight w:val="none"/>
              </w:rPr>
              <w:t>是：</w:t>
            </w:r>
          </w:p>
        </w:tc>
      </w:tr>
      <w:tr w14:paraId="7C7E20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95" w:type="dxa"/>
            <w:noWrap w:val="0"/>
            <w:tcMar>
              <w:top w:w="16" w:type="dxa"/>
              <w:left w:w="16" w:type="dxa"/>
              <w:right w:w="16" w:type="dxa"/>
            </w:tcMar>
            <w:vAlign w:val="center"/>
          </w:tcPr>
          <w:p w14:paraId="3C25BA13">
            <w:pPr>
              <w:autoSpaceDE w:val="0"/>
              <w:autoSpaceDN w:val="0"/>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 w:val="24"/>
                <w:highlight w:val="none"/>
              </w:rPr>
              <w:t>专项评价设置情况</w:t>
            </w:r>
          </w:p>
        </w:tc>
        <w:tc>
          <w:tcPr>
            <w:tcW w:w="7244" w:type="dxa"/>
            <w:gridSpan w:val="4"/>
            <w:noWrap w:val="0"/>
            <w:tcMar>
              <w:top w:w="16" w:type="dxa"/>
              <w:left w:w="16" w:type="dxa"/>
              <w:right w:w="16" w:type="dxa"/>
            </w:tcMar>
            <w:vAlign w:val="center"/>
          </w:tcPr>
          <w:p w14:paraId="2D44FC9E">
            <w:pPr>
              <w:autoSpaceDE w:val="0"/>
              <w:autoSpaceDN w:val="0"/>
              <w:adjustRightInd w:val="0"/>
              <w:snapToGrid w:val="0"/>
              <w:spacing w:line="360" w:lineRule="auto"/>
              <w:ind w:firstLine="480" w:firstLineChars="200"/>
              <w:rPr>
                <w:rFonts w:hint="default" w:ascii="Times New Roman" w:hAnsi="Times New Roman" w:cs="Times New Roman"/>
                <w:kern w:val="0"/>
                <w:sz w:val="24"/>
                <w:highlight w:val="none"/>
              </w:rPr>
            </w:pPr>
            <w:r>
              <w:rPr>
                <w:rFonts w:hint="default" w:ascii="Times New Roman" w:hAnsi="Times New Roman" w:cs="Times New Roman"/>
                <w:sz w:val="24"/>
                <w:szCs w:val="32"/>
                <w:highlight w:val="none"/>
                <w:lang w:val="en-US" w:eastAsia="zh-CN"/>
              </w:rPr>
              <w:t>本项目部分管线位于厂区外，属于</w:t>
            </w:r>
            <w:r>
              <w:rPr>
                <w:rFonts w:hint="default" w:ascii="Times New Roman" w:hAnsi="Times New Roman" w:cs="Times New Roman"/>
                <w:sz w:val="24"/>
                <w:szCs w:val="32"/>
                <w:highlight w:val="none"/>
              </w:rPr>
              <w:t>危险化学品输送管线（不含企业厂区内管线），</w:t>
            </w:r>
            <w:r>
              <w:rPr>
                <w:rFonts w:hint="eastAsia" w:cs="Times New Roman"/>
                <w:sz w:val="24"/>
                <w:szCs w:val="32"/>
                <w:highlight w:val="none"/>
                <w:lang w:eastAsia="zh-CN"/>
              </w:rPr>
              <w:t>因此</w:t>
            </w:r>
            <w:r>
              <w:rPr>
                <w:rFonts w:hint="default" w:ascii="Times New Roman" w:hAnsi="Times New Roman" w:cs="Times New Roman"/>
                <w:sz w:val="24"/>
                <w:szCs w:val="32"/>
                <w:highlight w:val="none"/>
              </w:rPr>
              <w:t>需要设置环境风险专项评价。</w:t>
            </w:r>
            <w:r>
              <w:rPr>
                <w:rFonts w:hint="default" w:ascii="Times New Roman" w:hAnsi="Times New Roman" w:cs="Times New Roman"/>
                <w:kern w:val="0"/>
                <w:sz w:val="24"/>
                <w:highlight w:val="none"/>
              </w:rPr>
              <w:t>专项评价判定</w:t>
            </w:r>
            <w:r>
              <w:rPr>
                <w:rFonts w:hint="eastAsia" w:cs="Times New Roman"/>
                <w:kern w:val="0"/>
                <w:sz w:val="24"/>
                <w:highlight w:val="none"/>
                <w:lang w:eastAsia="zh-CN"/>
              </w:rPr>
              <w:t>标准</w:t>
            </w:r>
            <w:r>
              <w:rPr>
                <w:rFonts w:hint="default" w:ascii="Times New Roman" w:hAnsi="Times New Roman" w:cs="Times New Roman"/>
                <w:kern w:val="0"/>
                <w:sz w:val="24"/>
                <w:highlight w:val="none"/>
              </w:rPr>
              <w:t>见表1-1。</w:t>
            </w:r>
          </w:p>
          <w:p w14:paraId="45EC8803">
            <w:pPr>
              <w:autoSpaceDE w:val="0"/>
              <w:autoSpaceDN w:val="0"/>
              <w:adjustRightInd w:val="0"/>
              <w:snapToGrid w:val="0"/>
              <w:spacing w:line="360" w:lineRule="auto"/>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 xml:space="preserve">表1-1 </w:t>
            </w:r>
            <w:r>
              <w:rPr>
                <w:rFonts w:hint="eastAsia" w:cs="Times New Roman"/>
                <w:b/>
                <w:bCs/>
                <w:sz w:val="21"/>
                <w:szCs w:val="21"/>
                <w:highlight w:val="none"/>
                <w:lang w:val="en-US" w:eastAsia="zh-CN"/>
              </w:rPr>
              <w:t xml:space="preserve"> </w:t>
            </w:r>
            <w:r>
              <w:rPr>
                <w:rFonts w:hint="default" w:ascii="Times New Roman" w:hAnsi="Times New Roman" w:cs="Times New Roman"/>
                <w:b/>
                <w:bCs/>
                <w:sz w:val="21"/>
                <w:szCs w:val="21"/>
                <w:highlight w:val="none"/>
              </w:rPr>
              <w:t xml:space="preserve"> 专项评价设置原则表</w:t>
            </w:r>
          </w:p>
          <w:tbl>
            <w:tblPr>
              <w:tblStyle w:val="19"/>
              <w:tblW w:w="48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3994"/>
              <w:gridCol w:w="1131"/>
              <w:gridCol w:w="925"/>
            </w:tblGrid>
            <w:tr w14:paraId="112E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95" w:type="pct"/>
                  <w:noWrap w:val="0"/>
                  <w:vAlign w:val="center"/>
                </w:tcPr>
                <w:p w14:paraId="3CFC68C5">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专项评价的类别</w:t>
                  </w:r>
                </w:p>
              </w:tc>
              <w:tc>
                <w:tcPr>
                  <w:tcW w:w="2842" w:type="pct"/>
                  <w:noWrap w:val="0"/>
                  <w:vAlign w:val="center"/>
                </w:tcPr>
                <w:p w14:paraId="5315FD0A">
                  <w:pPr>
                    <w:kinsoku w:val="0"/>
                    <w:autoSpaceDE w:val="0"/>
                    <w:autoSpaceDN w:val="0"/>
                    <w:adjustRightInd w:val="0"/>
                    <w:snapToGrid w:val="0"/>
                    <w:jc w:val="center"/>
                    <w:textAlignment w:val="baseline"/>
                    <w:rPr>
                      <w:rFonts w:hint="default" w:ascii="Times New Roman" w:hAnsi="Times New Roman"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涉及项目类别</w:t>
                  </w:r>
                </w:p>
              </w:tc>
              <w:tc>
                <w:tcPr>
                  <w:tcW w:w="805" w:type="pct"/>
                  <w:noWrap w:val="0"/>
                  <w:vAlign w:val="center"/>
                </w:tcPr>
                <w:p w14:paraId="38E333AB">
                  <w:pPr>
                    <w:kinsoku w:val="0"/>
                    <w:autoSpaceDE w:val="0"/>
                    <w:autoSpaceDN w:val="0"/>
                    <w:adjustRightInd w:val="0"/>
                    <w:snapToGrid w:val="0"/>
                    <w:jc w:val="center"/>
                    <w:textAlignment w:val="baseline"/>
                    <w:rPr>
                      <w:rFonts w:hint="default" w:ascii="Times New Roman" w:hAnsi="Times New Roman"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本项目情况</w:t>
                  </w:r>
                </w:p>
              </w:tc>
              <w:tc>
                <w:tcPr>
                  <w:tcW w:w="655" w:type="pct"/>
                  <w:noWrap w:val="0"/>
                  <w:vAlign w:val="center"/>
                </w:tcPr>
                <w:p w14:paraId="7FF8D4C0">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是否设置专项评价</w:t>
                  </w:r>
                </w:p>
              </w:tc>
            </w:tr>
            <w:tr w14:paraId="46D2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6" w:hRule="atLeast"/>
                <w:jc w:val="center"/>
              </w:trPr>
              <w:tc>
                <w:tcPr>
                  <w:tcW w:w="695" w:type="pct"/>
                  <w:noWrap w:val="0"/>
                  <w:vAlign w:val="center"/>
                </w:tcPr>
                <w:p w14:paraId="37B421B1">
                  <w:pPr>
                    <w:kinsoku w:val="0"/>
                    <w:autoSpaceDE w:val="0"/>
                    <w:autoSpaceDN w:val="0"/>
                    <w:adjustRightInd w:val="0"/>
                    <w:snapToGrid w:val="0"/>
                    <w:jc w:val="center"/>
                    <w:textAlignment w:val="baseline"/>
                    <w:rPr>
                      <w:rFonts w:hint="default" w:ascii="Times New Roman" w:hAnsi="Times New Roman"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地表水</w:t>
                  </w:r>
                </w:p>
              </w:tc>
              <w:tc>
                <w:tcPr>
                  <w:tcW w:w="2842" w:type="pct"/>
                  <w:noWrap w:val="0"/>
                  <w:vAlign w:val="center"/>
                </w:tcPr>
                <w:p w14:paraId="6903673F">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lang w:bidi="ar"/>
                    </w:rPr>
                  </w:pPr>
                  <w:r>
                    <w:rPr>
                      <w:rFonts w:hint="default" w:ascii="Times New Roman" w:hAnsi="Times New Roman" w:eastAsia="Arial" w:cs="Times New Roman"/>
                      <w:b w:val="0"/>
                      <w:bCs w:val="0"/>
                      <w:kern w:val="0"/>
                      <w:szCs w:val="21"/>
                      <w:highlight w:val="none"/>
                      <w:lang w:bidi="ar"/>
                    </w:rPr>
                    <w:t>水力发电：引水式发电、涉及调峰发电的项目；</w:t>
                  </w:r>
                </w:p>
                <w:p w14:paraId="1CE77B96">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lang w:bidi="ar"/>
                    </w:rPr>
                  </w:pPr>
                  <w:r>
                    <w:rPr>
                      <w:rFonts w:hint="default" w:ascii="Times New Roman" w:hAnsi="Times New Roman" w:eastAsia="Arial" w:cs="Times New Roman"/>
                      <w:b w:val="0"/>
                      <w:bCs w:val="0"/>
                      <w:kern w:val="0"/>
                      <w:szCs w:val="21"/>
                      <w:highlight w:val="none"/>
                      <w:lang w:bidi="ar"/>
                    </w:rPr>
                    <w:t>人工湖、人工湿地：全部；</w:t>
                  </w:r>
                </w:p>
                <w:p w14:paraId="439BCEA7">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lang w:bidi="ar"/>
                    </w:rPr>
                  </w:pPr>
                  <w:r>
                    <w:rPr>
                      <w:rFonts w:hint="default" w:ascii="Times New Roman" w:hAnsi="Times New Roman" w:eastAsia="Arial" w:cs="Times New Roman"/>
                      <w:b w:val="0"/>
                      <w:bCs w:val="0"/>
                      <w:kern w:val="0"/>
                      <w:szCs w:val="21"/>
                      <w:highlight w:val="none"/>
                      <w:lang w:bidi="ar"/>
                    </w:rPr>
                    <w:t>水库：全部；</w:t>
                  </w:r>
                </w:p>
                <w:p w14:paraId="6132393D">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lang w:bidi="ar"/>
                    </w:rPr>
                  </w:pPr>
                  <w:r>
                    <w:rPr>
                      <w:rFonts w:hint="default" w:ascii="Times New Roman" w:hAnsi="Times New Roman" w:eastAsia="Arial" w:cs="Times New Roman"/>
                      <w:b w:val="0"/>
                      <w:bCs w:val="0"/>
                      <w:kern w:val="0"/>
                      <w:szCs w:val="21"/>
                      <w:highlight w:val="none"/>
                      <w:lang w:bidi="ar"/>
                    </w:rPr>
                    <w:t>引水工程：全部（配套的管线工程等除外）；</w:t>
                  </w:r>
                </w:p>
                <w:p w14:paraId="453BD706">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lang w:bidi="ar"/>
                    </w:rPr>
                  </w:pPr>
                  <w:r>
                    <w:rPr>
                      <w:rFonts w:hint="default" w:ascii="Times New Roman" w:hAnsi="Times New Roman" w:eastAsia="Arial" w:cs="Times New Roman"/>
                      <w:b w:val="0"/>
                      <w:bCs w:val="0"/>
                      <w:kern w:val="0"/>
                      <w:szCs w:val="21"/>
                      <w:highlight w:val="none"/>
                      <w:lang w:bidi="ar"/>
                    </w:rPr>
                    <w:t>防洪除涝工程：包含水库的项目；</w:t>
                  </w:r>
                </w:p>
                <w:p w14:paraId="1574575E">
                  <w:pPr>
                    <w:kinsoku w:val="0"/>
                    <w:autoSpaceDE w:val="0"/>
                    <w:autoSpaceDN w:val="0"/>
                    <w:adjustRightInd w:val="0"/>
                    <w:snapToGrid w:val="0"/>
                    <w:jc w:val="center"/>
                    <w:textAlignment w:val="baseline"/>
                    <w:rPr>
                      <w:rFonts w:hint="eastAsia" w:ascii="Times New Roman" w:hAnsi="Times New Roman" w:eastAsia="宋体" w:cs="Times New Roman"/>
                      <w:b w:val="0"/>
                      <w:bCs w:val="0"/>
                      <w:kern w:val="0"/>
                      <w:szCs w:val="21"/>
                      <w:highlight w:val="none"/>
                      <w:lang w:eastAsia="zh-CN"/>
                    </w:rPr>
                  </w:pPr>
                  <w:r>
                    <w:rPr>
                      <w:rFonts w:hint="default" w:ascii="Times New Roman" w:hAnsi="Times New Roman" w:eastAsia="Arial" w:cs="Times New Roman"/>
                      <w:b w:val="0"/>
                      <w:bCs w:val="0"/>
                      <w:kern w:val="0"/>
                      <w:szCs w:val="21"/>
                      <w:highlight w:val="none"/>
                      <w:lang w:bidi="ar"/>
                    </w:rPr>
                    <w:t>河湖整治：涉及清淤且底泥存在重金属污染的项目</w:t>
                  </w:r>
                  <w:r>
                    <w:rPr>
                      <w:rFonts w:hint="eastAsia" w:eastAsia="宋体" w:cs="Times New Roman"/>
                      <w:b w:val="0"/>
                      <w:bCs w:val="0"/>
                      <w:kern w:val="0"/>
                      <w:szCs w:val="21"/>
                      <w:highlight w:val="none"/>
                      <w:lang w:eastAsia="zh-CN" w:bidi="ar"/>
                    </w:rPr>
                    <w:t>。</w:t>
                  </w:r>
                </w:p>
              </w:tc>
              <w:tc>
                <w:tcPr>
                  <w:tcW w:w="805" w:type="pct"/>
                  <w:noWrap w:val="0"/>
                  <w:vAlign w:val="center"/>
                </w:tcPr>
                <w:p w14:paraId="5BA1E600">
                  <w:pPr>
                    <w:kinsoku w:val="0"/>
                    <w:autoSpaceDE w:val="0"/>
                    <w:autoSpaceDN w:val="0"/>
                    <w:adjustRightInd w:val="0"/>
                    <w:snapToGrid w:val="0"/>
                    <w:jc w:val="center"/>
                    <w:textAlignment w:val="baseline"/>
                    <w:rPr>
                      <w:rFonts w:hint="default" w:ascii="Times New Roman" w:hAnsi="Times New Roman"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本项目不涉及</w:t>
                  </w:r>
                </w:p>
              </w:tc>
              <w:tc>
                <w:tcPr>
                  <w:tcW w:w="655" w:type="pct"/>
                  <w:noWrap w:val="0"/>
                  <w:vAlign w:val="center"/>
                </w:tcPr>
                <w:p w14:paraId="2990A8FE">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否</w:t>
                  </w:r>
                </w:p>
              </w:tc>
            </w:tr>
            <w:tr w14:paraId="5DAF0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95" w:type="pct"/>
                  <w:noWrap w:val="0"/>
                  <w:vAlign w:val="center"/>
                </w:tcPr>
                <w:p w14:paraId="1ADD8ADE">
                  <w:pPr>
                    <w:kinsoku w:val="0"/>
                    <w:autoSpaceDE w:val="0"/>
                    <w:autoSpaceDN w:val="0"/>
                    <w:adjustRightInd w:val="0"/>
                    <w:snapToGrid w:val="0"/>
                    <w:jc w:val="center"/>
                    <w:textAlignment w:val="baseline"/>
                    <w:rPr>
                      <w:rFonts w:hint="default" w:ascii="Times New Roman" w:hAnsi="Times New Roman" w:cs="Times New Roman"/>
                      <w:b w:val="0"/>
                      <w:bCs w:val="0"/>
                      <w:kern w:val="0"/>
                      <w:szCs w:val="21"/>
                      <w:highlight w:val="none"/>
                    </w:rPr>
                  </w:pPr>
                  <w:r>
                    <w:rPr>
                      <w:rFonts w:hint="default" w:ascii="Times New Roman" w:hAnsi="Times New Roman" w:cs="Times New Roman"/>
                      <w:b w:val="0"/>
                      <w:bCs w:val="0"/>
                      <w:kern w:val="0"/>
                      <w:szCs w:val="21"/>
                      <w:highlight w:val="none"/>
                    </w:rPr>
                    <w:t>地下水</w:t>
                  </w:r>
                </w:p>
              </w:tc>
              <w:tc>
                <w:tcPr>
                  <w:tcW w:w="2842" w:type="pct"/>
                  <w:noWrap w:val="0"/>
                  <w:vAlign w:val="center"/>
                </w:tcPr>
                <w:p w14:paraId="0FD5468F">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lang w:bidi="ar"/>
                    </w:rPr>
                  </w:pPr>
                  <w:r>
                    <w:rPr>
                      <w:rFonts w:hint="default" w:ascii="Times New Roman" w:hAnsi="Times New Roman" w:eastAsia="Arial" w:cs="Times New Roman"/>
                      <w:b w:val="0"/>
                      <w:bCs w:val="0"/>
                      <w:kern w:val="0"/>
                      <w:szCs w:val="21"/>
                      <w:highlight w:val="none"/>
                      <w:lang w:bidi="ar"/>
                    </w:rPr>
                    <w:t>陆地石油</w:t>
                  </w:r>
                  <w:r>
                    <w:rPr>
                      <w:rFonts w:hint="eastAsia" w:eastAsia="宋体" w:cs="Times New Roman"/>
                      <w:b w:val="0"/>
                      <w:bCs w:val="0"/>
                      <w:kern w:val="0"/>
                      <w:szCs w:val="21"/>
                      <w:highlight w:val="none"/>
                      <w:lang w:eastAsia="zh-CN" w:bidi="ar"/>
                    </w:rPr>
                    <w:t>及</w:t>
                  </w:r>
                  <w:r>
                    <w:rPr>
                      <w:rFonts w:hint="default" w:ascii="Times New Roman" w:hAnsi="Times New Roman" w:eastAsia="Arial" w:cs="Times New Roman"/>
                      <w:b w:val="0"/>
                      <w:bCs w:val="0"/>
                      <w:kern w:val="0"/>
                      <w:szCs w:val="21"/>
                      <w:highlight w:val="none"/>
                      <w:lang w:bidi="ar"/>
                    </w:rPr>
                    <w:t>天然气开采：全部；</w:t>
                  </w:r>
                </w:p>
                <w:p w14:paraId="772C6C49">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lang w:bidi="ar"/>
                    </w:rPr>
                  </w:pPr>
                  <w:r>
                    <w:rPr>
                      <w:rFonts w:hint="default" w:ascii="Times New Roman" w:hAnsi="Times New Roman" w:eastAsia="Arial" w:cs="Times New Roman"/>
                      <w:b w:val="0"/>
                      <w:bCs w:val="0"/>
                      <w:kern w:val="0"/>
                      <w:szCs w:val="21"/>
                      <w:highlight w:val="none"/>
                      <w:lang w:bidi="ar"/>
                    </w:rPr>
                    <w:t>地下水（含矿泉水）开采：全部；</w:t>
                  </w:r>
                </w:p>
                <w:p w14:paraId="701FBA6B">
                  <w:pPr>
                    <w:kinsoku w:val="0"/>
                    <w:autoSpaceDE w:val="0"/>
                    <w:autoSpaceDN w:val="0"/>
                    <w:adjustRightInd w:val="0"/>
                    <w:snapToGrid w:val="0"/>
                    <w:jc w:val="center"/>
                    <w:textAlignment w:val="baseline"/>
                    <w:rPr>
                      <w:rFonts w:hint="eastAsia" w:ascii="Times New Roman" w:hAnsi="Times New Roman" w:eastAsia="宋体" w:cs="Times New Roman"/>
                      <w:b w:val="0"/>
                      <w:bCs w:val="0"/>
                      <w:kern w:val="0"/>
                      <w:szCs w:val="21"/>
                      <w:highlight w:val="none"/>
                      <w:lang w:eastAsia="zh-CN"/>
                    </w:rPr>
                  </w:pPr>
                  <w:r>
                    <w:rPr>
                      <w:rFonts w:hint="default" w:ascii="Times New Roman" w:hAnsi="Times New Roman" w:eastAsia="Arial" w:cs="Times New Roman"/>
                      <w:b w:val="0"/>
                      <w:bCs w:val="0"/>
                      <w:kern w:val="0"/>
                      <w:szCs w:val="21"/>
                      <w:highlight w:val="none"/>
                      <w:lang w:bidi="ar"/>
                    </w:rPr>
                    <w:t>水利、水电、交通等：含穿越可溶岩地层隧道的项目</w:t>
                  </w:r>
                  <w:r>
                    <w:rPr>
                      <w:rFonts w:hint="eastAsia" w:eastAsia="宋体" w:cs="Times New Roman"/>
                      <w:b w:val="0"/>
                      <w:bCs w:val="0"/>
                      <w:kern w:val="0"/>
                      <w:szCs w:val="21"/>
                      <w:highlight w:val="none"/>
                      <w:lang w:eastAsia="zh-CN" w:bidi="ar"/>
                    </w:rPr>
                    <w:t>。</w:t>
                  </w:r>
                </w:p>
              </w:tc>
              <w:tc>
                <w:tcPr>
                  <w:tcW w:w="805" w:type="pct"/>
                  <w:noWrap w:val="0"/>
                  <w:vAlign w:val="center"/>
                </w:tcPr>
                <w:p w14:paraId="67C249D9">
                  <w:pPr>
                    <w:kinsoku w:val="0"/>
                    <w:autoSpaceDE w:val="0"/>
                    <w:autoSpaceDN w:val="0"/>
                    <w:adjustRightInd w:val="0"/>
                    <w:snapToGrid w:val="0"/>
                    <w:jc w:val="center"/>
                    <w:textAlignment w:val="baseline"/>
                    <w:rPr>
                      <w:rFonts w:hint="default" w:ascii="Times New Roman" w:hAnsi="Times New Roman"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本项目不涉及</w:t>
                  </w:r>
                </w:p>
              </w:tc>
              <w:tc>
                <w:tcPr>
                  <w:tcW w:w="655" w:type="pct"/>
                  <w:noWrap w:val="0"/>
                  <w:vAlign w:val="center"/>
                </w:tcPr>
                <w:p w14:paraId="7BF13767">
                  <w:pPr>
                    <w:kinsoku w:val="0"/>
                    <w:autoSpaceDE w:val="0"/>
                    <w:autoSpaceDN w:val="0"/>
                    <w:adjustRightInd w:val="0"/>
                    <w:snapToGrid w:val="0"/>
                    <w:jc w:val="center"/>
                    <w:textAlignment w:val="baseline"/>
                    <w:rPr>
                      <w:rFonts w:hint="default" w:ascii="Times New Roman" w:hAnsi="Times New Roman"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否</w:t>
                  </w:r>
                </w:p>
              </w:tc>
            </w:tr>
            <w:tr w14:paraId="5122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695" w:type="pct"/>
                  <w:noWrap w:val="0"/>
                  <w:vAlign w:val="center"/>
                </w:tcPr>
                <w:p w14:paraId="4EA3F29C">
                  <w:pPr>
                    <w:kinsoku w:val="0"/>
                    <w:autoSpaceDE w:val="0"/>
                    <w:autoSpaceDN w:val="0"/>
                    <w:adjustRightInd w:val="0"/>
                    <w:snapToGrid w:val="0"/>
                    <w:jc w:val="center"/>
                    <w:textAlignment w:val="baseline"/>
                    <w:rPr>
                      <w:rFonts w:hint="default" w:ascii="Times New Roman" w:hAnsi="Times New Roman"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生态</w:t>
                  </w:r>
                </w:p>
              </w:tc>
              <w:tc>
                <w:tcPr>
                  <w:tcW w:w="2842" w:type="pct"/>
                  <w:noWrap w:val="0"/>
                  <w:vAlign w:val="center"/>
                </w:tcPr>
                <w:p w14:paraId="065CB9DA">
                  <w:pPr>
                    <w:kinsoku w:val="0"/>
                    <w:autoSpaceDE w:val="0"/>
                    <w:autoSpaceDN w:val="0"/>
                    <w:adjustRightInd w:val="0"/>
                    <w:snapToGrid w:val="0"/>
                    <w:jc w:val="center"/>
                    <w:textAlignment w:val="baseline"/>
                    <w:rPr>
                      <w:rFonts w:hint="eastAsia" w:ascii="Times New Roman" w:hAnsi="Times New Roman" w:eastAsia="宋体" w:cs="Times New Roman"/>
                      <w:b w:val="0"/>
                      <w:bCs w:val="0"/>
                      <w:kern w:val="0"/>
                      <w:szCs w:val="21"/>
                      <w:highlight w:val="none"/>
                      <w:lang w:eastAsia="zh-CN"/>
                    </w:rPr>
                  </w:pPr>
                  <w:r>
                    <w:rPr>
                      <w:rFonts w:hint="default" w:ascii="Times New Roman" w:hAnsi="Times New Roman" w:eastAsia="Arial" w:cs="Times New Roman"/>
                      <w:b w:val="0"/>
                      <w:bCs w:val="0"/>
                      <w:kern w:val="0"/>
                      <w:szCs w:val="21"/>
                      <w:highlight w:val="none"/>
                      <w:lang w:bidi="ar"/>
                    </w:rPr>
                    <w:t>涉及环境敏感区（不包括饮用水水源保护区，以居住、医疗卫生、文化教育科研、行政办公为主要功能的区域，以及文物保护单位）的项目</w:t>
                  </w:r>
                  <w:r>
                    <w:rPr>
                      <w:rFonts w:hint="eastAsia" w:eastAsia="宋体" w:cs="Times New Roman"/>
                      <w:b w:val="0"/>
                      <w:bCs w:val="0"/>
                      <w:kern w:val="0"/>
                      <w:szCs w:val="21"/>
                      <w:highlight w:val="none"/>
                      <w:lang w:eastAsia="zh-CN" w:bidi="ar"/>
                    </w:rPr>
                    <w:t>。</w:t>
                  </w:r>
                </w:p>
              </w:tc>
              <w:tc>
                <w:tcPr>
                  <w:tcW w:w="805" w:type="pct"/>
                  <w:noWrap w:val="0"/>
                  <w:vAlign w:val="center"/>
                </w:tcPr>
                <w:p w14:paraId="6B2DF58C">
                  <w:pPr>
                    <w:kinsoku w:val="0"/>
                    <w:autoSpaceDE w:val="0"/>
                    <w:autoSpaceDN w:val="0"/>
                    <w:adjustRightInd w:val="0"/>
                    <w:snapToGrid w:val="0"/>
                    <w:jc w:val="center"/>
                    <w:textAlignment w:val="baseline"/>
                    <w:rPr>
                      <w:rFonts w:hint="default" w:ascii="Times New Roman" w:hAnsi="Times New Roman"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本项目不涉及</w:t>
                  </w:r>
                </w:p>
              </w:tc>
              <w:tc>
                <w:tcPr>
                  <w:tcW w:w="655" w:type="pct"/>
                  <w:noWrap w:val="0"/>
                  <w:vAlign w:val="center"/>
                </w:tcPr>
                <w:p w14:paraId="267D1273">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否</w:t>
                  </w:r>
                </w:p>
              </w:tc>
            </w:tr>
            <w:tr w14:paraId="1761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695" w:type="pct"/>
                  <w:noWrap w:val="0"/>
                  <w:vAlign w:val="center"/>
                </w:tcPr>
                <w:p w14:paraId="6A609365">
                  <w:pPr>
                    <w:kinsoku w:val="0"/>
                    <w:autoSpaceDE w:val="0"/>
                    <w:autoSpaceDN w:val="0"/>
                    <w:adjustRightInd w:val="0"/>
                    <w:snapToGrid w:val="0"/>
                    <w:jc w:val="center"/>
                    <w:textAlignment w:val="baseline"/>
                    <w:rPr>
                      <w:rFonts w:hint="default" w:ascii="Times New Roman" w:hAnsi="Times New Roman" w:cs="Times New Roman"/>
                      <w:b w:val="0"/>
                      <w:bCs w:val="0"/>
                      <w:kern w:val="0"/>
                      <w:szCs w:val="21"/>
                      <w:highlight w:val="none"/>
                    </w:rPr>
                  </w:pPr>
                  <w:r>
                    <w:rPr>
                      <w:rFonts w:hint="default" w:ascii="Times New Roman" w:hAnsi="Times New Roman" w:cs="Times New Roman"/>
                      <w:b w:val="0"/>
                      <w:bCs w:val="0"/>
                      <w:kern w:val="0"/>
                      <w:szCs w:val="21"/>
                      <w:highlight w:val="none"/>
                    </w:rPr>
                    <w:t>大气</w:t>
                  </w:r>
                </w:p>
              </w:tc>
              <w:tc>
                <w:tcPr>
                  <w:tcW w:w="2842" w:type="pct"/>
                  <w:noWrap w:val="0"/>
                  <w:vAlign w:val="center"/>
                </w:tcPr>
                <w:p w14:paraId="003E93B5">
                  <w:pPr>
                    <w:kinsoku w:val="0"/>
                    <w:autoSpaceDE w:val="0"/>
                    <w:autoSpaceDN w:val="0"/>
                    <w:adjustRightInd w:val="0"/>
                    <w:snapToGrid w:val="0"/>
                    <w:jc w:val="center"/>
                    <w:textAlignment w:val="baseline"/>
                    <w:rPr>
                      <w:rFonts w:hint="default" w:ascii="Times New Roman" w:hAnsi="Times New Roman" w:cs="Times New Roman"/>
                      <w:b w:val="0"/>
                      <w:bCs w:val="0"/>
                      <w:kern w:val="0"/>
                      <w:szCs w:val="21"/>
                      <w:highlight w:val="none"/>
                    </w:rPr>
                  </w:pPr>
                  <w:r>
                    <w:rPr>
                      <w:rFonts w:hint="default" w:ascii="Times New Roman" w:hAnsi="Times New Roman" w:eastAsia="Arial" w:cs="Times New Roman"/>
                      <w:b w:val="0"/>
                      <w:bCs w:val="0"/>
                      <w:kern w:val="0"/>
                      <w:szCs w:val="21"/>
                      <w:highlight w:val="none"/>
                    </w:rPr>
                    <w:t>油气、液体化工码头</w:t>
                  </w:r>
                  <w:r>
                    <w:rPr>
                      <w:rFonts w:hint="default" w:ascii="Times New Roman" w:hAnsi="Times New Roman" w:cs="Times New Roman"/>
                      <w:b w:val="0"/>
                      <w:bCs w:val="0"/>
                      <w:kern w:val="0"/>
                      <w:szCs w:val="21"/>
                      <w:highlight w:val="none"/>
                    </w:rPr>
                    <w:t>：</w:t>
                  </w:r>
                  <w:r>
                    <w:rPr>
                      <w:rFonts w:hint="default" w:ascii="Times New Roman" w:hAnsi="Times New Roman" w:eastAsia="Arial" w:cs="Times New Roman"/>
                      <w:b w:val="0"/>
                      <w:bCs w:val="0"/>
                      <w:kern w:val="0"/>
                      <w:szCs w:val="21"/>
                      <w:highlight w:val="none"/>
                    </w:rPr>
                    <w:t>全部</w:t>
                  </w:r>
                  <w:r>
                    <w:rPr>
                      <w:rFonts w:hint="default" w:ascii="Times New Roman" w:hAnsi="Times New Roman" w:cs="Times New Roman"/>
                      <w:b w:val="0"/>
                      <w:bCs w:val="0"/>
                      <w:kern w:val="0"/>
                      <w:szCs w:val="21"/>
                      <w:highlight w:val="none"/>
                    </w:rPr>
                    <w:t>；</w:t>
                  </w:r>
                </w:p>
                <w:p w14:paraId="0CE0C462">
                  <w:pPr>
                    <w:kinsoku w:val="0"/>
                    <w:autoSpaceDE w:val="0"/>
                    <w:autoSpaceDN w:val="0"/>
                    <w:adjustRightInd w:val="0"/>
                    <w:snapToGrid w:val="0"/>
                    <w:jc w:val="center"/>
                    <w:textAlignment w:val="baseline"/>
                    <w:rPr>
                      <w:rFonts w:hint="eastAsia" w:ascii="Times New Roman" w:hAnsi="Times New Roman" w:eastAsia="宋体" w:cs="Times New Roman"/>
                      <w:b w:val="0"/>
                      <w:bCs w:val="0"/>
                      <w:kern w:val="0"/>
                      <w:szCs w:val="21"/>
                      <w:highlight w:val="none"/>
                      <w:lang w:eastAsia="zh-CN"/>
                    </w:rPr>
                  </w:pPr>
                  <w:r>
                    <w:rPr>
                      <w:rFonts w:hint="default" w:ascii="Times New Roman" w:hAnsi="Times New Roman" w:eastAsia="Arial" w:cs="Times New Roman"/>
                      <w:b w:val="0"/>
                      <w:bCs w:val="0"/>
                      <w:kern w:val="0"/>
                      <w:szCs w:val="21"/>
                      <w:highlight w:val="none"/>
                    </w:rPr>
                    <w:t>干散货</w:t>
                  </w:r>
                  <w:r>
                    <w:rPr>
                      <w:rFonts w:hint="default" w:ascii="Times New Roman" w:hAnsi="Times New Roman" w:cs="Times New Roman"/>
                      <w:b w:val="0"/>
                      <w:bCs w:val="0"/>
                      <w:kern w:val="0"/>
                      <w:szCs w:val="21"/>
                      <w:highlight w:val="none"/>
                    </w:rPr>
                    <w:t>（</w:t>
                  </w:r>
                  <w:r>
                    <w:rPr>
                      <w:rFonts w:hint="default" w:ascii="Times New Roman" w:hAnsi="Times New Roman" w:eastAsia="Arial" w:cs="Times New Roman"/>
                      <w:b w:val="0"/>
                      <w:bCs w:val="0"/>
                      <w:kern w:val="0"/>
                      <w:szCs w:val="21"/>
                      <w:highlight w:val="none"/>
                    </w:rPr>
                    <w:t>含煤炭、矿石</w:t>
                  </w:r>
                  <w:r>
                    <w:rPr>
                      <w:rFonts w:hint="default" w:ascii="Times New Roman" w:hAnsi="Times New Roman" w:cs="Times New Roman"/>
                      <w:b w:val="0"/>
                      <w:bCs w:val="0"/>
                      <w:kern w:val="0"/>
                      <w:szCs w:val="21"/>
                      <w:highlight w:val="none"/>
                    </w:rPr>
                    <w:t>）</w:t>
                  </w:r>
                  <w:r>
                    <w:rPr>
                      <w:rFonts w:hint="default" w:ascii="Times New Roman" w:hAnsi="Times New Roman" w:eastAsia="Arial" w:cs="Times New Roman"/>
                      <w:b w:val="0"/>
                      <w:bCs w:val="0"/>
                      <w:kern w:val="0"/>
                      <w:szCs w:val="21"/>
                      <w:highlight w:val="none"/>
                    </w:rPr>
                    <w:t>、件杂、多用途、通用码头</w:t>
                  </w:r>
                  <w:r>
                    <w:rPr>
                      <w:rFonts w:hint="default" w:ascii="Times New Roman" w:hAnsi="Times New Roman" w:cs="Times New Roman"/>
                      <w:b w:val="0"/>
                      <w:bCs w:val="0"/>
                      <w:kern w:val="0"/>
                      <w:szCs w:val="21"/>
                      <w:highlight w:val="none"/>
                    </w:rPr>
                    <w:t>：</w:t>
                  </w:r>
                  <w:r>
                    <w:rPr>
                      <w:rFonts w:hint="default" w:ascii="Times New Roman" w:hAnsi="Times New Roman" w:eastAsia="Arial" w:cs="Times New Roman"/>
                      <w:b w:val="0"/>
                      <w:bCs w:val="0"/>
                      <w:kern w:val="0"/>
                      <w:szCs w:val="21"/>
                      <w:highlight w:val="none"/>
                    </w:rPr>
                    <w:t>涉及粉尘、挥发性有机物排放的项目</w:t>
                  </w:r>
                  <w:r>
                    <w:rPr>
                      <w:rFonts w:hint="eastAsia" w:eastAsia="宋体" w:cs="Times New Roman"/>
                      <w:b w:val="0"/>
                      <w:bCs w:val="0"/>
                      <w:kern w:val="0"/>
                      <w:szCs w:val="21"/>
                      <w:highlight w:val="none"/>
                      <w:lang w:eastAsia="zh-CN"/>
                    </w:rPr>
                    <w:t>。</w:t>
                  </w:r>
                </w:p>
              </w:tc>
              <w:tc>
                <w:tcPr>
                  <w:tcW w:w="805" w:type="pct"/>
                  <w:noWrap w:val="0"/>
                  <w:vAlign w:val="center"/>
                </w:tcPr>
                <w:p w14:paraId="5A1F8B3F">
                  <w:pPr>
                    <w:kinsoku w:val="0"/>
                    <w:autoSpaceDE w:val="0"/>
                    <w:autoSpaceDN w:val="0"/>
                    <w:adjustRightInd w:val="0"/>
                    <w:snapToGrid w:val="0"/>
                    <w:jc w:val="center"/>
                    <w:textAlignment w:val="baseline"/>
                    <w:rPr>
                      <w:rFonts w:hint="default" w:ascii="Times New Roman" w:hAnsi="Times New Roman"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本项目不涉及</w:t>
                  </w:r>
                </w:p>
              </w:tc>
              <w:tc>
                <w:tcPr>
                  <w:tcW w:w="655" w:type="pct"/>
                  <w:noWrap w:val="0"/>
                  <w:vAlign w:val="center"/>
                </w:tcPr>
                <w:p w14:paraId="165AB232">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否</w:t>
                  </w:r>
                </w:p>
              </w:tc>
            </w:tr>
            <w:tr w14:paraId="1C3A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695" w:type="pct"/>
                  <w:noWrap w:val="0"/>
                  <w:vAlign w:val="center"/>
                </w:tcPr>
                <w:p w14:paraId="2A9EFAA4">
                  <w:pPr>
                    <w:kinsoku w:val="0"/>
                    <w:autoSpaceDE w:val="0"/>
                    <w:autoSpaceDN w:val="0"/>
                    <w:adjustRightInd w:val="0"/>
                    <w:snapToGrid w:val="0"/>
                    <w:jc w:val="center"/>
                    <w:textAlignment w:val="baseline"/>
                    <w:rPr>
                      <w:rFonts w:hint="default" w:ascii="Times New Roman" w:hAnsi="Times New Roman"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噪声</w:t>
                  </w:r>
                </w:p>
              </w:tc>
              <w:tc>
                <w:tcPr>
                  <w:tcW w:w="2842" w:type="pct"/>
                  <w:noWrap w:val="0"/>
                  <w:vAlign w:val="center"/>
                </w:tcPr>
                <w:p w14:paraId="01FBDAC6">
                  <w:pPr>
                    <w:kinsoku w:val="0"/>
                    <w:autoSpaceDE w:val="0"/>
                    <w:autoSpaceDN w:val="0"/>
                    <w:adjustRightInd w:val="0"/>
                    <w:snapToGrid w:val="0"/>
                    <w:jc w:val="center"/>
                    <w:textAlignment w:val="baseline"/>
                    <w:rPr>
                      <w:rFonts w:hint="default" w:ascii="Times New Roman" w:hAnsi="Times New Roman" w:cs="Times New Roman"/>
                      <w:b w:val="0"/>
                      <w:bCs w:val="0"/>
                      <w:kern w:val="0"/>
                      <w:szCs w:val="21"/>
                      <w:highlight w:val="none"/>
                    </w:rPr>
                  </w:pPr>
                  <w:r>
                    <w:rPr>
                      <w:rFonts w:hint="default" w:ascii="Times New Roman" w:hAnsi="Times New Roman" w:eastAsia="Arial" w:cs="Times New Roman"/>
                      <w:b w:val="0"/>
                      <w:bCs w:val="0"/>
                      <w:kern w:val="0"/>
                      <w:szCs w:val="21"/>
                      <w:highlight w:val="none"/>
                    </w:rPr>
                    <w:t>公路、铁路、机场等交通运输业涉及环境敏感区</w:t>
                  </w:r>
                  <w:r>
                    <w:rPr>
                      <w:rFonts w:hint="default" w:ascii="Times New Roman" w:hAnsi="Times New Roman" w:cs="Times New Roman"/>
                      <w:b w:val="0"/>
                      <w:bCs w:val="0"/>
                      <w:kern w:val="0"/>
                      <w:szCs w:val="21"/>
                      <w:highlight w:val="none"/>
                    </w:rPr>
                    <w:t>（</w:t>
                  </w:r>
                  <w:r>
                    <w:rPr>
                      <w:rFonts w:hint="default" w:ascii="Times New Roman" w:hAnsi="Times New Roman" w:eastAsia="Arial" w:cs="Times New Roman"/>
                      <w:b w:val="0"/>
                      <w:bCs w:val="0"/>
                      <w:kern w:val="0"/>
                      <w:szCs w:val="21"/>
                      <w:highlight w:val="none"/>
                    </w:rPr>
                    <w:t>以居住、医疗卫生、文化教育、科研、行政办公为主要功能的区域</w:t>
                  </w:r>
                  <w:r>
                    <w:rPr>
                      <w:rFonts w:hint="default" w:ascii="Times New Roman" w:hAnsi="Times New Roman" w:cs="Times New Roman"/>
                      <w:b w:val="0"/>
                      <w:bCs w:val="0"/>
                      <w:kern w:val="0"/>
                      <w:szCs w:val="21"/>
                      <w:highlight w:val="none"/>
                    </w:rPr>
                    <w:t>）</w:t>
                  </w:r>
                  <w:r>
                    <w:rPr>
                      <w:rFonts w:hint="default" w:ascii="Times New Roman" w:hAnsi="Times New Roman" w:eastAsia="Arial" w:cs="Times New Roman"/>
                      <w:b w:val="0"/>
                      <w:bCs w:val="0"/>
                      <w:kern w:val="0"/>
                      <w:szCs w:val="21"/>
                      <w:highlight w:val="none"/>
                    </w:rPr>
                    <w:t>的项目</w:t>
                  </w:r>
                  <w:r>
                    <w:rPr>
                      <w:rFonts w:hint="default" w:ascii="Times New Roman" w:hAnsi="Times New Roman" w:cs="Times New Roman"/>
                      <w:b w:val="0"/>
                      <w:bCs w:val="0"/>
                      <w:kern w:val="0"/>
                      <w:szCs w:val="21"/>
                      <w:highlight w:val="none"/>
                    </w:rPr>
                    <w:t>；</w:t>
                  </w:r>
                </w:p>
                <w:p w14:paraId="2EB747C0">
                  <w:pPr>
                    <w:kinsoku w:val="0"/>
                    <w:autoSpaceDE w:val="0"/>
                    <w:autoSpaceDN w:val="0"/>
                    <w:adjustRightInd w:val="0"/>
                    <w:snapToGrid w:val="0"/>
                    <w:jc w:val="center"/>
                    <w:textAlignment w:val="baseline"/>
                    <w:rPr>
                      <w:rFonts w:hint="eastAsia" w:ascii="Times New Roman" w:hAnsi="Times New Roman" w:eastAsia="宋体" w:cs="Times New Roman"/>
                      <w:b w:val="0"/>
                      <w:bCs w:val="0"/>
                      <w:kern w:val="0"/>
                      <w:szCs w:val="21"/>
                      <w:highlight w:val="none"/>
                      <w:lang w:eastAsia="zh-CN"/>
                    </w:rPr>
                  </w:pPr>
                  <w:r>
                    <w:rPr>
                      <w:rFonts w:hint="default" w:ascii="Times New Roman" w:hAnsi="Times New Roman" w:eastAsia="Arial" w:cs="Times New Roman"/>
                      <w:b w:val="0"/>
                      <w:bCs w:val="0"/>
                      <w:kern w:val="0"/>
                      <w:szCs w:val="21"/>
                      <w:highlight w:val="none"/>
                    </w:rPr>
                    <w:t>城市道路</w:t>
                  </w:r>
                  <w:r>
                    <w:rPr>
                      <w:rFonts w:hint="eastAsia" w:eastAsia="宋体" w:cs="Times New Roman"/>
                      <w:b w:val="0"/>
                      <w:bCs w:val="0"/>
                      <w:kern w:val="0"/>
                      <w:szCs w:val="21"/>
                      <w:highlight w:val="none"/>
                      <w:lang w:eastAsia="zh-CN"/>
                    </w:rPr>
                    <w:t>（</w:t>
                  </w:r>
                  <w:r>
                    <w:rPr>
                      <w:rFonts w:hint="default" w:ascii="Times New Roman" w:hAnsi="Times New Roman" w:eastAsia="Arial" w:cs="Times New Roman"/>
                      <w:b w:val="0"/>
                      <w:bCs w:val="0"/>
                      <w:kern w:val="0"/>
                      <w:szCs w:val="21"/>
                      <w:highlight w:val="none"/>
                    </w:rPr>
                    <w:t>不含维护，不含支路、人行天桥、人行地道</w:t>
                  </w:r>
                  <w:r>
                    <w:rPr>
                      <w:rFonts w:hint="eastAsia" w:eastAsia="宋体" w:cs="Times New Roman"/>
                      <w:b w:val="0"/>
                      <w:bCs w:val="0"/>
                      <w:kern w:val="0"/>
                      <w:szCs w:val="21"/>
                      <w:highlight w:val="none"/>
                      <w:lang w:eastAsia="zh-CN"/>
                    </w:rPr>
                    <w:t>）</w:t>
                  </w:r>
                  <w:r>
                    <w:rPr>
                      <w:rFonts w:hint="default" w:ascii="Times New Roman" w:hAnsi="Times New Roman" w:cs="Times New Roman"/>
                      <w:b w:val="0"/>
                      <w:bCs w:val="0"/>
                      <w:kern w:val="0"/>
                      <w:szCs w:val="21"/>
                      <w:highlight w:val="none"/>
                    </w:rPr>
                    <w:t>：</w:t>
                  </w:r>
                  <w:r>
                    <w:rPr>
                      <w:rFonts w:hint="default" w:ascii="Times New Roman" w:hAnsi="Times New Roman" w:eastAsia="Arial" w:cs="Times New Roman"/>
                      <w:b w:val="0"/>
                      <w:bCs w:val="0"/>
                      <w:kern w:val="0"/>
                      <w:szCs w:val="21"/>
                      <w:highlight w:val="none"/>
                    </w:rPr>
                    <w:t>全部</w:t>
                  </w:r>
                  <w:r>
                    <w:rPr>
                      <w:rFonts w:hint="eastAsia" w:eastAsia="宋体" w:cs="Times New Roman"/>
                      <w:b w:val="0"/>
                      <w:bCs w:val="0"/>
                      <w:kern w:val="0"/>
                      <w:szCs w:val="21"/>
                      <w:highlight w:val="none"/>
                      <w:lang w:eastAsia="zh-CN"/>
                    </w:rPr>
                    <w:t>。</w:t>
                  </w:r>
                </w:p>
              </w:tc>
              <w:tc>
                <w:tcPr>
                  <w:tcW w:w="805" w:type="pct"/>
                  <w:noWrap w:val="0"/>
                  <w:vAlign w:val="center"/>
                </w:tcPr>
                <w:p w14:paraId="4169D265">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本项目不涉及</w:t>
                  </w:r>
                </w:p>
              </w:tc>
              <w:tc>
                <w:tcPr>
                  <w:tcW w:w="655" w:type="pct"/>
                  <w:noWrap w:val="0"/>
                  <w:vAlign w:val="center"/>
                </w:tcPr>
                <w:p w14:paraId="59422A63">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rPr>
                  </w:pPr>
                  <w:r>
                    <w:rPr>
                      <w:rFonts w:hint="default" w:ascii="Times New Roman" w:hAnsi="Times New Roman" w:eastAsia="Arial" w:cs="Times New Roman"/>
                      <w:b w:val="0"/>
                      <w:bCs w:val="0"/>
                      <w:kern w:val="0"/>
                      <w:szCs w:val="21"/>
                      <w:highlight w:val="none"/>
                      <w:lang w:bidi="ar"/>
                    </w:rPr>
                    <w:t>否</w:t>
                  </w:r>
                </w:p>
              </w:tc>
            </w:tr>
            <w:tr w14:paraId="4FE1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695" w:type="pct"/>
                  <w:noWrap w:val="0"/>
                  <w:vAlign w:val="center"/>
                </w:tcPr>
                <w:p w14:paraId="3971C4CA">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lang w:bidi="ar"/>
                    </w:rPr>
                  </w:pPr>
                  <w:r>
                    <w:rPr>
                      <w:rFonts w:hint="default" w:ascii="Times New Roman" w:hAnsi="Times New Roman" w:eastAsia="Arial" w:cs="Times New Roman"/>
                      <w:b w:val="0"/>
                      <w:bCs w:val="0"/>
                      <w:kern w:val="0"/>
                      <w:szCs w:val="21"/>
                      <w:highlight w:val="none"/>
                      <w:lang w:bidi="ar"/>
                    </w:rPr>
                    <w:t>环境风险</w:t>
                  </w:r>
                </w:p>
              </w:tc>
              <w:tc>
                <w:tcPr>
                  <w:tcW w:w="2842" w:type="pct"/>
                  <w:noWrap w:val="0"/>
                  <w:vAlign w:val="center"/>
                </w:tcPr>
                <w:p w14:paraId="168DF929">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lang w:bidi="ar"/>
                    </w:rPr>
                  </w:pPr>
                  <w:r>
                    <w:rPr>
                      <w:rFonts w:hint="default" w:ascii="Times New Roman" w:hAnsi="Times New Roman" w:eastAsia="Arial" w:cs="Times New Roman"/>
                      <w:b w:val="0"/>
                      <w:bCs w:val="0"/>
                      <w:kern w:val="0"/>
                      <w:szCs w:val="21"/>
                      <w:highlight w:val="none"/>
                      <w:lang w:bidi="ar"/>
                    </w:rPr>
                    <w:t>石油</w:t>
                  </w:r>
                  <w:r>
                    <w:rPr>
                      <w:rFonts w:hint="eastAsia" w:eastAsia="宋体" w:cs="Times New Roman"/>
                      <w:b w:val="0"/>
                      <w:bCs w:val="0"/>
                      <w:kern w:val="0"/>
                      <w:szCs w:val="21"/>
                      <w:highlight w:val="none"/>
                      <w:lang w:eastAsia="zh-CN" w:bidi="ar"/>
                    </w:rPr>
                    <w:t>及</w:t>
                  </w:r>
                  <w:r>
                    <w:rPr>
                      <w:rFonts w:hint="default" w:ascii="Times New Roman" w:hAnsi="Times New Roman" w:eastAsia="Arial" w:cs="Times New Roman"/>
                      <w:b w:val="0"/>
                      <w:bCs w:val="0"/>
                      <w:kern w:val="0"/>
                      <w:szCs w:val="21"/>
                      <w:highlight w:val="none"/>
                      <w:lang w:bidi="ar"/>
                    </w:rPr>
                    <w:t>天然气开采：全部；</w:t>
                  </w:r>
                </w:p>
                <w:p w14:paraId="7775F59A">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lang w:bidi="ar"/>
                    </w:rPr>
                  </w:pPr>
                  <w:r>
                    <w:rPr>
                      <w:rFonts w:hint="default" w:ascii="Times New Roman" w:hAnsi="Times New Roman" w:eastAsia="Arial" w:cs="Times New Roman"/>
                      <w:b w:val="0"/>
                      <w:bCs w:val="0"/>
                      <w:kern w:val="0"/>
                      <w:szCs w:val="21"/>
                      <w:highlight w:val="none"/>
                      <w:lang w:bidi="ar"/>
                    </w:rPr>
                    <w:t>油气、液体化工码头：全部；</w:t>
                  </w:r>
                </w:p>
                <w:p w14:paraId="7E4FAAB7">
                  <w:pPr>
                    <w:kinsoku w:val="0"/>
                    <w:autoSpaceDE w:val="0"/>
                    <w:autoSpaceDN w:val="0"/>
                    <w:adjustRightInd w:val="0"/>
                    <w:snapToGrid w:val="0"/>
                    <w:jc w:val="center"/>
                    <w:textAlignment w:val="baseline"/>
                    <w:rPr>
                      <w:rFonts w:hint="eastAsia" w:ascii="Times New Roman" w:hAnsi="Times New Roman" w:eastAsia="宋体" w:cs="Times New Roman"/>
                      <w:b w:val="0"/>
                      <w:bCs w:val="0"/>
                      <w:kern w:val="0"/>
                      <w:szCs w:val="21"/>
                      <w:highlight w:val="none"/>
                      <w:lang w:eastAsia="zh-CN" w:bidi="ar"/>
                    </w:rPr>
                  </w:pPr>
                  <w:r>
                    <w:rPr>
                      <w:rFonts w:hint="default" w:ascii="Times New Roman" w:hAnsi="Times New Roman" w:eastAsia="Arial" w:cs="Times New Roman"/>
                      <w:b w:val="0"/>
                      <w:bCs w:val="0"/>
                      <w:kern w:val="0"/>
                      <w:szCs w:val="21"/>
                      <w:highlight w:val="none"/>
                      <w:lang w:bidi="ar"/>
                    </w:rPr>
                    <w:t>原油、成品油、天然气管线</w:t>
                  </w:r>
                  <w:r>
                    <w:rPr>
                      <w:rFonts w:hint="eastAsia" w:eastAsia="宋体" w:cs="Times New Roman"/>
                      <w:b w:val="0"/>
                      <w:bCs w:val="0"/>
                      <w:kern w:val="0"/>
                      <w:szCs w:val="21"/>
                      <w:highlight w:val="none"/>
                      <w:lang w:eastAsia="zh-CN" w:bidi="ar"/>
                    </w:rPr>
                    <w:t>（</w:t>
                  </w:r>
                  <w:r>
                    <w:rPr>
                      <w:rFonts w:hint="default" w:ascii="Times New Roman" w:hAnsi="Times New Roman" w:eastAsia="Arial" w:cs="Times New Roman"/>
                      <w:b w:val="0"/>
                      <w:bCs w:val="0"/>
                      <w:kern w:val="0"/>
                      <w:szCs w:val="21"/>
                      <w:highlight w:val="none"/>
                      <w:lang w:bidi="ar"/>
                    </w:rPr>
                    <w:t>不含城镇天然气管线、企业厂区内管线</w:t>
                  </w:r>
                  <w:r>
                    <w:rPr>
                      <w:rFonts w:hint="eastAsia" w:eastAsia="宋体" w:cs="Times New Roman"/>
                      <w:b w:val="0"/>
                      <w:bCs w:val="0"/>
                      <w:kern w:val="0"/>
                      <w:szCs w:val="21"/>
                      <w:highlight w:val="none"/>
                      <w:lang w:eastAsia="zh-CN" w:bidi="ar"/>
                    </w:rPr>
                    <w:t>）</w:t>
                  </w:r>
                  <w:r>
                    <w:rPr>
                      <w:rFonts w:hint="default" w:ascii="Times New Roman" w:hAnsi="Times New Roman" w:eastAsia="Arial" w:cs="Times New Roman"/>
                      <w:b w:val="0"/>
                      <w:bCs w:val="0"/>
                      <w:kern w:val="0"/>
                      <w:szCs w:val="21"/>
                      <w:highlight w:val="none"/>
                      <w:lang w:bidi="ar"/>
                    </w:rPr>
                    <w:t>，危险化学品输送管线</w:t>
                  </w:r>
                  <w:r>
                    <w:rPr>
                      <w:rFonts w:hint="eastAsia" w:eastAsia="宋体" w:cs="Times New Roman"/>
                      <w:b w:val="0"/>
                      <w:bCs w:val="0"/>
                      <w:kern w:val="0"/>
                      <w:szCs w:val="21"/>
                      <w:highlight w:val="none"/>
                      <w:lang w:eastAsia="zh-CN" w:bidi="ar"/>
                    </w:rPr>
                    <w:t>（</w:t>
                  </w:r>
                  <w:r>
                    <w:rPr>
                      <w:rFonts w:hint="default" w:ascii="Times New Roman" w:hAnsi="Times New Roman" w:eastAsia="Arial" w:cs="Times New Roman"/>
                      <w:b w:val="0"/>
                      <w:bCs w:val="0"/>
                      <w:kern w:val="0"/>
                      <w:szCs w:val="21"/>
                      <w:highlight w:val="none"/>
                      <w:lang w:bidi="ar"/>
                    </w:rPr>
                    <w:t>不含企业厂区内管线</w:t>
                  </w:r>
                  <w:r>
                    <w:rPr>
                      <w:rFonts w:hint="eastAsia" w:eastAsia="宋体" w:cs="Times New Roman"/>
                      <w:b w:val="0"/>
                      <w:bCs w:val="0"/>
                      <w:kern w:val="0"/>
                      <w:szCs w:val="21"/>
                      <w:highlight w:val="none"/>
                      <w:lang w:eastAsia="zh-CN" w:bidi="ar"/>
                    </w:rPr>
                    <w:t>）</w:t>
                  </w:r>
                  <w:r>
                    <w:rPr>
                      <w:rFonts w:hint="default" w:ascii="Times New Roman" w:hAnsi="Times New Roman" w:eastAsia="Arial" w:cs="Times New Roman"/>
                      <w:b w:val="0"/>
                      <w:bCs w:val="0"/>
                      <w:kern w:val="0"/>
                      <w:szCs w:val="21"/>
                      <w:highlight w:val="none"/>
                      <w:lang w:bidi="ar"/>
                    </w:rPr>
                    <w:t>：全部</w:t>
                  </w:r>
                  <w:r>
                    <w:rPr>
                      <w:rFonts w:hint="eastAsia" w:eastAsia="宋体" w:cs="Times New Roman"/>
                      <w:b w:val="0"/>
                      <w:bCs w:val="0"/>
                      <w:kern w:val="0"/>
                      <w:szCs w:val="21"/>
                      <w:highlight w:val="none"/>
                      <w:lang w:eastAsia="zh-CN" w:bidi="ar"/>
                    </w:rPr>
                    <w:t>。</w:t>
                  </w:r>
                </w:p>
              </w:tc>
              <w:tc>
                <w:tcPr>
                  <w:tcW w:w="805" w:type="pct"/>
                  <w:noWrap w:val="0"/>
                  <w:vAlign w:val="center"/>
                </w:tcPr>
                <w:p w14:paraId="73DFDEF5">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lang w:bidi="ar"/>
                    </w:rPr>
                  </w:pPr>
                  <w:r>
                    <w:rPr>
                      <w:rFonts w:hint="default" w:ascii="Times New Roman" w:hAnsi="Times New Roman" w:cs="Times New Roman"/>
                      <w:b w:val="0"/>
                      <w:bCs w:val="0"/>
                      <w:kern w:val="0"/>
                      <w:szCs w:val="21"/>
                      <w:highlight w:val="none"/>
                      <w:lang w:val="en-US" w:eastAsia="zh-CN" w:bidi="ar"/>
                    </w:rPr>
                    <w:t>本项目</w:t>
                  </w:r>
                  <w:r>
                    <w:rPr>
                      <w:rFonts w:hint="default" w:ascii="Times New Roman" w:hAnsi="Times New Roman" w:eastAsia="宋体" w:cs="Times New Roman"/>
                      <w:b w:val="0"/>
                      <w:bCs w:val="0"/>
                      <w:kern w:val="0"/>
                      <w:szCs w:val="21"/>
                      <w:highlight w:val="none"/>
                      <w:lang w:val="en-US" w:eastAsia="zh-CN" w:bidi="ar"/>
                    </w:rPr>
                    <w:t>WTR甲烷气</w:t>
                  </w:r>
                  <w:r>
                    <w:rPr>
                      <w:rFonts w:hint="default" w:ascii="Times New Roman" w:hAnsi="Times New Roman" w:eastAsia="Arial" w:cs="Times New Roman"/>
                      <w:b w:val="0"/>
                      <w:bCs w:val="0"/>
                      <w:kern w:val="0"/>
                      <w:szCs w:val="21"/>
                      <w:highlight w:val="none"/>
                      <w:lang w:bidi="ar"/>
                    </w:rPr>
                    <w:t>属于危险化学品</w:t>
                  </w:r>
                  <w:r>
                    <w:rPr>
                      <w:rFonts w:hint="eastAsia" w:eastAsia="宋体" w:cs="Times New Roman"/>
                      <w:b w:val="0"/>
                      <w:bCs w:val="0"/>
                      <w:kern w:val="0"/>
                      <w:szCs w:val="21"/>
                      <w:highlight w:val="none"/>
                      <w:lang w:eastAsia="zh-CN" w:bidi="ar"/>
                    </w:rPr>
                    <w:t>，</w:t>
                  </w:r>
                  <w:r>
                    <w:rPr>
                      <w:rFonts w:hint="default" w:ascii="Times New Roman" w:hAnsi="Times New Roman" w:eastAsia="Arial" w:cs="Times New Roman"/>
                      <w:b w:val="0"/>
                      <w:bCs w:val="0"/>
                      <w:kern w:val="0"/>
                      <w:szCs w:val="21"/>
                      <w:highlight w:val="none"/>
                      <w:lang w:bidi="ar"/>
                    </w:rPr>
                    <w:t>输送管线</w:t>
                  </w:r>
                  <w:r>
                    <w:rPr>
                      <w:rFonts w:hint="default" w:ascii="Times New Roman" w:hAnsi="Times New Roman" w:eastAsia="宋体" w:cs="Times New Roman"/>
                      <w:b w:val="0"/>
                      <w:bCs w:val="0"/>
                      <w:kern w:val="0"/>
                      <w:szCs w:val="21"/>
                      <w:highlight w:val="none"/>
                      <w:lang w:val="en-US" w:eastAsia="zh-CN" w:bidi="ar"/>
                    </w:rPr>
                    <w:t>位于厂区外</w:t>
                  </w:r>
                  <w:r>
                    <w:rPr>
                      <w:rFonts w:hint="eastAsia" w:cs="Times New Roman"/>
                      <w:b w:val="0"/>
                      <w:bCs w:val="0"/>
                      <w:kern w:val="0"/>
                      <w:szCs w:val="21"/>
                      <w:highlight w:val="none"/>
                      <w:lang w:val="en-US" w:eastAsia="zh-CN" w:bidi="ar"/>
                    </w:rPr>
                    <w:t>。</w:t>
                  </w:r>
                </w:p>
              </w:tc>
              <w:tc>
                <w:tcPr>
                  <w:tcW w:w="655" w:type="pct"/>
                  <w:noWrap w:val="0"/>
                  <w:vAlign w:val="center"/>
                </w:tcPr>
                <w:p w14:paraId="6D7C5D84">
                  <w:pPr>
                    <w:kinsoku w:val="0"/>
                    <w:autoSpaceDE w:val="0"/>
                    <w:autoSpaceDN w:val="0"/>
                    <w:adjustRightInd w:val="0"/>
                    <w:snapToGrid w:val="0"/>
                    <w:jc w:val="center"/>
                    <w:textAlignment w:val="baseline"/>
                    <w:rPr>
                      <w:rFonts w:hint="default" w:ascii="Times New Roman" w:hAnsi="Times New Roman" w:eastAsia="Arial" w:cs="Times New Roman"/>
                      <w:b w:val="0"/>
                      <w:bCs w:val="0"/>
                      <w:kern w:val="0"/>
                      <w:szCs w:val="21"/>
                      <w:highlight w:val="none"/>
                      <w:lang w:bidi="ar"/>
                    </w:rPr>
                  </w:pPr>
                  <w:r>
                    <w:rPr>
                      <w:rFonts w:hint="default" w:ascii="Times New Roman" w:hAnsi="Times New Roman" w:eastAsia="Arial" w:cs="Times New Roman"/>
                      <w:b w:val="0"/>
                      <w:bCs w:val="0"/>
                      <w:kern w:val="0"/>
                      <w:szCs w:val="21"/>
                      <w:highlight w:val="none"/>
                      <w:lang w:bidi="ar"/>
                    </w:rPr>
                    <w:t>是</w:t>
                  </w:r>
                </w:p>
              </w:tc>
            </w:tr>
            <w:tr w14:paraId="5F9E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5000" w:type="pct"/>
                  <w:gridSpan w:val="4"/>
                  <w:noWrap w:val="0"/>
                  <w:vAlign w:val="center"/>
                </w:tcPr>
                <w:p w14:paraId="53D6A47A">
                  <w:pPr>
                    <w:kinsoku w:val="0"/>
                    <w:autoSpaceDE w:val="0"/>
                    <w:autoSpaceDN w:val="0"/>
                    <w:adjustRightInd w:val="0"/>
                    <w:snapToGrid w:val="0"/>
                    <w:jc w:val="center"/>
                    <w:textAlignment w:val="baseline"/>
                    <w:rPr>
                      <w:rFonts w:hint="default" w:ascii="Times New Roman" w:hAnsi="Times New Roman" w:eastAsia="宋体" w:cs="Times New Roman"/>
                      <w:b w:val="0"/>
                      <w:bCs w:val="0"/>
                      <w:kern w:val="0"/>
                      <w:szCs w:val="21"/>
                      <w:highlight w:val="none"/>
                      <w:lang w:val="en-US" w:eastAsia="zh-CN" w:bidi="ar"/>
                    </w:rPr>
                  </w:pPr>
                  <w:r>
                    <w:rPr>
                      <w:rFonts w:hint="default" w:ascii="Times New Roman" w:hAnsi="Times New Roman" w:eastAsia="宋体" w:cs="Times New Roman"/>
                      <w:b w:val="0"/>
                      <w:bCs w:val="0"/>
                      <w:kern w:val="0"/>
                      <w:szCs w:val="21"/>
                      <w:highlight w:val="none"/>
                      <w:lang w:val="en-US" w:eastAsia="zh-CN" w:bidi="ar"/>
                    </w:rPr>
                    <w:t>注：</w:t>
                  </w:r>
                  <w:r>
                    <w:rPr>
                      <w:rFonts w:hint="eastAsia" w:cs="Times New Roman"/>
                      <w:b w:val="0"/>
                      <w:bCs w:val="0"/>
                      <w:kern w:val="0"/>
                      <w:szCs w:val="21"/>
                      <w:highlight w:val="none"/>
                      <w:lang w:val="en-US" w:eastAsia="zh-CN" w:bidi="ar"/>
                    </w:rPr>
                    <w:t>“</w:t>
                  </w:r>
                  <w:r>
                    <w:rPr>
                      <w:rFonts w:hint="default" w:ascii="Times New Roman" w:hAnsi="Times New Roman" w:eastAsia="宋体" w:cs="Times New Roman"/>
                      <w:b w:val="0"/>
                      <w:bCs w:val="0"/>
                      <w:kern w:val="0"/>
                      <w:szCs w:val="21"/>
                      <w:highlight w:val="none"/>
                      <w:lang w:val="en-US" w:eastAsia="zh-CN" w:bidi="ar"/>
                    </w:rPr>
                    <w:t>涉及敏感区</w:t>
                  </w:r>
                  <w:r>
                    <w:rPr>
                      <w:rFonts w:hint="eastAsia" w:cs="Times New Roman"/>
                      <w:b w:val="0"/>
                      <w:bCs w:val="0"/>
                      <w:kern w:val="0"/>
                      <w:szCs w:val="21"/>
                      <w:highlight w:val="none"/>
                      <w:lang w:val="en-US" w:eastAsia="zh-CN" w:bidi="ar"/>
                    </w:rPr>
                    <w:t>”</w:t>
                  </w:r>
                  <w:r>
                    <w:rPr>
                      <w:rFonts w:hint="default" w:ascii="Times New Roman" w:hAnsi="Times New Roman" w:eastAsia="宋体" w:cs="Times New Roman"/>
                      <w:b w:val="0"/>
                      <w:bCs w:val="0"/>
                      <w:kern w:val="0"/>
                      <w:szCs w:val="21"/>
                      <w:highlight w:val="none"/>
                      <w:lang w:val="en-US" w:eastAsia="zh-CN" w:bidi="ar"/>
                    </w:rPr>
                    <w:t>是指建设项目位于、穿</w:t>
                  </w:r>
                  <w:r>
                    <w:rPr>
                      <w:rFonts w:hint="eastAsia" w:cs="Times New Roman"/>
                      <w:b w:val="0"/>
                      <w:bCs w:val="0"/>
                      <w:kern w:val="0"/>
                      <w:szCs w:val="21"/>
                      <w:highlight w:val="none"/>
                      <w:lang w:val="en-US" w:eastAsia="zh-CN" w:bidi="ar"/>
                    </w:rPr>
                    <w:t>（</w:t>
                  </w:r>
                  <w:r>
                    <w:rPr>
                      <w:rFonts w:hint="default" w:ascii="Times New Roman" w:hAnsi="Times New Roman" w:eastAsia="宋体" w:cs="Times New Roman"/>
                      <w:b w:val="0"/>
                      <w:bCs w:val="0"/>
                      <w:kern w:val="0"/>
                      <w:szCs w:val="21"/>
                      <w:highlight w:val="none"/>
                      <w:lang w:val="en-US" w:eastAsia="zh-CN" w:bidi="ar"/>
                    </w:rPr>
                    <w:t>跨</w:t>
                  </w:r>
                  <w:r>
                    <w:rPr>
                      <w:rFonts w:hint="eastAsia" w:cs="Times New Roman"/>
                      <w:b w:val="0"/>
                      <w:bCs w:val="0"/>
                      <w:kern w:val="0"/>
                      <w:szCs w:val="21"/>
                      <w:highlight w:val="none"/>
                      <w:lang w:val="en-US" w:eastAsia="zh-CN" w:bidi="ar"/>
                    </w:rPr>
                    <w:t>）</w:t>
                  </w:r>
                  <w:r>
                    <w:rPr>
                      <w:rFonts w:hint="default" w:ascii="Times New Roman" w:hAnsi="Times New Roman" w:eastAsia="宋体" w:cs="Times New Roman"/>
                      <w:b w:val="0"/>
                      <w:bCs w:val="0"/>
                      <w:kern w:val="0"/>
                      <w:szCs w:val="21"/>
                      <w:highlight w:val="none"/>
                      <w:lang w:val="en-US" w:eastAsia="zh-CN" w:bidi="ar"/>
                    </w:rPr>
                    <w:t>越</w:t>
                  </w:r>
                  <w:r>
                    <w:rPr>
                      <w:rFonts w:hint="eastAsia" w:cs="Times New Roman"/>
                      <w:b w:val="0"/>
                      <w:bCs w:val="0"/>
                      <w:kern w:val="0"/>
                      <w:szCs w:val="21"/>
                      <w:highlight w:val="none"/>
                      <w:lang w:val="en-US" w:eastAsia="zh-CN" w:bidi="ar"/>
                    </w:rPr>
                    <w:t>（</w:t>
                  </w:r>
                  <w:r>
                    <w:rPr>
                      <w:rFonts w:hint="default" w:ascii="Times New Roman" w:hAnsi="Times New Roman" w:eastAsia="宋体" w:cs="Times New Roman"/>
                      <w:b w:val="0"/>
                      <w:bCs w:val="0"/>
                      <w:kern w:val="0"/>
                      <w:szCs w:val="21"/>
                      <w:highlight w:val="none"/>
                      <w:lang w:val="en-US" w:eastAsia="zh-CN" w:bidi="ar"/>
                    </w:rPr>
                    <w:t>无害化通过的除外</w:t>
                  </w:r>
                  <w:r>
                    <w:rPr>
                      <w:rFonts w:hint="eastAsia" w:cs="Times New Roman"/>
                      <w:b w:val="0"/>
                      <w:bCs w:val="0"/>
                      <w:kern w:val="0"/>
                      <w:szCs w:val="21"/>
                      <w:highlight w:val="none"/>
                      <w:lang w:val="en-US" w:eastAsia="zh-CN" w:bidi="ar"/>
                    </w:rPr>
                    <w:t>）</w:t>
                  </w:r>
                  <w:r>
                    <w:rPr>
                      <w:rFonts w:hint="default" w:ascii="Times New Roman" w:hAnsi="Times New Roman" w:eastAsia="宋体" w:cs="Times New Roman"/>
                      <w:b w:val="0"/>
                      <w:bCs w:val="0"/>
                      <w:kern w:val="0"/>
                      <w:szCs w:val="21"/>
                      <w:highlight w:val="none"/>
                      <w:lang w:val="en-US" w:eastAsia="zh-CN" w:bidi="ar"/>
                    </w:rPr>
                    <w:t>环境敏感区，或环境影响范围涵盖环境敏感区。环境敏感区是指《建设项目环境影响评价分类管理名录》中针对该类项目所列的敏感区。</w:t>
                  </w:r>
                </w:p>
              </w:tc>
            </w:tr>
          </w:tbl>
          <w:p w14:paraId="6C212BDA">
            <w:pPr>
              <w:autoSpaceDE w:val="0"/>
              <w:autoSpaceDN w:val="0"/>
              <w:adjustRightInd w:val="0"/>
              <w:snapToGrid w:val="0"/>
              <w:spacing w:line="360" w:lineRule="auto"/>
              <w:ind w:firstLine="48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rPr>
              <w:t>根据《建设项目环境影响评价分类管理名录》（2021版）</w:t>
            </w:r>
            <w:r>
              <w:rPr>
                <w:rFonts w:hint="eastAsia" w:ascii="Times New Roman" w:hAnsi="Times New Roman" w:cs="Times New Roman"/>
                <w:color w:val="000000"/>
                <w:kern w:val="0"/>
                <w:sz w:val="24"/>
                <w:szCs w:val="24"/>
                <w:highlight w:val="none"/>
                <w:lang w:val="en-US" w:eastAsia="zh-CN"/>
              </w:rPr>
              <w:t>148类别</w:t>
            </w:r>
            <w:r>
              <w:rPr>
                <w:rFonts w:hint="eastAsia" w:cs="Times New Roman"/>
                <w:color w:val="000000"/>
                <w:kern w:val="0"/>
                <w:sz w:val="24"/>
                <w:szCs w:val="24"/>
                <w:highlight w:val="none"/>
                <w:lang w:val="en-US" w:eastAsia="zh-CN"/>
              </w:rPr>
              <w:t>的</w:t>
            </w:r>
            <w:r>
              <w:rPr>
                <w:rFonts w:hint="eastAsia" w:ascii="Times New Roman" w:hAnsi="Times New Roman" w:cs="Times New Roman"/>
                <w:color w:val="000000"/>
                <w:kern w:val="0"/>
                <w:sz w:val="24"/>
                <w:szCs w:val="24"/>
                <w:highlight w:val="none"/>
                <w:lang w:val="en-US" w:eastAsia="zh-CN"/>
              </w:rPr>
              <w:t>环境敏感区为</w:t>
            </w:r>
            <w:r>
              <w:rPr>
                <w:rFonts w:hint="eastAsia" w:cs="Times New Roman"/>
                <w:color w:val="000000"/>
                <w:kern w:val="0"/>
                <w:sz w:val="24"/>
                <w:szCs w:val="24"/>
                <w:highlight w:val="none"/>
                <w:lang w:val="en-US" w:eastAsia="zh-CN"/>
              </w:rPr>
              <w:t>“</w:t>
            </w:r>
            <w:r>
              <w:rPr>
                <w:rFonts w:hint="default" w:ascii="Times New Roman" w:hAnsi="Times New Roman" w:eastAsia="宋体" w:cs="Times New Roman"/>
                <w:color w:val="000000"/>
                <w:kern w:val="0"/>
                <w:sz w:val="24"/>
                <w:szCs w:val="24"/>
                <w:highlight w:val="none"/>
              </w:rPr>
              <w:t>第三条（</w:t>
            </w:r>
            <w:r>
              <w:rPr>
                <w:rFonts w:hint="eastAsia" w:ascii="Times New Roman" w:hAnsi="Times New Roman" w:cs="Times New Roman"/>
                <w:color w:val="000000"/>
                <w:kern w:val="0"/>
                <w:sz w:val="24"/>
                <w:szCs w:val="24"/>
                <w:highlight w:val="none"/>
                <w:lang w:val="en-US" w:eastAsia="zh-CN"/>
              </w:rPr>
              <w:t>一</w:t>
            </w:r>
            <w:r>
              <w:rPr>
                <w:rFonts w:hint="default" w:ascii="Times New Roman" w:hAnsi="Times New Roman" w:eastAsia="宋体" w:cs="Times New Roman"/>
                <w:color w:val="000000"/>
                <w:kern w:val="0"/>
                <w:sz w:val="24"/>
                <w:szCs w:val="24"/>
                <w:highlight w:val="none"/>
              </w:rPr>
              <w:t>）</w:t>
            </w:r>
            <w:r>
              <w:rPr>
                <w:rFonts w:hint="eastAsia" w:ascii="Times New Roman" w:hAnsi="Times New Roman" w:cs="Times New Roman"/>
                <w:color w:val="000000"/>
                <w:kern w:val="0"/>
                <w:sz w:val="24"/>
                <w:szCs w:val="24"/>
                <w:highlight w:val="none"/>
                <w:lang w:val="en-US" w:eastAsia="zh-CN"/>
              </w:rPr>
              <w:t>中的全部区域；第三条（二）中的除（一）外的</w:t>
            </w:r>
            <w:r>
              <w:rPr>
                <w:rFonts w:hint="default" w:ascii="Times New Roman" w:hAnsi="Times New Roman" w:eastAsia="宋体" w:cs="Times New Roman"/>
                <w:color w:val="000000"/>
                <w:kern w:val="0"/>
                <w:sz w:val="24"/>
                <w:szCs w:val="24"/>
                <w:highlight w:val="none"/>
              </w:rPr>
              <w:t>生态保护红线管控范围，永久基本农田、</w:t>
            </w:r>
            <w:r>
              <w:rPr>
                <w:rFonts w:hint="eastAsia" w:ascii="Times New Roman" w:hAnsi="Times New Roman" w:cs="Times New Roman"/>
                <w:color w:val="000000"/>
                <w:kern w:val="0"/>
                <w:sz w:val="24"/>
                <w:szCs w:val="24"/>
                <w:highlight w:val="none"/>
                <w:lang w:val="en-US" w:eastAsia="zh-CN"/>
              </w:rPr>
              <w:t>森林公园</w:t>
            </w:r>
            <w:r>
              <w:rPr>
                <w:rFonts w:hint="default" w:ascii="Times New Roman" w:hAnsi="Times New Roman" w:eastAsia="宋体" w:cs="Times New Roman"/>
                <w:color w:val="000000"/>
                <w:kern w:val="0"/>
                <w:sz w:val="24"/>
                <w:szCs w:val="24"/>
                <w:highlight w:val="none"/>
              </w:rPr>
              <w:t>、</w:t>
            </w:r>
            <w:r>
              <w:rPr>
                <w:rFonts w:hint="eastAsia" w:ascii="Times New Roman" w:hAnsi="Times New Roman" w:cs="Times New Roman"/>
                <w:color w:val="000000"/>
                <w:kern w:val="0"/>
                <w:sz w:val="24"/>
                <w:szCs w:val="24"/>
                <w:highlight w:val="none"/>
                <w:lang w:val="en-US" w:eastAsia="zh-CN"/>
              </w:rPr>
              <w:t>地质公园、重要湿地、天然林；第三条（三）中的全部区域</w:t>
            </w:r>
            <w:r>
              <w:rPr>
                <w:rFonts w:hint="eastAsia" w:cs="Times New Roman"/>
                <w:color w:val="000000"/>
                <w:kern w:val="0"/>
                <w:sz w:val="24"/>
                <w:szCs w:val="24"/>
                <w:highlight w:val="none"/>
                <w:lang w:val="en-US" w:eastAsia="zh-CN"/>
              </w:rPr>
              <w:t>”。</w:t>
            </w:r>
            <w:r>
              <w:rPr>
                <w:rFonts w:hint="default" w:ascii="Times New Roman" w:hAnsi="Times New Roman" w:eastAsia="宋体" w:cs="Times New Roman"/>
                <w:color w:val="000000"/>
                <w:kern w:val="0"/>
                <w:sz w:val="24"/>
                <w:szCs w:val="24"/>
                <w:highlight w:val="none"/>
              </w:rPr>
              <w:t>本项目</w:t>
            </w:r>
            <w:r>
              <w:rPr>
                <w:rFonts w:hint="eastAsia" w:cs="Times New Roman"/>
                <w:color w:val="000000"/>
                <w:kern w:val="0"/>
                <w:sz w:val="24"/>
                <w:szCs w:val="24"/>
                <w:highlight w:val="none"/>
                <w:lang w:val="en-US" w:eastAsia="zh-CN"/>
              </w:rPr>
              <w:t>位于</w:t>
            </w:r>
            <w:r>
              <w:rPr>
                <w:rFonts w:hint="eastAsia" w:ascii="Times New Roman" w:hAnsi="Times New Roman" w:eastAsia="宋体" w:cs="Times New Roman"/>
                <w:bCs/>
                <w:color w:val="000000"/>
                <w:sz w:val="24"/>
                <w:highlight w:val="none"/>
              </w:rPr>
              <w:t>鄂尔多斯市杭锦旗经济开发区独贵塔拉产业园</w:t>
            </w:r>
            <w:r>
              <w:rPr>
                <w:rFonts w:ascii="Times New Roman" w:hAnsi="Times New Roman" w:eastAsia="宋体" w:cs="Times New Roman"/>
                <w:color w:val="000000"/>
                <w:sz w:val="24"/>
                <w:highlight w:val="none"/>
              </w:rPr>
              <w:t>南项目区</w:t>
            </w:r>
            <w:r>
              <w:rPr>
                <w:rFonts w:hint="eastAsia" w:cs="Times New Roman"/>
                <w:color w:val="000000"/>
                <w:sz w:val="24"/>
                <w:highlight w:val="none"/>
                <w:lang w:eastAsia="zh-CN"/>
              </w:rPr>
              <w:t>（</w:t>
            </w:r>
            <w:r>
              <w:rPr>
                <w:rFonts w:hint="eastAsia" w:cs="Times New Roman"/>
                <w:color w:val="000000"/>
                <w:sz w:val="24"/>
                <w:highlight w:val="none"/>
                <w:lang w:val="en-US" w:eastAsia="zh-CN"/>
              </w:rPr>
              <w:t>又名</w:t>
            </w:r>
            <w:r>
              <w:rPr>
                <w:rFonts w:hint="eastAsia" w:ascii="Times New Roman" w:hAnsi="Times New Roman" w:eastAsia="宋体" w:cs="Times New Roman"/>
                <w:bCs/>
                <w:sz w:val="24"/>
                <w:highlight w:val="none"/>
                <w:lang w:val="en-US" w:eastAsia="zh-CN"/>
              </w:rPr>
              <w:t>锦泰精细化工园</w:t>
            </w:r>
            <w:r>
              <w:rPr>
                <w:rFonts w:hint="eastAsia" w:cs="Times New Roman"/>
                <w:color w:val="000000"/>
                <w:sz w:val="24"/>
                <w:highlight w:val="none"/>
                <w:lang w:eastAsia="zh-CN"/>
              </w:rPr>
              <w:t>）</w:t>
            </w:r>
            <w:r>
              <w:rPr>
                <w:rFonts w:hint="eastAsia" w:ascii="Times New Roman" w:hAnsi="Times New Roman" w:eastAsia="宋体" w:cs="Times New Roman"/>
                <w:color w:val="000000"/>
                <w:kern w:val="0"/>
                <w:sz w:val="24"/>
                <w:szCs w:val="24"/>
                <w:highlight w:val="none"/>
                <w:lang w:val="en-US" w:eastAsia="zh-CN"/>
              </w:rPr>
              <w:t>。</w:t>
            </w:r>
            <w:r>
              <w:rPr>
                <w:rFonts w:hint="eastAsia" w:ascii="Times New Roman" w:hAnsi="Times New Roman" w:cs="Times New Roman"/>
                <w:color w:val="000000"/>
                <w:kern w:val="0"/>
                <w:sz w:val="24"/>
                <w:szCs w:val="24"/>
                <w:highlight w:val="none"/>
                <w:lang w:val="en-US" w:eastAsia="zh-CN"/>
              </w:rPr>
              <w:t>项目不涉及以上敏感区。</w:t>
            </w:r>
          </w:p>
        </w:tc>
      </w:tr>
      <w:tr w14:paraId="7FB85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5" w:hRule="atLeast"/>
        </w:trPr>
        <w:tc>
          <w:tcPr>
            <w:tcW w:w="1795" w:type="dxa"/>
            <w:noWrap w:val="0"/>
            <w:tcMar>
              <w:top w:w="16" w:type="dxa"/>
              <w:left w:w="16" w:type="dxa"/>
              <w:right w:w="16" w:type="dxa"/>
            </w:tcMar>
            <w:vAlign w:val="center"/>
          </w:tcPr>
          <w:p w14:paraId="3BA669EC">
            <w:pPr>
              <w:autoSpaceDE w:val="0"/>
              <w:autoSpaceDN w:val="0"/>
              <w:adjustRightInd w:val="0"/>
              <w:snapToGrid w:val="0"/>
              <w:jc w:val="center"/>
              <w:rPr>
                <w:rFonts w:hint="default" w:ascii="Times New Roman" w:hAnsi="Times New Roman" w:cs="Times New Roman"/>
                <w:kern w:val="0"/>
                <w:sz w:val="24"/>
                <w:highlight w:val="none"/>
              </w:rPr>
            </w:pPr>
            <w:r>
              <w:rPr>
                <w:rFonts w:hint="default" w:ascii="Times New Roman" w:hAnsi="Times New Roman" w:cs="Times New Roman"/>
                <w:sz w:val="24"/>
                <w:highlight w:val="none"/>
              </w:rPr>
              <w:t>规划情况</w:t>
            </w:r>
          </w:p>
        </w:tc>
        <w:tc>
          <w:tcPr>
            <w:tcW w:w="7244" w:type="dxa"/>
            <w:gridSpan w:val="4"/>
            <w:noWrap w:val="0"/>
            <w:tcMar>
              <w:top w:w="16" w:type="dxa"/>
              <w:left w:w="16" w:type="dxa"/>
              <w:right w:w="16" w:type="dxa"/>
            </w:tcMar>
            <w:vAlign w:val="center"/>
          </w:tcPr>
          <w:p w14:paraId="66459897">
            <w:pPr>
              <w:spacing w:line="360" w:lineRule="auto"/>
              <w:ind w:firstLine="48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内蒙古自治区鄂尔多斯市杭锦旗独贵塔拉工业园区位于鄂尔多斯市杭锦旗，2009年内蒙古自治区发改委批复了《内蒙古鄂尔多斯市杭锦能源化工基地产业发展规划》（内发改工字〔20</w:t>
            </w:r>
            <w:r>
              <w:rPr>
                <w:rFonts w:hint="default" w:ascii="Times New Roman" w:hAnsi="Times New Roman" w:cs="Times New Roman"/>
                <w:sz w:val="24"/>
                <w:szCs w:val="24"/>
                <w:highlight w:val="none"/>
                <w:lang w:val="en-US" w:eastAsia="zh-CN"/>
              </w:rPr>
              <w:t>09</w:t>
            </w:r>
            <w:r>
              <w:rPr>
                <w:rFonts w:hint="default" w:ascii="Times New Roman" w:hAnsi="Times New Roman" w:cs="Times New Roman"/>
                <w:sz w:val="24"/>
                <w:szCs w:val="24"/>
                <w:highlight w:val="none"/>
              </w:rPr>
              <w:t>〕2157号）；2015年鄂尔多斯市</w:t>
            </w:r>
            <w:r>
              <w:rPr>
                <w:rFonts w:hint="default" w:ascii="Times New Roman" w:hAnsi="Times New Roman" w:cs="Times New Roman"/>
                <w:sz w:val="24"/>
                <w:szCs w:val="24"/>
                <w:highlight w:val="none"/>
                <w:lang w:eastAsia="zh-CN"/>
              </w:rPr>
              <w:t>发展改革</w:t>
            </w:r>
            <w:r>
              <w:rPr>
                <w:rFonts w:hint="default" w:ascii="Times New Roman" w:hAnsi="Times New Roman" w:cs="Times New Roman"/>
                <w:sz w:val="24"/>
                <w:szCs w:val="24"/>
                <w:highlight w:val="none"/>
              </w:rPr>
              <w:t>委批复了《鄂尔多斯独贵塔拉工业园区总体规划（2015</w:t>
            </w:r>
            <w:r>
              <w:rPr>
                <w:rFonts w:hint="eastAsia" w:cs="Times New Roman"/>
                <w:sz w:val="24"/>
                <w:szCs w:val="24"/>
                <w:highlight w:val="none"/>
                <w:lang w:eastAsia="zh-CN"/>
              </w:rPr>
              <w:t>—</w:t>
            </w:r>
            <w:r>
              <w:rPr>
                <w:rFonts w:hint="default" w:ascii="Times New Roman" w:hAnsi="Times New Roman" w:cs="Times New Roman"/>
                <w:sz w:val="24"/>
                <w:szCs w:val="24"/>
                <w:highlight w:val="none"/>
              </w:rPr>
              <w:t>2030年）》（鄂府发〔20</w:t>
            </w:r>
            <w:r>
              <w:rPr>
                <w:rFonts w:hint="default" w:ascii="Times New Roman" w:hAnsi="Times New Roman" w:cs="Times New Roman"/>
                <w:sz w:val="24"/>
                <w:szCs w:val="24"/>
                <w:highlight w:val="none"/>
                <w:lang w:val="en-US" w:eastAsia="zh-CN"/>
              </w:rPr>
              <w:t>15</w:t>
            </w:r>
            <w:r>
              <w:rPr>
                <w:rFonts w:hint="default" w:ascii="Times New Roman" w:hAnsi="Times New Roman" w:cs="Times New Roman"/>
                <w:sz w:val="24"/>
                <w:szCs w:val="24"/>
                <w:highlight w:val="none"/>
              </w:rPr>
              <w:t>〕186号）</w:t>
            </w:r>
            <w:r>
              <w:rPr>
                <w:rFonts w:hint="default" w:ascii="Times New Roman" w:hAnsi="Times New Roman" w:cs="Times New Roman"/>
                <w:sz w:val="24"/>
                <w:szCs w:val="24"/>
                <w:highlight w:val="none"/>
                <w:lang w:eastAsia="zh-CN"/>
              </w:rPr>
              <w:t>；2023年3月</w:t>
            </w:r>
            <w:r>
              <w:rPr>
                <w:rFonts w:hint="default" w:ascii="Times New Roman" w:hAnsi="Times New Roman" w:cs="Times New Roman"/>
                <w:sz w:val="24"/>
                <w:szCs w:val="24"/>
                <w:highlight w:val="none"/>
                <w:lang w:val="en-US" w:eastAsia="zh-CN"/>
              </w:rPr>
              <w:t>内蒙古</w:t>
            </w:r>
            <w:r>
              <w:rPr>
                <w:rFonts w:hint="default" w:ascii="Times New Roman" w:hAnsi="Times New Roman" w:cs="Times New Roman"/>
                <w:sz w:val="24"/>
                <w:szCs w:val="24"/>
                <w:highlight w:val="none"/>
                <w:lang w:eastAsia="zh-CN"/>
              </w:rPr>
              <w:t>自治区工信厅</w:t>
            </w:r>
            <w:r>
              <w:rPr>
                <w:rFonts w:hint="default" w:ascii="Times New Roman" w:hAnsi="Times New Roman" w:cs="Times New Roman"/>
                <w:sz w:val="24"/>
                <w:szCs w:val="24"/>
                <w:highlight w:val="none"/>
                <w:lang w:val="en-US" w:eastAsia="zh-CN"/>
              </w:rPr>
              <w:t>批复了</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杭锦经济开发区产业发展规划（2022</w:t>
            </w:r>
            <w:r>
              <w:rPr>
                <w:rFonts w:hint="eastAsia" w:cs="Times New Roman"/>
                <w:sz w:val="24"/>
                <w:szCs w:val="24"/>
                <w:highlight w:val="none"/>
                <w:lang w:eastAsia="zh-CN"/>
              </w:rPr>
              <w:t>—</w:t>
            </w:r>
            <w:r>
              <w:rPr>
                <w:rFonts w:hint="default" w:ascii="Times New Roman" w:hAnsi="Times New Roman" w:cs="Times New Roman"/>
                <w:sz w:val="24"/>
                <w:szCs w:val="24"/>
                <w:highlight w:val="none"/>
              </w:rPr>
              <w:t>2035年）</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本项目所依据的相关规划情况见表1-</w:t>
            </w:r>
            <w:r>
              <w:rPr>
                <w:rFonts w:hint="default"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w:t>
            </w:r>
          </w:p>
          <w:p w14:paraId="119E8435">
            <w:pPr>
              <w:pStyle w:val="31"/>
              <w:spacing w:line="440" w:lineRule="exact"/>
              <w:ind w:firstLine="0"/>
              <w:jc w:val="center"/>
              <w:rPr>
                <w:rFonts w:hint="default" w:ascii="Times New Roman" w:hAnsi="Times New Roman" w:cs="Times New Roman"/>
                <w:sz w:val="21"/>
                <w:szCs w:val="21"/>
                <w:highlight w:val="none"/>
              </w:rPr>
            </w:pPr>
            <w:r>
              <w:rPr>
                <w:rFonts w:hint="default" w:ascii="Times New Roman" w:hAnsi="Times New Roman" w:cs="Times New Roman"/>
                <w:b/>
                <w:bCs/>
                <w:sz w:val="21"/>
                <w:szCs w:val="21"/>
                <w:highlight w:val="none"/>
              </w:rPr>
              <w:t>表1-</w:t>
            </w:r>
            <w:r>
              <w:rPr>
                <w:rFonts w:hint="default" w:ascii="Times New Roman" w:hAnsi="Times New Roman" w:cs="Times New Roman"/>
                <w:b/>
                <w:bCs/>
                <w:sz w:val="21"/>
                <w:szCs w:val="21"/>
                <w:highlight w:val="none"/>
                <w:lang w:val="en-US" w:eastAsia="zh-CN"/>
              </w:rPr>
              <w:t>2</w:t>
            </w:r>
            <w:r>
              <w:rPr>
                <w:rFonts w:hint="eastAsia" w:ascii="Times New Roman" w:hAnsi="Times New Roman" w:cs="Times New Roman"/>
                <w:b/>
                <w:bCs/>
                <w:sz w:val="21"/>
                <w:szCs w:val="21"/>
                <w:highlight w:val="none"/>
                <w:lang w:val="en-US" w:eastAsia="zh-CN"/>
              </w:rPr>
              <w:t xml:space="preserve">   </w:t>
            </w:r>
            <w:r>
              <w:rPr>
                <w:rFonts w:hint="default" w:ascii="Times New Roman" w:hAnsi="Times New Roman" w:cs="Times New Roman"/>
                <w:b/>
                <w:bCs/>
                <w:sz w:val="21"/>
                <w:szCs w:val="21"/>
                <w:highlight w:val="none"/>
              </w:rPr>
              <w:t>相关规划发展历程</w:t>
            </w:r>
          </w:p>
          <w:tbl>
            <w:tblPr>
              <w:tblStyle w:val="19"/>
              <w:tblW w:w="48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8"/>
              <w:gridCol w:w="481"/>
              <w:gridCol w:w="2864"/>
              <w:gridCol w:w="2070"/>
              <w:gridCol w:w="1063"/>
            </w:tblGrid>
            <w:tr w14:paraId="0563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390" w:type="pct"/>
                  <w:noWrap w:val="0"/>
                  <w:vAlign w:val="center"/>
                </w:tcPr>
                <w:p w14:paraId="05E7AB50">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342" w:type="pct"/>
                  <w:noWrap w:val="0"/>
                  <w:vAlign w:val="center"/>
                </w:tcPr>
                <w:p w14:paraId="1817C1C9">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年份</w:t>
                  </w:r>
                </w:p>
              </w:tc>
              <w:tc>
                <w:tcPr>
                  <w:tcW w:w="2037" w:type="pct"/>
                  <w:noWrap w:val="0"/>
                  <w:vAlign w:val="center"/>
                </w:tcPr>
                <w:p w14:paraId="77613C35">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规划情况</w:t>
                  </w:r>
                </w:p>
              </w:tc>
              <w:tc>
                <w:tcPr>
                  <w:tcW w:w="1472" w:type="pct"/>
                  <w:noWrap w:val="0"/>
                  <w:vAlign w:val="center"/>
                </w:tcPr>
                <w:p w14:paraId="472F4703">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批复情况</w:t>
                  </w:r>
                </w:p>
              </w:tc>
              <w:tc>
                <w:tcPr>
                  <w:tcW w:w="756" w:type="pct"/>
                  <w:noWrap w:val="0"/>
                  <w:vAlign w:val="center"/>
                </w:tcPr>
                <w:p w14:paraId="42EA1BA8">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园区级别</w:t>
                  </w:r>
                </w:p>
              </w:tc>
            </w:tr>
            <w:tr w14:paraId="5F7D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4" w:hRule="atLeast"/>
                <w:jc w:val="center"/>
              </w:trPr>
              <w:tc>
                <w:tcPr>
                  <w:tcW w:w="390" w:type="pct"/>
                  <w:noWrap w:val="0"/>
                  <w:vAlign w:val="center"/>
                </w:tcPr>
                <w:p w14:paraId="01CE9B71">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342" w:type="pct"/>
                  <w:noWrap w:val="0"/>
                  <w:vAlign w:val="center"/>
                </w:tcPr>
                <w:p w14:paraId="371E31EC">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2009年</w:t>
                  </w:r>
                </w:p>
              </w:tc>
              <w:tc>
                <w:tcPr>
                  <w:tcW w:w="2037" w:type="pct"/>
                  <w:noWrap w:val="0"/>
                  <w:vAlign w:val="center"/>
                </w:tcPr>
                <w:p w14:paraId="32C38F06">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内蒙古鄂尔多斯市杭锦能源化工基地产业发展规划</w:t>
                  </w:r>
                </w:p>
              </w:tc>
              <w:tc>
                <w:tcPr>
                  <w:tcW w:w="1472" w:type="pct"/>
                  <w:noWrap w:val="0"/>
                  <w:vAlign w:val="center"/>
                </w:tcPr>
                <w:p w14:paraId="0DFCCC0F">
                  <w:pPr>
                    <w:kinsoku w:val="0"/>
                    <w:overflowPunct w:val="0"/>
                    <w:autoSpaceDE w:val="0"/>
                    <w:autoSpaceDN w:val="0"/>
                    <w:adjustRightInd w:val="0"/>
                    <w:snapToGrid w:val="0"/>
                    <w:jc w:val="center"/>
                    <w:rPr>
                      <w:rFonts w:hint="eastAsia" w:ascii="Times New Roman" w:hAnsi="Times New Roman" w:eastAsia="宋体" w:cs="Times New Roman"/>
                      <w:szCs w:val="21"/>
                      <w:highlight w:val="none"/>
                      <w:lang w:eastAsia="zh-CN"/>
                    </w:rPr>
                  </w:pPr>
                  <w:r>
                    <w:rPr>
                      <w:rFonts w:hint="default" w:ascii="Times New Roman" w:hAnsi="Times New Roman" w:cs="Times New Roman"/>
                      <w:szCs w:val="21"/>
                      <w:highlight w:val="none"/>
                    </w:rPr>
                    <w:t>获得批复（内发改工字</w:t>
                  </w:r>
                  <w:r>
                    <w:rPr>
                      <w:rFonts w:hint="default" w:ascii="Times New Roman" w:hAnsi="Times New Roman" w:cs="Times New Roman"/>
                      <w:highlight w:val="none"/>
                    </w:rPr>
                    <w:t>〔20</w:t>
                  </w:r>
                  <w:r>
                    <w:rPr>
                      <w:rFonts w:hint="default" w:ascii="Times New Roman" w:hAnsi="Times New Roman" w:cs="Times New Roman"/>
                      <w:highlight w:val="none"/>
                      <w:lang w:val="en-US" w:eastAsia="zh-CN"/>
                    </w:rPr>
                    <w:t>09</w:t>
                  </w:r>
                  <w:r>
                    <w:rPr>
                      <w:rFonts w:hint="default" w:ascii="Times New Roman" w:hAnsi="Times New Roman" w:cs="Times New Roman"/>
                      <w:highlight w:val="none"/>
                    </w:rPr>
                    <w:t>〕</w:t>
                  </w:r>
                  <w:r>
                    <w:rPr>
                      <w:rFonts w:hint="default" w:ascii="Times New Roman" w:hAnsi="Times New Roman" w:cs="Times New Roman"/>
                      <w:szCs w:val="21"/>
                      <w:highlight w:val="none"/>
                    </w:rPr>
                    <w:t>2157号）</w:t>
                  </w:r>
                  <w:r>
                    <w:rPr>
                      <w:rFonts w:hint="eastAsia" w:cs="Times New Roman"/>
                      <w:szCs w:val="21"/>
                      <w:highlight w:val="none"/>
                      <w:lang w:eastAsia="zh-CN"/>
                    </w:rPr>
                    <w:t>。</w:t>
                  </w:r>
                </w:p>
              </w:tc>
              <w:tc>
                <w:tcPr>
                  <w:tcW w:w="756" w:type="pct"/>
                  <w:noWrap w:val="0"/>
                  <w:vAlign w:val="center"/>
                </w:tcPr>
                <w:p w14:paraId="281B1010">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市级</w:t>
                  </w:r>
                </w:p>
              </w:tc>
            </w:tr>
            <w:tr w14:paraId="15EB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5" w:hRule="atLeast"/>
                <w:jc w:val="center"/>
              </w:trPr>
              <w:tc>
                <w:tcPr>
                  <w:tcW w:w="390" w:type="pct"/>
                  <w:noWrap w:val="0"/>
                  <w:vAlign w:val="center"/>
                </w:tcPr>
                <w:p w14:paraId="2593B91E">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w:t>
                  </w:r>
                </w:p>
              </w:tc>
              <w:tc>
                <w:tcPr>
                  <w:tcW w:w="342" w:type="pct"/>
                  <w:noWrap w:val="0"/>
                  <w:vAlign w:val="center"/>
                </w:tcPr>
                <w:p w14:paraId="3034B074">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2015年</w:t>
                  </w:r>
                </w:p>
              </w:tc>
              <w:tc>
                <w:tcPr>
                  <w:tcW w:w="2037" w:type="pct"/>
                  <w:noWrap w:val="0"/>
                  <w:vAlign w:val="center"/>
                </w:tcPr>
                <w:p w14:paraId="7311C1D6">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鄂尔多斯独贵塔拉工业园区总体规划（2015</w:t>
                  </w:r>
                  <w:r>
                    <w:rPr>
                      <w:rFonts w:hint="eastAsia" w:cs="Times New Roman"/>
                      <w:szCs w:val="21"/>
                      <w:highlight w:val="none"/>
                      <w:lang w:eastAsia="zh-CN"/>
                    </w:rPr>
                    <w:t>—</w:t>
                  </w:r>
                  <w:r>
                    <w:rPr>
                      <w:rFonts w:hint="default" w:ascii="Times New Roman" w:hAnsi="Times New Roman" w:cs="Times New Roman"/>
                      <w:szCs w:val="21"/>
                      <w:highlight w:val="none"/>
                    </w:rPr>
                    <w:t>2030年）</w:t>
                  </w:r>
                </w:p>
              </w:tc>
              <w:tc>
                <w:tcPr>
                  <w:tcW w:w="1472" w:type="pct"/>
                  <w:noWrap w:val="0"/>
                  <w:vAlign w:val="center"/>
                </w:tcPr>
                <w:p w14:paraId="3A99CB82">
                  <w:pPr>
                    <w:kinsoku w:val="0"/>
                    <w:overflowPunct w:val="0"/>
                    <w:autoSpaceDE w:val="0"/>
                    <w:autoSpaceDN w:val="0"/>
                    <w:adjustRightInd w:val="0"/>
                    <w:snapToGrid w:val="0"/>
                    <w:jc w:val="center"/>
                    <w:rPr>
                      <w:rFonts w:hint="eastAsia" w:ascii="Times New Roman" w:hAnsi="Times New Roman" w:eastAsia="宋体" w:cs="Times New Roman"/>
                      <w:szCs w:val="21"/>
                      <w:highlight w:val="none"/>
                      <w:lang w:eastAsia="zh-CN"/>
                    </w:rPr>
                  </w:pPr>
                  <w:r>
                    <w:rPr>
                      <w:rFonts w:hint="default" w:ascii="Times New Roman" w:hAnsi="Times New Roman" w:cs="Times New Roman"/>
                      <w:szCs w:val="21"/>
                      <w:highlight w:val="none"/>
                    </w:rPr>
                    <w:t>获得批复（鄂府发</w:t>
                  </w:r>
                  <w:r>
                    <w:rPr>
                      <w:rFonts w:hint="default" w:ascii="Times New Roman" w:hAnsi="Times New Roman" w:cs="Times New Roman"/>
                      <w:highlight w:val="none"/>
                    </w:rPr>
                    <w:t>〔20</w:t>
                  </w:r>
                  <w:r>
                    <w:rPr>
                      <w:rFonts w:hint="default" w:ascii="Times New Roman" w:hAnsi="Times New Roman" w:cs="Times New Roman"/>
                      <w:highlight w:val="none"/>
                      <w:lang w:val="en-US" w:eastAsia="zh-CN"/>
                    </w:rPr>
                    <w:t>15</w:t>
                  </w:r>
                  <w:r>
                    <w:rPr>
                      <w:rFonts w:hint="default" w:ascii="Times New Roman" w:hAnsi="Times New Roman" w:cs="Times New Roman"/>
                      <w:highlight w:val="none"/>
                    </w:rPr>
                    <w:t>〕</w:t>
                  </w:r>
                  <w:r>
                    <w:rPr>
                      <w:rFonts w:hint="default" w:ascii="Times New Roman" w:hAnsi="Times New Roman" w:cs="Times New Roman"/>
                      <w:szCs w:val="21"/>
                      <w:highlight w:val="none"/>
                    </w:rPr>
                    <w:t>186号）</w:t>
                  </w:r>
                  <w:r>
                    <w:rPr>
                      <w:rFonts w:hint="eastAsia" w:cs="Times New Roman"/>
                      <w:szCs w:val="21"/>
                      <w:highlight w:val="none"/>
                      <w:lang w:eastAsia="zh-CN"/>
                    </w:rPr>
                    <w:t>。</w:t>
                  </w:r>
                </w:p>
              </w:tc>
              <w:tc>
                <w:tcPr>
                  <w:tcW w:w="756" w:type="pct"/>
                  <w:noWrap w:val="0"/>
                  <w:vAlign w:val="center"/>
                </w:tcPr>
                <w:p w14:paraId="2E684D5C">
                  <w:pPr>
                    <w:kinsoku w:val="0"/>
                    <w:overflowPunct w:val="0"/>
                    <w:autoSpaceDE w:val="0"/>
                    <w:autoSpaceDN w:val="0"/>
                    <w:adjustRightInd w:val="0"/>
                    <w:snapToGrid w:val="0"/>
                    <w:jc w:val="center"/>
                    <w:rPr>
                      <w:rFonts w:hint="eastAsia" w:ascii="Times New Roman" w:hAnsi="Times New Roman" w:eastAsia="宋体" w:cs="Times New Roman"/>
                      <w:szCs w:val="21"/>
                      <w:highlight w:val="none"/>
                      <w:lang w:eastAsia="zh-CN"/>
                    </w:rPr>
                  </w:pPr>
                  <w:r>
                    <w:rPr>
                      <w:rFonts w:hint="default" w:ascii="Times New Roman" w:hAnsi="Times New Roman" w:cs="Times New Roman"/>
                      <w:szCs w:val="21"/>
                      <w:highlight w:val="none"/>
                    </w:rPr>
                    <w:t>自治区级</w:t>
                  </w:r>
                  <w:r>
                    <w:rPr>
                      <w:rFonts w:hint="eastAsia" w:cs="Times New Roman"/>
                      <w:szCs w:val="21"/>
                      <w:highlight w:val="none"/>
                      <w:lang w:eastAsia="zh-CN"/>
                    </w:rPr>
                    <w:t>。</w:t>
                  </w:r>
                </w:p>
              </w:tc>
            </w:tr>
          </w:tbl>
          <w:p w14:paraId="24ED1E8A">
            <w:pPr>
              <w:autoSpaceDE w:val="0"/>
              <w:autoSpaceDN w:val="0"/>
              <w:adjustRightInd w:val="0"/>
              <w:snapToGrid w:val="0"/>
              <w:spacing w:line="360" w:lineRule="auto"/>
              <w:ind w:firstLine="480" w:firstLineChars="200"/>
              <w:rPr>
                <w:rFonts w:hint="default" w:ascii="Times New Roman" w:hAnsi="Times New Roman" w:cs="Times New Roman"/>
                <w:kern w:val="0"/>
                <w:sz w:val="24"/>
                <w:highlight w:val="none"/>
              </w:rPr>
            </w:pPr>
          </w:p>
        </w:tc>
      </w:tr>
      <w:tr w14:paraId="527A6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87" w:hRule="atLeast"/>
        </w:trPr>
        <w:tc>
          <w:tcPr>
            <w:tcW w:w="1795" w:type="dxa"/>
            <w:noWrap w:val="0"/>
            <w:tcMar>
              <w:top w:w="16" w:type="dxa"/>
              <w:left w:w="16" w:type="dxa"/>
              <w:right w:w="16" w:type="dxa"/>
            </w:tcMar>
            <w:vAlign w:val="center"/>
          </w:tcPr>
          <w:p w14:paraId="66789B40">
            <w:pPr>
              <w:autoSpaceDE w:val="0"/>
              <w:autoSpaceDN w:val="0"/>
              <w:adjustRightInd w:val="0"/>
              <w:snapToGrid w:val="0"/>
              <w:spacing w:line="360" w:lineRule="auto"/>
              <w:jc w:val="center"/>
              <w:rPr>
                <w:rFonts w:hint="default" w:ascii="Times New Roman" w:hAnsi="Times New Roman" w:cs="Times New Roman"/>
                <w:sz w:val="24"/>
                <w:highlight w:val="none"/>
              </w:rPr>
            </w:pPr>
            <w:r>
              <w:rPr>
                <w:rFonts w:hint="default" w:ascii="Times New Roman" w:hAnsi="Times New Roman" w:cs="Times New Roman"/>
                <w:sz w:val="24"/>
                <w:highlight w:val="none"/>
              </w:rPr>
              <w:t>规划环境影响</w:t>
            </w:r>
          </w:p>
          <w:p w14:paraId="174CAA01">
            <w:pPr>
              <w:autoSpaceDE w:val="0"/>
              <w:autoSpaceDN w:val="0"/>
              <w:adjustRightInd w:val="0"/>
              <w:snapToGrid w:val="0"/>
              <w:spacing w:line="360" w:lineRule="auto"/>
              <w:jc w:val="center"/>
              <w:rPr>
                <w:rFonts w:hint="default" w:ascii="Times New Roman" w:hAnsi="Times New Roman" w:cs="Times New Roman"/>
                <w:kern w:val="0"/>
                <w:sz w:val="24"/>
                <w:highlight w:val="none"/>
              </w:rPr>
            </w:pPr>
            <w:r>
              <w:rPr>
                <w:rFonts w:hint="default" w:ascii="Times New Roman" w:hAnsi="Times New Roman" w:cs="Times New Roman"/>
                <w:sz w:val="24"/>
                <w:highlight w:val="none"/>
              </w:rPr>
              <w:t>评价情况</w:t>
            </w:r>
          </w:p>
        </w:tc>
        <w:tc>
          <w:tcPr>
            <w:tcW w:w="7244" w:type="dxa"/>
            <w:gridSpan w:val="4"/>
            <w:noWrap w:val="0"/>
            <w:tcMar>
              <w:top w:w="16" w:type="dxa"/>
              <w:left w:w="16" w:type="dxa"/>
              <w:right w:w="16" w:type="dxa"/>
            </w:tcMar>
            <w:vAlign w:val="center"/>
          </w:tcPr>
          <w:p w14:paraId="42C57265">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《鄂尔多斯市杭锦旗独贵塔拉工业园区总体规划环境影响报告</w:t>
            </w:r>
            <w:r>
              <w:rPr>
                <w:rFonts w:hint="default" w:ascii="Times New Roman" w:hAnsi="Times New Roman" w:eastAsia="宋体" w:cs="Times New Roman"/>
                <w:sz w:val="24"/>
                <w:szCs w:val="24"/>
                <w:highlight w:val="none"/>
                <w:lang w:eastAsia="zh-CN"/>
              </w:rPr>
              <w:t>书</w:t>
            </w:r>
            <w:r>
              <w:rPr>
                <w:rFonts w:hint="default" w:ascii="Times New Roman" w:hAnsi="Times New Roman" w:eastAsia="宋体" w:cs="Times New Roman"/>
                <w:sz w:val="24"/>
                <w:szCs w:val="24"/>
                <w:highlight w:val="none"/>
              </w:rPr>
              <w:t>》于2012年取得了原内蒙古自治区环境保护厅的审查意见（内环字</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2012</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149号）</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《内蒙古鄂尔多斯杭锦经济开发区总体规划</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2021-2035</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环境影响报告书》于</w:t>
            </w:r>
            <w:r>
              <w:rPr>
                <w:rFonts w:hint="default" w:ascii="Times New Roman" w:hAnsi="Times New Roman" w:eastAsia="宋体" w:cs="Times New Roman"/>
                <w:sz w:val="24"/>
                <w:szCs w:val="24"/>
                <w:highlight w:val="none"/>
                <w:lang w:val="en-US" w:eastAsia="zh-CN"/>
              </w:rPr>
              <w:t>2023</w:t>
            </w:r>
            <w:r>
              <w:rPr>
                <w:rFonts w:hint="default" w:ascii="Times New Roman" w:hAnsi="Times New Roman" w:eastAsia="宋体" w:cs="Times New Roman"/>
                <w:sz w:val="24"/>
                <w:szCs w:val="24"/>
                <w:highlight w:val="none"/>
              </w:rPr>
              <w:t>年取得了内蒙古自治区生态环境厅的审查意见（内环审</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rPr>
              <w:t>2023</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rPr>
              <w:t>41号）。本项目所依据的相关规划情况见表1-</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w:t>
            </w:r>
          </w:p>
          <w:p w14:paraId="7F4A2F87">
            <w:pPr>
              <w:pStyle w:val="31"/>
              <w:spacing w:line="440" w:lineRule="exact"/>
              <w:ind w:firstLine="0"/>
              <w:jc w:val="center"/>
              <w:rPr>
                <w:rFonts w:hint="default" w:ascii="Times New Roman" w:hAnsi="Times New Roman" w:cs="Times New Roman"/>
                <w:sz w:val="21"/>
                <w:szCs w:val="21"/>
                <w:highlight w:val="none"/>
              </w:rPr>
            </w:pPr>
            <w:r>
              <w:rPr>
                <w:rFonts w:hint="default" w:ascii="Times New Roman" w:hAnsi="Times New Roman" w:cs="Times New Roman"/>
                <w:b/>
                <w:bCs/>
                <w:sz w:val="21"/>
                <w:szCs w:val="21"/>
                <w:highlight w:val="none"/>
              </w:rPr>
              <w:t>表1-</w:t>
            </w:r>
            <w:r>
              <w:rPr>
                <w:rFonts w:hint="default" w:ascii="Times New Roman" w:hAnsi="Times New Roman" w:cs="Times New Roman"/>
                <w:b/>
                <w:bCs/>
                <w:sz w:val="21"/>
                <w:szCs w:val="21"/>
                <w:highlight w:val="none"/>
                <w:lang w:val="en-US" w:eastAsia="zh-CN"/>
              </w:rPr>
              <w:t>3</w:t>
            </w:r>
            <w:r>
              <w:rPr>
                <w:rFonts w:hint="eastAsia" w:ascii="Times New Roman" w:hAnsi="Times New Roman" w:cs="Times New Roman"/>
                <w:b/>
                <w:bCs/>
                <w:sz w:val="21"/>
                <w:szCs w:val="21"/>
                <w:highlight w:val="none"/>
                <w:lang w:val="en-US" w:eastAsia="zh-CN"/>
              </w:rPr>
              <w:t xml:space="preserve">   </w:t>
            </w:r>
            <w:r>
              <w:rPr>
                <w:rFonts w:hint="default" w:ascii="Times New Roman" w:hAnsi="Times New Roman" w:cs="Times New Roman"/>
                <w:b/>
                <w:bCs/>
                <w:sz w:val="21"/>
                <w:szCs w:val="21"/>
                <w:highlight w:val="none"/>
              </w:rPr>
              <w:t>相关规划环评发展历程</w:t>
            </w:r>
          </w:p>
          <w:tbl>
            <w:tblPr>
              <w:tblStyle w:val="19"/>
              <w:tblW w:w="49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4"/>
              <w:gridCol w:w="680"/>
              <w:gridCol w:w="3744"/>
              <w:gridCol w:w="2135"/>
            </w:tblGrid>
            <w:tr w14:paraId="35C5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415" w:type="pct"/>
                  <w:noWrap w:val="0"/>
                  <w:vAlign w:val="center"/>
                </w:tcPr>
                <w:p w14:paraId="39C23363">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475" w:type="pct"/>
                  <w:noWrap w:val="0"/>
                  <w:vAlign w:val="center"/>
                </w:tcPr>
                <w:p w14:paraId="003955C8">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年份</w:t>
                  </w:r>
                </w:p>
              </w:tc>
              <w:tc>
                <w:tcPr>
                  <w:tcW w:w="2616" w:type="pct"/>
                  <w:noWrap w:val="0"/>
                  <w:vAlign w:val="center"/>
                </w:tcPr>
                <w:p w14:paraId="553300BA">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规划环评情况</w:t>
                  </w:r>
                </w:p>
              </w:tc>
              <w:tc>
                <w:tcPr>
                  <w:tcW w:w="1492" w:type="pct"/>
                  <w:noWrap w:val="0"/>
                  <w:vAlign w:val="center"/>
                </w:tcPr>
                <w:p w14:paraId="3509FFCD">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批复情况</w:t>
                  </w:r>
                </w:p>
              </w:tc>
            </w:tr>
            <w:tr w14:paraId="15822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415" w:type="pct"/>
                  <w:noWrap w:val="0"/>
                  <w:vAlign w:val="center"/>
                </w:tcPr>
                <w:p w14:paraId="2EA875C2">
                  <w:pPr>
                    <w:widowControl/>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475" w:type="pct"/>
                  <w:noWrap w:val="0"/>
                  <w:vAlign w:val="center"/>
                </w:tcPr>
                <w:p w14:paraId="4726B7C9">
                  <w:pPr>
                    <w:widowControl/>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2012年</w:t>
                  </w:r>
                </w:p>
              </w:tc>
              <w:tc>
                <w:tcPr>
                  <w:tcW w:w="2616" w:type="pct"/>
                  <w:noWrap w:val="0"/>
                  <w:vAlign w:val="center"/>
                </w:tcPr>
                <w:p w14:paraId="3C53B22F">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内蒙古自治区环境保护厅关于鄂尔多斯市杭锦旗独贵塔拉工业园区总体规划环境影响报告</w:t>
                  </w:r>
                  <w:r>
                    <w:rPr>
                      <w:rFonts w:hint="default" w:ascii="Times New Roman" w:hAnsi="Times New Roman" w:cs="Times New Roman"/>
                      <w:szCs w:val="21"/>
                      <w:highlight w:val="none"/>
                      <w:lang w:eastAsia="zh-CN"/>
                    </w:rPr>
                    <w:t>书》</w:t>
                  </w:r>
                </w:p>
              </w:tc>
              <w:tc>
                <w:tcPr>
                  <w:tcW w:w="1492" w:type="pct"/>
                  <w:noWrap w:val="0"/>
                  <w:vAlign w:val="center"/>
                </w:tcPr>
                <w:p w14:paraId="1EF98D27">
                  <w:pPr>
                    <w:kinsoku w:val="0"/>
                    <w:overflowPunct w:val="0"/>
                    <w:autoSpaceDE w:val="0"/>
                    <w:autoSpaceDN w:val="0"/>
                    <w:adjustRightInd w:val="0"/>
                    <w:snapToGrid w:val="0"/>
                    <w:jc w:val="center"/>
                    <w:rPr>
                      <w:rFonts w:hint="eastAsia" w:ascii="Times New Roman" w:hAnsi="Times New Roman" w:eastAsia="宋体" w:cs="Times New Roman"/>
                      <w:szCs w:val="21"/>
                      <w:highlight w:val="none"/>
                      <w:lang w:eastAsia="zh-CN"/>
                    </w:rPr>
                  </w:pPr>
                  <w:r>
                    <w:rPr>
                      <w:rFonts w:hint="default" w:ascii="Times New Roman" w:hAnsi="Times New Roman" w:cs="Times New Roman"/>
                      <w:szCs w:val="21"/>
                      <w:highlight w:val="none"/>
                    </w:rPr>
                    <w:t>取得审查意见（内环字</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2012</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149号）</w:t>
                  </w:r>
                  <w:r>
                    <w:rPr>
                      <w:rFonts w:hint="eastAsia" w:cs="Times New Roman"/>
                      <w:szCs w:val="21"/>
                      <w:highlight w:val="none"/>
                      <w:lang w:eastAsia="zh-CN"/>
                    </w:rPr>
                    <w:t>。</w:t>
                  </w:r>
                </w:p>
              </w:tc>
            </w:tr>
            <w:tr w14:paraId="2FCF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8" w:hRule="atLeast"/>
                <w:jc w:val="center"/>
              </w:trPr>
              <w:tc>
                <w:tcPr>
                  <w:tcW w:w="415" w:type="pct"/>
                  <w:noWrap w:val="0"/>
                  <w:vAlign w:val="center"/>
                </w:tcPr>
                <w:p w14:paraId="58A87A38">
                  <w:pPr>
                    <w:widowControl/>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w:t>
                  </w:r>
                </w:p>
              </w:tc>
              <w:tc>
                <w:tcPr>
                  <w:tcW w:w="475" w:type="pct"/>
                  <w:noWrap w:val="0"/>
                  <w:vAlign w:val="center"/>
                </w:tcPr>
                <w:p w14:paraId="22CA728F">
                  <w:pPr>
                    <w:widowControl/>
                    <w:jc w:val="center"/>
                    <w:rPr>
                      <w:rFonts w:hint="default" w:ascii="Times New Roman" w:hAnsi="Times New Roman" w:cs="Times New Roman"/>
                      <w:szCs w:val="21"/>
                      <w:highlight w:val="none"/>
                    </w:rPr>
                  </w:pPr>
                  <w:r>
                    <w:rPr>
                      <w:rFonts w:hint="default" w:ascii="Times New Roman" w:hAnsi="Times New Roman" w:cs="Times New Roman"/>
                      <w:highlight w:val="none"/>
                      <w:lang w:val="en-US" w:eastAsia="zh-CN"/>
                    </w:rPr>
                    <w:t>2023</w:t>
                  </w:r>
                  <w:r>
                    <w:rPr>
                      <w:rFonts w:hint="default" w:ascii="Times New Roman" w:hAnsi="Times New Roman" w:cs="Times New Roman"/>
                      <w:highlight w:val="none"/>
                    </w:rPr>
                    <w:t>年</w:t>
                  </w:r>
                </w:p>
              </w:tc>
              <w:tc>
                <w:tcPr>
                  <w:tcW w:w="2616" w:type="pct"/>
                  <w:noWrap w:val="0"/>
                  <w:vAlign w:val="center"/>
                </w:tcPr>
                <w:p w14:paraId="37DDF420">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内蒙古鄂尔多斯杭锦经济开发区总体规划</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2021</w:t>
                  </w:r>
                  <w:r>
                    <w:rPr>
                      <w:rFonts w:hint="eastAsia" w:cs="Times New Roman"/>
                      <w:szCs w:val="21"/>
                      <w:highlight w:val="none"/>
                      <w:lang w:eastAsia="zh-CN"/>
                    </w:rPr>
                    <w:t>—</w:t>
                  </w:r>
                  <w:r>
                    <w:rPr>
                      <w:rFonts w:hint="default" w:ascii="Times New Roman" w:hAnsi="Times New Roman" w:cs="Times New Roman"/>
                      <w:szCs w:val="21"/>
                      <w:highlight w:val="none"/>
                    </w:rPr>
                    <w:t>2035</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环境影响报告书</w:t>
                  </w:r>
                  <w:r>
                    <w:rPr>
                      <w:rFonts w:hint="default" w:ascii="Times New Roman" w:hAnsi="Times New Roman" w:cs="Times New Roman"/>
                      <w:szCs w:val="21"/>
                      <w:highlight w:val="none"/>
                      <w:lang w:eastAsia="zh-CN"/>
                    </w:rPr>
                    <w:t>》</w:t>
                  </w:r>
                </w:p>
              </w:tc>
              <w:tc>
                <w:tcPr>
                  <w:tcW w:w="1492" w:type="pct"/>
                  <w:noWrap w:val="0"/>
                  <w:vAlign w:val="center"/>
                </w:tcPr>
                <w:p w14:paraId="1F95AE6D">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取得审查意见</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内环审</w:t>
                  </w:r>
                  <w:r>
                    <w:rPr>
                      <w:rFonts w:hint="default" w:ascii="Times New Roman" w:hAnsi="Times New Roman" w:cs="Times New Roman"/>
                      <w:szCs w:val="21"/>
                      <w:highlight w:val="none"/>
                      <w:lang w:val="en-US" w:eastAsia="zh-CN"/>
                    </w:rPr>
                    <w:t>﹝</w:t>
                  </w:r>
                  <w:r>
                    <w:rPr>
                      <w:rFonts w:hint="default" w:ascii="Times New Roman" w:hAnsi="Times New Roman" w:cs="Times New Roman"/>
                      <w:szCs w:val="21"/>
                      <w:highlight w:val="none"/>
                    </w:rPr>
                    <w:t>2023</w:t>
                  </w:r>
                  <w:r>
                    <w:rPr>
                      <w:rFonts w:hint="default" w:ascii="Times New Roman" w:hAnsi="Times New Roman" w:cs="Times New Roman"/>
                      <w:szCs w:val="21"/>
                      <w:highlight w:val="none"/>
                      <w:lang w:val="en-US" w:eastAsia="zh-CN"/>
                    </w:rPr>
                    <w:t>﹞</w:t>
                  </w:r>
                  <w:r>
                    <w:rPr>
                      <w:rFonts w:hint="default" w:ascii="Times New Roman" w:hAnsi="Times New Roman" w:cs="Times New Roman"/>
                      <w:szCs w:val="21"/>
                      <w:highlight w:val="none"/>
                    </w:rPr>
                    <w:t>41号</w:t>
                  </w:r>
                  <w:r>
                    <w:rPr>
                      <w:rFonts w:hint="default" w:ascii="Times New Roman" w:hAnsi="Times New Roman" w:cs="Times New Roman"/>
                      <w:szCs w:val="21"/>
                      <w:highlight w:val="none"/>
                      <w:lang w:eastAsia="zh-CN"/>
                    </w:rPr>
                    <w:t>）。</w:t>
                  </w:r>
                </w:p>
              </w:tc>
            </w:tr>
          </w:tbl>
          <w:p w14:paraId="1D1A0D99">
            <w:pPr>
              <w:adjustRightInd w:val="0"/>
              <w:snapToGrid w:val="0"/>
              <w:spacing w:line="360" w:lineRule="auto"/>
              <w:ind w:firstLine="480" w:firstLineChars="200"/>
              <w:jc w:val="left"/>
              <w:rPr>
                <w:rFonts w:hint="default" w:ascii="Times New Roman" w:hAnsi="Times New Roman" w:cs="Times New Roman"/>
                <w:kern w:val="0"/>
                <w:sz w:val="24"/>
                <w:highlight w:val="none"/>
              </w:rPr>
            </w:pPr>
          </w:p>
        </w:tc>
      </w:tr>
      <w:tr w14:paraId="537F1B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1795" w:type="dxa"/>
            <w:noWrap w:val="0"/>
            <w:tcMar>
              <w:top w:w="16" w:type="dxa"/>
              <w:left w:w="16" w:type="dxa"/>
              <w:right w:w="16" w:type="dxa"/>
            </w:tcMar>
            <w:vAlign w:val="center"/>
          </w:tcPr>
          <w:p w14:paraId="55B4B8EB">
            <w:pPr>
              <w:autoSpaceDE w:val="0"/>
              <w:autoSpaceDN w:val="0"/>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 w:val="24"/>
                <w:highlight w:val="none"/>
              </w:rPr>
              <w:t>规划及</w:t>
            </w:r>
            <w:r>
              <w:rPr>
                <w:rFonts w:hint="default" w:ascii="Times New Roman" w:hAnsi="Times New Roman" w:cs="Times New Roman"/>
                <w:sz w:val="24"/>
                <w:highlight w:val="none"/>
              </w:rPr>
              <w:t>规划环境影响评价</w:t>
            </w:r>
            <w:r>
              <w:rPr>
                <w:rFonts w:hint="default" w:ascii="Times New Roman" w:hAnsi="Times New Roman" w:cs="Times New Roman"/>
                <w:kern w:val="0"/>
                <w:sz w:val="24"/>
                <w:highlight w:val="none"/>
              </w:rPr>
              <w:t>符合性分析</w:t>
            </w:r>
          </w:p>
        </w:tc>
        <w:tc>
          <w:tcPr>
            <w:tcW w:w="7244" w:type="dxa"/>
            <w:gridSpan w:val="4"/>
            <w:noWrap w:val="0"/>
            <w:tcMar>
              <w:top w:w="16" w:type="dxa"/>
              <w:left w:w="16" w:type="dxa"/>
              <w:right w:w="16" w:type="dxa"/>
            </w:tcMar>
            <w:vAlign w:val="center"/>
          </w:tcPr>
          <w:p w14:paraId="4954B887">
            <w:pPr>
              <w:numPr>
                <w:ilvl w:val="0"/>
                <w:numId w:val="0"/>
              </w:numPr>
              <w:autoSpaceDE w:val="0"/>
              <w:autoSpaceDN w:val="0"/>
              <w:adjustRightInd w:val="0"/>
              <w:snapToGrid w:val="0"/>
              <w:spacing w:line="360" w:lineRule="auto"/>
              <w:rPr>
                <w:rFonts w:hint="default" w:ascii="Times New Roman" w:hAnsi="Times New Roman" w:cs="Times New Roman"/>
                <w:b/>
                <w:bCs/>
                <w:sz w:val="24"/>
                <w:szCs w:val="32"/>
                <w:highlight w:val="none"/>
              </w:rPr>
            </w:pPr>
            <w:r>
              <w:rPr>
                <w:rFonts w:hint="eastAsia" w:cs="Times New Roman"/>
                <w:b/>
                <w:bCs/>
                <w:sz w:val="24"/>
                <w:szCs w:val="32"/>
                <w:highlight w:val="none"/>
                <w:lang w:val="en-US" w:eastAsia="zh-CN"/>
              </w:rPr>
              <w:t>1.</w:t>
            </w:r>
            <w:r>
              <w:rPr>
                <w:rFonts w:hint="default" w:ascii="Times New Roman" w:hAnsi="Times New Roman" w:cs="Times New Roman"/>
                <w:b/>
                <w:bCs/>
                <w:sz w:val="24"/>
                <w:szCs w:val="32"/>
                <w:highlight w:val="none"/>
                <w:lang w:val="en-US" w:eastAsia="zh-CN"/>
              </w:rPr>
              <w:t>园区</w:t>
            </w:r>
            <w:r>
              <w:rPr>
                <w:rFonts w:hint="default" w:ascii="Times New Roman" w:hAnsi="Times New Roman" w:cs="Times New Roman"/>
                <w:b/>
                <w:bCs/>
                <w:sz w:val="24"/>
                <w:szCs w:val="32"/>
                <w:highlight w:val="none"/>
              </w:rPr>
              <w:t>规划符合性</w:t>
            </w:r>
          </w:p>
          <w:p w14:paraId="7729E091">
            <w:pPr>
              <w:autoSpaceDE w:val="0"/>
              <w:autoSpaceDN w:val="0"/>
              <w:adjustRightInd w:val="0"/>
              <w:snapToGrid w:val="0"/>
              <w:spacing w:line="360" w:lineRule="auto"/>
              <w:ind w:firstLine="480" w:firstLineChars="20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2010年，内蒙古自治区出台《内蒙古自治区以呼包鄂为核心沿黄河交通干线经济带重点产业发展规划（2010-2020）》，将独贵塔拉工业园区规划为22个自治区级重点园区和产业集中区之一。2012年取得《内蒙古自治区鄂尔多斯市杭锦旗独贵塔拉工业园区总体规划环境影响报告书》审查意见（内环字〔2012〕149号），工业园区总体控制面积为300平方公里，规划面积为80平方公里，其中独贵塔拉产业园（北区）位于原杭锦能源化工基地，规划面积45.50平方公里，独贵塔拉产业园（南区）位于独贵塔拉镇敖楞乌苏嘎查，规划面积34.50平方公里，两区相距32公里。产业定位以煤炭全方位综合利用为目标，以煤气化技术为核心，采用上下游一体化的发展模式，构筑以新型能源产品、新型功能性合成材料、精细化工产品等为主干的产品结构。</w:t>
            </w:r>
          </w:p>
          <w:p w14:paraId="74494834">
            <w:pPr>
              <w:autoSpaceDE w:val="0"/>
              <w:autoSpaceDN w:val="0"/>
              <w:adjustRightInd w:val="0"/>
              <w:snapToGrid w:val="0"/>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eastAsia="宋体" w:cs="Times New Roman"/>
                <w:color w:val="000000"/>
                <w:sz w:val="24"/>
                <w:highlight w:val="none"/>
              </w:rPr>
              <w:t>内蒙古鄂尔多斯杭锦经济开发区（以下简称</w:t>
            </w:r>
            <w:r>
              <w:rPr>
                <w:rFonts w:hint="eastAsia" w:cs="Times New Roman"/>
                <w:color w:val="000000"/>
                <w:sz w:val="24"/>
                <w:highlight w:val="none"/>
                <w:lang w:eastAsia="zh-CN"/>
              </w:rPr>
              <w:t>“</w:t>
            </w:r>
            <w:r>
              <w:rPr>
                <w:rFonts w:hint="default" w:ascii="Times New Roman" w:hAnsi="Times New Roman" w:eastAsia="宋体" w:cs="Times New Roman"/>
                <w:color w:val="000000"/>
                <w:sz w:val="24"/>
                <w:highlight w:val="none"/>
              </w:rPr>
              <w:t>开发区</w:t>
            </w:r>
            <w:r>
              <w:rPr>
                <w:rFonts w:hint="eastAsia" w:cs="Times New Roman"/>
                <w:color w:val="000000"/>
                <w:sz w:val="24"/>
                <w:highlight w:val="none"/>
                <w:lang w:eastAsia="zh-CN"/>
              </w:rPr>
              <w:t>”</w:t>
            </w:r>
            <w:r>
              <w:rPr>
                <w:rFonts w:hint="default" w:ascii="Times New Roman" w:hAnsi="Times New Roman" w:eastAsia="宋体" w:cs="Times New Roman"/>
                <w:color w:val="000000"/>
                <w:sz w:val="24"/>
                <w:highlight w:val="none"/>
              </w:rPr>
              <w:t>）成立于2021年7月，位于内蒙古自治区鄂尔多斯市杭锦旗。内蒙古鄂尔多斯杭锦经济开发区管委会组织编制了《内蒙古鄂尔多斯杭锦经济开发区总体规划》（2021</w:t>
            </w:r>
            <w:r>
              <w:rPr>
                <w:rFonts w:hint="eastAsia" w:cs="Times New Roman"/>
                <w:color w:val="000000"/>
                <w:sz w:val="24"/>
                <w:highlight w:val="none"/>
                <w:lang w:eastAsia="zh-CN"/>
              </w:rPr>
              <w:t>—</w:t>
            </w:r>
            <w:r>
              <w:rPr>
                <w:rFonts w:hint="default" w:ascii="Times New Roman" w:hAnsi="Times New Roman" w:eastAsia="宋体" w:cs="Times New Roman"/>
                <w:color w:val="000000"/>
                <w:sz w:val="24"/>
                <w:highlight w:val="none"/>
              </w:rPr>
              <w:t>2035年）。2023年，内蒙古鄂尔多斯杭锦经济开发区管理委员会组织编制了《内蒙古鄂尔多斯杭锦经济开发区总体规划（2021</w:t>
            </w:r>
            <w:r>
              <w:rPr>
                <w:rFonts w:hint="eastAsia" w:cs="Times New Roman"/>
                <w:color w:val="000000"/>
                <w:sz w:val="24"/>
                <w:highlight w:val="none"/>
                <w:lang w:eastAsia="zh-CN"/>
              </w:rPr>
              <w:t>—</w:t>
            </w:r>
            <w:r>
              <w:rPr>
                <w:rFonts w:hint="default" w:ascii="Times New Roman" w:hAnsi="Times New Roman" w:eastAsia="宋体" w:cs="Times New Roman"/>
                <w:color w:val="000000"/>
                <w:sz w:val="24"/>
                <w:highlight w:val="none"/>
              </w:rPr>
              <w:t>2035年）环境影响报告书》，2023年6月取得内蒙古自治区生态环境厅关于《内蒙古鄂尔多斯杭锦经济开发区总体规划（2021</w:t>
            </w:r>
            <w:r>
              <w:rPr>
                <w:rFonts w:hint="eastAsia" w:cs="Times New Roman"/>
                <w:color w:val="000000"/>
                <w:sz w:val="24"/>
                <w:highlight w:val="none"/>
                <w:lang w:eastAsia="zh-CN"/>
              </w:rPr>
              <w:t>—</w:t>
            </w:r>
            <w:r>
              <w:rPr>
                <w:rFonts w:hint="default" w:ascii="Times New Roman" w:hAnsi="Times New Roman" w:eastAsia="宋体" w:cs="Times New Roman"/>
                <w:color w:val="000000"/>
                <w:sz w:val="24"/>
                <w:highlight w:val="none"/>
              </w:rPr>
              <w:t>2035年）环境影响报告书》的审查意见（内环字〔2023〕41号）。</w:t>
            </w:r>
            <w:r>
              <w:rPr>
                <w:rFonts w:hint="default" w:ascii="Times New Roman" w:hAnsi="Times New Roman" w:eastAsia="宋体" w:cs="Times New Roman"/>
                <w:color w:val="000000"/>
                <w:sz w:val="24"/>
                <w:highlight w:val="none"/>
                <w:lang w:val="en-US" w:eastAsia="zh-CN"/>
              </w:rPr>
              <w:t>规划环评中</w:t>
            </w:r>
            <w:r>
              <w:rPr>
                <w:rFonts w:hint="eastAsia" w:cs="Times New Roman"/>
                <w:color w:val="000000"/>
                <w:sz w:val="24"/>
                <w:highlight w:val="none"/>
                <w:lang w:val="en-US" w:eastAsia="zh-CN"/>
              </w:rPr>
              <w:t>“</w:t>
            </w:r>
            <w:r>
              <w:rPr>
                <w:rFonts w:hint="default" w:ascii="Times New Roman" w:hAnsi="Times New Roman" w:eastAsia="宋体" w:cs="Times New Roman"/>
                <w:color w:val="000000"/>
                <w:sz w:val="24"/>
                <w:highlight w:val="none"/>
                <w:lang w:val="en-US" w:eastAsia="zh-CN"/>
              </w:rPr>
              <w:t>内蒙古鄂尔多斯市杭锦旗经济开发区包括独贵塔拉产业园和新能源产业园，总面积13.32平方公里，其中独贵塔拉产业园北项目区占地面积6.09平方公里，独贵塔拉产业园南项目区占地面积5.76平方公里，新能源产业园占地面积1.47平方公里。</w:t>
            </w:r>
            <w:r>
              <w:rPr>
                <w:rFonts w:hint="eastAsia" w:cs="Times New Roman"/>
                <w:color w:val="000000"/>
                <w:sz w:val="24"/>
                <w:highlight w:val="none"/>
                <w:lang w:val="en-US" w:eastAsia="zh-CN"/>
              </w:rPr>
              <w:t>”</w:t>
            </w:r>
            <w:r>
              <w:rPr>
                <w:rFonts w:hint="default" w:ascii="Times New Roman" w:hAnsi="Times New Roman" w:eastAsia="宋体" w:cs="Times New Roman"/>
                <w:color w:val="000000"/>
                <w:sz w:val="24"/>
                <w:highlight w:val="none"/>
                <w:lang w:val="en-US" w:eastAsia="zh-CN"/>
              </w:rPr>
              <w:t>本项目位于</w:t>
            </w:r>
            <w:r>
              <w:rPr>
                <w:rFonts w:hint="default" w:ascii="Times New Roman" w:hAnsi="Times New Roman" w:eastAsia="宋体" w:cs="Times New Roman"/>
                <w:bCs/>
                <w:color w:val="000000"/>
                <w:sz w:val="24"/>
                <w:highlight w:val="none"/>
              </w:rPr>
              <w:t>鄂尔多斯市杭锦旗经济开发区独贵塔拉产业园</w:t>
            </w:r>
            <w:r>
              <w:rPr>
                <w:rFonts w:hint="default" w:ascii="Times New Roman" w:hAnsi="Times New Roman" w:eastAsia="宋体" w:cs="Times New Roman"/>
                <w:color w:val="000000"/>
                <w:sz w:val="24"/>
                <w:highlight w:val="none"/>
              </w:rPr>
              <w:t>南项目区</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lang w:val="en-US" w:eastAsia="zh-CN"/>
              </w:rPr>
              <w:t>又名锦泰精细化工园</w:t>
            </w:r>
            <w:r>
              <w:rPr>
                <w:rFonts w:hint="default" w:ascii="Times New Roman" w:hAnsi="Times New Roman" w:cs="Times New Roman"/>
                <w:color w:val="000000"/>
                <w:sz w:val="24"/>
                <w:highlight w:val="none"/>
                <w:lang w:eastAsia="zh-CN"/>
              </w:rPr>
              <w:t>）</w:t>
            </w:r>
            <w:r>
              <w:rPr>
                <w:rFonts w:hint="default"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lang w:val="en-US" w:eastAsia="zh-CN"/>
              </w:rPr>
              <w:t>以下重点分析南项目区相关符合性</w:t>
            </w:r>
            <w:r>
              <w:rPr>
                <w:rFonts w:hint="default" w:ascii="Times New Roman" w:hAnsi="Times New Roman" w:eastAsia="宋体" w:cs="Times New Roman"/>
                <w:bCs/>
                <w:color w:val="000000"/>
                <w:sz w:val="24"/>
                <w:highlight w:val="none"/>
                <w:lang w:eastAsia="zh-CN"/>
              </w:rPr>
              <w:t>。</w:t>
            </w:r>
          </w:p>
          <w:p w14:paraId="56EE4E70">
            <w:pPr>
              <w:ind w:firstLine="48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本项目与园区规划符合性分析</w:t>
            </w:r>
            <w:r>
              <w:rPr>
                <w:rFonts w:hint="default" w:ascii="Times New Roman" w:hAnsi="Times New Roman" w:cs="Times New Roman"/>
                <w:sz w:val="24"/>
                <w:szCs w:val="24"/>
                <w:highlight w:val="none"/>
                <w:lang w:eastAsia="zh-CN"/>
              </w:rPr>
              <w:t>如</w:t>
            </w:r>
            <w:r>
              <w:rPr>
                <w:rFonts w:hint="default" w:ascii="Times New Roman" w:hAnsi="Times New Roman" w:cs="Times New Roman"/>
                <w:sz w:val="24"/>
                <w:szCs w:val="24"/>
                <w:highlight w:val="none"/>
              </w:rPr>
              <w:t>表1-</w:t>
            </w:r>
            <w:r>
              <w:rPr>
                <w:rFonts w:hint="default" w:ascii="Times New Roman" w:hAnsi="Times New Roman" w:cs="Times New Roman"/>
                <w:sz w:val="24"/>
                <w:szCs w:val="24"/>
                <w:highlight w:val="none"/>
                <w:lang w:val="en-US" w:eastAsia="zh-CN"/>
              </w:rPr>
              <w:t>4</w:t>
            </w:r>
            <w:r>
              <w:rPr>
                <w:rFonts w:hint="default" w:ascii="Times New Roman" w:hAnsi="Times New Roman" w:cs="Times New Roman"/>
                <w:sz w:val="24"/>
                <w:szCs w:val="24"/>
                <w:highlight w:val="none"/>
              </w:rPr>
              <w:t>所示。</w:t>
            </w:r>
          </w:p>
          <w:p w14:paraId="5493424D">
            <w:pPr>
              <w:snapToGrid w:val="0"/>
              <w:spacing w:line="360" w:lineRule="auto"/>
              <w:rPr>
                <w:rFonts w:hint="default" w:ascii="Times New Roman" w:hAnsi="Times New Roman" w:eastAsia="宋体" w:cs="Times New Roman"/>
                <w:color w:val="000000"/>
                <w:sz w:val="24"/>
                <w:szCs w:val="22"/>
                <w:highlight w:val="none"/>
                <w:lang w:eastAsia="zh-CN"/>
              </w:rPr>
            </w:pPr>
            <w:r>
              <w:rPr>
                <w:rFonts w:hint="default" w:ascii="Times New Roman" w:hAnsi="Times New Roman" w:eastAsia="宋体" w:cs="Times New Roman"/>
                <w:color w:val="000000"/>
                <w:sz w:val="24"/>
                <w:szCs w:val="22"/>
                <w:highlight w:val="none"/>
                <w:lang w:eastAsia="zh-CN"/>
              </w:rPr>
              <w:drawing>
                <wp:inline distT="0" distB="0" distL="114300" distR="114300">
                  <wp:extent cx="4490085" cy="2978785"/>
                  <wp:effectExtent l="0" t="0" r="5715" b="12065"/>
                  <wp:docPr id="41" name="图片 41" descr="13c97d22c492a830470612cfe90dcc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3c97d22c492a830470612cfe90dccb4"/>
                          <pic:cNvPicPr>
                            <a:picLocks noChangeAspect="1"/>
                          </pic:cNvPicPr>
                        </pic:nvPicPr>
                        <pic:blipFill>
                          <a:blip r:embed="rId7"/>
                          <a:stretch>
                            <a:fillRect/>
                          </a:stretch>
                        </pic:blipFill>
                        <pic:spPr>
                          <a:xfrm>
                            <a:off x="0" y="0"/>
                            <a:ext cx="4490085" cy="2978785"/>
                          </a:xfrm>
                          <a:prstGeom prst="rect">
                            <a:avLst/>
                          </a:prstGeom>
                        </pic:spPr>
                      </pic:pic>
                    </a:graphicData>
                  </a:graphic>
                </wp:inline>
              </w:drawing>
            </w:r>
          </w:p>
          <w:p w14:paraId="50981424">
            <w:pPr>
              <w:pStyle w:val="31"/>
              <w:spacing w:line="440" w:lineRule="exact"/>
              <w:ind w:firstLine="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图1-1</w:t>
            </w:r>
            <w:r>
              <w:rPr>
                <w:rFonts w:hint="eastAsia" w:ascii="Times New Roman" w:hAnsi="Times New Roman" w:cs="Times New Roman"/>
                <w:b/>
                <w:bCs/>
                <w:sz w:val="21"/>
                <w:szCs w:val="21"/>
                <w:highlight w:val="none"/>
                <w:lang w:val="en-US" w:eastAsia="zh-CN"/>
              </w:rPr>
              <w:t xml:space="preserve">   </w:t>
            </w:r>
            <w:r>
              <w:rPr>
                <w:rFonts w:hint="default" w:ascii="Times New Roman" w:hAnsi="Times New Roman" w:eastAsia="宋体" w:cs="Times New Roman"/>
                <w:b/>
                <w:bCs/>
                <w:sz w:val="21"/>
                <w:szCs w:val="21"/>
                <w:highlight w:val="none"/>
              </w:rPr>
              <w:t>本项目与南项目区产业规划的位置关系图</w:t>
            </w:r>
          </w:p>
          <w:p w14:paraId="592FE22B">
            <w:pPr>
              <w:pStyle w:val="31"/>
              <w:spacing w:line="440" w:lineRule="exact"/>
              <w:ind w:firstLine="0"/>
              <w:jc w:val="center"/>
              <w:rPr>
                <w:rFonts w:hint="default" w:ascii="Times New Roman" w:hAnsi="Times New Roman" w:cs="Times New Roman"/>
                <w:sz w:val="21"/>
                <w:szCs w:val="21"/>
                <w:highlight w:val="none"/>
              </w:rPr>
            </w:pPr>
            <w:r>
              <w:rPr>
                <w:rFonts w:hint="default" w:ascii="Times New Roman" w:hAnsi="Times New Roman" w:cs="Times New Roman"/>
                <w:b/>
                <w:bCs/>
                <w:sz w:val="21"/>
                <w:szCs w:val="21"/>
                <w:highlight w:val="none"/>
              </w:rPr>
              <w:t>表1-</w:t>
            </w:r>
            <w:r>
              <w:rPr>
                <w:rFonts w:hint="default" w:ascii="Times New Roman" w:hAnsi="Times New Roman" w:cs="Times New Roman"/>
                <w:b/>
                <w:bCs/>
                <w:sz w:val="21"/>
                <w:szCs w:val="21"/>
                <w:highlight w:val="none"/>
                <w:lang w:val="en-US" w:eastAsia="zh-CN"/>
              </w:rPr>
              <w:t>4</w:t>
            </w:r>
            <w:r>
              <w:rPr>
                <w:rFonts w:hint="eastAsia" w:ascii="Times New Roman" w:hAnsi="Times New Roman" w:cs="Times New Roman"/>
                <w:b/>
                <w:bCs/>
                <w:sz w:val="21"/>
                <w:szCs w:val="21"/>
                <w:highlight w:val="none"/>
                <w:lang w:val="en-US" w:eastAsia="zh-CN"/>
              </w:rPr>
              <w:t xml:space="preserve">   </w:t>
            </w:r>
            <w:r>
              <w:rPr>
                <w:rFonts w:hint="default" w:ascii="Times New Roman" w:hAnsi="Times New Roman" w:cs="Times New Roman"/>
                <w:b/>
                <w:bCs/>
                <w:sz w:val="21"/>
                <w:szCs w:val="21"/>
                <w:highlight w:val="none"/>
              </w:rPr>
              <w:t>与园区规划符合性分析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2"/>
              <w:gridCol w:w="4015"/>
              <w:gridCol w:w="2177"/>
              <w:gridCol w:w="438"/>
            </w:tblGrid>
            <w:tr w14:paraId="0B4C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7" w:type="pct"/>
                  <w:noWrap w:val="0"/>
                  <w:vAlign w:val="center"/>
                </w:tcPr>
                <w:p w14:paraId="2F1FDD85">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项目</w:t>
                  </w:r>
                </w:p>
              </w:tc>
              <w:tc>
                <w:tcPr>
                  <w:tcW w:w="2786" w:type="pct"/>
                  <w:noWrap w:val="0"/>
                  <w:vAlign w:val="center"/>
                </w:tcPr>
                <w:p w14:paraId="1BA7EE71">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园区规划内容</w:t>
                  </w:r>
                </w:p>
              </w:tc>
              <w:tc>
                <w:tcPr>
                  <w:tcW w:w="1511" w:type="pct"/>
                  <w:noWrap w:val="0"/>
                  <w:vAlign w:val="center"/>
                </w:tcPr>
                <w:p w14:paraId="44C74748">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本项目相关内容</w:t>
                  </w:r>
                </w:p>
              </w:tc>
              <w:tc>
                <w:tcPr>
                  <w:tcW w:w="304" w:type="pct"/>
                  <w:noWrap w:val="0"/>
                  <w:vAlign w:val="center"/>
                </w:tcPr>
                <w:p w14:paraId="7F1DD33D">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是否相符</w:t>
                  </w:r>
                </w:p>
              </w:tc>
            </w:tr>
            <w:tr w14:paraId="3CE1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7" w:type="pct"/>
                  <w:noWrap w:val="0"/>
                  <w:vAlign w:val="center"/>
                </w:tcPr>
                <w:p w14:paraId="2E1A180D">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基地</w:t>
                  </w:r>
                </w:p>
                <w:p w14:paraId="7E34E19C">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性质</w:t>
                  </w:r>
                </w:p>
              </w:tc>
              <w:tc>
                <w:tcPr>
                  <w:tcW w:w="2786" w:type="pct"/>
                  <w:noWrap w:val="0"/>
                  <w:vAlign w:val="center"/>
                </w:tcPr>
                <w:p w14:paraId="0F47A827">
                  <w:pPr>
                    <w:keepNext w:val="0"/>
                    <w:keepLines w:val="0"/>
                    <w:pageBreakBefore w:val="0"/>
                    <w:widowControl w:val="0"/>
                    <w:kinsoku w:val="0"/>
                    <w:wordWrap/>
                    <w:overflowPunct w:val="0"/>
                    <w:topLinePunct w:val="0"/>
                    <w:autoSpaceDE w:val="0"/>
                    <w:autoSpaceDN w:val="0"/>
                    <w:bidi w:val="0"/>
                    <w:adjustRightInd w:val="0"/>
                    <w:snapToGrid w:val="0"/>
                    <w:ind w:firstLine="0"/>
                    <w:jc w:val="center"/>
                    <w:textAlignment w:val="auto"/>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rPr>
                    <w:t>总体产业定位为鄂尔多斯绿色化工及新材料产业基地，黄河几字弯区域清洁能源高质量发展样板，集总部办公、研学交流、企业服务为一体的蒙西绿色低碳协同创新引领区</w:t>
                  </w:r>
                  <w:r>
                    <w:rPr>
                      <w:rFonts w:hint="default" w:ascii="Times New Roman" w:hAnsi="Times New Roman" w:cs="Times New Roman"/>
                      <w:szCs w:val="21"/>
                      <w:highlight w:val="none"/>
                      <w:lang w:eastAsia="zh-CN"/>
                    </w:rPr>
                    <w:t>。</w:t>
                  </w:r>
                </w:p>
              </w:tc>
              <w:tc>
                <w:tcPr>
                  <w:tcW w:w="1511" w:type="pct"/>
                  <w:noWrap w:val="0"/>
                  <w:vAlign w:val="center"/>
                </w:tcPr>
                <w:p w14:paraId="48226B46">
                  <w:pPr>
                    <w:keepNext w:val="0"/>
                    <w:keepLines w:val="0"/>
                    <w:pageBreakBefore w:val="0"/>
                    <w:widowControl w:val="0"/>
                    <w:kinsoku w:val="0"/>
                    <w:wordWrap/>
                    <w:overflowPunct w:val="0"/>
                    <w:topLinePunct w:val="0"/>
                    <w:autoSpaceDE w:val="0"/>
                    <w:autoSpaceDN w:val="0"/>
                    <w:bidi w:val="0"/>
                    <w:adjustRightInd w:val="0"/>
                    <w:snapToGrid w:val="0"/>
                    <w:ind w:firstLine="0"/>
                    <w:jc w:val="center"/>
                    <w:textAlignment w:val="auto"/>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zh-CN"/>
                    </w:rPr>
                    <w:t>本项目为</w:t>
                  </w:r>
                  <w:r>
                    <w:rPr>
                      <w:rFonts w:hint="default" w:ascii="Times New Roman" w:hAnsi="Times New Roman" w:cs="Times New Roman"/>
                      <w:szCs w:val="21"/>
                      <w:highlight w:val="none"/>
                      <w:lang w:val="en-US" w:eastAsia="zh-CN"/>
                    </w:rPr>
                    <w:t>环评已批复的伊泰化工与鹏泰生物两家化工企业之间的工艺气体和公用工程互相利用项目，项目的建设减少尾气的外排并提高公用工程设施的合理</w:t>
                  </w:r>
                  <w:r>
                    <w:rPr>
                      <w:rFonts w:hint="eastAsia" w:cs="Times New Roman"/>
                      <w:szCs w:val="21"/>
                      <w:highlight w:val="none"/>
                      <w:lang w:val="en-US" w:eastAsia="zh-CN"/>
                    </w:rPr>
                    <w:t>利用率</w:t>
                  </w:r>
                  <w:r>
                    <w:rPr>
                      <w:rFonts w:hint="default" w:ascii="Times New Roman" w:hAnsi="Times New Roman" w:cs="Times New Roman"/>
                      <w:szCs w:val="21"/>
                      <w:highlight w:val="none"/>
                      <w:lang w:val="en-US" w:eastAsia="zh-CN"/>
                    </w:rPr>
                    <w:t>。项目高度节能，能减少废气对空气的污染，并且可以安全地生产可再生燃料和清洁能源。</w:t>
                  </w:r>
                </w:p>
              </w:tc>
              <w:tc>
                <w:tcPr>
                  <w:tcW w:w="304" w:type="pct"/>
                  <w:noWrap w:val="0"/>
                  <w:vAlign w:val="center"/>
                </w:tcPr>
                <w:p w14:paraId="2B167812">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相符</w:t>
                  </w:r>
                </w:p>
              </w:tc>
            </w:tr>
            <w:tr w14:paraId="585C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7" w:type="pct"/>
                  <w:noWrap w:val="0"/>
                  <w:vAlign w:val="center"/>
                </w:tcPr>
                <w:p w14:paraId="4A3E5768">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主导</w:t>
                  </w:r>
                </w:p>
                <w:p w14:paraId="59A6EEDB">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产业</w:t>
                  </w:r>
                </w:p>
              </w:tc>
              <w:tc>
                <w:tcPr>
                  <w:tcW w:w="2786" w:type="pct"/>
                  <w:noWrap w:val="0"/>
                  <w:vAlign w:val="center"/>
                </w:tcPr>
                <w:p w14:paraId="72FA023F">
                  <w:pPr>
                    <w:keepNext w:val="0"/>
                    <w:keepLines w:val="0"/>
                    <w:pageBreakBefore w:val="0"/>
                    <w:widowControl w:val="0"/>
                    <w:kinsoku w:val="0"/>
                    <w:wordWrap/>
                    <w:overflowPunct w:val="0"/>
                    <w:topLinePunct w:val="0"/>
                    <w:autoSpaceDE w:val="0"/>
                    <w:autoSpaceDN w:val="0"/>
                    <w:bidi w:val="0"/>
                    <w:adjustRightInd w:val="0"/>
                    <w:snapToGrid w:val="0"/>
                    <w:ind w:firstLine="0"/>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独贵塔拉产业园（北区）的建设目标为建设绿色化工及新材料园区，打造鄂尔多斯绿色化工和新材料耦合发展示范基地，形成杭锦旗经济发展的重要带动力量；</w:t>
                  </w:r>
                </w:p>
                <w:p w14:paraId="683BF9E5">
                  <w:pPr>
                    <w:keepNext w:val="0"/>
                    <w:keepLines w:val="0"/>
                    <w:pageBreakBefore w:val="0"/>
                    <w:widowControl w:val="0"/>
                    <w:kinsoku w:val="0"/>
                    <w:wordWrap/>
                    <w:overflowPunct w:val="0"/>
                    <w:topLinePunct w:val="0"/>
                    <w:autoSpaceDE w:val="0"/>
                    <w:autoSpaceDN w:val="0"/>
                    <w:bidi w:val="0"/>
                    <w:adjustRightInd w:val="0"/>
                    <w:snapToGrid w:val="0"/>
                    <w:ind w:firstLine="0"/>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独贵塔拉产业园（南区）以现有的新型煤化工及其下游产品深加工产业为基础，大力发展绿色化工产业，同时通过产业的升级与引进，耦合发展新能源产业，提升园区产业集聚化水平，建设绿色化工和新能源产业耦合发展的蒙西低碳绿色协调创新引领区；</w:t>
                  </w:r>
                </w:p>
                <w:p w14:paraId="36710B53">
                  <w:pPr>
                    <w:keepNext w:val="0"/>
                    <w:keepLines w:val="0"/>
                    <w:pageBreakBefore w:val="0"/>
                    <w:widowControl w:val="0"/>
                    <w:kinsoku w:val="0"/>
                    <w:wordWrap/>
                    <w:overflowPunct w:val="0"/>
                    <w:topLinePunct w:val="0"/>
                    <w:autoSpaceDE w:val="0"/>
                    <w:autoSpaceDN w:val="0"/>
                    <w:bidi w:val="0"/>
                    <w:adjustRightInd w:val="0"/>
                    <w:snapToGrid w:val="0"/>
                    <w:ind w:firstLine="0" w:firstLineChars="0"/>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新能源产业园以企业产业的升级改造</w:t>
                  </w:r>
                  <w:r>
                    <w:rPr>
                      <w:rFonts w:hint="eastAsia" w:cs="Times New Roman"/>
                      <w:szCs w:val="21"/>
                      <w:highlight w:val="none"/>
                      <w:lang w:eastAsia="zh-CN"/>
                    </w:rPr>
                    <w:t>、</w:t>
                  </w:r>
                  <w:r>
                    <w:rPr>
                      <w:rFonts w:hint="default" w:ascii="Times New Roman" w:hAnsi="Times New Roman" w:cs="Times New Roman"/>
                      <w:szCs w:val="21"/>
                      <w:highlight w:val="none"/>
                    </w:rPr>
                    <w:t>产业环境整治提升为主，暂不做扩展规划，园区以天然气清洁能源及特色健康产业为主导产业，建设绿色清洁能源杭锦旗地方总部基地，</w:t>
                  </w:r>
                  <w:r>
                    <w:rPr>
                      <w:rFonts w:hint="default" w:ascii="Times New Roman" w:hAnsi="Times New Roman" w:cs="Times New Roman"/>
                      <w:szCs w:val="21"/>
                      <w:highlight w:val="none"/>
                      <w:lang w:eastAsia="zh-CN"/>
                    </w:rPr>
                    <w:t>打</w:t>
                  </w:r>
                  <w:r>
                    <w:rPr>
                      <w:rFonts w:hint="default" w:ascii="Times New Roman" w:hAnsi="Times New Roman" w:cs="Times New Roman"/>
                      <w:szCs w:val="21"/>
                      <w:highlight w:val="none"/>
                    </w:rPr>
                    <w:t>造集特色健康产业、天然气清洁能源、再生资源于一体的杭锦旗区域协同创新引领区。主导产业为清洁能源、新兴产业。</w:t>
                  </w:r>
                </w:p>
              </w:tc>
              <w:tc>
                <w:tcPr>
                  <w:tcW w:w="1511" w:type="pct"/>
                  <w:noWrap w:val="0"/>
                  <w:vAlign w:val="center"/>
                </w:tcPr>
                <w:p w14:paraId="22FB669A">
                  <w:pPr>
                    <w:keepNext w:val="0"/>
                    <w:keepLines w:val="0"/>
                    <w:pageBreakBefore w:val="0"/>
                    <w:widowControl w:val="0"/>
                    <w:kinsoku w:val="0"/>
                    <w:wordWrap/>
                    <w:overflowPunct w:val="0"/>
                    <w:topLinePunct w:val="0"/>
                    <w:autoSpaceDE w:val="0"/>
                    <w:autoSpaceDN w:val="0"/>
                    <w:bidi w:val="0"/>
                    <w:adjustRightInd w:val="0"/>
                    <w:snapToGrid w:val="0"/>
                    <w:ind w:firstLine="0"/>
                    <w:jc w:val="center"/>
                    <w:textAlignment w:val="auto"/>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zh-CN"/>
                    </w:rPr>
                    <w:t>本项目为</w:t>
                  </w:r>
                  <w:r>
                    <w:rPr>
                      <w:rFonts w:hint="default" w:ascii="Times New Roman" w:hAnsi="Times New Roman" w:cs="Times New Roman"/>
                      <w:szCs w:val="21"/>
                      <w:highlight w:val="none"/>
                      <w:lang w:val="en-US" w:eastAsia="zh-CN"/>
                    </w:rPr>
                    <w:t>环评已批复的伊泰化工与鹏泰生物两家化工企业之间的工艺气体和公用工程互相利用项目，项目的建</w:t>
                  </w:r>
                  <w:r>
                    <w:rPr>
                      <w:rFonts w:hint="eastAsia" w:cs="Times New Roman"/>
                      <w:szCs w:val="21"/>
                      <w:highlight w:val="none"/>
                      <w:lang w:val="en-US" w:eastAsia="zh-CN"/>
                    </w:rPr>
                    <w:t>设将</w:t>
                  </w:r>
                  <w:r>
                    <w:rPr>
                      <w:rFonts w:hint="default" w:ascii="Times New Roman" w:hAnsi="Times New Roman" w:cs="Times New Roman"/>
                      <w:szCs w:val="21"/>
                      <w:highlight w:val="none"/>
                      <w:lang w:val="en-US" w:eastAsia="zh-CN"/>
                    </w:rPr>
                    <w:t>减少尾气的外排并提高公用工程设施的合理利用，有利于绿色发展、清洁生产。属于内蒙古伊泰化工有限责任公司现有煤化工产业延链项目配套工程。</w:t>
                  </w:r>
                </w:p>
              </w:tc>
              <w:tc>
                <w:tcPr>
                  <w:tcW w:w="304" w:type="pct"/>
                  <w:noWrap w:val="0"/>
                  <w:vAlign w:val="center"/>
                </w:tcPr>
                <w:p w14:paraId="0FE8B39D">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相符</w:t>
                  </w:r>
                </w:p>
              </w:tc>
            </w:tr>
            <w:tr w14:paraId="6E6C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97" w:type="pct"/>
                  <w:noWrap w:val="0"/>
                  <w:vAlign w:val="center"/>
                </w:tcPr>
                <w:p w14:paraId="0CD768C6">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产业</w:t>
                  </w:r>
                </w:p>
                <w:p w14:paraId="30826E70">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布局</w:t>
                  </w:r>
                </w:p>
              </w:tc>
              <w:tc>
                <w:tcPr>
                  <w:tcW w:w="2786" w:type="pct"/>
                  <w:noWrap w:val="0"/>
                  <w:vAlign w:val="center"/>
                </w:tcPr>
                <w:p w14:paraId="0FA008BF">
                  <w:pPr>
                    <w:keepNext w:val="0"/>
                    <w:keepLines w:val="0"/>
                    <w:pageBreakBefore w:val="0"/>
                    <w:widowControl w:val="0"/>
                    <w:kinsoku w:val="0"/>
                    <w:wordWrap/>
                    <w:overflowPunct w:val="0"/>
                    <w:topLinePunct w:val="0"/>
                    <w:autoSpaceDE w:val="0"/>
                    <w:autoSpaceDN w:val="0"/>
                    <w:bidi w:val="0"/>
                    <w:adjustRightInd w:val="0"/>
                    <w:snapToGrid w:val="0"/>
                    <w:ind w:firstLine="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依据</w:t>
                  </w:r>
                  <w:r>
                    <w:rPr>
                      <w:rFonts w:hint="eastAsia" w:cs="Times New Roman"/>
                      <w:szCs w:val="21"/>
                      <w:highlight w:val="none"/>
                      <w:lang w:eastAsia="zh-CN"/>
                    </w:rPr>
                    <w:t>“</w:t>
                  </w:r>
                  <w:r>
                    <w:rPr>
                      <w:rFonts w:hint="default" w:ascii="Times New Roman" w:hAnsi="Times New Roman" w:eastAsia="宋体" w:cs="Times New Roman"/>
                      <w:szCs w:val="21"/>
                      <w:highlight w:val="none"/>
                    </w:rPr>
                    <w:t>布局集中</w:t>
                  </w:r>
                  <w:r>
                    <w:rPr>
                      <w:rFonts w:hint="default" w:ascii="Times New Roman" w:hAnsi="Times New Roman" w:eastAsia="宋体" w:cs="Times New Roman"/>
                      <w:szCs w:val="21"/>
                      <w:highlight w:val="none"/>
                      <w:lang w:eastAsia="zh-CN"/>
                    </w:rPr>
                    <w:t>、</w:t>
                  </w:r>
                  <w:r>
                    <w:rPr>
                      <w:rFonts w:hint="default" w:ascii="Times New Roman" w:hAnsi="Times New Roman" w:eastAsia="宋体" w:cs="Times New Roman"/>
                      <w:szCs w:val="21"/>
                      <w:highlight w:val="none"/>
                    </w:rPr>
                    <w:t>用地集约、产业集聚</w:t>
                  </w:r>
                  <w:r>
                    <w:rPr>
                      <w:rFonts w:hint="eastAsia" w:cs="Times New Roman"/>
                      <w:szCs w:val="21"/>
                      <w:highlight w:val="none"/>
                      <w:lang w:eastAsia="zh-CN"/>
                    </w:rPr>
                    <w:t>”</w:t>
                  </w:r>
                  <w:r>
                    <w:rPr>
                      <w:rFonts w:hint="default" w:ascii="Times New Roman" w:hAnsi="Times New Roman" w:eastAsia="宋体" w:cs="Times New Roman"/>
                      <w:szCs w:val="21"/>
                      <w:highlight w:val="none"/>
                    </w:rPr>
                    <w:t>的原则，结合区域资源环境承载能力、产业基础和发展优势，规划构建</w:t>
                  </w:r>
                  <w:r>
                    <w:rPr>
                      <w:rFonts w:hint="eastAsia" w:cs="Times New Roman"/>
                      <w:szCs w:val="21"/>
                      <w:highlight w:val="none"/>
                      <w:lang w:eastAsia="zh-CN"/>
                    </w:rPr>
                    <w:t>“</w:t>
                  </w:r>
                  <w:r>
                    <w:rPr>
                      <w:rFonts w:hint="default" w:ascii="Times New Roman" w:hAnsi="Times New Roman" w:eastAsia="宋体" w:cs="Times New Roman"/>
                      <w:szCs w:val="21"/>
                      <w:highlight w:val="none"/>
                    </w:rPr>
                    <w:t>一轴、两园、三基地、多组团</w:t>
                  </w:r>
                  <w:r>
                    <w:rPr>
                      <w:rFonts w:hint="eastAsia" w:cs="Times New Roman"/>
                      <w:szCs w:val="21"/>
                      <w:highlight w:val="none"/>
                      <w:lang w:eastAsia="zh-CN"/>
                    </w:rPr>
                    <w:t>”</w:t>
                  </w:r>
                  <w:r>
                    <w:rPr>
                      <w:rFonts w:hint="default" w:ascii="Times New Roman" w:hAnsi="Times New Roman" w:eastAsia="宋体" w:cs="Times New Roman"/>
                      <w:szCs w:val="21"/>
                      <w:highlight w:val="none"/>
                    </w:rPr>
                    <w:t>的产业发展空间格局。</w:t>
                  </w:r>
                </w:p>
                <w:p w14:paraId="5C227AF0">
                  <w:pPr>
                    <w:keepNext w:val="0"/>
                    <w:keepLines w:val="0"/>
                    <w:pageBreakBefore w:val="0"/>
                    <w:widowControl w:val="0"/>
                    <w:kinsoku w:val="0"/>
                    <w:wordWrap/>
                    <w:overflowPunct w:val="0"/>
                    <w:topLinePunct w:val="0"/>
                    <w:autoSpaceDE w:val="0"/>
                    <w:autoSpaceDN w:val="0"/>
                    <w:bidi w:val="0"/>
                    <w:adjustRightInd w:val="0"/>
                    <w:snapToGrid w:val="0"/>
                    <w:ind w:firstLine="0"/>
                    <w:jc w:val="center"/>
                    <w:textAlignment w:val="auto"/>
                    <w:rPr>
                      <w:rFonts w:hint="default" w:ascii="Times New Roman" w:hAnsi="Times New Roman" w:eastAsia="宋体" w:cs="Times New Roman"/>
                      <w:szCs w:val="21"/>
                      <w:highlight w:val="none"/>
                    </w:rPr>
                  </w:pPr>
                  <w:r>
                    <w:rPr>
                      <w:rFonts w:hint="eastAsia" w:cs="Times New Roman"/>
                      <w:szCs w:val="21"/>
                      <w:highlight w:val="none"/>
                      <w:lang w:eastAsia="zh-CN"/>
                    </w:rPr>
                    <w:t>“</w:t>
                  </w:r>
                  <w:r>
                    <w:rPr>
                      <w:rFonts w:hint="default" w:ascii="Times New Roman" w:hAnsi="Times New Roman" w:eastAsia="宋体" w:cs="Times New Roman"/>
                      <w:szCs w:val="21"/>
                      <w:highlight w:val="none"/>
                    </w:rPr>
                    <w:t>一轴</w:t>
                  </w:r>
                  <w:r>
                    <w:rPr>
                      <w:rFonts w:hint="eastAsia" w:cs="Times New Roman"/>
                      <w:szCs w:val="21"/>
                      <w:highlight w:val="none"/>
                      <w:lang w:eastAsia="zh-CN"/>
                    </w:rPr>
                    <w:t>”</w:t>
                  </w:r>
                  <w:r>
                    <w:rPr>
                      <w:rFonts w:hint="default" w:ascii="Times New Roman" w:hAnsi="Times New Roman" w:eastAsia="宋体" w:cs="Times New Roman"/>
                      <w:szCs w:val="21"/>
                      <w:highlight w:val="none"/>
                    </w:rPr>
                    <w:t>：沿省道S215形成园区经济发展轴，通过经济发展轴实现错位联动发展。</w:t>
                  </w:r>
                </w:p>
                <w:p w14:paraId="6442D097">
                  <w:pPr>
                    <w:keepNext w:val="0"/>
                    <w:keepLines w:val="0"/>
                    <w:pageBreakBefore w:val="0"/>
                    <w:widowControl w:val="0"/>
                    <w:kinsoku w:val="0"/>
                    <w:wordWrap/>
                    <w:overflowPunct w:val="0"/>
                    <w:topLinePunct w:val="0"/>
                    <w:autoSpaceDE w:val="0"/>
                    <w:autoSpaceDN w:val="0"/>
                    <w:bidi w:val="0"/>
                    <w:adjustRightInd w:val="0"/>
                    <w:snapToGrid w:val="0"/>
                    <w:ind w:firstLine="0"/>
                    <w:jc w:val="center"/>
                    <w:textAlignment w:val="auto"/>
                    <w:rPr>
                      <w:rFonts w:hint="default" w:ascii="Times New Roman" w:hAnsi="Times New Roman" w:eastAsia="宋体" w:cs="Times New Roman"/>
                      <w:szCs w:val="21"/>
                      <w:highlight w:val="none"/>
                    </w:rPr>
                  </w:pPr>
                  <w:r>
                    <w:rPr>
                      <w:rFonts w:hint="eastAsia" w:cs="Times New Roman"/>
                      <w:szCs w:val="21"/>
                      <w:highlight w:val="none"/>
                      <w:lang w:eastAsia="zh-CN"/>
                    </w:rPr>
                    <w:t>“</w:t>
                  </w:r>
                  <w:r>
                    <w:rPr>
                      <w:rFonts w:hint="default" w:ascii="Times New Roman" w:hAnsi="Times New Roman" w:eastAsia="宋体" w:cs="Times New Roman"/>
                      <w:szCs w:val="21"/>
                      <w:highlight w:val="none"/>
                    </w:rPr>
                    <w:t>两园</w:t>
                  </w:r>
                  <w:r>
                    <w:rPr>
                      <w:rFonts w:hint="eastAsia" w:cs="Times New Roman"/>
                      <w:szCs w:val="21"/>
                      <w:highlight w:val="none"/>
                      <w:lang w:eastAsia="zh-CN"/>
                    </w:rPr>
                    <w:t>”</w:t>
                  </w:r>
                  <w:r>
                    <w:rPr>
                      <w:rFonts w:hint="default" w:ascii="Times New Roman" w:hAnsi="Times New Roman" w:eastAsia="宋体" w:cs="Times New Roman"/>
                      <w:szCs w:val="21"/>
                      <w:highlight w:val="none"/>
                    </w:rPr>
                    <w:t>：独贵塔拉工业园和新能源产业园。</w:t>
                  </w:r>
                </w:p>
                <w:p w14:paraId="33B93104">
                  <w:pPr>
                    <w:keepNext w:val="0"/>
                    <w:keepLines w:val="0"/>
                    <w:pageBreakBefore w:val="0"/>
                    <w:widowControl w:val="0"/>
                    <w:kinsoku w:val="0"/>
                    <w:wordWrap/>
                    <w:overflowPunct w:val="0"/>
                    <w:topLinePunct w:val="0"/>
                    <w:autoSpaceDE w:val="0"/>
                    <w:autoSpaceDN w:val="0"/>
                    <w:bidi w:val="0"/>
                    <w:adjustRightInd w:val="0"/>
                    <w:snapToGrid w:val="0"/>
                    <w:ind w:firstLine="0"/>
                    <w:jc w:val="center"/>
                    <w:textAlignment w:val="auto"/>
                    <w:rPr>
                      <w:rFonts w:hint="default" w:ascii="Times New Roman" w:hAnsi="Times New Roman" w:eastAsia="宋体" w:cs="Times New Roman"/>
                      <w:szCs w:val="21"/>
                      <w:highlight w:val="none"/>
                      <w:lang w:eastAsia="zh-CN"/>
                    </w:rPr>
                  </w:pPr>
                  <w:r>
                    <w:rPr>
                      <w:rFonts w:hint="eastAsia" w:cs="Times New Roman"/>
                      <w:szCs w:val="21"/>
                      <w:highlight w:val="none"/>
                      <w:lang w:eastAsia="zh-CN"/>
                    </w:rPr>
                    <w:t>“</w:t>
                  </w:r>
                  <w:r>
                    <w:rPr>
                      <w:rFonts w:hint="default" w:ascii="Times New Roman" w:hAnsi="Times New Roman" w:eastAsia="宋体" w:cs="Times New Roman"/>
                      <w:szCs w:val="21"/>
                      <w:highlight w:val="none"/>
                    </w:rPr>
                    <w:t>三基地</w:t>
                  </w:r>
                  <w:r>
                    <w:rPr>
                      <w:rFonts w:hint="eastAsia" w:cs="Times New Roman"/>
                      <w:szCs w:val="21"/>
                      <w:highlight w:val="none"/>
                      <w:lang w:eastAsia="zh-CN"/>
                    </w:rPr>
                    <w:t>”</w:t>
                  </w:r>
                  <w:r>
                    <w:rPr>
                      <w:rFonts w:hint="default" w:ascii="Times New Roman" w:hAnsi="Times New Roman" w:eastAsia="宋体" w:cs="Times New Roman"/>
                      <w:szCs w:val="21"/>
                      <w:highlight w:val="none"/>
                    </w:rPr>
                    <w:t>：独贵塔拉产业园（北区）、独贵塔拉产业园（南区）</w:t>
                  </w:r>
                  <w:r>
                    <w:rPr>
                      <w:rFonts w:hint="default" w:ascii="Times New Roman" w:hAnsi="Times New Roman" w:eastAsia="宋体" w:cs="Times New Roman"/>
                      <w:szCs w:val="21"/>
                      <w:highlight w:val="none"/>
                      <w:lang w:eastAsia="zh-CN"/>
                    </w:rPr>
                    <w:t>和新能源产业园。</w:t>
                  </w:r>
                </w:p>
                <w:p w14:paraId="72316F82">
                  <w:pPr>
                    <w:keepNext w:val="0"/>
                    <w:keepLines w:val="0"/>
                    <w:pageBreakBefore w:val="0"/>
                    <w:widowControl w:val="0"/>
                    <w:kinsoku w:val="0"/>
                    <w:wordWrap/>
                    <w:overflowPunct w:val="0"/>
                    <w:topLinePunct w:val="0"/>
                    <w:autoSpaceDE w:val="0"/>
                    <w:autoSpaceDN w:val="0"/>
                    <w:bidi w:val="0"/>
                    <w:adjustRightInd w:val="0"/>
                    <w:snapToGrid w:val="0"/>
                    <w:ind w:firstLine="0"/>
                    <w:jc w:val="center"/>
                    <w:textAlignment w:val="auto"/>
                    <w:rPr>
                      <w:rFonts w:hint="default" w:ascii="Times New Roman" w:hAnsi="Times New Roman" w:eastAsia="宋体" w:cs="Times New Roman"/>
                      <w:szCs w:val="21"/>
                      <w:highlight w:val="none"/>
                    </w:rPr>
                  </w:pPr>
                  <w:r>
                    <w:rPr>
                      <w:rFonts w:hint="eastAsia" w:cs="Times New Roman"/>
                      <w:szCs w:val="21"/>
                      <w:highlight w:val="none"/>
                      <w:lang w:eastAsia="zh-CN"/>
                    </w:rPr>
                    <w:t>“</w:t>
                  </w:r>
                  <w:r>
                    <w:rPr>
                      <w:rFonts w:hint="default" w:ascii="Times New Roman" w:hAnsi="Times New Roman" w:eastAsia="宋体" w:cs="Times New Roman"/>
                      <w:szCs w:val="21"/>
                      <w:highlight w:val="none"/>
                      <w:lang w:eastAsia="zh-CN"/>
                    </w:rPr>
                    <w:t>多组团</w:t>
                  </w:r>
                  <w:r>
                    <w:rPr>
                      <w:rFonts w:hint="eastAsia" w:cs="Times New Roman"/>
                      <w:szCs w:val="21"/>
                      <w:highlight w:val="none"/>
                      <w:lang w:eastAsia="zh-CN"/>
                    </w:rPr>
                    <w:t>”</w:t>
                  </w:r>
                  <w:r>
                    <w:rPr>
                      <w:rFonts w:hint="default" w:ascii="Times New Roman" w:hAnsi="Times New Roman" w:eastAsia="宋体" w:cs="Times New Roman"/>
                      <w:szCs w:val="21"/>
                      <w:highlight w:val="none"/>
                      <w:lang w:eastAsia="zh-CN"/>
                    </w:rPr>
                    <w:t>：在</w:t>
                  </w:r>
                  <w:r>
                    <w:rPr>
                      <w:rFonts w:hint="eastAsia" w:cs="Times New Roman"/>
                      <w:szCs w:val="21"/>
                      <w:highlight w:val="none"/>
                      <w:lang w:eastAsia="zh-CN"/>
                    </w:rPr>
                    <w:t>“</w:t>
                  </w:r>
                  <w:r>
                    <w:rPr>
                      <w:rFonts w:hint="default" w:ascii="Times New Roman" w:hAnsi="Times New Roman" w:eastAsia="宋体" w:cs="Times New Roman"/>
                      <w:szCs w:val="21"/>
                      <w:highlight w:val="none"/>
                      <w:lang w:eastAsia="zh-CN"/>
                    </w:rPr>
                    <w:t>三基地</w:t>
                  </w:r>
                  <w:r>
                    <w:rPr>
                      <w:rFonts w:hint="eastAsia" w:cs="Times New Roman"/>
                      <w:szCs w:val="21"/>
                      <w:highlight w:val="none"/>
                      <w:lang w:eastAsia="zh-CN"/>
                    </w:rPr>
                    <w:t>”</w:t>
                  </w:r>
                  <w:r>
                    <w:rPr>
                      <w:rFonts w:hint="default" w:ascii="Times New Roman" w:hAnsi="Times New Roman" w:eastAsia="宋体" w:cs="Times New Roman"/>
                      <w:szCs w:val="21"/>
                      <w:highlight w:val="none"/>
                      <w:lang w:eastAsia="zh-CN"/>
                    </w:rPr>
                    <w:t>内形成绿色健康产业、精细化工产业、光伏新能源产业、绿色化工及新材料产业、配套服务业、天然气产业及城市再生资源产业等7大产业组团</w:t>
                  </w:r>
                  <w:r>
                    <w:rPr>
                      <w:rFonts w:hint="default" w:ascii="Times New Roman" w:hAnsi="Times New Roman" w:eastAsia="宋体" w:cs="Times New Roman"/>
                      <w:szCs w:val="21"/>
                      <w:highlight w:val="none"/>
                    </w:rPr>
                    <w:t>。</w:t>
                  </w:r>
                </w:p>
              </w:tc>
              <w:tc>
                <w:tcPr>
                  <w:tcW w:w="1511" w:type="pct"/>
                  <w:noWrap w:val="0"/>
                  <w:vAlign w:val="center"/>
                </w:tcPr>
                <w:p w14:paraId="048D0966">
                  <w:pPr>
                    <w:keepNext w:val="0"/>
                    <w:keepLines w:val="0"/>
                    <w:pageBreakBefore w:val="0"/>
                    <w:widowControl w:val="0"/>
                    <w:kinsoku w:val="0"/>
                    <w:wordWrap/>
                    <w:overflowPunct w:val="0"/>
                    <w:topLinePunct w:val="0"/>
                    <w:autoSpaceDE w:val="0"/>
                    <w:autoSpaceDN w:val="0"/>
                    <w:bidi w:val="0"/>
                    <w:adjustRightInd w:val="0"/>
                    <w:snapToGrid w:val="0"/>
                    <w:ind w:firstLine="0"/>
                    <w:jc w:val="center"/>
                    <w:textAlignment w:val="auto"/>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本次鹏泰-伊泰化工物料输送管线及管廊建设项目位于内蒙古自治区鄂尔多斯</w:t>
                  </w:r>
                  <w:r>
                    <w:rPr>
                      <w:rFonts w:hint="eastAsia" w:cs="Times New Roman"/>
                      <w:szCs w:val="21"/>
                      <w:highlight w:val="none"/>
                      <w:lang w:val="en-US" w:eastAsia="zh-CN"/>
                    </w:rPr>
                    <w:t>市</w:t>
                  </w:r>
                  <w:r>
                    <w:rPr>
                      <w:rFonts w:hint="default" w:ascii="Times New Roman" w:hAnsi="Times New Roman" w:eastAsia="宋体" w:cs="Times New Roman"/>
                      <w:szCs w:val="21"/>
                      <w:highlight w:val="none"/>
                      <w:lang w:val="en-US" w:eastAsia="zh-CN"/>
                    </w:rPr>
                    <w:t>杭锦旗独贵塔拉工业园区内</w:t>
                  </w:r>
                  <w:r>
                    <w:rPr>
                      <w:rFonts w:hint="default" w:ascii="Times New Roman" w:hAnsi="Times New Roman" w:cs="Times New Roman"/>
                      <w:szCs w:val="21"/>
                      <w:highlight w:val="none"/>
                      <w:lang w:val="en-US" w:eastAsia="zh-CN"/>
                    </w:rPr>
                    <w:t>，属于内蒙古伊泰化工有限责任公司现有煤化工产业延链项目配套工程。</w:t>
                  </w:r>
                </w:p>
              </w:tc>
              <w:tc>
                <w:tcPr>
                  <w:tcW w:w="304" w:type="pct"/>
                  <w:noWrap w:val="0"/>
                  <w:vAlign w:val="center"/>
                </w:tcPr>
                <w:p w14:paraId="073D6CAC">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相符</w:t>
                  </w:r>
                </w:p>
              </w:tc>
            </w:tr>
            <w:tr w14:paraId="25D4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7" w:type="pct"/>
                  <w:noWrap w:val="0"/>
                  <w:vAlign w:val="center"/>
                </w:tcPr>
                <w:p w14:paraId="5B2A5BB8">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给水</w:t>
                  </w:r>
                </w:p>
              </w:tc>
              <w:tc>
                <w:tcPr>
                  <w:tcW w:w="2786" w:type="pct"/>
                  <w:noWrap w:val="0"/>
                  <w:vAlign w:val="center"/>
                </w:tcPr>
                <w:p w14:paraId="659FA176">
                  <w:pPr>
                    <w:keepNext w:val="0"/>
                    <w:keepLines w:val="0"/>
                    <w:pageBreakBefore w:val="0"/>
                    <w:widowControl w:val="0"/>
                    <w:kinsoku w:val="0"/>
                    <w:wordWrap/>
                    <w:overflowPunct w:val="0"/>
                    <w:topLinePunct w:val="0"/>
                    <w:autoSpaceDE w:val="0"/>
                    <w:autoSpaceDN w:val="0"/>
                    <w:bidi w:val="0"/>
                    <w:adjustRightInd w:val="0"/>
                    <w:snapToGrid w:val="0"/>
                    <w:ind w:firstLine="0"/>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独贵塔拉工业园北项目区利用杭锦淖尔蓄滞洪区供水杭锦淖尔蓄滞洪区可满足用水需求。</w:t>
                  </w:r>
                </w:p>
                <w:p w14:paraId="63AC3B2F">
                  <w:pPr>
                    <w:keepNext w:val="0"/>
                    <w:keepLines w:val="0"/>
                    <w:pageBreakBefore w:val="0"/>
                    <w:widowControl w:val="0"/>
                    <w:kinsoku w:val="0"/>
                    <w:wordWrap/>
                    <w:overflowPunct w:val="0"/>
                    <w:topLinePunct w:val="0"/>
                    <w:autoSpaceDE w:val="0"/>
                    <w:autoSpaceDN w:val="0"/>
                    <w:bidi w:val="0"/>
                    <w:adjustRightInd w:val="0"/>
                    <w:snapToGrid w:val="0"/>
                    <w:ind w:firstLine="0"/>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独贵塔拉工业园南项目区及新能源产业园区采用引黄水供水工程，取水口位于已建杭锦旗独贵塔拉镇黄河</w:t>
                  </w:r>
                  <w:r>
                    <w:rPr>
                      <w:rFonts w:hint="eastAsia" w:cs="Times New Roman"/>
                      <w:szCs w:val="21"/>
                      <w:highlight w:val="none"/>
                      <w:lang w:eastAsia="zh-CN"/>
                    </w:rPr>
                    <w:t>“</w:t>
                  </w:r>
                  <w:r>
                    <w:rPr>
                      <w:rFonts w:hint="default" w:ascii="Times New Roman" w:hAnsi="Times New Roman" w:cs="Times New Roman"/>
                      <w:szCs w:val="21"/>
                      <w:highlight w:val="none"/>
                    </w:rPr>
                    <w:t>208</w:t>
                  </w:r>
                  <w:r>
                    <w:rPr>
                      <w:rFonts w:hint="eastAsia" w:cs="Times New Roman"/>
                      <w:szCs w:val="21"/>
                      <w:highlight w:val="none"/>
                      <w:lang w:eastAsia="zh-CN"/>
                    </w:rPr>
                    <w:t>”</w:t>
                  </w:r>
                  <w:r>
                    <w:rPr>
                      <w:rFonts w:hint="default" w:ascii="Times New Roman" w:hAnsi="Times New Roman" w:cs="Times New Roman"/>
                      <w:szCs w:val="21"/>
                      <w:highlight w:val="none"/>
                    </w:rPr>
                    <w:t>险工，目前可用于园区的取水量为3338万m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/a，引黄水供水工程黄河水权置换工程可取得用水指标1.3亿m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/a，后期最大供水量为10338万m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/a。近期地表水用水量约为2693.69万m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/a，远期在利用矿坑涌水后，地表水用水量约为6758.505万m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/a。</w:t>
                  </w:r>
                </w:p>
              </w:tc>
              <w:tc>
                <w:tcPr>
                  <w:tcW w:w="2208" w:type="dxa"/>
                  <w:noWrap w:val="0"/>
                  <w:vAlign w:val="center"/>
                </w:tcPr>
                <w:p w14:paraId="11F7D0E2">
                  <w:pPr>
                    <w:keepNext w:val="0"/>
                    <w:keepLines w:val="0"/>
                    <w:pageBreakBefore w:val="0"/>
                    <w:widowControl w:val="0"/>
                    <w:kinsoku w:val="0"/>
                    <w:wordWrap/>
                    <w:overflowPunct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imes New Roman"/>
                      <w:szCs w:val="21"/>
                      <w:highlight w:val="none"/>
                      <w:lang w:eastAsia="zh-CN"/>
                    </w:rPr>
                  </w:pPr>
                  <w:r>
                    <w:rPr>
                      <w:rFonts w:hint="default" w:ascii="Times New Roman" w:hAnsi="Times New Roman" w:cs="Times New Roman"/>
                      <w:szCs w:val="21"/>
                      <w:highlight w:val="none"/>
                    </w:rPr>
                    <w:t>本项目</w:t>
                  </w:r>
                  <w:r>
                    <w:rPr>
                      <w:rFonts w:hint="eastAsia" w:ascii="Times New Roman" w:hAnsi="Times New Roman" w:cs="Times New Roman"/>
                      <w:szCs w:val="21"/>
                      <w:highlight w:val="none"/>
                      <w:lang w:val="en-US" w:eastAsia="zh-CN"/>
                    </w:rPr>
                    <w:t>试压</w:t>
                  </w:r>
                  <w:r>
                    <w:rPr>
                      <w:rFonts w:hint="default" w:ascii="Times New Roman" w:hAnsi="Times New Roman" w:cs="Times New Roman"/>
                      <w:szCs w:val="21"/>
                      <w:highlight w:val="none"/>
                      <w:lang w:val="en-US" w:eastAsia="zh-CN"/>
                    </w:rPr>
                    <w:t>用水</w:t>
                  </w:r>
                  <w:r>
                    <w:rPr>
                      <w:rFonts w:hint="eastAsia" w:ascii="Times New Roman" w:hAnsi="Times New Roman" w:cs="Times New Roman"/>
                      <w:szCs w:val="21"/>
                      <w:highlight w:val="none"/>
                      <w:lang w:val="en-US" w:eastAsia="zh-CN"/>
                    </w:rPr>
                    <w:t>依托</w:t>
                  </w:r>
                  <w:r>
                    <w:rPr>
                      <w:rFonts w:hint="default" w:ascii="Times New Roman" w:hAnsi="Times New Roman" w:cs="Times New Roman"/>
                      <w:szCs w:val="21"/>
                      <w:highlight w:val="none"/>
                    </w:rPr>
                    <w:t>现有厂区</w:t>
                  </w:r>
                  <w:r>
                    <w:rPr>
                      <w:rFonts w:hint="eastAsia" w:ascii="Times New Roman" w:hAnsi="Times New Roman" w:cs="Times New Roman"/>
                      <w:szCs w:val="21"/>
                      <w:highlight w:val="none"/>
                      <w:lang w:val="en-US" w:eastAsia="zh-CN"/>
                    </w:rPr>
                    <w:t>供水管网供</w:t>
                  </w:r>
                  <w:r>
                    <w:rPr>
                      <w:rFonts w:hint="default" w:ascii="Times New Roman" w:hAnsi="Times New Roman" w:cs="Times New Roman"/>
                      <w:szCs w:val="21"/>
                      <w:highlight w:val="none"/>
                    </w:rPr>
                    <w:t>给</w:t>
                  </w:r>
                  <w:r>
                    <w:rPr>
                      <w:rFonts w:hint="eastAsia" w:ascii="Times New Roman" w:hAnsi="Times New Roman" w:cs="Times New Roman"/>
                      <w:szCs w:val="21"/>
                      <w:highlight w:val="none"/>
                      <w:lang w:eastAsia="zh-CN"/>
                    </w:rPr>
                    <w:t>。</w:t>
                  </w:r>
                </w:p>
              </w:tc>
              <w:tc>
                <w:tcPr>
                  <w:tcW w:w="304" w:type="pct"/>
                  <w:noWrap w:val="0"/>
                  <w:vAlign w:val="center"/>
                </w:tcPr>
                <w:p w14:paraId="47C03959">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相符</w:t>
                  </w:r>
                </w:p>
              </w:tc>
            </w:tr>
            <w:tr w14:paraId="22E6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7" w:type="pct"/>
                  <w:noWrap w:val="0"/>
                  <w:vAlign w:val="center"/>
                </w:tcPr>
                <w:p w14:paraId="0D2C14A2">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供热</w:t>
                  </w:r>
                </w:p>
              </w:tc>
              <w:tc>
                <w:tcPr>
                  <w:tcW w:w="2786" w:type="pct"/>
                  <w:noWrap w:val="0"/>
                  <w:vAlign w:val="center"/>
                </w:tcPr>
                <w:p w14:paraId="60222914">
                  <w:pPr>
                    <w:keepNext w:val="0"/>
                    <w:keepLines w:val="0"/>
                    <w:pageBreakBefore w:val="0"/>
                    <w:widowControl w:val="0"/>
                    <w:kinsoku w:val="0"/>
                    <w:wordWrap/>
                    <w:overflowPunct w:val="0"/>
                    <w:topLinePunct w:val="0"/>
                    <w:autoSpaceDE w:val="0"/>
                    <w:autoSpaceDN w:val="0"/>
                    <w:bidi w:val="0"/>
                    <w:adjustRightInd w:val="0"/>
                    <w:snapToGrid w:val="0"/>
                    <w:ind w:firstLine="0" w:firstLineChars="0"/>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结合经开区企业产业技术特点，独贵塔拉产业园（北区）和南</w:t>
                  </w:r>
                  <w:r>
                    <w:rPr>
                      <w:rFonts w:hint="default" w:ascii="Times New Roman" w:hAnsi="Times New Roman" w:cs="Times New Roman"/>
                      <w:szCs w:val="21"/>
                      <w:highlight w:val="none"/>
                      <w:lang w:eastAsia="zh-CN"/>
                    </w:rPr>
                    <w:t>区</w:t>
                  </w:r>
                  <w:r>
                    <w:rPr>
                      <w:rFonts w:hint="default" w:ascii="Times New Roman" w:hAnsi="Times New Roman" w:cs="Times New Roman"/>
                      <w:szCs w:val="21"/>
                      <w:highlight w:val="none"/>
                    </w:rPr>
                    <w:t>项目工业余热充足，可实现企业自行供热，不再规划供热设施；新能源产业园多为制氢企业，该类</w:t>
                  </w:r>
                  <w:r>
                    <w:rPr>
                      <w:rFonts w:hint="default" w:ascii="Times New Roman" w:hAnsi="Times New Roman" w:cs="Times New Roman"/>
                      <w:szCs w:val="21"/>
                      <w:highlight w:val="none"/>
                      <w:lang w:eastAsia="zh-CN"/>
                    </w:rPr>
                    <w:t>企业</w:t>
                  </w:r>
                  <w:r>
                    <w:rPr>
                      <w:rFonts w:hint="default" w:ascii="Times New Roman" w:hAnsi="Times New Roman" w:cs="Times New Roman"/>
                      <w:szCs w:val="21"/>
                      <w:highlight w:val="none"/>
                    </w:rPr>
                    <w:t>亦可实现自行供热，仅规划公共服务中心及食品加工企业组团供热设施，该区域供热可依托现有聚野煤化工60万t/a捣固焦配套2×12MW热电机组及新能源产业园生物质电厂建设2×120MW热电机组。</w:t>
                  </w:r>
                </w:p>
              </w:tc>
              <w:tc>
                <w:tcPr>
                  <w:tcW w:w="2208" w:type="dxa"/>
                  <w:noWrap w:val="0"/>
                  <w:vAlign w:val="center"/>
                </w:tcPr>
                <w:p w14:paraId="200F2C4F">
                  <w:pPr>
                    <w:keepNext w:val="0"/>
                    <w:keepLines w:val="0"/>
                    <w:pageBreakBefore w:val="0"/>
                    <w:widowControl w:val="0"/>
                    <w:kinsoku w:val="0"/>
                    <w:wordWrap/>
                    <w:overflowPunct w:val="0"/>
                    <w:topLinePunct w:val="0"/>
                    <w:autoSpaceDE w:val="0"/>
                    <w:autoSpaceDN w:val="0"/>
                    <w:bidi w:val="0"/>
                    <w:adjustRightInd w:val="0"/>
                    <w:snapToGrid w:val="0"/>
                    <w:ind w:firstLine="0" w:firstLineChars="0"/>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本项目</w:t>
                  </w:r>
                  <w:r>
                    <w:rPr>
                      <w:rFonts w:hint="default" w:ascii="Times New Roman" w:hAnsi="Times New Roman" w:cs="Times New Roman"/>
                      <w:szCs w:val="21"/>
                      <w:highlight w:val="none"/>
                      <w:lang w:val="en-US" w:eastAsia="zh-CN"/>
                    </w:rPr>
                    <w:t>用汽</w:t>
                  </w:r>
                  <w:r>
                    <w:rPr>
                      <w:rFonts w:hint="default" w:ascii="Times New Roman" w:hAnsi="Times New Roman" w:cs="Times New Roman"/>
                      <w:szCs w:val="21"/>
                      <w:highlight w:val="none"/>
                    </w:rPr>
                    <w:t>由现有厂区热电装置供给。</w:t>
                  </w:r>
                </w:p>
              </w:tc>
              <w:tc>
                <w:tcPr>
                  <w:tcW w:w="304" w:type="pct"/>
                  <w:noWrap w:val="0"/>
                  <w:vAlign w:val="center"/>
                </w:tcPr>
                <w:p w14:paraId="48CC2F96">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相符</w:t>
                  </w:r>
                </w:p>
              </w:tc>
            </w:tr>
            <w:tr w14:paraId="6E85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7" w:type="pct"/>
                  <w:noWrap w:val="0"/>
                  <w:vAlign w:val="center"/>
                </w:tcPr>
                <w:p w14:paraId="70BADBE4">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环保</w:t>
                  </w:r>
                </w:p>
                <w:p w14:paraId="6A637B57">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控制</w:t>
                  </w:r>
                </w:p>
                <w:p w14:paraId="56182CE6">
                  <w:pPr>
                    <w:kinsoku w:val="0"/>
                    <w:overflowPunct w:val="0"/>
                    <w:autoSpaceDE w:val="0"/>
                    <w:autoSpaceDN w:val="0"/>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目标</w:t>
                  </w:r>
                </w:p>
              </w:tc>
              <w:tc>
                <w:tcPr>
                  <w:tcW w:w="2786" w:type="pct"/>
                  <w:noWrap w:val="0"/>
                  <w:vAlign w:val="center"/>
                </w:tcPr>
                <w:p w14:paraId="51D07081">
                  <w:pPr>
                    <w:keepNext w:val="0"/>
                    <w:keepLines w:val="0"/>
                    <w:pageBreakBefore w:val="0"/>
                    <w:widowControl w:val="0"/>
                    <w:wordWrap/>
                    <w:topLinePunct w:val="0"/>
                    <w:bidi w:val="0"/>
                    <w:ind w:firstLine="0"/>
                    <w:jc w:val="center"/>
                    <w:textAlignment w:val="auto"/>
                    <w:rPr>
                      <w:rFonts w:hint="default" w:ascii="Times New Roman" w:hAnsi="Times New Roman" w:cs="Times New Roman"/>
                      <w:highlight w:val="none"/>
                      <w:lang w:eastAsia="zh-CN"/>
                    </w:rPr>
                  </w:pPr>
                  <w:r>
                    <w:rPr>
                      <w:rFonts w:hint="default" w:ascii="Times New Roman" w:hAnsi="Times New Roman" w:cs="Times New Roman"/>
                      <w:highlight w:val="none"/>
                      <w:lang w:eastAsia="zh-CN"/>
                    </w:rPr>
                    <w:t>（1）水环境质量目标：水环境功能区质量达标。工业废水排放达标率100%，生活污水处理率100%。</w:t>
                  </w:r>
                </w:p>
                <w:p w14:paraId="7D7824B2">
                  <w:pPr>
                    <w:keepNext w:val="0"/>
                    <w:keepLines w:val="0"/>
                    <w:pageBreakBefore w:val="0"/>
                    <w:widowControl w:val="0"/>
                    <w:wordWrap/>
                    <w:topLinePunct w:val="0"/>
                    <w:bidi w:val="0"/>
                    <w:ind w:firstLine="0"/>
                    <w:jc w:val="center"/>
                    <w:textAlignment w:val="auto"/>
                    <w:rPr>
                      <w:rFonts w:hint="default" w:ascii="Times New Roman" w:hAnsi="Times New Roman" w:cs="Times New Roman"/>
                      <w:highlight w:val="none"/>
                      <w:lang w:eastAsia="zh-CN"/>
                    </w:rPr>
                  </w:pPr>
                  <w:r>
                    <w:rPr>
                      <w:rFonts w:hint="default" w:ascii="Times New Roman" w:hAnsi="Times New Roman" w:cs="Times New Roman"/>
                      <w:highlight w:val="none"/>
                      <w:lang w:eastAsia="zh-CN"/>
                    </w:rPr>
                    <w:t>（2）大气环境质量目标：环境空气质量达到《环境空气质量标准》二级标准。环境空气质量达标率达到100%，工业废气处理达标率达到100%。</w:t>
                  </w:r>
                </w:p>
                <w:p w14:paraId="5A08AC12">
                  <w:pPr>
                    <w:keepNext w:val="0"/>
                    <w:keepLines w:val="0"/>
                    <w:pageBreakBefore w:val="0"/>
                    <w:widowControl w:val="0"/>
                    <w:wordWrap/>
                    <w:topLinePunct w:val="0"/>
                    <w:bidi w:val="0"/>
                    <w:ind w:firstLine="0"/>
                    <w:jc w:val="center"/>
                    <w:textAlignment w:val="auto"/>
                    <w:rPr>
                      <w:rFonts w:hint="default" w:ascii="Times New Roman" w:hAnsi="Times New Roman" w:cs="Times New Roman"/>
                      <w:highlight w:val="none"/>
                      <w:lang w:eastAsia="zh-CN"/>
                    </w:rPr>
                  </w:pPr>
                  <w:r>
                    <w:rPr>
                      <w:rFonts w:hint="default" w:ascii="Times New Roman" w:hAnsi="Times New Roman" w:cs="Times New Roman"/>
                      <w:highlight w:val="none"/>
                      <w:lang w:eastAsia="zh-CN"/>
                    </w:rPr>
                    <w:t>（3）声环境质量目标：环境噪声达到或优于《声环境质量标准》（GB3096-2008）中规定的相应标准。</w:t>
                  </w:r>
                </w:p>
                <w:p w14:paraId="58428F7F">
                  <w:pPr>
                    <w:keepNext w:val="0"/>
                    <w:keepLines w:val="0"/>
                    <w:pageBreakBefore w:val="0"/>
                    <w:widowControl w:val="0"/>
                    <w:wordWrap/>
                    <w:topLinePunct w:val="0"/>
                    <w:bidi w:val="0"/>
                    <w:ind w:firstLine="0"/>
                    <w:jc w:val="center"/>
                    <w:textAlignment w:val="auto"/>
                    <w:rPr>
                      <w:rFonts w:hint="default" w:ascii="Times New Roman" w:hAnsi="Times New Roman" w:cs="Times New Roman"/>
                      <w:szCs w:val="21"/>
                      <w:highlight w:val="none"/>
                    </w:rPr>
                  </w:pPr>
                  <w:r>
                    <w:rPr>
                      <w:rFonts w:hint="default" w:ascii="Times New Roman" w:hAnsi="Times New Roman" w:cs="Times New Roman"/>
                      <w:highlight w:val="none"/>
                      <w:lang w:eastAsia="zh-CN"/>
                    </w:rPr>
                    <w:t>（4）固体废弃物处理目标：固体废弃物处置方式进一步优化，再生资源得到有效利用，无害化处理率达到100%</w:t>
                  </w:r>
                  <w:r>
                    <w:rPr>
                      <w:rFonts w:hint="default" w:ascii="Times New Roman" w:hAnsi="Times New Roman" w:cs="Times New Roman"/>
                      <w:szCs w:val="21"/>
                      <w:highlight w:val="none"/>
                    </w:rPr>
                    <w:t>。</w:t>
                  </w:r>
                </w:p>
              </w:tc>
              <w:tc>
                <w:tcPr>
                  <w:tcW w:w="1511" w:type="pct"/>
                  <w:noWrap w:val="0"/>
                  <w:vAlign w:val="center"/>
                </w:tcPr>
                <w:p w14:paraId="3E79312C">
                  <w:pPr>
                    <w:keepNext w:val="0"/>
                    <w:keepLines w:val="0"/>
                    <w:pageBreakBefore w:val="0"/>
                    <w:widowControl w:val="0"/>
                    <w:kinsoku w:val="0"/>
                    <w:wordWrap/>
                    <w:overflowPunct w:val="0"/>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本项目运行后正常工况下无废气产生，无固废产生、无废水产生。</w:t>
                  </w:r>
                  <w:r>
                    <w:rPr>
                      <w:rFonts w:hint="eastAsia" w:ascii="Times New Roman" w:hAnsi="Times New Roman" w:cs="Times New Roman"/>
                      <w:szCs w:val="21"/>
                      <w:highlight w:val="none"/>
                      <w:lang w:val="en-US" w:eastAsia="zh-CN"/>
                    </w:rPr>
                    <w:t>本项目新增的甲烷压缩机位于增压风机房内</w:t>
                  </w:r>
                  <w:r>
                    <w:rPr>
                      <w:rFonts w:hint="eastAsia" w:cs="Times New Roman"/>
                      <w:szCs w:val="21"/>
                      <w:highlight w:val="none"/>
                      <w:lang w:val="en-US" w:eastAsia="zh-CN"/>
                    </w:rPr>
                    <w:t>，</w:t>
                  </w:r>
                  <w:r>
                    <w:rPr>
                      <w:rFonts w:hint="eastAsia" w:ascii="Times New Roman" w:hAnsi="Times New Roman" w:cs="Times New Roman"/>
                      <w:szCs w:val="21"/>
                      <w:highlight w:val="none"/>
                      <w:lang w:val="en-US" w:eastAsia="zh-CN"/>
                    </w:rPr>
                    <w:t>满足</w:t>
                  </w:r>
                  <w:r>
                    <w:rPr>
                      <w:rFonts w:hint="default" w:ascii="Times New Roman" w:hAnsi="Times New Roman" w:cs="Times New Roman"/>
                      <w:highlight w:val="none"/>
                      <w:lang w:eastAsia="zh-CN"/>
                    </w:rPr>
                    <w:t>《声环境质量标准》（GB3096-2008）</w:t>
                  </w:r>
                  <w:r>
                    <w:rPr>
                      <w:rFonts w:hint="eastAsia" w:ascii="Times New Roman" w:hAnsi="Times New Roman" w:cs="Times New Roman"/>
                      <w:highlight w:val="none"/>
                      <w:lang w:val="en-US" w:eastAsia="zh-CN"/>
                    </w:rPr>
                    <w:t>3级标准。</w:t>
                  </w:r>
                </w:p>
              </w:tc>
              <w:tc>
                <w:tcPr>
                  <w:tcW w:w="304" w:type="pct"/>
                  <w:noWrap w:val="0"/>
                  <w:vAlign w:val="center"/>
                </w:tcPr>
                <w:p w14:paraId="12275584">
                  <w:pPr>
                    <w:kinsoku w:val="0"/>
                    <w:overflowPunct w:val="0"/>
                    <w:autoSpaceDE w:val="0"/>
                    <w:autoSpaceDN w:val="0"/>
                    <w:adjustRightInd w:val="0"/>
                    <w:snapToGrid w:val="0"/>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rPr>
                    <w:t>相符</w:t>
                  </w:r>
                </w:p>
              </w:tc>
            </w:tr>
          </w:tbl>
          <w:p w14:paraId="31976E45">
            <w:pPr>
              <w:autoSpaceDE w:val="0"/>
              <w:autoSpaceDN w:val="0"/>
              <w:adjustRightInd w:val="0"/>
              <w:snapToGrid w:val="0"/>
              <w:spacing w:line="360" w:lineRule="auto"/>
              <w:rPr>
                <w:rFonts w:hint="default" w:ascii="Times New Roman" w:hAnsi="Times New Roman" w:cs="Times New Roman"/>
                <w:b/>
                <w:bCs/>
                <w:sz w:val="24"/>
                <w:szCs w:val="32"/>
                <w:highlight w:val="none"/>
              </w:rPr>
            </w:pPr>
            <w:r>
              <w:rPr>
                <w:rFonts w:hint="eastAsia" w:cs="Times New Roman"/>
                <w:b/>
                <w:bCs/>
                <w:sz w:val="24"/>
                <w:szCs w:val="32"/>
                <w:highlight w:val="none"/>
                <w:lang w:val="en-US" w:eastAsia="zh-CN"/>
              </w:rPr>
              <w:t>2.</w:t>
            </w:r>
            <w:r>
              <w:rPr>
                <w:rFonts w:hint="default" w:ascii="Times New Roman" w:hAnsi="Times New Roman" w:cs="Times New Roman"/>
                <w:b/>
                <w:bCs/>
                <w:sz w:val="24"/>
                <w:szCs w:val="32"/>
                <w:highlight w:val="none"/>
                <w:lang w:val="en-US" w:eastAsia="zh-CN"/>
              </w:rPr>
              <w:t>园区</w:t>
            </w:r>
            <w:r>
              <w:rPr>
                <w:rFonts w:hint="default" w:ascii="Times New Roman" w:hAnsi="Times New Roman" w:cs="Times New Roman"/>
                <w:b/>
                <w:bCs/>
                <w:sz w:val="24"/>
                <w:szCs w:val="32"/>
                <w:highlight w:val="none"/>
              </w:rPr>
              <w:t>规划环评符合性分析</w:t>
            </w:r>
          </w:p>
          <w:p w14:paraId="533E7C35">
            <w:pPr>
              <w:snapToGrid w:val="0"/>
              <w:spacing w:line="360" w:lineRule="auto"/>
              <w:ind w:firstLine="480" w:firstLineChars="20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2023年6月25日，该园区取得了《内蒙古自治区生态环境厅关于〈内蒙古鄂尔多斯杭锦经济开发区总体规划（2021-2035）环境影响报告书〉的审查意见》（内环审〔2023〕41号）。本项目与《规划环评审查意见》（内环审〔2023〕41号）结论相符性分析如下表：</w:t>
            </w:r>
          </w:p>
          <w:p w14:paraId="4BEEEFAA">
            <w:pPr>
              <w:pStyle w:val="31"/>
              <w:spacing w:line="360" w:lineRule="auto"/>
              <w:ind w:firstLine="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表1-</w:t>
            </w:r>
            <w:r>
              <w:rPr>
                <w:rFonts w:hint="eastAsia" w:ascii="Times New Roman" w:hAnsi="Times New Roman" w:cs="Times New Roman"/>
                <w:b/>
                <w:bCs/>
                <w:sz w:val="21"/>
                <w:szCs w:val="21"/>
                <w:highlight w:val="none"/>
                <w:lang w:val="en-US" w:eastAsia="zh-CN"/>
              </w:rPr>
              <w:t xml:space="preserve">5   </w:t>
            </w:r>
            <w:r>
              <w:rPr>
                <w:rFonts w:hint="default" w:ascii="Times New Roman" w:hAnsi="Times New Roman" w:eastAsia="宋体" w:cs="Times New Roman"/>
                <w:b/>
                <w:bCs/>
                <w:sz w:val="21"/>
                <w:szCs w:val="21"/>
                <w:highlight w:val="none"/>
              </w:rPr>
              <w:t>本项目与规划环评审查意见（与项目相关内容）的符合性分析</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3967"/>
              <w:gridCol w:w="2050"/>
              <w:gridCol w:w="742"/>
            </w:tblGrid>
            <w:tr w14:paraId="77F2C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tcBorders>
                    <w:tl2br w:val="nil"/>
                    <w:tr2bl w:val="nil"/>
                  </w:tcBorders>
                  <w:noWrap w:val="0"/>
                  <w:vAlign w:val="center"/>
                </w:tcPr>
                <w:p w14:paraId="567BAA96">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b w:val="0"/>
                      <w:bCs/>
                      <w:color w:val="000000"/>
                      <w:kern w:val="0"/>
                      <w:sz w:val="21"/>
                      <w:szCs w:val="21"/>
                      <w:highlight w:val="none"/>
                    </w:rPr>
                  </w:pPr>
                  <w:r>
                    <w:rPr>
                      <w:rFonts w:hint="default" w:ascii="Times New Roman" w:hAnsi="Times New Roman" w:eastAsia="宋体" w:cs="Times New Roman"/>
                      <w:b w:val="0"/>
                      <w:bCs/>
                      <w:color w:val="000000"/>
                      <w:kern w:val="0"/>
                      <w:sz w:val="21"/>
                      <w:szCs w:val="21"/>
                      <w:highlight w:val="none"/>
                    </w:rPr>
                    <w:t>序号</w:t>
                  </w:r>
                </w:p>
              </w:tc>
              <w:tc>
                <w:tcPr>
                  <w:tcW w:w="2754" w:type="pct"/>
                  <w:tcBorders>
                    <w:tl2br w:val="nil"/>
                    <w:tr2bl w:val="nil"/>
                  </w:tcBorders>
                  <w:noWrap w:val="0"/>
                  <w:vAlign w:val="center"/>
                </w:tcPr>
                <w:p w14:paraId="2EB15571">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b w:val="0"/>
                      <w:bCs/>
                      <w:color w:val="000000"/>
                      <w:kern w:val="0"/>
                      <w:sz w:val="21"/>
                      <w:szCs w:val="21"/>
                      <w:highlight w:val="none"/>
                    </w:rPr>
                  </w:pPr>
                  <w:r>
                    <w:rPr>
                      <w:rFonts w:hint="default" w:ascii="Times New Roman" w:hAnsi="Times New Roman" w:eastAsia="宋体" w:cs="Times New Roman"/>
                      <w:b w:val="0"/>
                      <w:bCs/>
                      <w:color w:val="000000"/>
                      <w:kern w:val="0"/>
                      <w:sz w:val="21"/>
                      <w:szCs w:val="21"/>
                      <w:highlight w:val="none"/>
                    </w:rPr>
                    <w:t>规划环评要求</w:t>
                  </w:r>
                </w:p>
              </w:tc>
              <w:tc>
                <w:tcPr>
                  <w:tcW w:w="1423" w:type="pct"/>
                  <w:tcBorders>
                    <w:tl2br w:val="nil"/>
                    <w:tr2bl w:val="nil"/>
                  </w:tcBorders>
                  <w:noWrap w:val="0"/>
                  <w:vAlign w:val="center"/>
                </w:tcPr>
                <w:p w14:paraId="4085D04C">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b w:val="0"/>
                      <w:bCs/>
                      <w:color w:val="000000"/>
                      <w:kern w:val="0"/>
                      <w:sz w:val="21"/>
                      <w:szCs w:val="21"/>
                      <w:highlight w:val="none"/>
                    </w:rPr>
                  </w:pPr>
                  <w:r>
                    <w:rPr>
                      <w:rFonts w:hint="default" w:ascii="Times New Roman" w:hAnsi="Times New Roman" w:eastAsia="宋体" w:cs="Times New Roman"/>
                      <w:b w:val="0"/>
                      <w:bCs/>
                      <w:color w:val="000000"/>
                      <w:kern w:val="0"/>
                      <w:sz w:val="21"/>
                      <w:szCs w:val="21"/>
                      <w:highlight w:val="none"/>
                    </w:rPr>
                    <w:t>本项目情况</w:t>
                  </w:r>
                </w:p>
              </w:tc>
              <w:tc>
                <w:tcPr>
                  <w:tcW w:w="515" w:type="pct"/>
                  <w:tcBorders>
                    <w:tl2br w:val="nil"/>
                    <w:tr2bl w:val="nil"/>
                  </w:tcBorders>
                  <w:noWrap w:val="0"/>
                  <w:vAlign w:val="center"/>
                </w:tcPr>
                <w:p w14:paraId="518DECB7">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b w:val="0"/>
                      <w:bCs/>
                      <w:color w:val="000000"/>
                      <w:kern w:val="0"/>
                      <w:sz w:val="21"/>
                      <w:szCs w:val="21"/>
                      <w:highlight w:val="none"/>
                    </w:rPr>
                  </w:pPr>
                  <w:r>
                    <w:rPr>
                      <w:rFonts w:hint="default" w:ascii="Times New Roman" w:hAnsi="Times New Roman" w:eastAsia="宋体" w:cs="Times New Roman"/>
                      <w:b w:val="0"/>
                      <w:bCs/>
                      <w:color w:val="000000"/>
                      <w:kern w:val="0"/>
                      <w:sz w:val="21"/>
                      <w:szCs w:val="21"/>
                      <w:highlight w:val="none"/>
                    </w:rPr>
                    <w:t>相符性</w:t>
                  </w:r>
                </w:p>
              </w:tc>
            </w:tr>
            <w:tr w14:paraId="12A0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tcBorders>
                    <w:tl2br w:val="nil"/>
                    <w:tr2bl w:val="nil"/>
                  </w:tcBorders>
                  <w:noWrap w:val="0"/>
                  <w:vAlign w:val="center"/>
                </w:tcPr>
                <w:p w14:paraId="1186D3C7">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w:t>
                  </w:r>
                </w:p>
              </w:tc>
              <w:tc>
                <w:tcPr>
                  <w:tcW w:w="2754" w:type="pct"/>
                  <w:tcBorders>
                    <w:tl2br w:val="nil"/>
                    <w:tr2bl w:val="nil"/>
                  </w:tcBorders>
                  <w:noWrap w:val="0"/>
                  <w:vAlign w:val="center"/>
                </w:tcPr>
                <w:p w14:paraId="25743380">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（一）坚持生态优先、绿色发展理念，加强规划引领。园区总体规划应做好与自治区、鄂尔多斯市国土空间总体规划及</w:t>
                  </w:r>
                  <w:r>
                    <w:rPr>
                      <w:rFonts w:hint="eastAsia"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rPr>
                    <w:t>三线一单</w:t>
                  </w:r>
                  <w:r>
                    <w:rPr>
                      <w:rFonts w:hint="eastAsia"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rPr>
                    <w:t>的协调衔接，并要与当地其他专项规划相协调。按照《内蒙古自治区人民政府关于促进工业园区高质量发展的若干意见》（内政发〔2019〕21号）、《内蒙古自治区人民政府办公厅关于进一步加强全区自治区级及以上工业园区环境保护工作的通知》（内政办发〔2018〕88号）及自治区、鄂尔多斯市按照国民经济和社会发展第十四个五年规划和2035年远景目标纲要等要求，指导园区建设。</w:t>
                  </w:r>
                </w:p>
              </w:tc>
              <w:tc>
                <w:tcPr>
                  <w:tcW w:w="1423" w:type="pct"/>
                  <w:tcBorders>
                    <w:tl2br w:val="nil"/>
                    <w:tr2bl w:val="nil"/>
                  </w:tcBorders>
                  <w:noWrap w:val="0"/>
                  <w:vAlign w:val="center"/>
                </w:tcPr>
                <w:p w14:paraId="09515320">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cs="Times New Roman"/>
                      <w:highlight w:val="none"/>
                      <w:lang w:val="en-US" w:eastAsia="zh-CN"/>
                    </w:rPr>
                    <w:t>/</w:t>
                  </w:r>
                </w:p>
              </w:tc>
              <w:tc>
                <w:tcPr>
                  <w:tcW w:w="515" w:type="pct"/>
                  <w:tcBorders>
                    <w:tl2br w:val="nil"/>
                    <w:tr2bl w:val="nil"/>
                  </w:tcBorders>
                  <w:noWrap w:val="0"/>
                  <w:vAlign w:val="center"/>
                </w:tcPr>
                <w:p w14:paraId="40094736">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w:t>
                  </w:r>
                </w:p>
              </w:tc>
            </w:tr>
            <w:tr w14:paraId="50C7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tcBorders>
                    <w:tl2br w:val="nil"/>
                    <w:tr2bl w:val="nil"/>
                  </w:tcBorders>
                  <w:noWrap w:val="0"/>
                  <w:vAlign w:val="center"/>
                </w:tcPr>
                <w:p w14:paraId="51E15815">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2</w:t>
                  </w:r>
                </w:p>
              </w:tc>
              <w:tc>
                <w:tcPr>
                  <w:tcW w:w="2754" w:type="pct"/>
                  <w:tcBorders>
                    <w:tl2br w:val="nil"/>
                    <w:tr2bl w:val="nil"/>
                  </w:tcBorders>
                  <w:noWrap w:val="0"/>
                  <w:vAlign w:val="center"/>
                </w:tcPr>
                <w:p w14:paraId="46CE2191">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（二）严格生态环境准入，推动高质量发展。园区应结合区域资源禀赋、生态敏感特征、生态功能保护、自治区及鄂尔多斯市</w:t>
                  </w:r>
                  <w:r>
                    <w:rPr>
                      <w:rFonts w:hint="eastAsia"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rPr>
                    <w:t>十四五</w:t>
                  </w:r>
                  <w:r>
                    <w:rPr>
                      <w:rFonts w:hint="eastAsia"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rPr>
                    <w:t>规划能耗双控、区域及行业碳达峰目标约束等要求</w:t>
                  </w:r>
                  <w:r>
                    <w:rPr>
                      <w:rFonts w:hint="eastAsia"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rPr>
                    <w:t>坚持循环经济和资源高效利用理念，严格按照《自治区开发区审核公告目录》、产业政策、</w:t>
                  </w:r>
                  <w:r>
                    <w:rPr>
                      <w:rFonts w:hint="eastAsia"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rPr>
                    <w:t>三线一单</w:t>
                  </w:r>
                  <w:r>
                    <w:rPr>
                      <w:rFonts w:hint="eastAsia"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rPr>
                    <w:t>生态环境分区管控、园区总体规划等要求及《报告书》产业发展推荐方案管理新入园项目，不得引进污染物排放量大、环境风险高的非主导产业项目。严控</w:t>
                  </w:r>
                  <w:r>
                    <w:rPr>
                      <w:rFonts w:hint="eastAsia"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rPr>
                    <w:t>两高</w:t>
                  </w:r>
                  <w:r>
                    <w:rPr>
                      <w:rFonts w:hint="eastAsia"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rPr>
                    <w:t>项目及生产工艺，确需建设的，应全面执行国家和自治区关于</w:t>
                  </w:r>
                  <w:r>
                    <w:rPr>
                      <w:rFonts w:hint="eastAsia"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rPr>
                    <w:t>两高</w:t>
                  </w:r>
                  <w:r>
                    <w:rPr>
                      <w:rFonts w:hint="eastAsia"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rPr>
                    <w:t>项目准入的各项规定。全面落实</w:t>
                  </w:r>
                  <w:r>
                    <w:rPr>
                      <w:rFonts w:hint="eastAsia"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rPr>
                    <w:t>四水四定</w:t>
                  </w:r>
                  <w:r>
                    <w:rPr>
                      <w:rFonts w:hint="eastAsia"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rPr>
                    <w:t>要求，充分利用当地矿井水、中水、农田灌溉退水等非常规水资源，最大程度减少生产用新鲜水取水量，审慎引进高耗水行业。</w:t>
                  </w:r>
                </w:p>
              </w:tc>
              <w:tc>
                <w:tcPr>
                  <w:tcW w:w="1423" w:type="pct"/>
                  <w:tcBorders>
                    <w:tl2br w:val="nil"/>
                    <w:tr2bl w:val="nil"/>
                  </w:tcBorders>
                  <w:noWrap w:val="0"/>
                  <w:vAlign w:val="center"/>
                </w:tcPr>
                <w:p w14:paraId="6CBC6658">
                  <w:pPr>
                    <w:keepNext w:val="0"/>
                    <w:keepLines w:val="0"/>
                    <w:pageBreakBefore w:val="0"/>
                    <w:widowControl w:val="0"/>
                    <w:kinsoku/>
                    <w:wordWrap/>
                    <w:overflowPunct/>
                    <w:topLinePunct w:val="0"/>
                    <w:autoSpaceDE w:val="0"/>
                    <w:autoSpaceDN w:val="0"/>
                    <w:bidi w:val="0"/>
                    <w:adjustRightInd w:val="0"/>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zh-CN"/>
                    </w:rPr>
                    <w:t>本项目</w:t>
                  </w:r>
                  <w:r>
                    <w:rPr>
                      <w:rFonts w:hint="default" w:ascii="Times New Roman" w:hAnsi="Times New Roman" w:eastAsia="宋体" w:cs="Times New Roman"/>
                      <w:color w:val="000000"/>
                      <w:kern w:val="0"/>
                      <w:sz w:val="21"/>
                      <w:szCs w:val="21"/>
                      <w:highlight w:val="none"/>
                      <w:lang w:val="en-US" w:eastAsia="zh-CN"/>
                    </w:rPr>
                    <w:t>符合</w:t>
                  </w:r>
                  <w:r>
                    <w:rPr>
                      <w:rFonts w:hint="default" w:ascii="Times New Roman" w:hAnsi="Times New Roman" w:eastAsia="宋体" w:cs="Times New Roman"/>
                      <w:color w:val="000000"/>
                      <w:kern w:val="0"/>
                      <w:sz w:val="21"/>
                      <w:szCs w:val="21"/>
                      <w:highlight w:val="none"/>
                      <w:lang w:val="zh-CN"/>
                    </w:rPr>
                    <w:t>产业政策、生态环境分区管控、园区总体规划等要求</w:t>
                  </w:r>
                  <w:r>
                    <w:rPr>
                      <w:rFonts w:hint="default" w:ascii="Times New Roman" w:hAnsi="Times New Roman" w:eastAsia="宋体" w:cs="Times New Roman"/>
                      <w:color w:val="000000"/>
                      <w:kern w:val="0"/>
                      <w:sz w:val="21"/>
                      <w:szCs w:val="21"/>
                      <w:highlight w:val="none"/>
                      <w:lang w:val="zh-CN" w:eastAsia="zh-CN"/>
                    </w:rPr>
                    <w:t>，</w:t>
                  </w:r>
                  <w:r>
                    <w:rPr>
                      <w:rFonts w:hint="default" w:ascii="Times New Roman" w:hAnsi="Times New Roman" w:eastAsia="宋体" w:cs="Times New Roman"/>
                      <w:color w:val="000000"/>
                      <w:kern w:val="0"/>
                      <w:sz w:val="21"/>
                      <w:szCs w:val="21"/>
                      <w:highlight w:val="none"/>
                      <w:lang w:val="zh-CN"/>
                    </w:rPr>
                    <w:t>不属于</w:t>
                  </w:r>
                  <w:r>
                    <w:rPr>
                      <w:rFonts w:hint="eastAsia" w:cs="Times New Roman"/>
                      <w:color w:val="000000"/>
                      <w:kern w:val="0"/>
                      <w:sz w:val="21"/>
                      <w:szCs w:val="21"/>
                      <w:highlight w:val="none"/>
                      <w:lang w:val="zh-CN" w:eastAsia="zh-CN"/>
                    </w:rPr>
                    <w:t>“</w:t>
                  </w:r>
                  <w:r>
                    <w:rPr>
                      <w:rFonts w:hint="default" w:ascii="Times New Roman" w:hAnsi="Times New Roman" w:eastAsia="宋体" w:cs="Times New Roman"/>
                      <w:color w:val="000000"/>
                      <w:kern w:val="0"/>
                      <w:sz w:val="21"/>
                      <w:szCs w:val="21"/>
                      <w:highlight w:val="none"/>
                      <w:lang w:val="en-US" w:eastAsia="zh-CN"/>
                    </w:rPr>
                    <w:t>两高</w:t>
                  </w:r>
                  <w:r>
                    <w:rPr>
                      <w:rFonts w:hint="eastAsia" w:cs="Times New Roman"/>
                      <w:color w:val="000000"/>
                      <w:kern w:val="0"/>
                      <w:sz w:val="21"/>
                      <w:szCs w:val="21"/>
                      <w:highlight w:val="none"/>
                      <w:lang w:val="zh-CN" w:eastAsia="zh-CN"/>
                    </w:rPr>
                    <w:t>”</w:t>
                  </w:r>
                  <w:r>
                    <w:rPr>
                      <w:rFonts w:hint="default" w:ascii="Times New Roman" w:hAnsi="Times New Roman" w:eastAsia="宋体" w:cs="Times New Roman"/>
                      <w:color w:val="000000"/>
                      <w:kern w:val="0"/>
                      <w:sz w:val="21"/>
                      <w:szCs w:val="21"/>
                      <w:highlight w:val="none"/>
                      <w:lang w:val="zh-CN"/>
                    </w:rPr>
                    <w:t>项目</w:t>
                  </w:r>
                  <w:r>
                    <w:rPr>
                      <w:rFonts w:hint="default" w:ascii="Times New Roman" w:hAnsi="Times New Roman" w:eastAsia="宋体" w:cs="Times New Roman"/>
                      <w:color w:val="000000"/>
                      <w:kern w:val="0"/>
                      <w:sz w:val="21"/>
                      <w:szCs w:val="21"/>
                      <w:highlight w:val="none"/>
                      <w:lang w:val="zh-CN" w:eastAsia="zh-CN"/>
                    </w:rPr>
                    <w:t>。</w:t>
                  </w:r>
                  <w:r>
                    <w:rPr>
                      <w:rFonts w:hint="eastAsia" w:cs="Times New Roman"/>
                      <w:color w:val="000000"/>
                      <w:kern w:val="0"/>
                      <w:sz w:val="21"/>
                      <w:szCs w:val="21"/>
                      <w:highlight w:val="none"/>
                      <w:lang w:val="en-US" w:eastAsia="zh-CN"/>
                    </w:rPr>
                    <w:t>本项目运营期</w:t>
                  </w:r>
                  <w:r>
                    <w:rPr>
                      <w:rFonts w:hint="default" w:ascii="Times New Roman" w:hAnsi="Times New Roman" w:cs="Times New Roman"/>
                      <w:color w:val="000000"/>
                      <w:kern w:val="0"/>
                      <w:sz w:val="21"/>
                      <w:szCs w:val="21"/>
                      <w:highlight w:val="none"/>
                      <w:lang w:val="en-US" w:eastAsia="zh-CN"/>
                    </w:rPr>
                    <w:t>不新增用水。</w:t>
                  </w:r>
                </w:p>
              </w:tc>
              <w:tc>
                <w:tcPr>
                  <w:tcW w:w="515" w:type="pct"/>
                  <w:tcBorders>
                    <w:tl2br w:val="nil"/>
                    <w:tr2bl w:val="nil"/>
                  </w:tcBorders>
                  <w:noWrap w:val="0"/>
                  <w:vAlign w:val="center"/>
                </w:tcPr>
                <w:p w14:paraId="51149D19">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符合</w:t>
                  </w:r>
                </w:p>
              </w:tc>
            </w:tr>
            <w:tr w14:paraId="7A5C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tcBorders>
                    <w:tl2br w:val="nil"/>
                    <w:tr2bl w:val="nil"/>
                  </w:tcBorders>
                  <w:noWrap w:val="0"/>
                  <w:vAlign w:val="center"/>
                </w:tcPr>
                <w:p w14:paraId="36594D46">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3</w:t>
                  </w:r>
                </w:p>
              </w:tc>
              <w:tc>
                <w:tcPr>
                  <w:tcW w:w="2754" w:type="pct"/>
                  <w:tcBorders>
                    <w:tl2br w:val="nil"/>
                    <w:tr2bl w:val="nil"/>
                  </w:tcBorders>
                  <w:noWrap w:val="0"/>
                  <w:vAlign w:val="center"/>
                </w:tcPr>
                <w:p w14:paraId="6E590401">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三）严格空间管控，优化产业布局。园区与邻近居民区、自然保护区、地表水体等环境敏感区之间设置一定的隔离带，环境风险较高区块应向外设置足够的规划控制区作为空间防护，确保园区产业发展与生态环境、人居环境相协调。食品加工等环境质量要求高的企业周边应设置符合规定的防护区域，现有不符合防护距离要求的企业应限期搬迁改造，配合杭锦旗人民政府及其有关部门做好园区及周边区域的规划控制和优化调整，发现不符合管控要求的相关行为，应及时向杭锦旗人民政府报告。</w:t>
                  </w:r>
                </w:p>
              </w:tc>
              <w:tc>
                <w:tcPr>
                  <w:tcW w:w="1423" w:type="pct"/>
                  <w:tcBorders>
                    <w:tl2br w:val="nil"/>
                    <w:tr2bl w:val="nil"/>
                  </w:tcBorders>
                  <w:noWrap w:val="0"/>
                  <w:vAlign w:val="center"/>
                </w:tcPr>
                <w:p w14:paraId="16F0763B">
                  <w:pPr>
                    <w:keepNext w:val="0"/>
                    <w:keepLines w:val="0"/>
                    <w:pageBreakBefore w:val="0"/>
                    <w:widowControl w:val="0"/>
                    <w:kinsoku/>
                    <w:wordWrap/>
                    <w:overflowPunct/>
                    <w:topLinePunct w:val="0"/>
                    <w:autoSpaceDE w:val="0"/>
                    <w:autoSpaceDN w:val="0"/>
                    <w:bidi w:val="0"/>
                    <w:adjustRightInd w:val="0"/>
                    <w:ind w:firstLine="0" w:firstLineChars="0"/>
                    <w:jc w:val="center"/>
                    <w:textAlignment w:val="auto"/>
                    <w:rPr>
                      <w:rFonts w:hint="default" w:ascii="Times New Roman" w:hAnsi="Times New Roman" w:eastAsia="宋体" w:cs="Times New Roman"/>
                      <w:color w:val="000000"/>
                      <w:kern w:val="0"/>
                      <w:sz w:val="21"/>
                      <w:szCs w:val="21"/>
                      <w:highlight w:val="none"/>
                      <w:lang w:val="zh-CN"/>
                    </w:rPr>
                  </w:pPr>
                  <w:r>
                    <w:rPr>
                      <w:rFonts w:hint="default" w:ascii="Times New Roman" w:hAnsi="Times New Roman" w:eastAsia="宋体" w:cs="Times New Roman"/>
                      <w:color w:val="000000"/>
                      <w:kern w:val="0"/>
                      <w:sz w:val="21"/>
                      <w:szCs w:val="21"/>
                      <w:highlight w:val="none"/>
                      <w:lang w:val="zh-CN"/>
                    </w:rPr>
                    <w:t>本项目</w:t>
                  </w:r>
                  <w:r>
                    <w:rPr>
                      <w:rFonts w:hint="eastAsia" w:cs="Times New Roman"/>
                      <w:color w:val="000000"/>
                      <w:kern w:val="0"/>
                      <w:sz w:val="21"/>
                      <w:szCs w:val="21"/>
                      <w:highlight w:val="none"/>
                      <w:lang w:val="en-US" w:eastAsia="zh-CN"/>
                    </w:rPr>
                    <w:t>部分管道</w:t>
                  </w:r>
                  <w:r>
                    <w:rPr>
                      <w:rFonts w:hint="default" w:ascii="Times New Roman" w:hAnsi="Times New Roman" w:eastAsia="宋体" w:cs="Times New Roman"/>
                      <w:color w:val="000000"/>
                      <w:kern w:val="0"/>
                      <w:sz w:val="21"/>
                      <w:szCs w:val="21"/>
                      <w:highlight w:val="none"/>
                      <w:lang w:val="zh-CN"/>
                    </w:rPr>
                    <w:t>位于园区</w:t>
                  </w:r>
                  <w:r>
                    <w:rPr>
                      <w:rFonts w:hint="default" w:ascii="Times New Roman" w:hAnsi="Times New Roman" w:eastAsia="宋体" w:cs="Times New Roman"/>
                      <w:color w:val="000000"/>
                      <w:kern w:val="0"/>
                      <w:sz w:val="21"/>
                      <w:szCs w:val="21"/>
                      <w:highlight w:val="none"/>
                      <w:lang w:val="en-US" w:eastAsia="zh-CN"/>
                    </w:rPr>
                    <w:t>伊泰现有厂区</w:t>
                  </w:r>
                  <w:r>
                    <w:rPr>
                      <w:rFonts w:hint="default" w:ascii="Times New Roman" w:hAnsi="Times New Roman" w:eastAsia="宋体" w:cs="Times New Roman"/>
                      <w:color w:val="000000"/>
                      <w:kern w:val="0"/>
                      <w:sz w:val="21"/>
                      <w:szCs w:val="21"/>
                      <w:highlight w:val="none"/>
                      <w:lang w:val="zh-CN"/>
                    </w:rPr>
                    <w:t>内，</w:t>
                  </w:r>
                  <w:r>
                    <w:rPr>
                      <w:rFonts w:hint="eastAsia"/>
                      <w:highlight w:val="none"/>
                      <w:lang w:val="en-US" w:eastAsia="zh-CN"/>
                    </w:rPr>
                    <w:t>WRT甲烷气、清净废水管道位于厂区外。</w:t>
                  </w:r>
                  <w:r>
                    <w:rPr>
                      <w:rFonts w:hint="eastAsia" w:cs="Times New Roman"/>
                      <w:color w:val="000000"/>
                      <w:kern w:val="0"/>
                      <w:sz w:val="21"/>
                      <w:szCs w:val="21"/>
                      <w:highlight w:val="none"/>
                      <w:lang w:val="en-US" w:eastAsia="zh-CN"/>
                    </w:rPr>
                    <w:t>项目周边500m范围内</w:t>
                  </w:r>
                  <w:r>
                    <w:rPr>
                      <w:rFonts w:hint="default" w:ascii="Times New Roman" w:hAnsi="Times New Roman" w:eastAsia="宋体" w:cs="Times New Roman"/>
                      <w:color w:val="000000"/>
                      <w:kern w:val="0"/>
                      <w:sz w:val="21"/>
                      <w:szCs w:val="21"/>
                      <w:highlight w:val="none"/>
                      <w:lang w:val="zh-CN"/>
                    </w:rPr>
                    <w:t>无环境敏感目标，且不属于对食品加工等环境质量要求高的企业。</w:t>
                  </w:r>
                </w:p>
              </w:tc>
              <w:tc>
                <w:tcPr>
                  <w:tcW w:w="515" w:type="pct"/>
                  <w:tcBorders>
                    <w:tl2br w:val="nil"/>
                    <w:tr2bl w:val="nil"/>
                  </w:tcBorders>
                  <w:noWrap w:val="0"/>
                  <w:vAlign w:val="center"/>
                </w:tcPr>
                <w:p w14:paraId="122AC42B">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符合</w:t>
                  </w:r>
                </w:p>
              </w:tc>
            </w:tr>
            <w:tr w14:paraId="100D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tcBorders>
                    <w:tl2br w:val="nil"/>
                    <w:tr2bl w:val="nil"/>
                  </w:tcBorders>
                  <w:noWrap w:val="0"/>
                  <w:vAlign w:val="center"/>
                </w:tcPr>
                <w:p w14:paraId="433713B0">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4</w:t>
                  </w:r>
                </w:p>
              </w:tc>
              <w:tc>
                <w:tcPr>
                  <w:tcW w:w="2754" w:type="pct"/>
                  <w:tcBorders>
                    <w:tl2br w:val="nil"/>
                    <w:tr2bl w:val="nil"/>
                  </w:tcBorders>
                  <w:noWrap w:val="0"/>
                  <w:vAlign w:val="center"/>
                </w:tcPr>
                <w:p w14:paraId="2A926F9D">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（四）严守环境质量底线，强化污染物排放总量管控。根据国家、自治区和鄂尔多斯市关于大气特别是挥发性有机物污染防治相关要求和</w:t>
                  </w:r>
                  <w:r>
                    <w:rPr>
                      <w:rFonts w:hint="eastAsia"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rPr>
                    <w:t>三线一单</w:t>
                  </w:r>
                  <w:r>
                    <w:rPr>
                      <w:rFonts w:hint="eastAsia"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rPr>
                    <w:t>成果，深入挖掘区域内废气污染物减排潜力，落实与区域环境质量改善目标相互匹配的区域削减措施及污染物总量管控制度。积极推进重点行业按照大气污染物超低排放或特别排放限值进行升级改造，持续减少主要污染物、特征污染物有组织和无组织排放量，保障区域环境质量改善。</w:t>
                  </w:r>
                </w:p>
              </w:tc>
              <w:tc>
                <w:tcPr>
                  <w:tcW w:w="1423" w:type="pct"/>
                  <w:tcBorders>
                    <w:tl2br w:val="nil"/>
                    <w:tr2bl w:val="nil"/>
                  </w:tcBorders>
                  <w:noWrap w:val="0"/>
                  <w:vAlign w:val="center"/>
                </w:tcPr>
                <w:p w14:paraId="12C569B6">
                  <w:pPr>
                    <w:keepNext w:val="0"/>
                    <w:keepLines w:val="0"/>
                    <w:pageBreakBefore w:val="0"/>
                    <w:widowControl w:val="0"/>
                    <w:kinsoku/>
                    <w:wordWrap/>
                    <w:overflowPunct/>
                    <w:topLinePunct w:val="0"/>
                    <w:autoSpaceDE w:val="0"/>
                    <w:autoSpaceDN w:val="0"/>
                    <w:bidi w:val="0"/>
                    <w:adjustRightInd w:val="0"/>
                    <w:ind w:firstLine="0" w:firstLineChars="0"/>
                    <w:jc w:val="center"/>
                    <w:textAlignment w:val="auto"/>
                    <w:rPr>
                      <w:rFonts w:hint="default" w:ascii="Times New Roman" w:hAnsi="Times New Roman" w:eastAsia="宋体" w:cs="Times New Roman"/>
                      <w:color w:val="000000"/>
                      <w:kern w:val="0"/>
                      <w:sz w:val="21"/>
                      <w:szCs w:val="21"/>
                      <w:highlight w:val="none"/>
                      <w:lang w:val="en-US"/>
                    </w:rPr>
                  </w:pPr>
                  <w:r>
                    <w:rPr>
                      <w:rFonts w:hint="default" w:ascii="Times New Roman" w:hAnsi="Times New Roman" w:eastAsia="宋体" w:cs="Times New Roman"/>
                      <w:color w:val="000000"/>
                      <w:kern w:val="0"/>
                      <w:sz w:val="21"/>
                      <w:szCs w:val="21"/>
                      <w:highlight w:val="none"/>
                      <w:lang w:val="zh-CN"/>
                    </w:rPr>
                    <w:t>本项目为</w:t>
                  </w:r>
                  <w:r>
                    <w:rPr>
                      <w:rFonts w:hint="default" w:ascii="Times New Roman" w:hAnsi="Times New Roman" w:eastAsia="宋体" w:cs="Times New Roman"/>
                      <w:color w:val="000000"/>
                      <w:kern w:val="0"/>
                      <w:sz w:val="21"/>
                      <w:szCs w:val="21"/>
                      <w:highlight w:val="none"/>
                    </w:rPr>
                    <w:t>危险化学品运输项目</w:t>
                  </w:r>
                  <w:r>
                    <w:rPr>
                      <w:rFonts w:hint="default" w:ascii="Times New Roman" w:hAnsi="Times New Roman" w:eastAsia="宋体" w:cs="Times New Roman"/>
                      <w:color w:val="000000"/>
                      <w:kern w:val="0"/>
                      <w:sz w:val="21"/>
                      <w:szCs w:val="21"/>
                      <w:highlight w:val="none"/>
                      <w:lang w:val="zh-CN"/>
                    </w:rPr>
                    <w:t>，</w:t>
                  </w:r>
                  <w:r>
                    <w:rPr>
                      <w:rFonts w:hint="default" w:ascii="Times New Roman" w:hAnsi="Times New Roman" w:eastAsia="宋体" w:cs="Times New Roman"/>
                      <w:color w:val="000000"/>
                      <w:kern w:val="0"/>
                      <w:sz w:val="21"/>
                      <w:szCs w:val="21"/>
                      <w:highlight w:val="none"/>
                      <w:lang w:val="en-US" w:eastAsia="zh-CN"/>
                    </w:rPr>
                    <w:t>伊泰化工与鹏泰生物两家化工企业之间的工艺气体和公用工程</w:t>
                  </w:r>
                  <w:r>
                    <w:rPr>
                      <w:rFonts w:hint="eastAsia" w:cs="Times New Roman"/>
                      <w:color w:val="000000"/>
                      <w:kern w:val="0"/>
                      <w:sz w:val="21"/>
                      <w:szCs w:val="21"/>
                      <w:highlight w:val="none"/>
                      <w:lang w:val="en-US" w:eastAsia="zh-CN"/>
                    </w:rPr>
                    <w:t>设施</w:t>
                  </w:r>
                  <w:r>
                    <w:rPr>
                      <w:rFonts w:hint="default" w:ascii="Times New Roman" w:hAnsi="Times New Roman" w:eastAsia="宋体" w:cs="Times New Roman"/>
                      <w:color w:val="000000"/>
                      <w:kern w:val="0"/>
                      <w:sz w:val="21"/>
                      <w:szCs w:val="21"/>
                      <w:highlight w:val="none"/>
                      <w:lang w:val="en-US" w:eastAsia="zh-CN"/>
                    </w:rPr>
                    <w:t>互相利用，</w:t>
                  </w:r>
                  <w:r>
                    <w:rPr>
                      <w:rFonts w:hint="default" w:ascii="Times New Roman" w:hAnsi="Times New Roman" w:cs="Times New Roman"/>
                      <w:szCs w:val="21"/>
                      <w:highlight w:val="none"/>
                      <w:lang w:val="en-US" w:eastAsia="zh-CN"/>
                    </w:rPr>
                    <w:t>项目的建设减少尾气的外排</w:t>
                  </w:r>
                  <w:r>
                    <w:rPr>
                      <w:rFonts w:hint="eastAsia" w:cs="Times New Roman"/>
                      <w:szCs w:val="21"/>
                      <w:highlight w:val="none"/>
                      <w:lang w:val="en-US" w:eastAsia="zh-CN"/>
                    </w:rPr>
                    <w:t>，</w:t>
                  </w:r>
                  <w:r>
                    <w:rPr>
                      <w:rFonts w:hint="default" w:ascii="Times New Roman" w:hAnsi="Times New Roman" w:cs="Times New Roman"/>
                      <w:szCs w:val="21"/>
                      <w:highlight w:val="none"/>
                      <w:lang w:val="en-US" w:eastAsia="zh-CN"/>
                    </w:rPr>
                    <w:t>并提高公用工程设施的合理利用</w:t>
                  </w:r>
                  <w:r>
                    <w:rPr>
                      <w:rFonts w:hint="eastAsia" w:cs="Times New Roman"/>
                      <w:szCs w:val="21"/>
                      <w:highlight w:val="none"/>
                      <w:lang w:val="en-US" w:eastAsia="zh-CN"/>
                    </w:rPr>
                    <w:t>率</w:t>
                  </w:r>
                  <w:r>
                    <w:rPr>
                      <w:rFonts w:hint="default" w:ascii="Times New Roman" w:hAnsi="Times New Roman" w:eastAsia="宋体" w:cs="Times New Roman"/>
                      <w:color w:val="000000"/>
                      <w:kern w:val="0"/>
                      <w:sz w:val="21"/>
                      <w:szCs w:val="21"/>
                      <w:highlight w:val="none"/>
                      <w:lang w:val="en-US" w:eastAsia="zh-CN"/>
                    </w:rPr>
                    <w:t>。项目建成后正常</w:t>
                  </w:r>
                  <w:r>
                    <w:rPr>
                      <w:rFonts w:hint="eastAsia" w:cs="Times New Roman"/>
                      <w:color w:val="000000"/>
                      <w:kern w:val="0"/>
                      <w:sz w:val="21"/>
                      <w:szCs w:val="21"/>
                      <w:highlight w:val="none"/>
                      <w:lang w:val="en-US" w:eastAsia="zh-CN"/>
                    </w:rPr>
                    <w:t>情况下</w:t>
                  </w:r>
                  <w:r>
                    <w:rPr>
                      <w:rFonts w:hint="default" w:ascii="Times New Roman" w:hAnsi="Times New Roman" w:eastAsia="宋体" w:cs="Times New Roman"/>
                      <w:color w:val="000000"/>
                      <w:kern w:val="0"/>
                      <w:sz w:val="21"/>
                      <w:szCs w:val="21"/>
                      <w:highlight w:val="none"/>
                      <w:lang w:val="en-US" w:eastAsia="zh-CN"/>
                    </w:rPr>
                    <w:t>不产生废气。</w:t>
                  </w:r>
                </w:p>
              </w:tc>
              <w:tc>
                <w:tcPr>
                  <w:tcW w:w="515" w:type="pct"/>
                  <w:tcBorders>
                    <w:tl2br w:val="nil"/>
                    <w:tr2bl w:val="nil"/>
                  </w:tcBorders>
                  <w:noWrap w:val="0"/>
                  <w:vAlign w:val="center"/>
                </w:tcPr>
                <w:p w14:paraId="425448AB">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符合</w:t>
                  </w:r>
                </w:p>
              </w:tc>
            </w:tr>
            <w:tr w14:paraId="6344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tcBorders>
                    <w:tl2br w:val="nil"/>
                    <w:tr2bl w:val="nil"/>
                  </w:tcBorders>
                  <w:noWrap w:val="0"/>
                  <w:vAlign w:val="center"/>
                </w:tcPr>
                <w:p w14:paraId="616B4837">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5</w:t>
                  </w:r>
                </w:p>
              </w:tc>
              <w:tc>
                <w:tcPr>
                  <w:tcW w:w="2754" w:type="pct"/>
                  <w:tcBorders>
                    <w:tl2br w:val="nil"/>
                    <w:tr2bl w:val="nil"/>
                  </w:tcBorders>
                  <w:noWrap w:val="0"/>
                  <w:vAlign w:val="center"/>
                </w:tcPr>
                <w:p w14:paraId="732B892C">
                  <w:pPr>
                    <w:keepNext w:val="0"/>
                    <w:keepLines w:val="0"/>
                    <w:pageBreakBefore w:val="0"/>
                    <w:widowControl w:val="0"/>
                    <w:kinsoku/>
                    <w:wordWrap/>
                    <w:overflowPunct/>
                    <w:topLinePunct w:val="0"/>
                    <w:autoSpaceDE w:val="0"/>
                    <w:autoSpaceDN w:val="0"/>
                    <w:bidi w:val="0"/>
                    <w:adjustRightIn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五）加强环境基础设施建设，推进污染集中治理，强化企业生产废水预处理，合理规划园区污水集中处理设施及配套管网，采用成熟可靠的废水处理工艺，实现园区内生产废水全部纳管收集、妥善处理和达标回用。建设具有足够处理能力的园区高盐水处理工程。2023年底前完成晾晒池存水治理，2024年底前完成晾晒场改建为园区事故水池相关工作。充分利用集中供热或清洁能源实现供热、供汽，园区内原则上不再新增企业分散热源。强化企业的危险废物</w:t>
                  </w:r>
                  <w:r>
                    <w:rPr>
                      <w:rFonts w:hint="eastAsia" w:cs="Times New Roman"/>
                      <w:color w:val="000000"/>
                      <w:kern w:val="0"/>
                      <w:sz w:val="21"/>
                      <w:szCs w:val="21"/>
                      <w:highlight w:val="none"/>
                      <w:lang w:eastAsia="zh-CN"/>
                    </w:rPr>
                    <w:t>监管</w:t>
                  </w:r>
                  <w:r>
                    <w:rPr>
                      <w:rFonts w:hint="default" w:ascii="Times New Roman" w:hAnsi="Times New Roman" w:eastAsia="宋体" w:cs="Times New Roman"/>
                      <w:color w:val="000000"/>
                      <w:kern w:val="0"/>
                      <w:sz w:val="21"/>
                      <w:szCs w:val="21"/>
                      <w:highlight w:val="none"/>
                    </w:rPr>
                    <w:t>主体责任，对园区各类危险废物实施严格监管和严密监控。优化固体废物、危险废物处置方式，积极拓展资源化利用途径，提高综合利用率，规范建设固体废物贮存场及填埋场并严格管理。推进大宗货物及其他货物通过公路运输和铁路运输，园区内及周边中短途汽车运输优先采用新能源汽车。</w:t>
                  </w:r>
                </w:p>
              </w:tc>
              <w:tc>
                <w:tcPr>
                  <w:tcW w:w="1423" w:type="pct"/>
                  <w:tcBorders>
                    <w:tl2br w:val="nil"/>
                    <w:tr2bl w:val="nil"/>
                  </w:tcBorders>
                  <w:noWrap w:val="0"/>
                  <w:vAlign w:val="center"/>
                </w:tcPr>
                <w:p w14:paraId="39179656">
                  <w:pPr>
                    <w:keepNext w:val="0"/>
                    <w:keepLines w:val="0"/>
                    <w:pageBreakBefore w:val="0"/>
                    <w:widowControl w:val="0"/>
                    <w:kinsoku/>
                    <w:wordWrap/>
                    <w:overflowPunct/>
                    <w:topLinePunct w:val="0"/>
                    <w:autoSpaceDE w:val="0"/>
                    <w:autoSpaceDN w:val="0"/>
                    <w:bidi w:val="0"/>
                    <w:adjustRightInd w:val="0"/>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项目</w:t>
                  </w:r>
                  <w:r>
                    <w:rPr>
                      <w:rFonts w:hint="default" w:ascii="Times New Roman" w:hAnsi="Times New Roman" w:cs="Times New Roman"/>
                      <w:color w:val="000000"/>
                      <w:kern w:val="0"/>
                      <w:sz w:val="21"/>
                      <w:szCs w:val="21"/>
                      <w:highlight w:val="none"/>
                      <w:lang w:val="en-US" w:eastAsia="zh-CN"/>
                    </w:rPr>
                    <w:t>正常</w:t>
                  </w:r>
                  <w:r>
                    <w:rPr>
                      <w:rFonts w:hint="default" w:ascii="Times New Roman" w:hAnsi="Times New Roman" w:eastAsia="宋体" w:cs="Times New Roman"/>
                      <w:color w:val="000000"/>
                      <w:kern w:val="0"/>
                      <w:sz w:val="21"/>
                      <w:szCs w:val="21"/>
                      <w:highlight w:val="none"/>
                      <w:lang w:val="en-US" w:eastAsia="zh-CN"/>
                    </w:rPr>
                    <w:t>运行</w:t>
                  </w:r>
                  <w:r>
                    <w:rPr>
                      <w:rFonts w:hint="default" w:ascii="Times New Roman" w:hAnsi="Times New Roman" w:cs="Times New Roman"/>
                      <w:color w:val="000000"/>
                      <w:kern w:val="0"/>
                      <w:sz w:val="21"/>
                      <w:szCs w:val="21"/>
                      <w:highlight w:val="none"/>
                      <w:lang w:val="en-US" w:eastAsia="zh-CN"/>
                    </w:rPr>
                    <w:t>工况下</w:t>
                  </w:r>
                  <w:r>
                    <w:rPr>
                      <w:rFonts w:hint="default" w:ascii="Times New Roman" w:hAnsi="Times New Roman" w:eastAsia="宋体" w:cs="Times New Roman"/>
                      <w:color w:val="000000"/>
                      <w:kern w:val="0"/>
                      <w:sz w:val="21"/>
                      <w:szCs w:val="21"/>
                      <w:highlight w:val="none"/>
                      <w:lang w:val="en-US" w:eastAsia="zh-CN"/>
                    </w:rPr>
                    <w:t>不产生固废、废水</w:t>
                  </w:r>
                  <w:r>
                    <w:rPr>
                      <w:rFonts w:hint="default" w:ascii="Times New Roman" w:hAnsi="Times New Roman" w:cs="Times New Roman"/>
                      <w:color w:val="000000"/>
                      <w:kern w:val="0"/>
                      <w:sz w:val="21"/>
                      <w:szCs w:val="21"/>
                      <w:highlight w:val="none"/>
                      <w:lang w:val="en-US" w:eastAsia="zh-CN"/>
                    </w:rPr>
                    <w:t>、废气</w:t>
                  </w:r>
                  <w:r>
                    <w:rPr>
                      <w:rFonts w:hint="default" w:ascii="Times New Roman" w:hAnsi="Times New Roman" w:eastAsia="宋体" w:cs="Times New Roman"/>
                      <w:color w:val="000000"/>
                      <w:kern w:val="0"/>
                      <w:sz w:val="21"/>
                      <w:szCs w:val="21"/>
                      <w:highlight w:val="none"/>
                      <w:lang w:val="en-US" w:eastAsia="zh-CN"/>
                    </w:rPr>
                    <w:t>。</w:t>
                  </w:r>
                </w:p>
              </w:tc>
              <w:tc>
                <w:tcPr>
                  <w:tcW w:w="515" w:type="pct"/>
                  <w:tcBorders>
                    <w:tl2br w:val="nil"/>
                    <w:tr2bl w:val="nil"/>
                  </w:tcBorders>
                  <w:noWrap w:val="0"/>
                  <w:vAlign w:val="center"/>
                </w:tcPr>
                <w:p w14:paraId="21231BB8">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符合</w:t>
                  </w:r>
                </w:p>
              </w:tc>
            </w:tr>
            <w:tr w14:paraId="336A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tcBorders>
                    <w:tl2br w:val="nil"/>
                    <w:tr2bl w:val="nil"/>
                  </w:tcBorders>
                  <w:noWrap w:val="0"/>
                  <w:vAlign w:val="center"/>
                </w:tcPr>
                <w:p w14:paraId="653D10DE">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6</w:t>
                  </w:r>
                </w:p>
              </w:tc>
              <w:tc>
                <w:tcPr>
                  <w:tcW w:w="2754" w:type="pct"/>
                  <w:tcBorders>
                    <w:tl2br w:val="nil"/>
                    <w:tr2bl w:val="nil"/>
                  </w:tcBorders>
                  <w:noWrap w:val="0"/>
                  <w:vAlign w:val="center"/>
                </w:tcPr>
                <w:p w14:paraId="1B7586E0">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六）强化源头防控。有效加强突发环境事件应急处置能力建设，建立完善的风险防控和应急监测体系，强化应急演练和应急物资储备，不断提升应急响应能力，保障区域生态环境安全。入园企业按要求设置事故水池，并与园区事故水池联通形成综合调控系统，确保任何情况下园区事故废水不进入外环境。</w:t>
                  </w:r>
                </w:p>
              </w:tc>
              <w:tc>
                <w:tcPr>
                  <w:tcW w:w="1423" w:type="pct"/>
                  <w:tcBorders>
                    <w:tl2br w:val="nil"/>
                    <w:tr2bl w:val="nil"/>
                  </w:tcBorders>
                  <w:noWrap w:val="0"/>
                  <w:vAlign w:val="center"/>
                </w:tcPr>
                <w:p w14:paraId="6531338E">
                  <w:pPr>
                    <w:keepNext w:val="0"/>
                    <w:keepLines w:val="0"/>
                    <w:pageBreakBefore w:val="0"/>
                    <w:widowControl w:val="0"/>
                    <w:kinsoku/>
                    <w:wordWrap/>
                    <w:overflowPunct/>
                    <w:topLinePunct w:val="0"/>
                    <w:autoSpaceDE w:val="0"/>
                    <w:autoSpaceDN w:val="0"/>
                    <w:bidi w:val="0"/>
                    <w:adjustRightInd w:val="0"/>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rPr>
                    <w:t>本项目事故水池及消防水池均依托现有</w:t>
                  </w:r>
                  <w:r>
                    <w:rPr>
                      <w:rFonts w:hint="default" w:ascii="Times New Roman" w:hAnsi="Times New Roman" w:eastAsia="宋体" w:cs="Times New Roman"/>
                      <w:color w:val="000000"/>
                      <w:kern w:val="0"/>
                      <w:sz w:val="21"/>
                      <w:szCs w:val="21"/>
                      <w:highlight w:val="none"/>
                      <w:lang w:eastAsia="zh-CN"/>
                    </w:rPr>
                    <w:t>水池。</w:t>
                  </w:r>
                  <w:r>
                    <w:rPr>
                      <w:rFonts w:hint="default" w:ascii="Times New Roman" w:hAnsi="Times New Roman" w:eastAsia="宋体" w:cs="Times New Roman"/>
                      <w:color w:val="000000"/>
                      <w:kern w:val="0"/>
                      <w:sz w:val="21"/>
                      <w:szCs w:val="21"/>
                      <w:highlight w:val="none"/>
                      <w:lang w:val="en-US" w:eastAsia="zh-CN"/>
                    </w:rPr>
                    <w:t>项目建成后，</w:t>
                  </w:r>
                  <w:r>
                    <w:rPr>
                      <w:rFonts w:hint="default" w:ascii="Times New Roman" w:hAnsi="Times New Roman" w:eastAsia="宋体" w:cs="Times New Roman"/>
                      <w:color w:val="000000"/>
                      <w:kern w:val="0"/>
                      <w:sz w:val="21"/>
                      <w:szCs w:val="21"/>
                      <w:highlight w:val="none"/>
                    </w:rPr>
                    <w:t>按照要求</w:t>
                  </w:r>
                  <w:r>
                    <w:rPr>
                      <w:rFonts w:hint="default" w:ascii="Times New Roman" w:hAnsi="Times New Roman" w:eastAsia="宋体" w:cs="Times New Roman"/>
                      <w:color w:val="000000"/>
                      <w:kern w:val="0"/>
                      <w:sz w:val="21"/>
                      <w:szCs w:val="21"/>
                      <w:highlight w:val="none"/>
                      <w:lang w:eastAsia="zh-CN"/>
                    </w:rPr>
                    <w:t>编制</w:t>
                  </w:r>
                  <w:r>
                    <w:rPr>
                      <w:rFonts w:hint="default" w:ascii="Times New Roman" w:hAnsi="Times New Roman" w:eastAsia="宋体" w:cs="Times New Roman"/>
                      <w:color w:val="000000"/>
                      <w:kern w:val="0"/>
                      <w:sz w:val="21"/>
                      <w:szCs w:val="21"/>
                      <w:highlight w:val="none"/>
                      <w:lang w:val="en-US" w:eastAsia="zh-CN"/>
                    </w:rPr>
                    <w:t>厂区</w:t>
                  </w:r>
                  <w:r>
                    <w:rPr>
                      <w:rFonts w:hint="default" w:ascii="Times New Roman" w:hAnsi="Times New Roman" w:eastAsia="宋体" w:cs="Times New Roman"/>
                      <w:color w:val="000000"/>
                      <w:kern w:val="0"/>
                      <w:sz w:val="21"/>
                      <w:szCs w:val="21"/>
                      <w:highlight w:val="none"/>
                    </w:rPr>
                    <w:t>应急预案及演练工作</w:t>
                  </w:r>
                  <w:r>
                    <w:rPr>
                      <w:rFonts w:hint="default" w:ascii="Times New Roman" w:hAnsi="Times New Roman" w:eastAsia="宋体" w:cs="Times New Roman"/>
                      <w:color w:val="000000"/>
                      <w:kern w:val="0"/>
                      <w:sz w:val="21"/>
                      <w:szCs w:val="21"/>
                      <w:highlight w:val="none"/>
                      <w:lang w:eastAsia="zh-CN"/>
                    </w:rPr>
                    <w:t>。</w:t>
                  </w:r>
                </w:p>
              </w:tc>
              <w:tc>
                <w:tcPr>
                  <w:tcW w:w="515" w:type="pct"/>
                  <w:tcBorders>
                    <w:tl2br w:val="nil"/>
                    <w:tr2bl w:val="nil"/>
                  </w:tcBorders>
                  <w:noWrap w:val="0"/>
                  <w:vAlign w:val="center"/>
                </w:tcPr>
                <w:p w14:paraId="29493295">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val="en-US" w:eastAsia="zh-CN"/>
                    </w:rPr>
                    <w:t>符合</w:t>
                  </w:r>
                </w:p>
              </w:tc>
            </w:tr>
            <w:tr w14:paraId="4CA58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pct"/>
                  <w:tcBorders>
                    <w:tl2br w:val="nil"/>
                    <w:tr2bl w:val="nil"/>
                  </w:tcBorders>
                  <w:noWrap w:val="0"/>
                  <w:vAlign w:val="center"/>
                </w:tcPr>
                <w:p w14:paraId="2CE05054">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7</w:t>
                  </w:r>
                </w:p>
              </w:tc>
              <w:tc>
                <w:tcPr>
                  <w:tcW w:w="2754" w:type="pct"/>
                  <w:tcBorders>
                    <w:tl2br w:val="nil"/>
                    <w:tr2bl w:val="nil"/>
                  </w:tcBorders>
                  <w:noWrap w:val="0"/>
                  <w:vAlign w:val="center"/>
                </w:tcPr>
                <w:p w14:paraId="761AB316">
                  <w:pPr>
                    <w:keepNext w:val="0"/>
                    <w:keepLines w:val="0"/>
                    <w:pageBreakBefore w:val="0"/>
                    <w:widowControl w:val="0"/>
                    <w:kinsoku/>
                    <w:wordWrap/>
                    <w:overflowPunct/>
                    <w:topLinePunct w:val="0"/>
                    <w:autoSpaceDE w:val="0"/>
                    <w:autoSpaceDN w:val="0"/>
                    <w:bidi w:val="0"/>
                    <w:adjustRightInd w:val="0"/>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（七）加强环境监管及日常环境质量监测。园区应建立完善的环境监测计划，开展包括常规污染物、特征污染物在内的环境大气、地下水、地表水、土壤、生态等环境质量长期监测和污染物风险管控。重点企业</w:t>
                  </w:r>
                  <w:r>
                    <w:rPr>
                      <w:rFonts w:hint="default" w:ascii="Times New Roman" w:hAnsi="Times New Roman" w:eastAsia="宋体" w:cs="Times New Roman"/>
                      <w:color w:val="000000"/>
                      <w:kern w:val="0"/>
                      <w:sz w:val="21"/>
                      <w:szCs w:val="21"/>
                      <w:highlight w:val="none"/>
                    </w:rPr>
                    <w:cr/>
                  </w:r>
                  <w:r>
                    <w:rPr>
                      <w:rFonts w:hint="default" w:ascii="Times New Roman" w:hAnsi="Times New Roman" w:eastAsia="宋体" w:cs="Times New Roman"/>
                      <w:color w:val="000000"/>
                      <w:kern w:val="0"/>
                      <w:sz w:val="21"/>
                      <w:szCs w:val="21"/>
                      <w:highlight w:val="none"/>
                    </w:rPr>
                    <w:t>排污口要设置在线监测系统并与生态环境部门联网，加强土壤污染重点企业监管，强化腾退企业遗留场地的土壤环境调查和风险评估，合理确定土地利用方式。</w:t>
                  </w:r>
                </w:p>
              </w:tc>
              <w:tc>
                <w:tcPr>
                  <w:tcW w:w="1423" w:type="pct"/>
                  <w:tcBorders>
                    <w:tl2br w:val="nil"/>
                    <w:tr2bl w:val="nil"/>
                  </w:tcBorders>
                  <w:noWrap w:val="0"/>
                  <w:vAlign w:val="center"/>
                </w:tcPr>
                <w:p w14:paraId="5D79A41E">
                  <w:pPr>
                    <w:keepNext w:val="0"/>
                    <w:keepLines w:val="0"/>
                    <w:pageBreakBefore w:val="0"/>
                    <w:widowControl w:val="0"/>
                    <w:kinsoku/>
                    <w:wordWrap/>
                    <w:overflowPunct/>
                    <w:topLinePunct w:val="0"/>
                    <w:autoSpaceDE w:val="0"/>
                    <w:autoSpaceDN w:val="0"/>
                    <w:bidi w:val="0"/>
                    <w:adjustRightInd w:val="0"/>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本项目</w:t>
                  </w:r>
                  <w:r>
                    <w:rPr>
                      <w:rFonts w:hint="eastAsia" w:cs="Times New Roman"/>
                      <w:color w:val="000000"/>
                      <w:kern w:val="0"/>
                      <w:sz w:val="21"/>
                      <w:szCs w:val="21"/>
                      <w:highlight w:val="none"/>
                      <w:lang w:val="en-US" w:eastAsia="zh-CN"/>
                    </w:rPr>
                    <w:t>运行期</w:t>
                  </w:r>
                  <w:r>
                    <w:rPr>
                      <w:rFonts w:hint="default" w:ascii="Times New Roman" w:hAnsi="Times New Roman" w:eastAsia="宋体" w:cs="Times New Roman"/>
                      <w:color w:val="000000"/>
                      <w:kern w:val="0"/>
                      <w:sz w:val="21"/>
                      <w:szCs w:val="21"/>
                      <w:highlight w:val="none"/>
                      <w:lang w:val="en-US" w:eastAsia="zh-CN"/>
                    </w:rPr>
                    <w:t>无废水、废气产生。</w:t>
                  </w:r>
                  <w:r>
                    <w:rPr>
                      <w:rFonts w:hint="default" w:ascii="Times New Roman" w:hAnsi="Times New Roman" w:cs="Times New Roman"/>
                      <w:highlight w:val="none"/>
                      <w:lang w:val="en-US"/>
                    </w:rPr>
                    <w:t>本工程不涉及环境空气、地表水、地下水、土壤的常规监测</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噪声监测依托厂区现有</w:t>
                  </w:r>
                  <w:r>
                    <w:rPr>
                      <w:rFonts w:hint="eastAsia" w:cs="Times New Roman"/>
                      <w:highlight w:val="none"/>
                      <w:lang w:val="en-US" w:eastAsia="zh-CN"/>
                    </w:rPr>
                    <w:t>设备</w:t>
                  </w:r>
                  <w:r>
                    <w:rPr>
                      <w:rFonts w:hint="eastAsia" w:ascii="Times New Roman" w:hAnsi="Times New Roman" w:cs="Times New Roman"/>
                      <w:highlight w:val="none"/>
                      <w:lang w:val="en-US" w:eastAsia="zh-CN"/>
                    </w:rPr>
                    <w:t>。</w:t>
                  </w:r>
                </w:p>
              </w:tc>
              <w:tc>
                <w:tcPr>
                  <w:tcW w:w="515" w:type="pct"/>
                  <w:tcBorders>
                    <w:tl2br w:val="nil"/>
                    <w:tr2bl w:val="nil"/>
                  </w:tcBorders>
                  <w:noWrap w:val="0"/>
                  <w:vAlign w:val="center"/>
                </w:tcPr>
                <w:p w14:paraId="5076281C">
                  <w:pPr>
                    <w:keepNext w:val="0"/>
                    <w:keepLines w:val="0"/>
                    <w:pageBreakBefore w:val="0"/>
                    <w:widowControl w:val="0"/>
                    <w:kinsoku/>
                    <w:wordWrap/>
                    <w:overflowPunct/>
                    <w:topLinePunct w:val="0"/>
                    <w:bidi w:val="0"/>
                    <w:snapToGrid w:val="0"/>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符合</w:t>
                  </w:r>
                </w:p>
              </w:tc>
            </w:tr>
          </w:tbl>
          <w:p w14:paraId="62296C28">
            <w:pPr>
              <w:rPr>
                <w:rFonts w:hint="default" w:ascii="Times New Roman" w:hAnsi="Times New Roman" w:cs="Times New Roman"/>
                <w:highlight w:val="none"/>
              </w:rPr>
            </w:pPr>
          </w:p>
        </w:tc>
      </w:tr>
      <w:tr w14:paraId="02639F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1795" w:type="dxa"/>
            <w:noWrap w:val="0"/>
            <w:tcMar>
              <w:top w:w="16" w:type="dxa"/>
              <w:left w:w="16" w:type="dxa"/>
              <w:right w:w="16" w:type="dxa"/>
            </w:tcMar>
            <w:vAlign w:val="center"/>
          </w:tcPr>
          <w:p w14:paraId="77F61AA8">
            <w:pPr>
              <w:autoSpaceDE w:val="0"/>
              <w:autoSpaceDN w:val="0"/>
              <w:adjustRightInd w:val="0"/>
              <w:snapToGrid w:val="0"/>
              <w:jc w:val="center"/>
              <w:rPr>
                <w:rFonts w:hint="default" w:ascii="Times New Roman" w:hAnsi="Times New Roman" w:cs="Times New Roman"/>
                <w:color w:val="1900FF"/>
                <w:kern w:val="0"/>
                <w:szCs w:val="21"/>
                <w:highlight w:val="none"/>
              </w:rPr>
            </w:pPr>
            <w:bookmarkStart w:id="1" w:name="_Hlk56690880"/>
            <w:r>
              <w:rPr>
                <w:rFonts w:hint="default" w:ascii="Times New Roman" w:hAnsi="Times New Roman" w:cs="Times New Roman"/>
                <w:kern w:val="0"/>
                <w:sz w:val="24"/>
                <w:highlight w:val="none"/>
              </w:rPr>
              <w:t>其他符合性分析</w:t>
            </w:r>
            <w:bookmarkEnd w:id="1"/>
          </w:p>
        </w:tc>
        <w:tc>
          <w:tcPr>
            <w:tcW w:w="7244" w:type="dxa"/>
            <w:gridSpan w:val="4"/>
            <w:noWrap w:val="0"/>
            <w:tcMar>
              <w:top w:w="16" w:type="dxa"/>
              <w:left w:w="16" w:type="dxa"/>
              <w:right w:w="16" w:type="dxa"/>
            </w:tcMar>
            <w:vAlign w:val="center"/>
          </w:tcPr>
          <w:p w14:paraId="269E180F">
            <w:pPr>
              <w:pStyle w:val="2"/>
              <w:spacing w:before="0" w:after="0" w:line="360" w:lineRule="auto"/>
              <w:ind w:left="0" w:firstLine="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1.产业政策符合性分析</w:t>
            </w:r>
          </w:p>
          <w:p w14:paraId="331D0BDC">
            <w:pPr>
              <w:adjustRightInd w:val="0"/>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根据《产业结构调整指导目录（2024年本）》，本项目不属于鼓励类、限制类及淘汰类，</w:t>
            </w:r>
            <w:r>
              <w:rPr>
                <w:rFonts w:hint="eastAsia" w:cs="Times New Roman"/>
                <w:sz w:val="24"/>
                <w:highlight w:val="none"/>
                <w:lang w:eastAsia="zh-CN"/>
              </w:rPr>
              <w:t>属于</w:t>
            </w:r>
            <w:r>
              <w:rPr>
                <w:rFonts w:hint="default" w:ascii="Times New Roman" w:hAnsi="Times New Roman" w:cs="Times New Roman"/>
                <w:sz w:val="24"/>
                <w:highlight w:val="none"/>
              </w:rPr>
              <w:t>允许类。因此，本项目符合国家产业政策及相关要求。</w:t>
            </w:r>
          </w:p>
          <w:p w14:paraId="6A46DF3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鹏泰-伊泰化工物料输送管线及管廊建设项目</w:t>
            </w:r>
            <w:r>
              <w:rPr>
                <w:rFonts w:hint="default" w:ascii="Times New Roman" w:hAnsi="Times New Roman" w:cs="Times New Roman"/>
                <w:sz w:val="24"/>
                <w:highlight w:val="none"/>
              </w:rPr>
              <w:t>》已于2025年</w:t>
            </w:r>
            <w:r>
              <w:rPr>
                <w:rFonts w:hint="default" w:ascii="Times New Roman" w:hAnsi="Times New Roman" w:cs="Times New Roman"/>
                <w:sz w:val="24"/>
                <w:highlight w:val="none"/>
                <w:lang w:val="en-US" w:eastAsia="zh-CN"/>
              </w:rPr>
              <w:t>8</w:t>
            </w:r>
            <w:r>
              <w:rPr>
                <w:rFonts w:hint="default" w:ascii="Times New Roman" w:hAnsi="Times New Roman" w:cs="Times New Roman"/>
                <w:sz w:val="24"/>
                <w:highlight w:val="none"/>
              </w:rPr>
              <w:t>月</w:t>
            </w:r>
            <w:r>
              <w:rPr>
                <w:rFonts w:hint="default" w:ascii="Times New Roman" w:hAnsi="Times New Roman" w:cs="Times New Roman"/>
                <w:sz w:val="24"/>
                <w:highlight w:val="none"/>
                <w:lang w:val="en-US" w:eastAsia="zh-CN"/>
              </w:rPr>
              <w:t>21</w:t>
            </w:r>
            <w:r>
              <w:rPr>
                <w:rFonts w:hint="default" w:ascii="Times New Roman" w:hAnsi="Times New Roman" w:cs="Times New Roman"/>
                <w:sz w:val="24"/>
                <w:highlight w:val="none"/>
              </w:rPr>
              <w:t>日在</w:t>
            </w:r>
            <w:r>
              <w:rPr>
                <w:rFonts w:hint="default" w:ascii="Times New Roman" w:hAnsi="Times New Roman" w:cs="Times New Roman"/>
                <w:sz w:val="24"/>
                <w:highlight w:val="none"/>
                <w:lang w:val="en-US" w:eastAsia="zh-CN"/>
              </w:rPr>
              <w:t>杭锦旗工信和科技局</w:t>
            </w:r>
            <w:r>
              <w:rPr>
                <w:rFonts w:hint="default" w:ascii="Times New Roman" w:hAnsi="Times New Roman" w:cs="Times New Roman"/>
                <w:sz w:val="24"/>
                <w:highlight w:val="none"/>
              </w:rPr>
              <w:t>备案，项目代码2508-150625-07-02-100656（见附件），本项目的建设</w:t>
            </w:r>
            <w:r>
              <w:rPr>
                <w:rFonts w:hint="eastAsia" w:cs="Times New Roman"/>
                <w:sz w:val="24"/>
                <w:highlight w:val="none"/>
                <w:lang w:eastAsia="zh-CN"/>
              </w:rPr>
              <w:t>内容</w:t>
            </w:r>
            <w:r>
              <w:rPr>
                <w:rFonts w:hint="default" w:ascii="Times New Roman" w:hAnsi="Times New Roman" w:cs="Times New Roman"/>
                <w:sz w:val="24"/>
                <w:highlight w:val="none"/>
              </w:rPr>
              <w:t>包含在该备案文件中。</w:t>
            </w:r>
          </w:p>
          <w:p w14:paraId="57163BE4">
            <w:pPr>
              <w:pStyle w:val="2"/>
              <w:spacing w:before="0" w:after="0" w:line="360" w:lineRule="auto"/>
              <w:ind w:left="0" w:firstLine="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lang w:val="en-US" w:eastAsia="zh-CN"/>
              </w:rPr>
              <w:t>与生态环境分区管控符合性分析</w:t>
            </w:r>
          </w:p>
          <w:p w14:paraId="1EC2F486">
            <w:pPr>
              <w:keepNext w:val="0"/>
              <w:keepLines w:val="0"/>
              <w:adjustRightInd/>
              <w:snapToGrid/>
              <w:spacing w:line="360" w:lineRule="auto"/>
              <w:ind w:firstLine="480" w:firstLineChars="200"/>
              <w:outlineLvl w:val="9"/>
              <w:rPr>
                <w:rFonts w:hint="default" w:ascii="Times New Roman" w:hAnsi="Times New Roman" w:eastAsia="宋体" w:cs="Times New Roman"/>
                <w:sz w:val="24"/>
                <w:szCs w:val="24"/>
                <w:highlight w:val="none"/>
              </w:rPr>
            </w:pP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生态保护红线</w:t>
            </w:r>
          </w:p>
          <w:p w14:paraId="4E0E9DBD">
            <w:pPr>
              <w:tabs>
                <w:tab w:val="left" w:pos="3270"/>
                <w:tab w:val="left" w:pos="3315"/>
              </w:tabs>
              <w:spacing w:line="36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依据鄂尔多斯市人民政府2024年8月6日发布的《鄂尔多斯市生态环境分区管控动态更新成果》</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rPr>
              <w:t>2023年版</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rPr>
              <w:t>，本项目位于内蒙古鄂尔多斯杭锦经济开发区独贵塔拉产业园南项目区</w:t>
            </w:r>
            <w:r>
              <w:rPr>
                <w:rFonts w:hint="default" w:ascii="Times New Roman" w:hAnsi="Times New Roman" w:cs="Times New Roman"/>
                <w:color w:val="000000"/>
                <w:sz w:val="24"/>
                <w:szCs w:val="24"/>
                <w:highlight w:val="none"/>
                <w:lang w:val="en-US" w:eastAsia="zh-CN"/>
              </w:rPr>
              <w:t>内</w:t>
            </w:r>
            <w:r>
              <w:rPr>
                <w:rFonts w:hint="default" w:ascii="Times New Roman" w:hAnsi="Times New Roman" w:cs="Times New Roman"/>
                <w:color w:val="000000"/>
                <w:sz w:val="24"/>
                <w:szCs w:val="24"/>
                <w:highlight w:val="none"/>
              </w:rPr>
              <w:t>，项目选址不在国家公园、自然保护区、自然公园等自然保护地、世界自然遗产、饮用水源保护区等环境敏感区。</w:t>
            </w:r>
          </w:p>
          <w:p w14:paraId="63389534">
            <w:pPr>
              <w:adjustRightInd w:val="0"/>
              <w:snapToGrid w:val="0"/>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color w:val="000000"/>
                <w:sz w:val="24"/>
                <w:szCs w:val="24"/>
                <w:highlight w:val="none"/>
              </w:rPr>
              <w:t>本项目位于重点管控单元-鄂尔多斯独贵塔拉工业园区单元（编码</w:t>
            </w:r>
            <w:r>
              <w:rPr>
                <w:rFonts w:hint="eastAsia" w:cs="Times New Roman"/>
                <w:color w:val="000000"/>
                <w:sz w:val="24"/>
                <w:szCs w:val="24"/>
                <w:highlight w:val="none"/>
                <w:lang w:eastAsia="zh-CN"/>
              </w:rPr>
              <w:t>为</w:t>
            </w:r>
            <w:r>
              <w:rPr>
                <w:rFonts w:hint="default" w:ascii="Times New Roman" w:hAnsi="Times New Roman" w:cs="Times New Roman"/>
                <w:color w:val="000000"/>
                <w:sz w:val="24"/>
                <w:szCs w:val="24"/>
                <w:highlight w:val="none"/>
              </w:rPr>
              <w:t>ZH15062520001），不涉及生态保护红线</w:t>
            </w:r>
            <w:r>
              <w:rPr>
                <w:rFonts w:hint="default" w:ascii="Times New Roman" w:hAnsi="Times New Roman" w:cs="Times New Roman"/>
                <w:sz w:val="24"/>
                <w:szCs w:val="24"/>
                <w:highlight w:val="none"/>
              </w:rPr>
              <w:t>。本项目与鄂尔多斯市环境管控单元</w:t>
            </w:r>
            <w:r>
              <w:rPr>
                <w:rFonts w:hint="default" w:ascii="Times New Roman" w:hAnsi="Times New Roman" w:cs="Times New Roman"/>
                <w:sz w:val="24"/>
                <w:szCs w:val="24"/>
                <w:highlight w:val="none"/>
                <w:lang w:eastAsia="zh-CN"/>
              </w:rPr>
              <w:t>的</w:t>
            </w:r>
            <w:r>
              <w:rPr>
                <w:rFonts w:hint="default" w:ascii="Times New Roman" w:hAnsi="Times New Roman" w:cs="Times New Roman"/>
                <w:sz w:val="24"/>
                <w:szCs w:val="24"/>
                <w:highlight w:val="none"/>
              </w:rPr>
              <w:t>位置关系见下图。</w:t>
            </w:r>
          </w:p>
          <w:p w14:paraId="5284841D">
            <w:pPr>
              <w:tabs>
                <w:tab w:val="left" w:pos="3270"/>
                <w:tab w:val="left" w:pos="3315"/>
              </w:tabs>
              <w:spacing w:line="360" w:lineRule="auto"/>
              <w:jc w:val="center"/>
              <w:rPr>
                <w:rFonts w:hint="default" w:ascii="Times New Roman" w:hAnsi="Times New Roman" w:cs="Times New Roman"/>
                <w:color w:val="000000"/>
                <w:szCs w:val="21"/>
                <w:highlight w:val="none"/>
              </w:rPr>
            </w:pPr>
            <w:r>
              <w:rPr>
                <w:rFonts w:hint="default" w:ascii="Times New Roman" w:hAnsi="Times New Roman" w:cs="Times New Roman"/>
                <w:highlight w:val="none"/>
              </w:rPr>
              <w:drawing>
                <wp:inline distT="0" distB="0" distL="114300" distR="114300">
                  <wp:extent cx="4424045" cy="2489835"/>
                  <wp:effectExtent l="9525" t="9525" r="24130" b="15240"/>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pic:cNvPicPr>
                            <a:picLocks noChangeAspect="1"/>
                          </pic:cNvPicPr>
                        </pic:nvPicPr>
                        <pic:blipFill>
                          <a:blip r:embed="rId8"/>
                          <a:stretch>
                            <a:fillRect/>
                          </a:stretch>
                        </pic:blipFill>
                        <pic:spPr>
                          <a:xfrm>
                            <a:off x="0" y="0"/>
                            <a:ext cx="4424045" cy="248983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5F5739AE">
            <w:pPr>
              <w:tabs>
                <w:tab w:val="left" w:pos="3270"/>
                <w:tab w:val="left" w:pos="3315"/>
              </w:tabs>
              <w:spacing w:line="360" w:lineRule="auto"/>
              <w:jc w:val="center"/>
              <w:rPr>
                <w:rFonts w:hint="default" w:ascii="Times New Roman" w:hAnsi="Times New Roman" w:cs="Times New Roman"/>
                <w:color w:val="000000"/>
                <w:szCs w:val="21"/>
                <w:highlight w:val="none"/>
              </w:rPr>
            </w:pPr>
            <w:r>
              <w:rPr>
                <w:rFonts w:hint="default" w:ascii="Times New Roman" w:hAnsi="Times New Roman" w:cs="Times New Roman"/>
                <w:b/>
                <w:bCs/>
                <w:color w:val="000000"/>
                <w:szCs w:val="21"/>
                <w:highlight w:val="none"/>
              </w:rPr>
              <w:t>图1-</w:t>
            </w:r>
            <w:r>
              <w:rPr>
                <w:rFonts w:hint="eastAsia" w:cs="Times New Roman"/>
                <w:b/>
                <w:bCs/>
                <w:color w:val="000000"/>
                <w:szCs w:val="21"/>
                <w:highlight w:val="none"/>
                <w:lang w:val="en-US" w:eastAsia="zh-CN"/>
              </w:rPr>
              <w:t xml:space="preserve">2   </w:t>
            </w:r>
            <w:r>
              <w:rPr>
                <w:rFonts w:hint="default" w:ascii="Times New Roman" w:hAnsi="Times New Roman" w:cs="Times New Roman"/>
                <w:b/>
                <w:bCs/>
                <w:szCs w:val="21"/>
                <w:highlight w:val="none"/>
              </w:rPr>
              <w:t>本项目与鄂尔多斯市环境管控单元</w:t>
            </w:r>
            <w:r>
              <w:rPr>
                <w:rFonts w:hint="default" w:ascii="Times New Roman" w:hAnsi="Times New Roman" w:cs="Times New Roman"/>
                <w:b/>
                <w:bCs/>
                <w:szCs w:val="21"/>
                <w:highlight w:val="none"/>
                <w:lang w:eastAsia="zh-CN"/>
              </w:rPr>
              <w:t>的</w:t>
            </w:r>
            <w:r>
              <w:rPr>
                <w:rFonts w:hint="default" w:ascii="Times New Roman" w:hAnsi="Times New Roman" w:cs="Times New Roman"/>
                <w:b/>
                <w:bCs/>
                <w:szCs w:val="21"/>
                <w:highlight w:val="none"/>
              </w:rPr>
              <w:t>位置关系图</w:t>
            </w:r>
          </w:p>
          <w:p w14:paraId="00AD7D1B">
            <w:pPr>
              <w:tabs>
                <w:tab w:val="left" w:pos="3270"/>
                <w:tab w:val="left" w:pos="3315"/>
              </w:tabs>
              <w:spacing w:line="36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（2）环境质量底线</w:t>
            </w:r>
          </w:p>
          <w:p w14:paraId="455F9D45">
            <w:pPr>
              <w:adjustRightInd w:val="0"/>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eastAsia="宋体" w:cs="Times New Roman"/>
                <w:bCs/>
                <w:color w:val="000000"/>
                <w:sz w:val="24"/>
                <w:highlight w:val="none"/>
              </w:rPr>
              <w:t>环境质量底线：根据《内蒙古自治区生态环境状况公报》（2024）环境空气质量统计数据，项目所在区域为环境空气质量达标区域，满足《环境空气质量标准》（GB3095-2012）中二级标准；本项目</w:t>
            </w:r>
            <w:r>
              <w:rPr>
                <w:rFonts w:hint="default" w:ascii="Times New Roman" w:hAnsi="Times New Roman" w:eastAsia="宋体" w:cs="Times New Roman"/>
                <w:bCs/>
                <w:color w:val="000000"/>
                <w:sz w:val="24"/>
                <w:highlight w:val="none"/>
                <w:lang w:val="en-US" w:eastAsia="zh-CN"/>
              </w:rPr>
              <w:t>运行后不产生废水、</w:t>
            </w:r>
            <w:r>
              <w:rPr>
                <w:rFonts w:hint="default" w:ascii="Times New Roman" w:hAnsi="Times New Roman" w:eastAsia="宋体" w:cs="Times New Roman"/>
                <w:bCs/>
                <w:color w:val="000000"/>
                <w:sz w:val="24"/>
                <w:highlight w:val="none"/>
              </w:rPr>
              <w:t>废气、固废以及噪声等</w:t>
            </w:r>
            <w:r>
              <w:rPr>
                <w:rFonts w:hint="default" w:ascii="Times New Roman" w:hAnsi="Times New Roman" w:eastAsia="宋体" w:cs="Times New Roman"/>
                <w:bCs/>
                <w:color w:val="000000"/>
                <w:sz w:val="24"/>
                <w:highlight w:val="none"/>
                <w:lang w:eastAsia="zh-CN"/>
              </w:rPr>
              <w:t>。</w:t>
            </w:r>
            <w:r>
              <w:rPr>
                <w:rFonts w:hint="default" w:ascii="Times New Roman" w:hAnsi="Times New Roman" w:eastAsia="宋体" w:cs="Times New Roman"/>
                <w:bCs/>
                <w:color w:val="000000"/>
                <w:sz w:val="24"/>
                <w:highlight w:val="none"/>
              </w:rPr>
              <w:t>项目能够</w:t>
            </w:r>
            <w:r>
              <w:rPr>
                <w:rFonts w:hint="default" w:ascii="Times New Roman" w:hAnsi="Times New Roman" w:eastAsia="宋体" w:cs="Times New Roman"/>
                <w:bCs/>
                <w:color w:val="000000"/>
                <w:sz w:val="24"/>
                <w:highlight w:val="none"/>
                <w:lang w:eastAsia="zh-CN"/>
              </w:rPr>
              <w:t>达</w:t>
            </w:r>
            <w:r>
              <w:rPr>
                <w:rFonts w:hint="default" w:ascii="Times New Roman" w:hAnsi="Times New Roman" w:eastAsia="宋体" w:cs="Times New Roman"/>
                <w:bCs/>
                <w:color w:val="000000"/>
                <w:sz w:val="24"/>
                <w:highlight w:val="none"/>
              </w:rPr>
              <w:t>到相关排放标准及要求</w:t>
            </w:r>
            <w:r>
              <w:rPr>
                <w:rFonts w:hint="default" w:ascii="Times New Roman" w:hAnsi="Times New Roman" w:eastAsia="宋体" w:cs="Times New Roman"/>
                <w:bCs/>
                <w:color w:val="000000"/>
                <w:sz w:val="24"/>
                <w:highlight w:val="none"/>
                <w:lang w:eastAsia="zh-CN"/>
              </w:rPr>
              <w:t>。</w:t>
            </w:r>
            <w:r>
              <w:rPr>
                <w:rFonts w:hint="default" w:ascii="Times New Roman" w:hAnsi="Times New Roman" w:eastAsia="宋体" w:cs="Times New Roman"/>
                <w:bCs/>
                <w:color w:val="000000"/>
                <w:sz w:val="24"/>
                <w:highlight w:val="none"/>
              </w:rPr>
              <w:t>因此，本项目符合环境质量底线要求。</w:t>
            </w:r>
          </w:p>
          <w:p w14:paraId="4E6475A7">
            <w:pPr>
              <w:tabs>
                <w:tab w:val="left" w:pos="3270"/>
                <w:tab w:val="left" w:pos="3315"/>
              </w:tabs>
              <w:spacing w:line="36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（3）资源利用上线</w:t>
            </w:r>
          </w:p>
          <w:p w14:paraId="4CECF318">
            <w:pPr>
              <w:tabs>
                <w:tab w:val="left" w:pos="3270"/>
                <w:tab w:val="left" w:pos="3315"/>
              </w:tabs>
              <w:spacing w:line="36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sz w:val="24"/>
                <w:szCs w:val="24"/>
                <w:highlight w:val="none"/>
              </w:rPr>
              <w:t>项目厂址位于内蒙古鄂尔多斯杭锦经济开发区独贵塔拉产业园南项目区内，</w:t>
            </w:r>
            <w:r>
              <w:rPr>
                <w:rFonts w:hint="default" w:ascii="Times New Roman" w:hAnsi="Times New Roman" w:cs="Times New Roman"/>
                <w:color w:val="000000"/>
                <w:sz w:val="24"/>
                <w:szCs w:val="24"/>
                <w:highlight w:val="none"/>
              </w:rPr>
              <w:t>无新增占地</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项目</w:t>
            </w:r>
            <w:r>
              <w:rPr>
                <w:rFonts w:hint="eastAsia" w:cs="Times New Roman"/>
                <w:color w:val="000000"/>
                <w:sz w:val="24"/>
                <w:szCs w:val="24"/>
                <w:highlight w:val="none"/>
                <w:lang w:val="en-US" w:eastAsia="zh-CN"/>
              </w:rPr>
              <w:t>运营期</w:t>
            </w:r>
            <w:r>
              <w:rPr>
                <w:rFonts w:hint="default" w:ascii="Times New Roman" w:hAnsi="Times New Roman" w:cs="Times New Roman"/>
                <w:sz w:val="24"/>
                <w:szCs w:val="24"/>
                <w:highlight w:val="none"/>
                <w:lang w:val="en-US" w:eastAsia="zh-CN"/>
              </w:rPr>
              <w:t>不消耗水资源、电</w:t>
            </w:r>
            <w:r>
              <w:rPr>
                <w:rFonts w:hint="eastAsia" w:cs="Times New Roman"/>
                <w:sz w:val="24"/>
                <w:szCs w:val="24"/>
                <w:highlight w:val="none"/>
                <w:lang w:val="en-US" w:eastAsia="zh-CN"/>
              </w:rPr>
              <w:t>能只有甲烷压缩机和监控系统，使用量较小</w:t>
            </w:r>
            <w:r>
              <w:rPr>
                <w:rFonts w:hint="default" w:ascii="Times New Roman" w:hAnsi="Times New Roman" w:cs="Times New Roman"/>
                <w:sz w:val="24"/>
                <w:szCs w:val="24"/>
                <w:highlight w:val="none"/>
                <w:lang w:val="en-US" w:eastAsia="zh-CN"/>
              </w:rPr>
              <w:t>，</w:t>
            </w:r>
            <w:r>
              <w:rPr>
                <w:rFonts w:hint="default" w:ascii="Times New Roman" w:hAnsi="Times New Roman" w:cs="Times New Roman"/>
                <w:color w:val="000000"/>
                <w:sz w:val="24"/>
                <w:szCs w:val="24"/>
                <w:highlight w:val="none"/>
              </w:rPr>
              <w:t>不会突破区域资源利用上线要求。</w:t>
            </w:r>
          </w:p>
          <w:p w14:paraId="14457643">
            <w:pPr>
              <w:tabs>
                <w:tab w:val="left" w:pos="3270"/>
                <w:tab w:val="left" w:pos="3315"/>
              </w:tabs>
              <w:spacing w:line="36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（4）环境准入清单</w:t>
            </w:r>
          </w:p>
          <w:p w14:paraId="08958BC0">
            <w:pPr>
              <w:tabs>
                <w:tab w:val="left" w:pos="3270"/>
                <w:tab w:val="left" w:pos="3315"/>
              </w:tabs>
              <w:spacing w:line="36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本项目位于鄂尔多斯市</w:t>
            </w:r>
            <w:r>
              <w:rPr>
                <w:rFonts w:hint="default" w:ascii="Times New Roman" w:hAnsi="Times New Roman" w:cs="Times New Roman"/>
                <w:sz w:val="24"/>
                <w:szCs w:val="24"/>
                <w:highlight w:val="none"/>
              </w:rPr>
              <w:t>杭锦旗</w:t>
            </w:r>
            <w:r>
              <w:rPr>
                <w:rFonts w:hint="default" w:ascii="Times New Roman" w:hAnsi="Times New Roman" w:cs="Times New Roman"/>
                <w:color w:val="000000"/>
                <w:sz w:val="24"/>
                <w:szCs w:val="24"/>
                <w:highlight w:val="none"/>
              </w:rPr>
              <w:t>境内，属于</w:t>
            </w:r>
            <w:r>
              <w:rPr>
                <w:rFonts w:hint="default" w:ascii="Times New Roman" w:hAnsi="Times New Roman" w:cs="Times New Roman"/>
                <w:sz w:val="24"/>
                <w:szCs w:val="24"/>
                <w:highlight w:val="none"/>
              </w:rPr>
              <w:t>重点管控单元</w:t>
            </w:r>
            <w:r>
              <w:rPr>
                <w:rFonts w:hint="default" w:ascii="Times New Roman" w:hAnsi="Times New Roman" w:cs="Times New Roman"/>
                <w:color w:val="000000"/>
                <w:sz w:val="24"/>
                <w:szCs w:val="24"/>
                <w:highlight w:val="none"/>
              </w:rPr>
              <w:t>-鄂尔多斯独贵塔拉工业园区单元（编码</w:t>
            </w:r>
            <w:r>
              <w:rPr>
                <w:rFonts w:hint="eastAsia" w:cs="Times New Roman"/>
                <w:color w:val="000000"/>
                <w:sz w:val="24"/>
                <w:szCs w:val="24"/>
                <w:highlight w:val="none"/>
                <w:lang w:eastAsia="zh-CN"/>
              </w:rPr>
              <w:t>为</w:t>
            </w:r>
            <w:r>
              <w:rPr>
                <w:rFonts w:hint="default" w:ascii="Times New Roman" w:hAnsi="Times New Roman" w:cs="Times New Roman"/>
                <w:color w:val="000000"/>
                <w:sz w:val="24"/>
                <w:szCs w:val="24"/>
                <w:highlight w:val="none"/>
              </w:rPr>
              <w:t>ZH15062520001），该</w:t>
            </w:r>
            <w:r>
              <w:rPr>
                <w:rFonts w:hint="default" w:ascii="Times New Roman" w:hAnsi="Times New Roman" w:cs="Times New Roman"/>
                <w:sz w:val="24"/>
                <w:szCs w:val="24"/>
                <w:highlight w:val="none"/>
              </w:rPr>
              <w:t>重点管控单元</w:t>
            </w:r>
            <w:r>
              <w:rPr>
                <w:rFonts w:hint="default" w:ascii="Times New Roman" w:hAnsi="Times New Roman" w:cs="Times New Roman"/>
                <w:color w:val="000000"/>
                <w:sz w:val="24"/>
                <w:szCs w:val="24"/>
                <w:highlight w:val="none"/>
              </w:rPr>
              <w:t>对空间布局约束、资源利用效率要求等均提出管控要求。</w:t>
            </w:r>
          </w:p>
          <w:p w14:paraId="4FC40693">
            <w:pPr>
              <w:tabs>
                <w:tab w:val="left" w:pos="3270"/>
                <w:tab w:val="left" w:pos="3315"/>
              </w:tabs>
              <w:adjustRightInd w:val="0"/>
              <w:snapToGrid w:val="0"/>
              <w:jc w:val="center"/>
              <w:rPr>
                <w:rFonts w:hint="default" w:ascii="Times New Roman" w:hAnsi="Times New Roman" w:cs="Times New Roman"/>
                <w:color w:val="000000"/>
                <w:szCs w:val="21"/>
                <w:highlight w:val="none"/>
              </w:rPr>
            </w:pPr>
            <w:r>
              <w:rPr>
                <w:rFonts w:hint="default" w:ascii="Times New Roman" w:hAnsi="Times New Roman" w:cs="Times New Roman"/>
                <w:b/>
                <w:bCs/>
                <w:color w:val="000000"/>
                <w:szCs w:val="21"/>
                <w:highlight w:val="none"/>
              </w:rPr>
              <w:t>表1-</w:t>
            </w:r>
            <w:r>
              <w:rPr>
                <w:rFonts w:hint="eastAsia" w:cs="Times New Roman"/>
                <w:b/>
                <w:bCs/>
                <w:color w:val="000000"/>
                <w:szCs w:val="21"/>
                <w:highlight w:val="none"/>
                <w:lang w:val="en-US" w:eastAsia="zh-CN"/>
              </w:rPr>
              <w:t xml:space="preserve">6   </w:t>
            </w:r>
            <w:r>
              <w:rPr>
                <w:rFonts w:hint="default" w:ascii="Times New Roman" w:hAnsi="Times New Roman" w:cs="Times New Roman"/>
                <w:b/>
                <w:bCs/>
                <w:color w:val="000000"/>
                <w:szCs w:val="21"/>
                <w:highlight w:val="none"/>
              </w:rPr>
              <w:t>本项目与生态环境准入清单符合性分析表</w:t>
            </w:r>
          </w:p>
          <w:tbl>
            <w:tblPr>
              <w:tblStyle w:val="19"/>
              <w:tblW w:w="48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3512"/>
              <w:gridCol w:w="2359"/>
              <w:gridCol w:w="702"/>
            </w:tblGrid>
            <w:tr w14:paraId="3AF9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2822" w:type="pct"/>
                  <w:gridSpan w:val="2"/>
                  <w:noWrap w:val="0"/>
                  <w:vAlign w:val="center"/>
                </w:tcPr>
                <w:p w14:paraId="0E8450DA">
                  <w:pPr>
                    <w:keepNext w:val="0"/>
                    <w:keepLines w:val="0"/>
                    <w:pageBreakBefore w:val="0"/>
                    <w:widowControl w:val="0"/>
                    <w:tabs>
                      <w:tab w:val="left" w:pos="3270"/>
                      <w:tab w:val="left" w:pos="3315"/>
                    </w:tabs>
                    <w:kinsoku/>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b w:val="0"/>
                      <w:bCs w:val="0"/>
                      <w:color w:val="000000"/>
                      <w:szCs w:val="21"/>
                      <w:highlight w:val="none"/>
                    </w:rPr>
                  </w:pPr>
                  <w:r>
                    <w:rPr>
                      <w:rFonts w:hint="default" w:ascii="Times New Roman" w:hAnsi="Times New Roman" w:cs="Times New Roman"/>
                      <w:b w:val="0"/>
                      <w:bCs w:val="0"/>
                      <w:color w:val="000000"/>
                      <w:szCs w:val="21"/>
                      <w:highlight w:val="none"/>
                    </w:rPr>
                    <w:t>管控要求</w:t>
                  </w:r>
                </w:p>
              </w:tc>
              <w:tc>
                <w:tcPr>
                  <w:tcW w:w="1678" w:type="pct"/>
                  <w:noWrap w:val="0"/>
                  <w:vAlign w:val="center"/>
                </w:tcPr>
                <w:p w14:paraId="0359C90F">
                  <w:pPr>
                    <w:keepNext w:val="0"/>
                    <w:keepLines w:val="0"/>
                    <w:pageBreakBefore w:val="0"/>
                    <w:widowControl w:val="0"/>
                    <w:tabs>
                      <w:tab w:val="left" w:pos="3270"/>
                      <w:tab w:val="left" w:pos="3315"/>
                    </w:tabs>
                    <w:kinsoku/>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b w:val="0"/>
                      <w:bCs w:val="0"/>
                      <w:color w:val="000000"/>
                      <w:szCs w:val="21"/>
                      <w:highlight w:val="none"/>
                    </w:rPr>
                  </w:pPr>
                  <w:r>
                    <w:rPr>
                      <w:rFonts w:hint="default" w:ascii="Times New Roman" w:hAnsi="Times New Roman" w:cs="Times New Roman"/>
                      <w:b w:val="0"/>
                      <w:bCs w:val="0"/>
                      <w:color w:val="000000"/>
                      <w:szCs w:val="21"/>
                      <w:highlight w:val="none"/>
                    </w:rPr>
                    <w:t>本项目情况</w:t>
                  </w:r>
                </w:p>
              </w:tc>
              <w:tc>
                <w:tcPr>
                  <w:tcW w:w="499" w:type="pct"/>
                  <w:noWrap w:val="0"/>
                  <w:vAlign w:val="center"/>
                </w:tcPr>
                <w:p w14:paraId="395EC179">
                  <w:pPr>
                    <w:keepNext w:val="0"/>
                    <w:keepLines w:val="0"/>
                    <w:pageBreakBefore w:val="0"/>
                    <w:widowControl w:val="0"/>
                    <w:tabs>
                      <w:tab w:val="left" w:pos="3270"/>
                      <w:tab w:val="left" w:pos="3315"/>
                    </w:tabs>
                    <w:kinsoku/>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b w:val="0"/>
                      <w:bCs w:val="0"/>
                      <w:color w:val="000000"/>
                      <w:szCs w:val="21"/>
                      <w:highlight w:val="none"/>
                    </w:rPr>
                  </w:pPr>
                  <w:r>
                    <w:rPr>
                      <w:rFonts w:hint="default" w:ascii="Times New Roman" w:hAnsi="Times New Roman" w:cs="Times New Roman"/>
                      <w:b w:val="0"/>
                      <w:bCs w:val="0"/>
                      <w:color w:val="000000"/>
                      <w:szCs w:val="21"/>
                      <w:highlight w:val="none"/>
                    </w:rPr>
                    <w:t>符合性分析</w:t>
                  </w:r>
                </w:p>
              </w:tc>
            </w:tr>
            <w:tr w14:paraId="6BE9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8" w:hRule="atLeast"/>
                <w:jc w:val="center"/>
              </w:trPr>
              <w:tc>
                <w:tcPr>
                  <w:tcW w:w="324" w:type="pct"/>
                  <w:noWrap w:val="0"/>
                  <w:vAlign w:val="center"/>
                </w:tcPr>
                <w:p w14:paraId="4BE02613">
                  <w:pPr>
                    <w:keepNext w:val="0"/>
                    <w:keepLines w:val="0"/>
                    <w:pageBreakBefore w:val="0"/>
                    <w:widowControl w:val="0"/>
                    <w:kinsoku/>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000000"/>
                      <w:szCs w:val="21"/>
                      <w:highlight w:val="none"/>
                    </w:rPr>
                  </w:pPr>
                  <w:r>
                    <w:rPr>
                      <w:rFonts w:hint="default" w:ascii="Times New Roman" w:hAnsi="Times New Roman" w:cs="Times New Roman"/>
                      <w:highlight w:val="none"/>
                    </w:rPr>
                    <w:t>空间布局约束</w:t>
                  </w:r>
                </w:p>
              </w:tc>
              <w:tc>
                <w:tcPr>
                  <w:tcW w:w="2497" w:type="pct"/>
                  <w:noWrap w:val="0"/>
                  <w:vAlign w:val="center"/>
                </w:tcPr>
                <w:p w14:paraId="4E63FA96">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highlight w:val="none"/>
                    </w:rPr>
                    <w:t>1.禁止不符合园区产业定位及规划环评等要求的项目入园；国家明令淘汰的落后产能和不符合国家产业政策的项目，禁止向工业园区转移。</w:t>
                  </w:r>
                </w:p>
                <w:p w14:paraId="4D67DECC">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000000"/>
                      <w:szCs w:val="21"/>
                      <w:highlight w:val="none"/>
                    </w:rPr>
                  </w:pPr>
                  <w:r>
                    <w:rPr>
                      <w:rFonts w:hint="default" w:ascii="Times New Roman" w:hAnsi="Times New Roman" w:cs="Times New Roman"/>
                      <w:highlight w:val="none"/>
                    </w:rPr>
                    <w:t>2.与滞洪区、自然保护区和居民点等环境</w:t>
                  </w:r>
                  <w:r>
                    <w:rPr>
                      <w:rFonts w:hint="default" w:ascii="Times New Roman" w:hAnsi="Times New Roman" w:cs="Times New Roman"/>
                      <w:highlight w:val="none"/>
                      <w:lang w:eastAsia="zh-CN"/>
                    </w:rPr>
                    <w:t>敏感</w:t>
                  </w:r>
                  <w:r>
                    <w:rPr>
                      <w:rFonts w:hint="default" w:ascii="Times New Roman" w:hAnsi="Times New Roman" w:cs="Times New Roman"/>
                      <w:highlight w:val="none"/>
                    </w:rPr>
                    <w:t>区之间设置合理的防护隔离带。</w:t>
                  </w:r>
                </w:p>
              </w:tc>
              <w:tc>
                <w:tcPr>
                  <w:tcW w:w="1678" w:type="pct"/>
                  <w:noWrap w:val="0"/>
                  <w:vAlign w:val="center"/>
                </w:tcPr>
                <w:p w14:paraId="37D7749D">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000000"/>
                      <w:szCs w:val="21"/>
                      <w:highlight w:val="none"/>
                    </w:rPr>
                  </w:pPr>
                  <w:r>
                    <w:rPr>
                      <w:rFonts w:hint="default" w:ascii="Times New Roman" w:hAnsi="Times New Roman" w:cs="Times New Roman"/>
                      <w:kern w:val="0"/>
                      <w:szCs w:val="21"/>
                      <w:highlight w:val="none"/>
                    </w:rPr>
                    <w:t>1.</w:t>
                  </w:r>
                  <w:r>
                    <w:rPr>
                      <w:rFonts w:hint="default" w:ascii="Times New Roman" w:hAnsi="Times New Roman" w:cs="Times New Roman"/>
                      <w:szCs w:val="21"/>
                      <w:highlight w:val="none"/>
                    </w:rPr>
                    <w:t>本项目为</w:t>
                  </w:r>
                  <w:r>
                    <w:rPr>
                      <w:rFonts w:hint="default" w:ascii="Times New Roman" w:hAnsi="Times New Roman" w:eastAsia="宋体" w:cs="Times New Roman"/>
                      <w:szCs w:val="21"/>
                      <w:highlight w:val="none"/>
                    </w:rPr>
                    <w:t>现有煤化工产业延链</w:t>
                  </w:r>
                  <w:r>
                    <w:rPr>
                      <w:rFonts w:hint="default" w:ascii="Times New Roman" w:hAnsi="Times New Roman" w:eastAsia="宋体" w:cs="Times New Roman"/>
                      <w:szCs w:val="21"/>
                      <w:highlight w:val="none"/>
                      <w:lang w:val="en-US" w:eastAsia="zh-CN"/>
                    </w:rPr>
                    <w:t>项目配套工程</w:t>
                  </w:r>
                  <w:r>
                    <w:rPr>
                      <w:rFonts w:hint="default" w:ascii="Times New Roman" w:hAnsi="Times New Roman" w:cs="Times New Roman"/>
                      <w:kern w:val="0"/>
                      <w:szCs w:val="21"/>
                      <w:highlight w:val="none"/>
                    </w:rPr>
                    <w:t>，结合前面章节分析，本项目符合园区产业定位及规划环评要求，对照</w:t>
                  </w:r>
                  <w:r>
                    <w:rPr>
                      <w:rFonts w:hint="default" w:ascii="Times New Roman" w:hAnsi="Times New Roman" w:cs="Times New Roman"/>
                      <w:szCs w:val="21"/>
                      <w:highlight w:val="none"/>
                    </w:rPr>
                    <w:t>《产业结构调整指导目录（2024年本）》</w:t>
                  </w:r>
                  <w:r>
                    <w:rPr>
                      <w:rFonts w:hint="default" w:ascii="Times New Roman" w:hAnsi="Times New Roman" w:cs="Times New Roman"/>
                      <w:color w:val="auto"/>
                      <w:sz w:val="21"/>
                      <w:highlight w:val="none"/>
                      <w:lang w:eastAsia="zh-CN"/>
                    </w:rPr>
                    <w:t>本项目不属于其中的鼓励类、限制类和淘汰类，</w:t>
                  </w:r>
                  <w:r>
                    <w:rPr>
                      <w:rFonts w:hint="default" w:ascii="Times New Roman" w:hAnsi="Times New Roman" w:cs="Times New Roman"/>
                      <w:color w:val="auto"/>
                      <w:sz w:val="21"/>
                      <w:highlight w:val="none"/>
                      <w:lang w:val="en-US" w:eastAsia="zh-CN"/>
                    </w:rPr>
                    <w:t>属于</w:t>
                  </w:r>
                  <w:r>
                    <w:rPr>
                      <w:rFonts w:hint="default" w:ascii="Times New Roman" w:hAnsi="Times New Roman" w:cs="Times New Roman"/>
                      <w:color w:val="auto"/>
                      <w:sz w:val="21"/>
                      <w:highlight w:val="none"/>
                      <w:lang w:eastAsia="zh-CN"/>
                    </w:rPr>
                    <w:t>允许类</w:t>
                  </w:r>
                  <w:r>
                    <w:rPr>
                      <w:rFonts w:hint="default" w:ascii="Times New Roman" w:hAnsi="Times New Roman" w:cs="Times New Roman"/>
                      <w:kern w:val="0"/>
                      <w:szCs w:val="21"/>
                      <w:highlight w:val="none"/>
                    </w:rPr>
                    <w:t>，符合国家相关产业政策。2.本项目周边无滞洪区、自然保护区和居民点。</w:t>
                  </w:r>
                </w:p>
              </w:tc>
              <w:tc>
                <w:tcPr>
                  <w:tcW w:w="499" w:type="pct"/>
                  <w:noWrap w:val="0"/>
                  <w:vAlign w:val="center"/>
                </w:tcPr>
                <w:p w14:paraId="2B82021A">
                  <w:pPr>
                    <w:keepNext w:val="0"/>
                    <w:keepLines w:val="0"/>
                    <w:pageBreakBefore w:val="0"/>
                    <w:widowControl w:val="0"/>
                    <w:kinsoku/>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符合</w:t>
                  </w:r>
                </w:p>
              </w:tc>
            </w:tr>
            <w:tr w14:paraId="1B68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8" w:hRule="atLeast"/>
                <w:jc w:val="center"/>
              </w:trPr>
              <w:tc>
                <w:tcPr>
                  <w:tcW w:w="324" w:type="pct"/>
                  <w:noWrap w:val="0"/>
                  <w:vAlign w:val="center"/>
                </w:tcPr>
                <w:p w14:paraId="55DC67B2">
                  <w:pPr>
                    <w:keepNext w:val="0"/>
                    <w:keepLines w:val="0"/>
                    <w:pageBreakBefore w:val="0"/>
                    <w:widowControl w:val="0"/>
                    <w:kinsoku/>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000000"/>
                      <w:szCs w:val="21"/>
                      <w:highlight w:val="none"/>
                    </w:rPr>
                  </w:pPr>
                  <w:r>
                    <w:rPr>
                      <w:rFonts w:hint="default" w:ascii="Times New Roman" w:hAnsi="Times New Roman" w:cs="Times New Roman"/>
                      <w:highlight w:val="none"/>
                    </w:rPr>
                    <w:t>污染物排放管控</w:t>
                  </w:r>
                </w:p>
              </w:tc>
              <w:tc>
                <w:tcPr>
                  <w:tcW w:w="2497" w:type="pct"/>
                  <w:noWrap w:val="0"/>
                  <w:vAlign w:val="center"/>
                </w:tcPr>
                <w:p w14:paraId="1DD2F405">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highlight w:val="none"/>
                    </w:rPr>
                    <w:t>1.按</w:t>
                  </w:r>
                  <w:r>
                    <w:rPr>
                      <w:rFonts w:hint="eastAsia" w:cs="Times New Roman"/>
                      <w:highlight w:val="none"/>
                      <w:lang w:eastAsia="zh-CN"/>
                    </w:rPr>
                    <w:t>“</w:t>
                  </w:r>
                  <w:r>
                    <w:rPr>
                      <w:rFonts w:hint="default" w:ascii="Times New Roman" w:hAnsi="Times New Roman" w:cs="Times New Roman"/>
                      <w:highlight w:val="none"/>
                    </w:rPr>
                    <w:t>清污分流</w:t>
                  </w:r>
                  <w:r>
                    <w:rPr>
                      <w:rFonts w:hint="eastAsia" w:cs="Times New Roman"/>
                      <w:highlight w:val="none"/>
                      <w:lang w:eastAsia="zh-CN"/>
                    </w:rPr>
                    <w:t>”“</w:t>
                  </w:r>
                  <w:r>
                    <w:rPr>
                      <w:rFonts w:hint="default" w:ascii="Times New Roman" w:hAnsi="Times New Roman" w:cs="Times New Roman"/>
                      <w:highlight w:val="none"/>
                    </w:rPr>
                    <w:t>雨污分流</w:t>
                  </w:r>
                  <w:r>
                    <w:rPr>
                      <w:rFonts w:hint="eastAsia" w:cs="Times New Roman"/>
                      <w:highlight w:val="none"/>
                      <w:lang w:eastAsia="zh-CN"/>
                    </w:rPr>
                    <w:t>”“</w:t>
                  </w:r>
                  <w:r>
                    <w:rPr>
                      <w:rFonts w:hint="default" w:ascii="Times New Roman" w:hAnsi="Times New Roman" w:cs="Times New Roman"/>
                      <w:highlight w:val="none"/>
                    </w:rPr>
                    <w:t>污污分流</w:t>
                  </w:r>
                  <w:r>
                    <w:rPr>
                      <w:rFonts w:hint="eastAsia" w:cs="Times New Roman"/>
                      <w:highlight w:val="none"/>
                      <w:lang w:eastAsia="zh-CN"/>
                    </w:rPr>
                    <w:t>”</w:t>
                  </w:r>
                  <w:r>
                    <w:rPr>
                      <w:rFonts w:hint="default" w:ascii="Times New Roman" w:hAnsi="Times New Roman" w:cs="Times New Roman"/>
                      <w:highlight w:val="none"/>
                    </w:rPr>
                    <w:t>原则，污水应收尽收，全部回用或作为景观用水不外排。</w:t>
                  </w:r>
                </w:p>
                <w:p w14:paraId="246E247F">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highlight w:val="none"/>
                    </w:rPr>
                    <w:t>2.加强对废气特别是有毒及恶臭气体的收集和处置，严格控制挥发性有机物（VOCs）排放。</w:t>
                  </w:r>
                </w:p>
                <w:p w14:paraId="3B368F19">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highlight w:val="none"/>
                    </w:rPr>
                    <w:t>3.固体废物产生量大的化工园区应配套建设固体废物处置设施。</w:t>
                  </w:r>
                </w:p>
                <w:p w14:paraId="2493BB83">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highlight w:val="none"/>
                    </w:rPr>
                    <w:t>4.重点行业粉状物料堆场实现全封闭，块状物料</w:t>
                  </w:r>
                  <w:r>
                    <w:rPr>
                      <w:rFonts w:hint="default" w:ascii="Times New Roman" w:hAnsi="Times New Roman" w:cs="Times New Roman"/>
                      <w:highlight w:val="none"/>
                      <w:lang w:eastAsia="zh-CN"/>
                    </w:rPr>
                    <w:t>堆场</w:t>
                  </w:r>
                  <w:r>
                    <w:rPr>
                      <w:rFonts w:hint="default" w:ascii="Times New Roman" w:hAnsi="Times New Roman" w:cs="Times New Roman"/>
                      <w:highlight w:val="none"/>
                    </w:rPr>
                    <w:t>安装抑尘设施。</w:t>
                  </w:r>
                </w:p>
                <w:p w14:paraId="2F16E846">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000000"/>
                      <w:szCs w:val="21"/>
                      <w:highlight w:val="none"/>
                    </w:rPr>
                  </w:pPr>
                  <w:r>
                    <w:rPr>
                      <w:rFonts w:hint="default" w:ascii="Times New Roman" w:hAnsi="Times New Roman" w:cs="Times New Roman"/>
                      <w:highlight w:val="none"/>
                    </w:rPr>
                    <w:t>5.燃煤发电机组执行大气污染物超低排放限值。</w:t>
                  </w:r>
                </w:p>
              </w:tc>
              <w:tc>
                <w:tcPr>
                  <w:tcW w:w="1678" w:type="pct"/>
                  <w:noWrap w:val="0"/>
                  <w:vAlign w:val="center"/>
                </w:tcPr>
                <w:p w14:paraId="1BC717AA">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本项目建成后</w:t>
                  </w:r>
                  <w:r>
                    <w:rPr>
                      <w:rFonts w:hint="default" w:ascii="Times New Roman" w:hAnsi="Times New Roman" w:cs="Times New Roman"/>
                      <w:color w:val="000000"/>
                      <w:szCs w:val="21"/>
                      <w:highlight w:val="none"/>
                      <w:lang w:val="en-US" w:eastAsia="zh-CN"/>
                    </w:rPr>
                    <w:t>正常工况下</w:t>
                  </w:r>
                  <w:r>
                    <w:rPr>
                      <w:rFonts w:hint="default" w:ascii="Times New Roman" w:hAnsi="Times New Roman" w:eastAsia="宋体" w:cs="Times New Roman"/>
                      <w:color w:val="000000"/>
                      <w:szCs w:val="21"/>
                      <w:highlight w:val="none"/>
                      <w:lang w:val="en-US" w:eastAsia="zh-CN"/>
                    </w:rPr>
                    <w:t>无废水、废气、固废排放。</w:t>
                  </w:r>
                </w:p>
              </w:tc>
              <w:tc>
                <w:tcPr>
                  <w:tcW w:w="499" w:type="pct"/>
                  <w:noWrap w:val="0"/>
                  <w:vAlign w:val="center"/>
                </w:tcPr>
                <w:p w14:paraId="05C16F61">
                  <w:pPr>
                    <w:keepNext w:val="0"/>
                    <w:keepLines w:val="0"/>
                    <w:pageBreakBefore w:val="0"/>
                    <w:widowControl w:val="0"/>
                    <w:kinsoku/>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符合</w:t>
                  </w:r>
                </w:p>
              </w:tc>
            </w:tr>
            <w:tr w14:paraId="1A16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6" w:hRule="atLeast"/>
                <w:jc w:val="center"/>
              </w:trPr>
              <w:tc>
                <w:tcPr>
                  <w:tcW w:w="324" w:type="pct"/>
                  <w:noWrap w:val="0"/>
                  <w:vAlign w:val="center"/>
                </w:tcPr>
                <w:p w14:paraId="3625CA4D">
                  <w:pPr>
                    <w:keepNext w:val="0"/>
                    <w:keepLines w:val="0"/>
                    <w:pageBreakBefore w:val="0"/>
                    <w:widowControl w:val="0"/>
                    <w:kinsoku/>
                    <w:overflowPunct/>
                    <w:topLinePunct w:val="0"/>
                    <w:autoSpaceDE/>
                    <w:autoSpaceDN/>
                    <w:bidi w:val="0"/>
                    <w:adjustRightInd w:val="0"/>
                    <w:snapToGrid w:val="0"/>
                    <w:ind w:firstLine="0" w:firstLineChars="0"/>
                    <w:jc w:val="center"/>
                    <w:textAlignment w:val="auto"/>
                    <w:rPr>
                      <w:rFonts w:hint="default" w:ascii="Times New Roman" w:hAnsi="Times New Roman" w:cs="Times New Roman"/>
                      <w:kern w:val="0"/>
                      <w:szCs w:val="21"/>
                      <w:highlight w:val="none"/>
                      <w:lang w:bidi="ar"/>
                    </w:rPr>
                  </w:pPr>
                  <w:r>
                    <w:rPr>
                      <w:rFonts w:hint="default" w:ascii="Times New Roman" w:hAnsi="Times New Roman" w:cs="Times New Roman"/>
                      <w:highlight w:val="none"/>
                    </w:rPr>
                    <w:t>环境风险防控</w:t>
                  </w:r>
                </w:p>
              </w:tc>
              <w:tc>
                <w:tcPr>
                  <w:tcW w:w="2497" w:type="pct"/>
                  <w:noWrap w:val="0"/>
                  <w:vAlign w:val="center"/>
                </w:tcPr>
                <w:p w14:paraId="5FE3B046">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highlight w:val="none"/>
                    </w:rPr>
                    <w:t>完善区域环境风险防范机制，有效防范环境风险。建立和不断完善环境风险</w:t>
                  </w:r>
                  <w:r>
                    <w:rPr>
                      <w:rFonts w:hint="default" w:ascii="Times New Roman" w:hAnsi="Times New Roman" w:cs="Times New Roman"/>
                      <w:highlight w:val="none"/>
                      <w:lang w:eastAsia="zh-CN"/>
                    </w:rPr>
                    <w:t>防范</w:t>
                  </w:r>
                  <w:r>
                    <w:rPr>
                      <w:rFonts w:hint="default" w:ascii="Times New Roman" w:hAnsi="Times New Roman" w:cs="Times New Roman"/>
                      <w:highlight w:val="none"/>
                    </w:rPr>
                    <w:t>机制和应急体系，构建有效的区域环境风险联防联控机制，最大限度降低环境风险。</w:t>
                  </w:r>
                </w:p>
              </w:tc>
              <w:tc>
                <w:tcPr>
                  <w:tcW w:w="1678" w:type="pct"/>
                  <w:noWrap w:val="0"/>
                  <w:vAlign w:val="center"/>
                </w:tcPr>
                <w:p w14:paraId="030F2F6B">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kern w:val="0"/>
                      <w:szCs w:val="21"/>
                      <w:highlight w:val="none"/>
                    </w:rPr>
                    <w:t>企业</w:t>
                  </w:r>
                  <w:r>
                    <w:rPr>
                      <w:rFonts w:hint="default" w:ascii="Times New Roman" w:hAnsi="Times New Roman" w:eastAsia="宋体" w:cs="Times New Roman"/>
                      <w:kern w:val="0"/>
                      <w:szCs w:val="21"/>
                      <w:highlight w:val="none"/>
                      <w:lang w:val="en-US" w:eastAsia="zh-CN"/>
                    </w:rPr>
                    <w:t>已</w:t>
                  </w:r>
                  <w:r>
                    <w:rPr>
                      <w:rFonts w:hint="default" w:ascii="Times New Roman" w:hAnsi="Times New Roman" w:eastAsia="宋体" w:cs="Times New Roman"/>
                      <w:kern w:val="0"/>
                      <w:szCs w:val="21"/>
                      <w:highlight w:val="none"/>
                    </w:rPr>
                    <w:t>编制突发环境事件应急预案，并且</w:t>
                  </w:r>
                  <w:r>
                    <w:rPr>
                      <w:rFonts w:hint="default" w:ascii="Times New Roman" w:hAnsi="Times New Roman" w:eastAsia="宋体" w:cs="Times New Roman"/>
                      <w:kern w:val="0"/>
                      <w:szCs w:val="21"/>
                      <w:highlight w:val="none"/>
                      <w:lang w:val="en-US" w:eastAsia="zh-CN"/>
                    </w:rPr>
                    <w:t>在</w:t>
                  </w:r>
                  <w:r>
                    <w:rPr>
                      <w:rFonts w:hint="default" w:ascii="Times New Roman" w:hAnsi="Times New Roman" w:eastAsia="宋体" w:cs="Times New Roman"/>
                      <w:kern w:val="0"/>
                      <w:szCs w:val="21"/>
                      <w:highlight w:val="none"/>
                    </w:rPr>
                    <w:t>鄂尔多斯市生态环境局杭锦旗分局进行备案</w:t>
                  </w:r>
                  <w:r>
                    <w:rPr>
                      <w:rFonts w:hint="default" w:ascii="Times New Roman" w:hAnsi="Times New Roman" w:eastAsia="宋体" w:cs="Times New Roman"/>
                      <w:kern w:val="0"/>
                      <w:szCs w:val="21"/>
                      <w:highlight w:val="none"/>
                      <w:lang w:eastAsia="zh-CN"/>
                    </w:rPr>
                    <w:t>，</w:t>
                  </w:r>
                  <w:r>
                    <w:rPr>
                      <w:rFonts w:hint="default" w:ascii="Times New Roman" w:hAnsi="Times New Roman" w:eastAsia="宋体" w:cs="Times New Roman"/>
                      <w:kern w:val="0"/>
                      <w:szCs w:val="21"/>
                      <w:highlight w:val="none"/>
                    </w:rPr>
                    <w:t>备案编号</w:t>
                  </w:r>
                  <w:r>
                    <w:rPr>
                      <w:rFonts w:hint="default" w:ascii="Times New Roman" w:hAnsi="Times New Roman" w:eastAsia="宋体" w:cs="Times New Roman"/>
                      <w:kern w:val="0"/>
                      <w:szCs w:val="21"/>
                      <w:highlight w:val="none"/>
                      <w:lang w:eastAsia="zh-CN"/>
                    </w:rPr>
                    <w:t>为</w:t>
                  </w:r>
                  <w:r>
                    <w:rPr>
                      <w:rFonts w:hint="default" w:ascii="Times New Roman" w:hAnsi="Times New Roman" w:eastAsia="宋体" w:cs="Times New Roman"/>
                      <w:kern w:val="0"/>
                      <w:szCs w:val="21"/>
                      <w:highlight w:val="none"/>
                      <w:lang w:val="en-US" w:eastAsia="zh-CN"/>
                    </w:rPr>
                    <w:t>150625-2024-18-L</w:t>
                  </w:r>
                  <w:r>
                    <w:rPr>
                      <w:rFonts w:hint="default" w:ascii="Times New Roman" w:hAnsi="Times New Roman" w:eastAsia="宋体" w:cs="Times New Roman"/>
                      <w:kern w:val="0"/>
                      <w:szCs w:val="21"/>
                      <w:highlight w:val="none"/>
                    </w:rPr>
                    <w:t>。</w:t>
                  </w:r>
                  <w:r>
                    <w:rPr>
                      <w:rFonts w:hint="default" w:ascii="Times New Roman" w:hAnsi="Times New Roman" w:eastAsia="宋体" w:cs="Times New Roman"/>
                      <w:kern w:val="0"/>
                      <w:szCs w:val="21"/>
                      <w:highlight w:val="none"/>
                      <w:lang w:val="en-US" w:eastAsia="zh-CN"/>
                    </w:rPr>
                    <w:t>本项目建成后</w:t>
                  </w:r>
                  <w:r>
                    <w:rPr>
                      <w:rFonts w:hint="default" w:ascii="Times New Roman" w:hAnsi="Times New Roman" w:cs="Times New Roman"/>
                      <w:kern w:val="0"/>
                      <w:szCs w:val="21"/>
                      <w:highlight w:val="none"/>
                      <w:lang w:val="en-US" w:eastAsia="zh-CN"/>
                    </w:rPr>
                    <w:t>，</w:t>
                  </w:r>
                  <w:r>
                    <w:rPr>
                      <w:rFonts w:hint="default" w:ascii="Times New Roman" w:hAnsi="Times New Roman" w:eastAsia="宋体" w:cs="Times New Roman"/>
                      <w:kern w:val="0"/>
                      <w:szCs w:val="21"/>
                      <w:highlight w:val="none"/>
                      <w:lang w:val="en-US" w:eastAsia="zh-CN"/>
                    </w:rPr>
                    <w:t>根据相关规范要求及时</w:t>
                  </w:r>
                  <w:r>
                    <w:rPr>
                      <w:rFonts w:hint="default" w:ascii="Times New Roman" w:hAnsi="Times New Roman" w:cs="Times New Roman"/>
                      <w:kern w:val="0"/>
                      <w:szCs w:val="21"/>
                      <w:highlight w:val="none"/>
                      <w:lang w:val="en-US" w:eastAsia="zh-CN"/>
                    </w:rPr>
                    <w:t>编制</w:t>
                  </w:r>
                  <w:r>
                    <w:rPr>
                      <w:rFonts w:hint="default" w:ascii="Times New Roman" w:hAnsi="Times New Roman" w:eastAsia="宋体" w:cs="Times New Roman"/>
                      <w:kern w:val="0"/>
                      <w:szCs w:val="21"/>
                      <w:highlight w:val="none"/>
                    </w:rPr>
                    <w:t>突发环境事件应急预案</w:t>
                  </w:r>
                  <w:r>
                    <w:rPr>
                      <w:rFonts w:hint="default" w:ascii="Times New Roman" w:hAnsi="Times New Roman" w:eastAsia="宋体" w:cs="Times New Roman"/>
                      <w:kern w:val="0"/>
                      <w:szCs w:val="21"/>
                      <w:highlight w:val="none"/>
                      <w:lang w:eastAsia="zh-CN"/>
                    </w:rPr>
                    <w:t>。</w:t>
                  </w:r>
                </w:p>
              </w:tc>
              <w:tc>
                <w:tcPr>
                  <w:tcW w:w="499" w:type="pct"/>
                  <w:noWrap w:val="0"/>
                  <w:vAlign w:val="center"/>
                </w:tcPr>
                <w:p w14:paraId="62B9FDFC">
                  <w:pPr>
                    <w:keepNext w:val="0"/>
                    <w:keepLines w:val="0"/>
                    <w:pageBreakBefore w:val="0"/>
                    <w:widowControl w:val="0"/>
                    <w:kinsoku/>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符合</w:t>
                  </w:r>
                </w:p>
              </w:tc>
            </w:tr>
            <w:tr w14:paraId="17CAE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4" w:hRule="atLeast"/>
                <w:jc w:val="center"/>
              </w:trPr>
              <w:tc>
                <w:tcPr>
                  <w:tcW w:w="324" w:type="pct"/>
                  <w:noWrap w:val="0"/>
                  <w:vAlign w:val="center"/>
                </w:tcPr>
                <w:p w14:paraId="6C5BE8D1">
                  <w:pPr>
                    <w:keepNext w:val="0"/>
                    <w:keepLines w:val="0"/>
                    <w:pageBreakBefore w:val="0"/>
                    <w:widowControl w:val="0"/>
                    <w:kinsoku/>
                    <w:overflowPunct/>
                    <w:topLinePunct w:val="0"/>
                    <w:autoSpaceDE/>
                    <w:autoSpaceDN/>
                    <w:bidi w:val="0"/>
                    <w:adjustRightInd w:val="0"/>
                    <w:snapToGrid w:val="0"/>
                    <w:ind w:firstLine="0" w:firstLineChars="0"/>
                    <w:jc w:val="center"/>
                    <w:textAlignment w:val="auto"/>
                    <w:rPr>
                      <w:rFonts w:hint="default" w:ascii="Times New Roman" w:hAnsi="Times New Roman" w:cs="Times New Roman"/>
                      <w:kern w:val="0"/>
                      <w:szCs w:val="21"/>
                      <w:highlight w:val="none"/>
                      <w:lang w:bidi="ar"/>
                    </w:rPr>
                  </w:pPr>
                  <w:r>
                    <w:rPr>
                      <w:rFonts w:hint="default" w:ascii="Times New Roman" w:hAnsi="Times New Roman" w:cs="Times New Roman"/>
                      <w:highlight w:val="none"/>
                    </w:rPr>
                    <w:t>资源利用效率要求</w:t>
                  </w:r>
                </w:p>
              </w:tc>
              <w:tc>
                <w:tcPr>
                  <w:tcW w:w="2497" w:type="pct"/>
                  <w:noWrap w:val="0"/>
                  <w:vAlign w:val="center"/>
                </w:tcPr>
                <w:p w14:paraId="4D777F24">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highlight w:val="none"/>
                    </w:rPr>
                    <w:t>1</w:t>
                  </w:r>
                  <w:r>
                    <w:rPr>
                      <w:rFonts w:hint="default" w:ascii="Times New Roman" w:hAnsi="Times New Roman" w:cs="Times New Roman"/>
                      <w:highlight w:val="none"/>
                      <w:lang w:val="en-US" w:eastAsia="zh-CN"/>
                    </w:rPr>
                    <w:t>.</w:t>
                  </w:r>
                  <w:r>
                    <w:rPr>
                      <w:rFonts w:hint="default" w:ascii="Times New Roman" w:hAnsi="Times New Roman" w:cs="Times New Roman"/>
                      <w:highlight w:val="none"/>
                    </w:rPr>
                    <w:t>严控地下水超采。新建、改建、扩建的高耗水工业项目，禁止擅自使用地下水。食品、制药等项目取用地下水，须经有管理权限的水行政主管部门批准。</w:t>
                  </w:r>
                </w:p>
              </w:tc>
              <w:tc>
                <w:tcPr>
                  <w:tcW w:w="1678" w:type="pct"/>
                  <w:noWrap w:val="0"/>
                  <w:vAlign w:val="center"/>
                </w:tcPr>
                <w:p w14:paraId="13BA7A5E">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本项目不涉及</w:t>
                  </w:r>
                  <w:r>
                    <w:rPr>
                      <w:rFonts w:hint="eastAsia" w:cs="Times New Roman"/>
                      <w:color w:val="000000"/>
                      <w:szCs w:val="21"/>
                      <w:highlight w:val="none"/>
                      <w:lang w:val="en-US" w:eastAsia="zh-CN"/>
                    </w:rPr>
                    <w:t>。</w:t>
                  </w:r>
                </w:p>
              </w:tc>
              <w:tc>
                <w:tcPr>
                  <w:tcW w:w="499" w:type="pct"/>
                  <w:noWrap w:val="0"/>
                  <w:vAlign w:val="center"/>
                </w:tcPr>
                <w:p w14:paraId="1F774E04">
                  <w:pPr>
                    <w:keepNext w:val="0"/>
                    <w:keepLines w:val="0"/>
                    <w:pageBreakBefore w:val="0"/>
                    <w:widowControl w:val="0"/>
                    <w:kinsoku/>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000000"/>
                      <w:szCs w:val="21"/>
                      <w:highlight w:val="none"/>
                      <w:lang w:eastAsia="zh-CN"/>
                    </w:rPr>
                  </w:pPr>
                  <w:r>
                    <w:rPr>
                      <w:rFonts w:hint="default" w:ascii="Times New Roman" w:hAnsi="Times New Roman" w:cs="Times New Roman"/>
                      <w:color w:val="000000"/>
                      <w:szCs w:val="21"/>
                      <w:highlight w:val="none"/>
                      <w:lang w:val="en-US" w:eastAsia="zh-CN"/>
                    </w:rPr>
                    <w:t>/</w:t>
                  </w:r>
                </w:p>
              </w:tc>
            </w:tr>
          </w:tbl>
          <w:p w14:paraId="1FD02AEA">
            <w:pPr>
              <w:autoSpaceDE w:val="0"/>
              <w:autoSpaceDN w:val="0"/>
              <w:adjustRightInd w:val="0"/>
              <w:snapToGrid w:val="0"/>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综上所述，本项目的建设符合</w:t>
            </w:r>
            <w:r>
              <w:rPr>
                <w:rFonts w:hint="eastAsia" w:cs="Times New Roman"/>
                <w:sz w:val="24"/>
                <w:szCs w:val="24"/>
                <w:highlight w:val="none"/>
                <w:lang w:eastAsia="zh-CN"/>
              </w:rPr>
              <w:t>“</w:t>
            </w:r>
            <w:r>
              <w:rPr>
                <w:rFonts w:hint="eastAsia" w:ascii="Times New Roman" w:hAnsi="Times New Roman" w:cs="Times New Roman"/>
                <w:sz w:val="24"/>
                <w:szCs w:val="24"/>
                <w:highlight w:val="none"/>
                <w:lang w:val="en-US" w:eastAsia="zh-CN"/>
              </w:rPr>
              <w:t>生态环境分区管控</w:t>
            </w:r>
            <w:r>
              <w:rPr>
                <w:rFonts w:hint="eastAsia" w:cs="Times New Roman"/>
                <w:sz w:val="24"/>
                <w:szCs w:val="24"/>
                <w:highlight w:val="none"/>
                <w:lang w:eastAsia="zh-CN"/>
              </w:rPr>
              <w:t>”</w:t>
            </w:r>
            <w:r>
              <w:rPr>
                <w:rFonts w:hint="default" w:ascii="Times New Roman" w:hAnsi="Times New Roman" w:cs="Times New Roman"/>
                <w:sz w:val="24"/>
                <w:szCs w:val="24"/>
                <w:highlight w:val="none"/>
              </w:rPr>
              <w:t>的相关要求。</w:t>
            </w:r>
          </w:p>
          <w:p w14:paraId="4CA847D3">
            <w:pPr>
              <w:pStyle w:val="2"/>
              <w:spacing w:before="0" w:after="0" w:line="360" w:lineRule="auto"/>
              <w:ind w:left="0" w:firstLine="0"/>
              <w:rPr>
                <w:rFonts w:hint="default" w:ascii="Times New Roman" w:hAnsi="Times New Roman" w:eastAsia="宋体" w:cs="Times New Roman"/>
                <w:color w:val="1900FF"/>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.选址合理性分析</w:t>
            </w:r>
            <w:r>
              <w:rPr>
                <w:rFonts w:hint="default" w:ascii="Times New Roman" w:hAnsi="Times New Roman" w:eastAsia="宋体" w:cs="Times New Roman"/>
                <w:color w:val="1900FF"/>
                <w:sz w:val="24"/>
                <w:szCs w:val="24"/>
                <w:highlight w:val="none"/>
              </w:rPr>
              <w:t xml:space="preserve"> </w:t>
            </w:r>
          </w:p>
          <w:p w14:paraId="45D0B24C">
            <w:pPr>
              <w:adjustRightInd w:val="0"/>
              <w:snapToGrid w:val="0"/>
              <w:spacing w:line="360" w:lineRule="auto"/>
              <w:ind w:firstLine="480" w:firstLineChars="200"/>
              <w:rPr>
                <w:rFonts w:hint="default" w:ascii="Times New Roman" w:hAnsi="Times New Roman" w:eastAsia="宋体" w:cs="Times New Roman"/>
                <w:bCs/>
                <w:color w:val="000000"/>
                <w:sz w:val="24"/>
                <w:highlight w:val="none"/>
              </w:rPr>
            </w:pPr>
            <w:r>
              <w:rPr>
                <w:rFonts w:hint="default" w:ascii="Times New Roman" w:hAnsi="Times New Roman" w:eastAsia="宋体" w:cs="Times New Roman"/>
                <w:bCs/>
                <w:color w:val="000000"/>
                <w:sz w:val="24"/>
                <w:highlight w:val="none"/>
              </w:rPr>
              <w:t>本项目位于内蒙古鄂尔多斯市杭锦旗经济开发区独贵塔拉产业园南项目区，园区道路、供电、供水、电讯等基础设施条件良好，配套齐全，社会协作条件较优越；四周均为园区企业。</w:t>
            </w:r>
          </w:p>
          <w:p w14:paraId="3622105C">
            <w:pPr>
              <w:adjustRightInd w:val="0"/>
              <w:snapToGrid w:val="0"/>
              <w:spacing w:line="360" w:lineRule="auto"/>
              <w:ind w:firstLine="480" w:firstLineChars="200"/>
              <w:rPr>
                <w:rFonts w:hint="default" w:ascii="Times New Roman" w:hAnsi="Times New Roman" w:cs="Times New Roman"/>
                <w:color w:val="1900FF"/>
                <w:kern w:val="0"/>
                <w:szCs w:val="21"/>
                <w:highlight w:val="none"/>
              </w:rPr>
            </w:pPr>
            <w:r>
              <w:rPr>
                <w:rFonts w:hint="default" w:ascii="Times New Roman" w:hAnsi="Times New Roman" w:eastAsia="宋体" w:cs="Times New Roman"/>
                <w:bCs/>
                <w:color w:val="000000"/>
                <w:sz w:val="24"/>
                <w:highlight w:val="none"/>
              </w:rPr>
              <w:t>项目</w:t>
            </w:r>
            <w:r>
              <w:rPr>
                <w:rFonts w:hint="default" w:ascii="Times New Roman" w:hAnsi="Times New Roman" w:eastAsia="宋体" w:cs="Times New Roman"/>
                <w:bCs/>
                <w:color w:val="000000"/>
                <w:sz w:val="24"/>
                <w:highlight w:val="none"/>
                <w:lang w:val="en-US" w:eastAsia="zh-CN"/>
              </w:rPr>
              <w:t>沿线</w:t>
            </w:r>
            <w:r>
              <w:rPr>
                <w:rFonts w:hint="default" w:ascii="Times New Roman" w:hAnsi="Times New Roman" w:eastAsia="宋体" w:cs="Times New Roman"/>
                <w:bCs/>
                <w:color w:val="000000"/>
                <w:sz w:val="24"/>
                <w:highlight w:val="none"/>
                <w:lang w:eastAsia="zh-CN"/>
              </w:rPr>
              <w:t>外</w:t>
            </w:r>
            <w:r>
              <w:rPr>
                <w:rFonts w:hint="eastAsia" w:ascii="Times New Roman" w:hAnsi="Times New Roman" w:eastAsia="宋体" w:cs="Times New Roman"/>
                <w:bCs/>
                <w:color w:val="000000"/>
                <w:sz w:val="24"/>
                <w:highlight w:val="none"/>
                <w:lang w:val="en-US" w:eastAsia="zh-CN"/>
              </w:rPr>
              <w:t>5</w:t>
            </w:r>
            <w:r>
              <w:rPr>
                <w:rFonts w:hint="default" w:ascii="Times New Roman" w:hAnsi="Times New Roman" w:eastAsia="宋体" w:cs="Times New Roman"/>
                <w:bCs/>
                <w:color w:val="000000"/>
                <w:sz w:val="24"/>
                <w:highlight w:val="none"/>
                <w:lang w:eastAsia="zh-CN"/>
              </w:rPr>
              <w:t>00m范围内无自然保护区、风景名胜区、文化区、居住区等大气环境敏感目标；</w:t>
            </w:r>
            <w:r>
              <w:rPr>
                <w:rFonts w:hint="eastAsia" w:ascii="Times New Roman" w:hAnsi="Times New Roman" w:eastAsia="宋体" w:cs="Times New Roman"/>
                <w:bCs/>
                <w:color w:val="000000"/>
                <w:sz w:val="24"/>
                <w:highlight w:val="none"/>
                <w:lang w:val="en-US" w:eastAsia="zh-CN"/>
              </w:rPr>
              <w:t>5</w:t>
            </w:r>
            <w:r>
              <w:rPr>
                <w:rFonts w:hint="default" w:ascii="Times New Roman" w:hAnsi="Times New Roman" w:eastAsia="宋体" w:cs="Times New Roman"/>
                <w:bCs/>
                <w:color w:val="000000"/>
                <w:sz w:val="24"/>
                <w:highlight w:val="none"/>
                <w:lang w:eastAsia="zh-CN"/>
              </w:rPr>
              <w:t>00m范围内也无地下水集中式饮用水水源和热水、矿泉水、温泉等特殊地下水资源；厂界外</w:t>
            </w:r>
            <w:r>
              <w:rPr>
                <w:rFonts w:hint="eastAsia" w:cs="Times New Roman"/>
                <w:bCs/>
                <w:color w:val="000000"/>
                <w:sz w:val="24"/>
                <w:highlight w:val="none"/>
                <w:lang w:val="en-US" w:eastAsia="zh-CN"/>
              </w:rPr>
              <w:t>50</w:t>
            </w:r>
            <w:r>
              <w:rPr>
                <w:rFonts w:hint="default" w:ascii="Times New Roman" w:hAnsi="Times New Roman" w:eastAsia="宋体" w:cs="Times New Roman"/>
                <w:bCs/>
                <w:color w:val="000000"/>
                <w:sz w:val="24"/>
                <w:highlight w:val="none"/>
                <w:lang w:eastAsia="zh-CN"/>
              </w:rPr>
              <w:t>m范围内无声环境保护目标</w:t>
            </w:r>
            <w:r>
              <w:rPr>
                <w:rFonts w:hint="default" w:ascii="Times New Roman" w:hAnsi="Times New Roman" w:eastAsia="宋体" w:cs="Times New Roman"/>
                <w:bCs/>
                <w:color w:val="000000"/>
                <w:sz w:val="24"/>
                <w:highlight w:val="none"/>
              </w:rPr>
              <w:t>。</w:t>
            </w:r>
            <w:r>
              <w:rPr>
                <w:rFonts w:hint="eastAsia" w:cs="Times New Roman"/>
                <w:bCs/>
                <w:color w:val="000000"/>
                <w:sz w:val="24"/>
                <w:highlight w:val="none"/>
                <w:lang w:val="en-US" w:eastAsia="zh-CN"/>
              </w:rPr>
              <w:t>各类</w:t>
            </w:r>
            <w:r>
              <w:rPr>
                <w:rFonts w:hint="eastAsia" w:ascii="Times New Roman" w:hAnsi="Times New Roman" w:eastAsia="宋体" w:cs="Times New Roman"/>
                <w:bCs/>
                <w:color w:val="000000"/>
                <w:sz w:val="24"/>
                <w:highlight w:val="none"/>
                <w:lang w:val="en-US" w:eastAsia="zh-CN"/>
              </w:rPr>
              <w:t>污染物在采取环评提出的各项措施后可实现达标排放</w:t>
            </w:r>
            <w:r>
              <w:rPr>
                <w:rFonts w:hint="default" w:ascii="Times New Roman" w:hAnsi="Times New Roman" w:eastAsia="宋体" w:cs="Times New Roman"/>
                <w:bCs/>
                <w:color w:val="000000"/>
                <w:sz w:val="24"/>
                <w:highlight w:val="none"/>
              </w:rPr>
              <w:t>，项目建设对周围环境</w:t>
            </w:r>
            <w:r>
              <w:rPr>
                <w:rFonts w:hint="default" w:ascii="Times New Roman" w:hAnsi="Times New Roman" w:eastAsia="宋体" w:cs="Times New Roman"/>
                <w:bCs/>
                <w:color w:val="000000"/>
                <w:sz w:val="24"/>
                <w:highlight w:val="none"/>
                <w:lang w:eastAsia="zh-CN"/>
              </w:rPr>
              <w:t>的</w:t>
            </w:r>
            <w:r>
              <w:rPr>
                <w:rFonts w:hint="default" w:ascii="Times New Roman" w:hAnsi="Times New Roman" w:eastAsia="宋体" w:cs="Times New Roman"/>
                <w:bCs/>
                <w:color w:val="000000"/>
                <w:sz w:val="24"/>
                <w:highlight w:val="none"/>
              </w:rPr>
              <w:t>影响相对较小。从环保角度分析，项目选址合理。</w:t>
            </w:r>
          </w:p>
        </w:tc>
      </w:tr>
    </w:tbl>
    <w:p w14:paraId="707E9316">
      <w:pPr>
        <w:spacing w:line="360" w:lineRule="auto"/>
        <w:outlineLvl w:val="0"/>
        <w:rPr>
          <w:rFonts w:eastAsia="黑体"/>
          <w:sz w:val="30"/>
          <w:highlight w:val="none"/>
        </w:rPr>
        <w:sectPr>
          <w:footerReference r:id="rId5" w:type="default"/>
          <w:pgSz w:w="11906" w:h="16838"/>
          <w:pgMar w:top="1701" w:right="1701" w:bottom="1701" w:left="1701" w:header="851" w:footer="1077" w:gutter="0"/>
          <w:pgNumType w:fmt="decimal" w:start="1"/>
          <w:cols w:space="720" w:num="1"/>
          <w:docGrid w:linePitch="312" w:charSpace="0"/>
        </w:sectPr>
      </w:pPr>
    </w:p>
    <w:p w14:paraId="7076AE5E">
      <w:pPr>
        <w:pStyle w:val="18"/>
        <w:jc w:val="center"/>
        <w:outlineLvl w:val="0"/>
        <w:rPr>
          <w:rFonts w:ascii="黑体" w:hAnsi="黑体" w:eastAsia="黑体"/>
          <w:snapToGrid w:val="0"/>
          <w:sz w:val="30"/>
          <w:szCs w:val="30"/>
          <w:highlight w:val="none"/>
        </w:rPr>
      </w:pPr>
      <w:r>
        <w:rPr>
          <w:rFonts w:hint="eastAsia" w:ascii="黑体" w:hAnsi="黑体" w:eastAsia="黑体"/>
          <w:snapToGrid w:val="0"/>
          <w:sz w:val="30"/>
          <w:szCs w:val="30"/>
          <w:highlight w:val="none"/>
        </w:rPr>
        <w:t>二、建设内容</w:t>
      </w:r>
    </w:p>
    <w:tbl>
      <w:tblPr>
        <w:tblStyle w:val="19"/>
        <w:tblW w:w="91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32"/>
      </w:tblGrid>
      <w:tr w14:paraId="277F80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56" w:type="dxa"/>
            <w:noWrap w:val="0"/>
            <w:vAlign w:val="center"/>
          </w:tcPr>
          <w:p w14:paraId="76AA5F5D">
            <w:pPr>
              <w:adjustRightInd w:val="0"/>
              <w:snapToGrid w:val="0"/>
              <w:jc w:val="center"/>
              <w:rPr>
                <w:rFonts w:ascii="宋体" w:hAnsi="宋体" w:cs="宋体"/>
                <w:kern w:val="0"/>
                <w:sz w:val="24"/>
                <w:highlight w:val="none"/>
              </w:rPr>
            </w:pPr>
            <w:r>
              <w:rPr>
                <w:rFonts w:hint="eastAsia" w:ascii="宋体" w:hAnsi="宋体" w:cs="宋体"/>
                <w:kern w:val="0"/>
                <w:sz w:val="24"/>
                <w:highlight w:val="none"/>
              </w:rPr>
              <w:t>地理位置</w:t>
            </w:r>
          </w:p>
        </w:tc>
        <w:tc>
          <w:tcPr>
            <w:tcW w:w="8732" w:type="dxa"/>
            <w:noWrap w:val="0"/>
            <w:vAlign w:val="center"/>
          </w:tcPr>
          <w:p w14:paraId="5FB79320">
            <w:pPr>
              <w:spacing w:line="360" w:lineRule="auto"/>
              <w:rPr>
                <w:rFonts w:hint="eastAsia" w:eastAsia="宋体"/>
                <w:b/>
                <w:color w:val="000000"/>
                <w:sz w:val="24"/>
                <w:highlight w:val="none"/>
                <w:lang w:eastAsia="zh-CN"/>
              </w:rPr>
            </w:pPr>
            <w:r>
              <w:rPr>
                <w:b/>
                <w:color w:val="000000"/>
                <w:sz w:val="24"/>
                <w:highlight w:val="none"/>
              </w:rPr>
              <w:t>1</w:t>
            </w:r>
            <w:r>
              <w:rPr>
                <w:rFonts w:hint="eastAsia"/>
                <w:b/>
                <w:color w:val="000000"/>
                <w:sz w:val="24"/>
                <w:highlight w:val="none"/>
              </w:rPr>
              <w:t>.</w:t>
            </w:r>
            <w:r>
              <w:rPr>
                <w:b/>
                <w:color w:val="000000"/>
                <w:sz w:val="24"/>
                <w:highlight w:val="none"/>
              </w:rPr>
              <w:t>项目</w:t>
            </w:r>
            <w:r>
              <w:rPr>
                <w:rFonts w:hint="eastAsia"/>
                <w:b/>
                <w:color w:val="000000"/>
                <w:sz w:val="24"/>
                <w:highlight w:val="none"/>
                <w:lang w:val="en-US" w:eastAsia="zh-CN"/>
              </w:rPr>
              <w:t>位置</w:t>
            </w:r>
          </w:p>
          <w:p w14:paraId="0188851C">
            <w:pPr>
              <w:widowControl/>
              <w:snapToGrid w:val="0"/>
              <w:spacing w:line="360" w:lineRule="auto"/>
              <w:ind w:firstLine="480" w:firstLineChars="200"/>
              <w:jc w:val="left"/>
              <w:rPr>
                <w:rFonts w:hint="eastAsia"/>
                <w:color w:val="000000"/>
                <w:sz w:val="24"/>
                <w:highlight w:val="none"/>
                <w:lang w:val="en-US" w:eastAsia="zh-CN"/>
              </w:rPr>
            </w:pPr>
            <w:r>
              <w:rPr>
                <w:rFonts w:hint="eastAsia"/>
                <w:color w:val="000000"/>
                <w:sz w:val="24"/>
                <w:highlight w:val="none"/>
              </w:rPr>
              <w:t>鉴于鹏泰生物乙醇项目的实施，其原料及公用工程物料输送依托于伊泰化工，共计23条物料输送管线。需伊泰化工在原有联博管廊的基础上通过加固、加层的方式，将这23条物料管线布置在改造后的联博管廊，并将物料输送至鹏泰生物装置界区外1m</w:t>
            </w:r>
            <w:r>
              <w:rPr>
                <w:rFonts w:hint="eastAsia"/>
                <w:color w:val="000000"/>
                <w:sz w:val="24"/>
                <w:highlight w:val="none"/>
                <w:lang w:eastAsia="zh-CN"/>
              </w:rPr>
              <w:t>，</w:t>
            </w:r>
            <w:r>
              <w:rPr>
                <w:rFonts w:hint="eastAsia"/>
                <w:color w:val="000000"/>
                <w:sz w:val="24"/>
                <w:highlight w:val="none"/>
              </w:rPr>
              <w:t>给每条管线设置用于物料结算计量的流量计，以及相配套的自控系统，并增设一台甲烷气压缩</w:t>
            </w:r>
            <w:r>
              <w:rPr>
                <w:rFonts w:hint="eastAsia"/>
                <w:color w:val="000000"/>
                <w:sz w:val="24"/>
                <w:highlight w:val="none"/>
                <w:lang w:val="en-US" w:eastAsia="zh-CN"/>
              </w:rPr>
              <w:t>机。</w:t>
            </w:r>
          </w:p>
          <w:p w14:paraId="72D8B2CB">
            <w:pPr>
              <w:widowControl/>
              <w:snapToGrid w:val="0"/>
              <w:spacing w:line="360" w:lineRule="auto"/>
              <w:ind w:firstLine="480" w:firstLineChars="200"/>
              <w:jc w:val="left"/>
              <w:rPr>
                <w:rFonts w:hint="eastAsia"/>
                <w:color w:val="000000"/>
                <w:sz w:val="24"/>
                <w:highlight w:val="none"/>
              </w:rPr>
            </w:pPr>
            <w:r>
              <w:rPr>
                <w:rFonts w:hint="eastAsia"/>
                <w:color w:val="000000"/>
                <w:sz w:val="24"/>
                <w:highlight w:val="none"/>
              </w:rPr>
              <w:t>本项目建设地点位于内蒙古鄂尔多斯杭锦旗经济开发区独贵塔拉产业园南项目区内蒙古伊泰化工有限责任公司</w:t>
            </w:r>
            <w:r>
              <w:rPr>
                <w:rFonts w:hint="eastAsia"/>
                <w:color w:val="000000"/>
                <w:sz w:val="24"/>
                <w:highlight w:val="none"/>
                <w:lang w:val="en-US" w:eastAsia="zh-CN"/>
              </w:rPr>
              <w:t>厂区南侧、WRT甲烷气、清净废水管道等位于厂界外</w:t>
            </w:r>
            <w:r>
              <w:rPr>
                <w:rFonts w:hint="eastAsia"/>
                <w:color w:val="000000"/>
                <w:sz w:val="24"/>
                <w:highlight w:val="none"/>
                <w:lang w:eastAsia="zh-CN"/>
              </w:rPr>
              <w:t>。</w:t>
            </w:r>
            <w:r>
              <w:rPr>
                <w:rFonts w:hint="eastAsia"/>
                <w:color w:val="000000"/>
                <w:sz w:val="24"/>
                <w:highlight w:val="none"/>
              </w:rPr>
              <w:t>项目区东北侧31m</w:t>
            </w:r>
            <w:r>
              <w:rPr>
                <w:rFonts w:hint="eastAsia"/>
                <w:color w:val="000000"/>
                <w:sz w:val="24"/>
                <w:highlight w:val="none"/>
                <w:lang w:eastAsia="zh-CN"/>
              </w:rPr>
              <w:t>为</w:t>
            </w:r>
            <w:r>
              <w:rPr>
                <w:rFonts w:hint="eastAsia"/>
                <w:color w:val="000000"/>
                <w:sz w:val="24"/>
                <w:highlight w:val="none"/>
              </w:rPr>
              <w:t>油品合成装置，西南侧15m</w:t>
            </w:r>
            <w:r>
              <w:rPr>
                <w:rFonts w:hint="eastAsia"/>
                <w:color w:val="000000"/>
                <w:sz w:val="24"/>
                <w:highlight w:val="none"/>
                <w:lang w:eastAsia="zh-CN"/>
              </w:rPr>
              <w:t>为</w:t>
            </w:r>
            <w:r>
              <w:rPr>
                <w:rFonts w:hint="eastAsia"/>
                <w:color w:val="000000"/>
                <w:sz w:val="24"/>
                <w:highlight w:val="none"/>
              </w:rPr>
              <w:t>净化装置区，东南到鹏泰装置界区外1m，西北侧与全场管廊衔接。本项目地理位置图见附图一。</w:t>
            </w:r>
          </w:p>
          <w:tbl>
            <w:tblPr>
              <w:tblStyle w:val="20"/>
              <w:tblW w:w="80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6"/>
              <w:gridCol w:w="4026"/>
            </w:tblGrid>
            <w:tr w14:paraId="3DD7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6" w:type="dxa"/>
                  <w:tcBorders>
                    <w:tl2br w:val="nil"/>
                    <w:tr2bl w:val="nil"/>
                  </w:tcBorders>
                  <w:noWrap w:val="0"/>
                  <w:vAlign w:val="center"/>
                </w:tcPr>
                <w:p w14:paraId="23716B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val="0"/>
                      <w:color w:val="000000"/>
                      <w:sz w:val="21"/>
                      <w:szCs w:val="21"/>
                      <w:highlight w:val="none"/>
                      <w:vertAlign w:val="baseline"/>
                      <w:lang w:eastAsia="zh-CN"/>
                    </w:rPr>
                  </w:pPr>
                  <w:r>
                    <w:rPr>
                      <w:rFonts w:hint="eastAsia" w:eastAsia="宋体"/>
                      <w:b w:val="0"/>
                      <w:bCs w:val="0"/>
                      <w:color w:val="000000"/>
                      <w:sz w:val="21"/>
                      <w:szCs w:val="21"/>
                      <w:highlight w:val="none"/>
                      <w:vertAlign w:val="baseline"/>
                      <w:lang w:eastAsia="zh-CN"/>
                    </w:rPr>
                    <w:drawing>
                      <wp:inline distT="0" distB="0" distL="114300" distR="114300">
                        <wp:extent cx="2479040" cy="2226310"/>
                        <wp:effectExtent l="0" t="0" r="2540" b="16510"/>
                        <wp:docPr id="6" name="图片 6" descr="e54e45731d7cef4e0188048229a03f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54e45731d7cef4e0188048229a03f98"/>
                                <pic:cNvPicPr>
                                  <a:picLocks noChangeAspect="1"/>
                                </pic:cNvPicPr>
                              </pic:nvPicPr>
                              <pic:blipFill>
                                <a:blip r:embed="rId9"/>
                                <a:stretch>
                                  <a:fillRect/>
                                </a:stretch>
                              </pic:blipFill>
                              <pic:spPr>
                                <a:xfrm rot="5400000">
                                  <a:off x="0" y="0"/>
                                  <a:ext cx="2479040" cy="2226310"/>
                                </a:xfrm>
                                <a:prstGeom prst="rect">
                                  <a:avLst/>
                                </a:prstGeom>
                              </pic:spPr>
                            </pic:pic>
                          </a:graphicData>
                        </a:graphic>
                      </wp:inline>
                    </w:drawing>
                  </w:r>
                </w:p>
              </w:tc>
              <w:tc>
                <w:tcPr>
                  <w:tcW w:w="4026" w:type="dxa"/>
                  <w:tcBorders>
                    <w:tl2br w:val="nil"/>
                    <w:tr2bl w:val="nil"/>
                  </w:tcBorders>
                  <w:noWrap w:val="0"/>
                  <w:vAlign w:val="center"/>
                </w:tcPr>
                <w:p w14:paraId="7CA9783E">
                  <w:pPr>
                    <w:keepNext/>
                    <w:adjustRightInd w:val="0"/>
                    <w:snapToGrid w:val="0"/>
                    <w:spacing w:line="240" w:lineRule="auto"/>
                    <w:jc w:val="both"/>
                    <w:rPr>
                      <w:highlight w:val="none"/>
                    </w:rPr>
                  </w:pPr>
                  <w:r>
                    <w:rPr>
                      <w:color w:val="000000"/>
                      <w:sz w:val="21"/>
                      <w:szCs w:val="21"/>
                      <w:highlight w:val="none"/>
                    </w:rPr>
                    <w:drawing>
                      <wp:inline distT="0" distB="0" distL="114300" distR="114300">
                        <wp:extent cx="2408555" cy="2531745"/>
                        <wp:effectExtent l="0" t="0" r="10795" b="1905"/>
                        <wp:docPr id="14" name="图片 14" descr="2864ce1559138100f3924cb7d8b29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864ce1559138100f3924cb7d8b29b4a"/>
                                <pic:cNvPicPr>
                                  <a:picLocks noChangeAspect="1"/>
                                </pic:cNvPicPr>
                              </pic:nvPicPr>
                              <pic:blipFill>
                                <a:blip r:embed="rId10"/>
                                <a:stretch>
                                  <a:fillRect/>
                                </a:stretch>
                              </pic:blipFill>
                              <pic:spPr>
                                <a:xfrm>
                                  <a:off x="0" y="0"/>
                                  <a:ext cx="2408555" cy="2531745"/>
                                </a:xfrm>
                                <a:prstGeom prst="rect">
                                  <a:avLst/>
                                </a:prstGeom>
                              </pic:spPr>
                            </pic:pic>
                          </a:graphicData>
                        </a:graphic>
                      </wp:inline>
                    </w:drawing>
                  </w:r>
                </w:p>
                <w:p w14:paraId="017C2A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val="0"/>
                      <w:color w:val="000000"/>
                      <w:sz w:val="21"/>
                      <w:szCs w:val="21"/>
                      <w:highlight w:val="none"/>
                      <w:vertAlign w:val="baseline"/>
                      <w:lang w:eastAsia="zh-CN"/>
                    </w:rPr>
                  </w:pPr>
                </w:p>
              </w:tc>
            </w:tr>
            <w:tr w14:paraId="5959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6" w:type="dxa"/>
                  <w:tcBorders>
                    <w:tl2br w:val="nil"/>
                    <w:tr2bl w:val="nil"/>
                  </w:tcBorders>
                  <w:noWrap w:val="0"/>
                  <w:vAlign w:val="center"/>
                </w:tcPr>
                <w:p w14:paraId="09A9B6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val="0"/>
                      <w:color w:val="000000"/>
                      <w:sz w:val="21"/>
                      <w:szCs w:val="21"/>
                      <w:highlight w:val="none"/>
                      <w:vertAlign w:val="baseline"/>
                      <w:lang w:eastAsia="zh-CN"/>
                    </w:rPr>
                  </w:pPr>
                  <w:r>
                    <w:rPr>
                      <w:rFonts w:hint="eastAsia"/>
                      <w:highlight w:val="none"/>
                    </w:rPr>
                    <w:t>利旧</w:t>
                  </w:r>
                  <w:r>
                    <w:rPr>
                      <w:rFonts w:hint="eastAsia"/>
                      <w:highlight w:val="none"/>
                      <w:lang w:val="en-US" w:eastAsia="zh-CN"/>
                    </w:rPr>
                    <w:t>联博</w:t>
                  </w:r>
                  <w:r>
                    <w:rPr>
                      <w:rFonts w:hint="eastAsia"/>
                      <w:highlight w:val="none"/>
                    </w:rPr>
                    <w:t>管廊现状 远景</w:t>
                  </w:r>
                </w:p>
              </w:tc>
              <w:tc>
                <w:tcPr>
                  <w:tcW w:w="4026" w:type="dxa"/>
                  <w:tcBorders>
                    <w:tl2br w:val="nil"/>
                    <w:tr2bl w:val="nil"/>
                  </w:tcBorders>
                  <w:noWrap w:val="0"/>
                  <w:vAlign w:val="center"/>
                </w:tcPr>
                <w:p w14:paraId="03DE6F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val="0"/>
                      <w:color w:val="000000"/>
                      <w:sz w:val="21"/>
                      <w:szCs w:val="21"/>
                      <w:highlight w:val="none"/>
                      <w:vertAlign w:val="baseline"/>
                      <w:lang w:eastAsia="zh-CN"/>
                    </w:rPr>
                  </w:pPr>
                  <w:r>
                    <w:rPr>
                      <w:rFonts w:hint="eastAsia"/>
                      <w:highlight w:val="none"/>
                    </w:rPr>
                    <w:t>利旧</w:t>
                  </w:r>
                  <w:r>
                    <w:rPr>
                      <w:rFonts w:hint="eastAsia"/>
                      <w:highlight w:val="none"/>
                      <w:lang w:val="en-US" w:eastAsia="zh-CN"/>
                    </w:rPr>
                    <w:t>联博</w:t>
                  </w:r>
                  <w:r>
                    <w:rPr>
                      <w:rFonts w:hint="eastAsia"/>
                      <w:highlight w:val="none"/>
                    </w:rPr>
                    <w:t>管廊现状 局部近景</w:t>
                  </w:r>
                </w:p>
              </w:tc>
            </w:tr>
            <w:tr w14:paraId="0BFC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6" w:type="dxa"/>
                  <w:tcBorders>
                    <w:tl2br w:val="nil"/>
                    <w:tr2bl w:val="nil"/>
                  </w:tcBorders>
                  <w:noWrap w:val="0"/>
                  <w:vAlign w:val="center"/>
                </w:tcPr>
                <w:p w14:paraId="2B957CC6">
                  <w:pPr>
                    <w:keepNext/>
                    <w:adjustRightInd w:val="0"/>
                    <w:snapToGrid w:val="0"/>
                    <w:spacing w:line="240" w:lineRule="auto"/>
                    <w:jc w:val="both"/>
                    <w:rPr>
                      <w:rFonts w:hint="default" w:eastAsia="宋体"/>
                      <w:b w:val="0"/>
                      <w:bCs w:val="0"/>
                      <w:color w:val="000000"/>
                      <w:sz w:val="21"/>
                      <w:szCs w:val="21"/>
                      <w:highlight w:val="none"/>
                      <w:vertAlign w:val="baseline"/>
                      <w:lang w:val="en-US" w:eastAsia="zh-CN"/>
                    </w:rPr>
                  </w:pPr>
                  <w:r>
                    <w:rPr>
                      <w:color w:val="000000"/>
                      <w:sz w:val="21"/>
                      <w:szCs w:val="21"/>
                      <w:highlight w:val="none"/>
                    </w:rPr>
                    <w:drawing>
                      <wp:inline distT="0" distB="0" distL="114300" distR="114300">
                        <wp:extent cx="2412365" cy="3217545"/>
                        <wp:effectExtent l="0" t="0" r="6985" b="1905"/>
                        <wp:docPr id="22" name="图片 22" descr="f00d8c4bd8bedc70c8667a09c17a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00d8c4bd8bedc70c8667a09c17a7247"/>
                                <pic:cNvPicPr>
                                  <a:picLocks noChangeAspect="1"/>
                                </pic:cNvPicPr>
                              </pic:nvPicPr>
                              <pic:blipFill>
                                <a:blip r:embed="rId11"/>
                                <a:stretch>
                                  <a:fillRect/>
                                </a:stretch>
                              </pic:blipFill>
                              <pic:spPr>
                                <a:xfrm>
                                  <a:off x="0" y="0"/>
                                  <a:ext cx="2412365" cy="3217545"/>
                                </a:xfrm>
                                <a:prstGeom prst="rect">
                                  <a:avLst/>
                                </a:prstGeom>
                              </pic:spPr>
                            </pic:pic>
                          </a:graphicData>
                        </a:graphic>
                      </wp:inline>
                    </w:drawing>
                  </w:r>
                </w:p>
              </w:tc>
              <w:tc>
                <w:tcPr>
                  <w:tcW w:w="4026" w:type="dxa"/>
                  <w:tcBorders>
                    <w:tl2br w:val="nil"/>
                    <w:tr2bl w:val="nil"/>
                  </w:tcBorders>
                  <w:noWrap w:val="0"/>
                  <w:vAlign w:val="center"/>
                </w:tcPr>
                <w:p w14:paraId="0E77726B">
                  <w:pPr>
                    <w:keepNext/>
                    <w:adjustRightInd w:val="0"/>
                    <w:snapToGrid w:val="0"/>
                    <w:spacing w:line="240" w:lineRule="auto"/>
                    <w:jc w:val="both"/>
                    <w:rPr>
                      <w:rFonts w:hint="eastAsia" w:eastAsia="宋体"/>
                      <w:b w:val="0"/>
                      <w:bCs w:val="0"/>
                      <w:color w:val="000000"/>
                      <w:sz w:val="21"/>
                      <w:szCs w:val="21"/>
                      <w:highlight w:val="none"/>
                      <w:vertAlign w:val="baseline"/>
                      <w:lang w:val="en-US" w:eastAsia="zh-CN"/>
                    </w:rPr>
                  </w:pPr>
                  <w:r>
                    <w:rPr>
                      <w:rFonts w:hint="eastAsia"/>
                      <w:color w:val="000000"/>
                      <w:sz w:val="21"/>
                      <w:szCs w:val="21"/>
                      <w:highlight w:val="none"/>
                    </w:rPr>
                    <w:drawing>
                      <wp:inline distT="0" distB="0" distL="114300" distR="114300">
                        <wp:extent cx="2412365" cy="3217545"/>
                        <wp:effectExtent l="0" t="0" r="6985" b="1905"/>
                        <wp:docPr id="23" name="图片 23" descr="365669a7bb27da02d464e34ec6c8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65669a7bb27da02d464e34ec6c8574d"/>
                                <pic:cNvPicPr>
                                  <a:picLocks noChangeAspect="1"/>
                                </pic:cNvPicPr>
                              </pic:nvPicPr>
                              <pic:blipFill>
                                <a:blip r:embed="rId12"/>
                                <a:stretch>
                                  <a:fillRect/>
                                </a:stretch>
                              </pic:blipFill>
                              <pic:spPr>
                                <a:xfrm>
                                  <a:off x="0" y="0"/>
                                  <a:ext cx="2412365" cy="3217545"/>
                                </a:xfrm>
                                <a:prstGeom prst="rect">
                                  <a:avLst/>
                                </a:prstGeom>
                              </pic:spPr>
                            </pic:pic>
                          </a:graphicData>
                        </a:graphic>
                      </wp:inline>
                    </w:drawing>
                  </w:r>
                </w:p>
              </w:tc>
            </w:tr>
            <w:tr w14:paraId="43CA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6" w:type="dxa"/>
                  <w:tcBorders>
                    <w:tl2br w:val="nil"/>
                    <w:tr2bl w:val="nil"/>
                  </w:tcBorders>
                  <w:noWrap w:val="0"/>
                  <w:vAlign w:val="center"/>
                </w:tcPr>
                <w:p w14:paraId="35BB10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highlight w:val="none"/>
                    </w:rPr>
                  </w:pPr>
                  <w:r>
                    <w:rPr>
                      <w:rFonts w:hint="eastAsia" w:ascii="Times New Roman" w:hAnsi="Times New Roman" w:eastAsia="宋体" w:cs="Times New Roman"/>
                      <w:highlight w:val="none"/>
                    </w:rPr>
                    <w:t>清净废水及WRT甲烷气沿支墩敷设后沿</w:t>
                  </w:r>
                  <w:r>
                    <w:rPr>
                      <w:rFonts w:hint="eastAsia" w:ascii="Times New Roman" w:hAnsi="Times New Roman" w:eastAsia="宋体" w:cs="Times New Roman"/>
                      <w:highlight w:val="none"/>
                      <w:lang w:val="en-US" w:eastAsia="zh-CN"/>
                    </w:rPr>
                    <w:t>厂区外</w:t>
                  </w:r>
                  <w:r>
                    <w:rPr>
                      <w:rFonts w:hint="eastAsia" w:ascii="Times New Roman" w:hAnsi="Times New Roman" w:eastAsia="宋体" w:cs="Times New Roman"/>
                      <w:highlight w:val="none"/>
                    </w:rPr>
                    <w:t>管廊敷设</w:t>
                  </w:r>
                </w:p>
              </w:tc>
              <w:tc>
                <w:tcPr>
                  <w:tcW w:w="4026" w:type="dxa"/>
                  <w:tcBorders>
                    <w:tl2br w:val="nil"/>
                    <w:tr2bl w:val="nil"/>
                  </w:tcBorders>
                  <w:noWrap w:val="0"/>
                  <w:vAlign w:val="center"/>
                </w:tcPr>
                <w:p w14:paraId="7B3135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highlight w:val="none"/>
                    </w:rPr>
                  </w:pPr>
                  <w:r>
                    <w:rPr>
                      <w:rFonts w:hint="eastAsia" w:ascii="Times New Roman" w:hAnsi="Times New Roman" w:eastAsia="宋体" w:cs="Times New Roman"/>
                      <w:highlight w:val="none"/>
                    </w:rPr>
                    <w:t>清净废水及WRT甲烷气沿</w:t>
                  </w:r>
                  <w:r>
                    <w:rPr>
                      <w:rFonts w:hint="eastAsia" w:ascii="Times New Roman" w:hAnsi="Times New Roman" w:eastAsia="宋体" w:cs="Times New Roman"/>
                      <w:highlight w:val="none"/>
                      <w:lang w:val="en-US" w:eastAsia="zh-CN"/>
                    </w:rPr>
                    <w:t>旧</w:t>
                  </w:r>
                  <w:r>
                    <w:rPr>
                      <w:rFonts w:hint="eastAsia" w:ascii="Times New Roman" w:hAnsi="Times New Roman" w:eastAsia="宋体" w:cs="Times New Roman"/>
                      <w:highlight w:val="none"/>
                    </w:rPr>
                    <w:t>支墩敷设</w:t>
                  </w:r>
                </w:p>
              </w:tc>
            </w:tr>
          </w:tbl>
          <w:p w14:paraId="6449FBD5">
            <w:pPr>
              <w:adjustRightInd w:val="0"/>
              <w:snapToGrid w:val="0"/>
              <w:spacing w:line="360" w:lineRule="auto"/>
              <w:jc w:val="center"/>
              <w:rPr>
                <w:rFonts w:hint="default" w:cs="Times New Roman"/>
                <w:b/>
                <w:bCs w:val="0"/>
                <w:sz w:val="21"/>
                <w:szCs w:val="21"/>
                <w:highlight w:val="none"/>
                <w:lang w:val="en-US" w:eastAsia="zh-CN"/>
              </w:rPr>
            </w:pPr>
            <w:r>
              <w:rPr>
                <w:rFonts w:hint="eastAsia" w:cs="Times New Roman"/>
                <w:b/>
                <w:bCs w:val="0"/>
                <w:sz w:val="21"/>
                <w:szCs w:val="21"/>
                <w:highlight w:val="none"/>
                <w:lang w:val="en-US" w:eastAsia="zh-CN"/>
              </w:rPr>
              <w:t>图2-1   现场照片</w:t>
            </w:r>
          </w:p>
          <w:p w14:paraId="393C28D6">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本次</w:t>
            </w:r>
            <w:r>
              <w:rPr>
                <w:rFonts w:hint="default" w:ascii="Times New Roman" w:hAnsi="Times New Roman" w:eastAsia="宋体" w:cs="Times New Roman"/>
                <w:bCs/>
                <w:sz w:val="24"/>
                <w:highlight w:val="none"/>
                <w:lang w:val="en-US" w:eastAsia="zh-CN"/>
              </w:rPr>
              <w:t>管线</w:t>
            </w:r>
            <w:r>
              <w:rPr>
                <w:rFonts w:hint="eastAsia" w:cs="Times New Roman"/>
                <w:bCs/>
                <w:sz w:val="24"/>
                <w:highlight w:val="none"/>
                <w:lang w:val="en-US" w:eastAsia="zh-CN"/>
              </w:rPr>
              <w:t>起点</w:t>
            </w:r>
            <w:r>
              <w:rPr>
                <w:rFonts w:hint="default" w:ascii="Times New Roman" w:hAnsi="Times New Roman" w:eastAsia="宋体" w:cs="Times New Roman"/>
                <w:bCs/>
                <w:sz w:val="24"/>
                <w:highlight w:val="none"/>
                <w:lang w:val="en-US" w:eastAsia="zh-CN"/>
              </w:rPr>
              <w:t>坐标如下表2-1</w:t>
            </w:r>
            <w:r>
              <w:rPr>
                <w:rFonts w:hint="eastAsia" w:cs="Times New Roman"/>
                <w:bCs/>
                <w:sz w:val="24"/>
                <w:highlight w:val="none"/>
                <w:lang w:val="en-US" w:eastAsia="zh-CN"/>
              </w:rPr>
              <w:t>所示</w:t>
            </w:r>
            <w:r>
              <w:rPr>
                <w:rFonts w:hint="default" w:ascii="Times New Roman" w:hAnsi="Times New Roman" w:eastAsia="宋体" w:cs="Times New Roman"/>
                <w:bCs/>
                <w:sz w:val="24"/>
                <w:highlight w:val="none"/>
                <w:lang w:val="en-US" w:eastAsia="zh-CN"/>
              </w:rPr>
              <w:t>，项目具体</w:t>
            </w:r>
            <w:r>
              <w:rPr>
                <w:rFonts w:hint="eastAsia" w:cs="Times New Roman"/>
                <w:bCs/>
                <w:sz w:val="24"/>
                <w:highlight w:val="none"/>
                <w:lang w:val="en-US" w:eastAsia="zh-CN"/>
              </w:rPr>
              <w:t>位置见附图1，走向</w:t>
            </w:r>
            <w:r>
              <w:rPr>
                <w:rFonts w:hint="default" w:ascii="Times New Roman" w:hAnsi="Times New Roman" w:eastAsia="宋体" w:cs="Times New Roman"/>
                <w:bCs/>
                <w:sz w:val="24"/>
                <w:highlight w:val="none"/>
                <w:lang w:val="en-US" w:eastAsia="zh-CN"/>
              </w:rPr>
              <w:t>位置见附图</w:t>
            </w:r>
            <w:r>
              <w:rPr>
                <w:rFonts w:hint="eastAsia" w:cs="Times New Roman"/>
                <w:bCs/>
                <w:sz w:val="24"/>
                <w:highlight w:val="none"/>
                <w:lang w:val="en-US" w:eastAsia="zh-CN"/>
              </w:rPr>
              <w:t>2</w:t>
            </w:r>
            <w:r>
              <w:rPr>
                <w:rFonts w:hint="default" w:ascii="Times New Roman" w:hAnsi="Times New Roman" w:eastAsia="宋体" w:cs="Times New Roman"/>
                <w:bCs/>
                <w:sz w:val="24"/>
                <w:highlight w:val="none"/>
                <w:lang w:val="en-US" w:eastAsia="zh-CN"/>
              </w:rPr>
              <w:t>。</w:t>
            </w:r>
          </w:p>
          <w:p w14:paraId="1343A336">
            <w:pPr>
              <w:adjustRightInd w:val="0"/>
              <w:snapToGrid w:val="0"/>
              <w:spacing w:line="360" w:lineRule="auto"/>
              <w:jc w:val="center"/>
              <w:rPr>
                <w:rFonts w:hint="default" w:ascii="Times New Roman" w:hAnsi="Times New Roman" w:eastAsia="宋体" w:cs="Times New Roman"/>
                <w:b/>
                <w:bCs w:val="0"/>
                <w:sz w:val="21"/>
                <w:szCs w:val="21"/>
                <w:highlight w:val="none"/>
                <w:lang w:val="en-US" w:eastAsia="zh-CN"/>
              </w:rPr>
            </w:pPr>
            <w:r>
              <w:rPr>
                <w:rFonts w:hint="eastAsia" w:cs="Times New Roman"/>
                <w:b/>
                <w:bCs w:val="0"/>
                <w:sz w:val="21"/>
                <w:szCs w:val="21"/>
                <w:highlight w:val="none"/>
                <w:lang w:val="en-US" w:eastAsia="zh-CN"/>
              </w:rPr>
              <w:t>表2-1   管线坐标</w:t>
            </w:r>
          </w:p>
          <w:tbl>
            <w:tblPr>
              <w:tblStyle w:val="19"/>
              <w:tblW w:w="46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361"/>
              <w:gridCol w:w="2361"/>
              <w:gridCol w:w="2511"/>
            </w:tblGrid>
            <w:tr w14:paraId="282E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19" w:type="pct"/>
                  <w:noWrap/>
                  <w:vAlign w:val="center"/>
                </w:tcPr>
                <w:p w14:paraId="221B71AD">
                  <w:pPr>
                    <w:pStyle w:val="38"/>
                    <w:rPr>
                      <w:rFonts w:hint="eastAsia" w:eastAsia="宋体"/>
                      <w:color w:val="auto"/>
                      <w:highlight w:val="none"/>
                      <w:lang w:val="en-US" w:eastAsia="zh-CN"/>
                    </w:rPr>
                  </w:pPr>
                  <w:r>
                    <w:rPr>
                      <w:rFonts w:hint="eastAsia"/>
                      <w:color w:val="auto"/>
                      <w:highlight w:val="none"/>
                      <w:lang w:val="en-US" w:eastAsia="zh-CN"/>
                    </w:rPr>
                    <w:t>序号</w:t>
                  </w:r>
                </w:p>
              </w:tc>
              <w:tc>
                <w:tcPr>
                  <w:tcW w:w="1495" w:type="pct"/>
                  <w:noWrap/>
                  <w:vAlign w:val="center"/>
                </w:tcPr>
                <w:p w14:paraId="449A4299">
                  <w:pPr>
                    <w:pStyle w:val="38"/>
                    <w:rPr>
                      <w:rFonts w:hint="eastAsia" w:eastAsia="宋体"/>
                      <w:color w:val="auto"/>
                      <w:highlight w:val="none"/>
                      <w:lang w:val="en-US" w:eastAsia="zh-CN"/>
                    </w:rPr>
                  </w:pPr>
                  <w:r>
                    <w:rPr>
                      <w:rFonts w:hint="eastAsia"/>
                      <w:color w:val="auto"/>
                      <w:highlight w:val="none"/>
                      <w:lang w:val="en-US" w:eastAsia="zh-CN"/>
                    </w:rPr>
                    <w:t>名称</w:t>
                  </w:r>
                </w:p>
              </w:tc>
              <w:tc>
                <w:tcPr>
                  <w:tcW w:w="1495" w:type="pct"/>
                  <w:noWrap/>
                  <w:vAlign w:val="center"/>
                </w:tcPr>
                <w:p w14:paraId="479F7A84">
                  <w:pPr>
                    <w:pStyle w:val="38"/>
                    <w:rPr>
                      <w:rFonts w:hint="eastAsia" w:eastAsia="宋体"/>
                      <w:color w:val="auto"/>
                      <w:highlight w:val="none"/>
                      <w:lang w:val="en-US" w:eastAsia="zh-CN"/>
                    </w:rPr>
                  </w:pPr>
                  <w:r>
                    <w:rPr>
                      <w:rFonts w:hint="eastAsia"/>
                      <w:color w:val="auto"/>
                      <w:highlight w:val="none"/>
                      <w:lang w:val="en-US" w:eastAsia="zh-CN"/>
                    </w:rPr>
                    <w:t>起点</w:t>
                  </w:r>
                </w:p>
              </w:tc>
              <w:tc>
                <w:tcPr>
                  <w:tcW w:w="1589" w:type="pct"/>
                  <w:noWrap/>
                  <w:vAlign w:val="center"/>
                </w:tcPr>
                <w:p w14:paraId="77472823">
                  <w:pPr>
                    <w:pStyle w:val="38"/>
                    <w:rPr>
                      <w:rFonts w:hint="eastAsia" w:eastAsia="宋体"/>
                      <w:color w:val="auto"/>
                      <w:highlight w:val="none"/>
                      <w:lang w:val="en-US" w:eastAsia="zh-CN"/>
                    </w:rPr>
                  </w:pPr>
                  <w:r>
                    <w:rPr>
                      <w:rFonts w:hint="eastAsia"/>
                      <w:color w:val="auto"/>
                      <w:highlight w:val="none"/>
                      <w:lang w:val="en-US" w:eastAsia="zh-CN"/>
                    </w:rPr>
                    <w:t>终点</w:t>
                  </w:r>
                </w:p>
              </w:tc>
            </w:tr>
            <w:tr w14:paraId="0093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52A871CF">
                  <w:pPr>
                    <w:pStyle w:val="38"/>
                    <w:rPr>
                      <w:color w:val="auto"/>
                      <w:highlight w:val="none"/>
                    </w:rPr>
                  </w:pPr>
                  <w:r>
                    <w:rPr>
                      <w:rFonts w:hint="eastAsia"/>
                      <w:color w:val="auto"/>
                      <w:highlight w:val="none"/>
                    </w:rPr>
                    <w:t>1</w:t>
                  </w:r>
                </w:p>
              </w:tc>
              <w:tc>
                <w:tcPr>
                  <w:tcW w:w="1495" w:type="pct"/>
                  <w:noWrap/>
                  <w:vAlign w:val="center"/>
                </w:tcPr>
                <w:p w14:paraId="04FD1281">
                  <w:pPr>
                    <w:jc w:val="center"/>
                    <w:rPr>
                      <w:rFonts w:hint="eastAsia" w:eastAsia="宋体"/>
                      <w:color w:val="auto"/>
                      <w:highlight w:val="none"/>
                      <w:lang w:val="en-US" w:eastAsia="zh-CN"/>
                    </w:rPr>
                  </w:pPr>
                  <w:r>
                    <w:rPr>
                      <w:rFonts w:hint="eastAsia"/>
                      <w:highlight w:val="none"/>
                      <w:lang w:val="en-US" w:eastAsia="zh-CN"/>
                    </w:rPr>
                    <w:t>合成脱碳尾气管道</w:t>
                  </w:r>
                </w:p>
              </w:tc>
              <w:tc>
                <w:tcPr>
                  <w:tcW w:w="1495" w:type="pct"/>
                  <w:noWrap/>
                  <w:vAlign w:val="center"/>
                </w:tcPr>
                <w:p w14:paraId="5BC43FC1">
                  <w:pPr>
                    <w:pStyle w:val="38"/>
                    <w:rPr>
                      <w:rFonts w:hint="eastAsia" w:eastAsia="宋体"/>
                      <w:color w:val="auto"/>
                      <w:highlight w:val="none"/>
                      <w:lang w:eastAsia="zh-CN"/>
                    </w:rPr>
                  </w:pPr>
                  <w:r>
                    <w:rPr>
                      <w:rFonts w:hint="eastAsia"/>
                      <w:color w:val="auto"/>
                      <w:highlight w:val="none"/>
                    </w:rPr>
                    <w:t>108.499034290</w:t>
                  </w:r>
                  <w:r>
                    <w:rPr>
                      <w:rFonts w:hint="eastAsia"/>
                      <w:color w:val="auto"/>
                      <w:highlight w:val="none"/>
                      <w:lang w:eastAsia="zh-CN"/>
                    </w:rPr>
                    <w:t>，</w:t>
                  </w:r>
                </w:p>
                <w:p w14:paraId="27E36F12">
                  <w:pPr>
                    <w:pStyle w:val="38"/>
                    <w:rPr>
                      <w:color w:val="auto"/>
                      <w:highlight w:val="none"/>
                    </w:rPr>
                  </w:pPr>
                  <w:r>
                    <w:rPr>
                      <w:rFonts w:hint="eastAsia"/>
                      <w:color w:val="auto"/>
                      <w:highlight w:val="none"/>
                    </w:rPr>
                    <w:t>40.027871235</w:t>
                  </w:r>
                </w:p>
              </w:tc>
              <w:tc>
                <w:tcPr>
                  <w:tcW w:w="1589" w:type="pct"/>
                  <w:noWrap/>
                  <w:vAlign w:val="center"/>
                </w:tcPr>
                <w:p w14:paraId="37C0AC45">
                  <w:pPr>
                    <w:pStyle w:val="38"/>
                    <w:rPr>
                      <w:rFonts w:hint="eastAsia" w:eastAsia="宋体"/>
                      <w:color w:val="auto"/>
                      <w:highlight w:val="none"/>
                      <w:lang w:eastAsia="zh-CN"/>
                    </w:rPr>
                  </w:pPr>
                  <w:r>
                    <w:rPr>
                      <w:rFonts w:hint="eastAsia"/>
                      <w:color w:val="auto"/>
                      <w:highlight w:val="none"/>
                    </w:rPr>
                    <w:t>108.499985133</w:t>
                  </w:r>
                  <w:r>
                    <w:rPr>
                      <w:rFonts w:hint="eastAsia"/>
                      <w:color w:val="auto"/>
                      <w:highlight w:val="none"/>
                      <w:lang w:eastAsia="zh-CN"/>
                    </w:rPr>
                    <w:t>，</w:t>
                  </w:r>
                </w:p>
                <w:p w14:paraId="0C853E34">
                  <w:pPr>
                    <w:pStyle w:val="38"/>
                    <w:rPr>
                      <w:color w:val="auto"/>
                      <w:highlight w:val="none"/>
                    </w:rPr>
                  </w:pPr>
                  <w:r>
                    <w:rPr>
                      <w:rFonts w:hint="eastAsia"/>
                      <w:color w:val="auto"/>
                      <w:highlight w:val="none"/>
                    </w:rPr>
                    <w:t>40.026430889</w:t>
                  </w:r>
                </w:p>
              </w:tc>
            </w:tr>
            <w:tr w14:paraId="5950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5A9CBCC5">
                  <w:pPr>
                    <w:pStyle w:val="38"/>
                    <w:rPr>
                      <w:color w:val="auto"/>
                      <w:highlight w:val="none"/>
                    </w:rPr>
                  </w:pPr>
                  <w:r>
                    <w:rPr>
                      <w:rFonts w:hint="eastAsia"/>
                      <w:color w:val="auto"/>
                      <w:highlight w:val="none"/>
                    </w:rPr>
                    <w:t>2</w:t>
                  </w:r>
                </w:p>
              </w:tc>
              <w:tc>
                <w:tcPr>
                  <w:tcW w:w="1495" w:type="pct"/>
                  <w:noWrap/>
                  <w:vAlign w:val="center"/>
                </w:tcPr>
                <w:p w14:paraId="3E206CB3">
                  <w:pPr>
                    <w:jc w:val="center"/>
                    <w:rPr>
                      <w:rFonts w:hint="default"/>
                      <w:color w:val="auto"/>
                      <w:highlight w:val="none"/>
                      <w:lang w:val="en-US"/>
                    </w:rPr>
                  </w:pPr>
                  <w:r>
                    <w:rPr>
                      <w:rFonts w:hint="eastAsia"/>
                      <w:highlight w:val="none"/>
                      <w:lang w:val="en-US" w:eastAsia="zh-CN"/>
                    </w:rPr>
                    <w:t>未变换净化气管道</w:t>
                  </w:r>
                </w:p>
              </w:tc>
              <w:tc>
                <w:tcPr>
                  <w:tcW w:w="1495" w:type="pct"/>
                  <w:noWrap/>
                  <w:vAlign w:val="center"/>
                </w:tcPr>
                <w:p w14:paraId="31CB4E4A">
                  <w:pPr>
                    <w:pStyle w:val="38"/>
                    <w:rPr>
                      <w:rFonts w:hint="eastAsia" w:eastAsia="宋体"/>
                      <w:color w:val="auto"/>
                      <w:highlight w:val="none"/>
                      <w:lang w:eastAsia="zh-CN"/>
                    </w:rPr>
                  </w:pPr>
                  <w:r>
                    <w:rPr>
                      <w:rFonts w:hint="eastAsia"/>
                      <w:color w:val="auto"/>
                      <w:highlight w:val="none"/>
                    </w:rPr>
                    <w:t>108.496523742</w:t>
                  </w:r>
                  <w:r>
                    <w:rPr>
                      <w:rFonts w:hint="eastAsia"/>
                      <w:color w:val="auto"/>
                      <w:highlight w:val="none"/>
                      <w:lang w:eastAsia="zh-CN"/>
                    </w:rPr>
                    <w:t>，</w:t>
                  </w:r>
                </w:p>
                <w:p w14:paraId="656DA26C">
                  <w:pPr>
                    <w:pStyle w:val="38"/>
                    <w:rPr>
                      <w:color w:val="auto"/>
                      <w:highlight w:val="none"/>
                    </w:rPr>
                  </w:pPr>
                  <w:r>
                    <w:rPr>
                      <w:rFonts w:hint="eastAsia"/>
                      <w:color w:val="auto"/>
                      <w:highlight w:val="none"/>
                    </w:rPr>
                    <w:t>40.028025463</w:t>
                  </w:r>
                </w:p>
              </w:tc>
              <w:tc>
                <w:tcPr>
                  <w:tcW w:w="1589" w:type="pct"/>
                  <w:noWrap/>
                  <w:vAlign w:val="center"/>
                </w:tcPr>
                <w:p w14:paraId="52A63299">
                  <w:pPr>
                    <w:pStyle w:val="38"/>
                    <w:rPr>
                      <w:rFonts w:hint="eastAsia" w:eastAsia="宋体"/>
                      <w:color w:val="auto"/>
                      <w:highlight w:val="none"/>
                      <w:lang w:eastAsia="zh-CN"/>
                    </w:rPr>
                  </w:pPr>
                  <w:r>
                    <w:rPr>
                      <w:rFonts w:hint="eastAsia"/>
                      <w:color w:val="auto"/>
                      <w:highlight w:val="none"/>
                    </w:rPr>
                    <w:t>108.499991838</w:t>
                  </w:r>
                  <w:r>
                    <w:rPr>
                      <w:rFonts w:hint="eastAsia"/>
                      <w:color w:val="auto"/>
                      <w:highlight w:val="none"/>
                      <w:lang w:eastAsia="zh-CN"/>
                    </w:rPr>
                    <w:t>，</w:t>
                  </w:r>
                </w:p>
                <w:p w14:paraId="0FED4466">
                  <w:pPr>
                    <w:pStyle w:val="38"/>
                    <w:rPr>
                      <w:rFonts w:hint="eastAsia"/>
                      <w:color w:val="auto"/>
                      <w:highlight w:val="none"/>
                    </w:rPr>
                  </w:pPr>
                  <w:r>
                    <w:rPr>
                      <w:rFonts w:hint="eastAsia"/>
                      <w:color w:val="auto"/>
                      <w:highlight w:val="none"/>
                    </w:rPr>
                    <w:t>40.026434913</w:t>
                  </w:r>
                </w:p>
              </w:tc>
            </w:tr>
            <w:tr w14:paraId="1012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1F0978BB">
                  <w:pPr>
                    <w:pStyle w:val="38"/>
                    <w:rPr>
                      <w:color w:val="auto"/>
                      <w:highlight w:val="none"/>
                    </w:rPr>
                  </w:pPr>
                  <w:r>
                    <w:rPr>
                      <w:rFonts w:hint="eastAsia"/>
                      <w:color w:val="auto"/>
                      <w:highlight w:val="none"/>
                    </w:rPr>
                    <w:t>3</w:t>
                  </w:r>
                </w:p>
              </w:tc>
              <w:tc>
                <w:tcPr>
                  <w:tcW w:w="1495" w:type="pct"/>
                  <w:noWrap/>
                  <w:vAlign w:val="center"/>
                </w:tcPr>
                <w:p w14:paraId="5BFE46DF">
                  <w:pPr>
                    <w:jc w:val="center"/>
                    <w:rPr>
                      <w:rFonts w:hint="default"/>
                      <w:color w:val="auto"/>
                      <w:highlight w:val="none"/>
                      <w:lang w:val="en-US"/>
                    </w:rPr>
                  </w:pPr>
                  <w:r>
                    <w:rPr>
                      <w:rFonts w:hint="eastAsia"/>
                      <w:highlight w:val="none"/>
                      <w:lang w:val="en-US" w:eastAsia="zh-CN"/>
                    </w:rPr>
                    <w:t>尾气管道</w:t>
                  </w:r>
                </w:p>
              </w:tc>
              <w:tc>
                <w:tcPr>
                  <w:tcW w:w="1495" w:type="pct"/>
                  <w:noWrap/>
                  <w:vAlign w:val="center"/>
                </w:tcPr>
                <w:p w14:paraId="553AD38B">
                  <w:pPr>
                    <w:pStyle w:val="38"/>
                    <w:rPr>
                      <w:rFonts w:hint="eastAsia" w:eastAsia="宋体"/>
                      <w:color w:val="auto"/>
                      <w:highlight w:val="none"/>
                      <w:lang w:eastAsia="zh-CN"/>
                    </w:rPr>
                  </w:pPr>
                  <w:r>
                    <w:rPr>
                      <w:rFonts w:hint="eastAsia"/>
                      <w:color w:val="auto"/>
                      <w:highlight w:val="none"/>
                    </w:rPr>
                    <w:t>108.499951605</w:t>
                  </w:r>
                  <w:r>
                    <w:rPr>
                      <w:rFonts w:hint="eastAsia"/>
                      <w:color w:val="auto"/>
                      <w:highlight w:val="none"/>
                      <w:lang w:eastAsia="zh-CN"/>
                    </w:rPr>
                    <w:t>，</w:t>
                  </w:r>
                </w:p>
                <w:p w14:paraId="2A2C910A">
                  <w:pPr>
                    <w:pStyle w:val="38"/>
                    <w:ind w:firstLine="0" w:firstLineChars="0"/>
                    <w:rPr>
                      <w:color w:val="auto"/>
                      <w:highlight w:val="none"/>
                    </w:rPr>
                  </w:pPr>
                  <w:r>
                    <w:rPr>
                      <w:rFonts w:hint="eastAsia"/>
                      <w:color w:val="auto"/>
                      <w:highlight w:val="none"/>
                    </w:rPr>
                    <w:t>40.026386633</w:t>
                  </w:r>
                </w:p>
              </w:tc>
              <w:tc>
                <w:tcPr>
                  <w:tcW w:w="1589" w:type="pct"/>
                  <w:noWrap/>
                  <w:vAlign w:val="center"/>
                </w:tcPr>
                <w:p w14:paraId="284CBADA">
                  <w:pPr>
                    <w:pStyle w:val="38"/>
                    <w:rPr>
                      <w:rFonts w:hint="eastAsia" w:eastAsia="宋体"/>
                      <w:color w:val="auto"/>
                      <w:highlight w:val="none"/>
                      <w:lang w:eastAsia="zh-CN"/>
                    </w:rPr>
                  </w:pPr>
                  <w:r>
                    <w:rPr>
                      <w:rFonts w:hint="eastAsia"/>
                      <w:color w:val="auto"/>
                      <w:highlight w:val="none"/>
                    </w:rPr>
                    <w:t>108.496735637</w:t>
                  </w:r>
                  <w:r>
                    <w:rPr>
                      <w:rFonts w:hint="eastAsia"/>
                      <w:color w:val="auto"/>
                      <w:highlight w:val="none"/>
                      <w:lang w:eastAsia="zh-CN"/>
                    </w:rPr>
                    <w:t>，</w:t>
                  </w:r>
                </w:p>
                <w:p w14:paraId="00AAEC3D">
                  <w:pPr>
                    <w:pStyle w:val="38"/>
                    <w:ind w:firstLine="0" w:firstLineChars="0"/>
                    <w:rPr>
                      <w:rFonts w:hint="eastAsia"/>
                      <w:color w:val="auto"/>
                      <w:highlight w:val="none"/>
                    </w:rPr>
                  </w:pPr>
                  <w:r>
                    <w:rPr>
                      <w:rFonts w:hint="eastAsia"/>
                      <w:color w:val="auto"/>
                      <w:highlight w:val="none"/>
                    </w:rPr>
                    <w:t>40.028969600</w:t>
                  </w:r>
                </w:p>
              </w:tc>
            </w:tr>
            <w:tr w14:paraId="6F51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43015A89">
                  <w:pPr>
                    <w:pStyle w:val="38"/>
                    <w:rPr>
                      <w:color w:val="auto"/>
                      <w:highlight w:val="none"/>
                    </w:rPr>
                  </w:pPr>
                  <w:r>
                    <w:rPr>
                      <w:rFonts w:hint="eastAsia"/>
                      <w:color w:val="auto"/>
                      <w:highlight w:val="none"/>
                    </w:rPr>
                    <w:t>4</w:t>
                  </w:r>
                </w:p>
              </w:tc>
              <w:tc>
                <w:tcPr>
                  <w:tcW w:w="1495" w:type="pct"/>
                  <w:noWrap/>
                  <w:vAlign w:val="center"/>
                </w:tcPr>
                <w:p w14:paraId="1C5A2E10">
                  <w:pPr>
                    <w:jc w:val="center"/>
                    <w:rPr>
                      <w:rFonts w:hint="default"/>
                      <w:color w:val="auto"/>
                      <w:highlight w:val="none"/>
                      <w:lang w:val="en-US"/>
                    </w:rPr>
                  </w:pPr>
                  <w:r>
                    <w:rPr>
                      <w:rFonts w:hint="eastAsia"/>
                      <w:highlight w:val="none"/>
                      <w:lang w:val="en-US" w:eastAsia="zh-CN"/>
                    </w:rPr>
                    <w:t>WTR甲烷气管道</w:t>
                  </w:r>
                </w:p>
              </w:tc>
              <w:tc>
                <w:tcPr>
                  <w:tcW w:w="1495" w:type="pct"/>
                  <w:noWrap/>
                  <w:vAlign w:val="center"/>
                </w:tcPr>
                <w:p w14:paraId="3DE97447">
                  <w:pPr>
                    <w:pStyle w:val="38"/>
                    <w:rPr>
                      <w:rFonts w:hint="eastAsia" w:eastAsia="宋体"/>
                      <w:color w:val="auto"/>
                      <w:highlight w:val="none"/>
                      <w:lang w:eastAsia="zh-CN"/>
                    </w:rPr>
                  </w:pPr>
                  <w:r>
                    <w:rPr>
                      <w:rFonts w:hint="eastAsia"/>
                      <w:color w:val="auto"/>
                      <w:highlight w:val="none"/>
                    </w:rPr>
                    <w:t>108.500077669</w:t>
                  </w:r>
                  <w:r>
                    <w:rPr>
                      <w:rFonts w:hint="eastAsia"/>
                      <w:color w:val="auto"/>
                      <w:highlight w:val="none"/>
                      <w:lang w:eastAsia="zh-CN"/>
                    </w:rPr>
                    <w:t>，</w:t>
                  </w:r>
                </w:p>
                <w:p w14:paraId="1B67AA1E">
                  <w:pPr>
                    <w:pStyle w:val="38"/>
                    <w:rPr>
                      <w:color w:val="auto"/>
                      <w:highlight w:val="none"/>
                    </w:rPr>
                  </w:pPr>
                  <w:r>
                    <w:rPr>
                      <w:rFonts w:hint="eastAsia"/>
                      <w:color w:val="auto"/>
                      <w:highlight w:val="none"/>
                    </w:rPr>
                    <w:t>40.026523425</w:t>
                  </w:r>
                </w:p>
              </w:tc>
              <w:tc>
                <w:tcPr>
                  <w:tcW w:w="1589" w:type="pct"/>
                  <w:noWrap/>
                  <w:vAlign w:val="center"/>
                </w:tcPr>
                <w:p w14:paraId="783B6172">
                  <w:pPr>
                    <w:pStyle w:val="38"/>
                    <w:rPr>
                      <w:rFonts w:hint="eastAsia" w:eastAsia="宋体"/>
                      <w:color w:val="auto"/>
                      <w:highlight w:val="none"/>
                      <w:lang w:eastAsia="zh-CN"/>
                    </w:rPr>
                  </w:pPr>
                  <w:r>
                    <w:rPr>
                      <w:rFonts w:hint="eastAsia"/>
                      <w:color w:val="auto"/>
                      <w:highlight w:val="none"/>
                    </w:rPr>
                    <w:t>108.507275377</w:t>
                  </w:r>
                  <w:r>
                    <w:rPr>
                      <w:rFonts w:hint="eastAsia"/>
                      <w:color w:val="auto"/>
                      <w:highlight w:val="none"/>
                      <w:lang w:eastAsia="zh-CN"/>
                    </w:rPr>
                    <w:t>，</w:t>
                  </w:r>
                </w:p>
                <w:p w14:paraId="582937AB">
                  <w:pPr>
                    <w:pStyle w:val="38"/>
                    <w:rPr>
                      <w:rFonts w:hint="eastAsia"/>
                      <w:color w:val="auto"/>
                      <w:highlight w:val="none"/>
                    </w:rPr>
                  </w:pPr>
                  <w:r>
                    <w:rPr>
                      <w:rFonts w:hint="eastAsia"/>
                      <w:color w:val="auto"/>
                      <w:highlight w:val="none"/>
                    </w:rPr>
                    <w:t>40.031288370</w:t>
                  </w:r>
                </w:p>
              </w:tc>
            </w:tr>
            <w:tr w14:paraId="1D06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146A662C">
                  <w:pPr>
                    <w:pStyle w:val="38"/>
                    <w:rPr>
                      <w:color w:val="auto"/>
                      <w:highlight w:val="none"/>
                    </w:rPr>
                  </w:pPr>
                  <w:r>
                    <w:rPr>
                      <w:rFonts w:hint="eastAsia"/>
                      <w:color w:val="auto"/>
                      <w:highlight w:val="none"/>
                    </w:rPr>
                    <w:t>5</w:t>
                  </w:r>
                </w:p>
              </w:tc>
              <w:tc>
                <w:tcPr>
                  <w:tcW w:w="1495" w:type="pct"/>
                  <w:noWrap/>
                  <w:vAlign w:val="center"/>
                </w:tcPr>
                <w:p w14:paraId="11607CDC">
                  <w:pPr>
                    <w:jc w:val="center"/>
                    <w:rPr>
                      <w:rFonts w:hint="eastAsia"/>
                      <w:color w:val="auto"/>
                      <w:highlight w:val="none"/>
                    </w:rPr>
                  </w:pPr>
                  <w:r>
                    <w:rPr>
                      <w:rFonts w:hint="eastAsia"/>
                      <w:highlight w:val="none"/>
                      <w:lang w:val="en-US" w:eastAsia="zh-CN"/>
                    </w:rPr>
                    <w:t>甲烷气管道</w:t>
                  </w:r>
                </w:p>
              </w:tc>
              <w:tc>
                <w:tcPr>
                  <w:tcW w:w="1495" w:type="pct"/>
                  <w:noWrap/>
                  <w:vAlign w:val="center"/>
                </w:tcPr>
                <w:p w14:paraId="5DB54390">
                  <w:pPr>
                    <w:pStyle w:val="38"/>
                    <w:rPr>
                      <w:rFonts w:hint="eastAsia" w:eastAsia="宋体"/>
                      <w:color w:val="auto"/>
                      <w:highlight w:val="none"/>
                      <w:lang w:eastAsia="zh-CN"/>
                    </w:rPr>
                  </w:pPr>
                  <w:r>
                    <w:rPr>
                      <w:rFonts w:hint="eastAsia"/>
                      <w:color w:val="auto"/>
                      <w:highlight w:val="none"/>
                    </w:rPr>
                    <w:t>108.500997667</w:t>
                  </w:r>
                  <w:r>
                    <w:rPr>
                      <w:rFonts w:hint="eastAsia"/>
                      <w:color w:val="auto"/>
                      <w:highlight w:val="none"/>
                      <w:lang w:eastAsia="zh-CN"/>
                    </w:rPr>
                    <w:t>，</w:t>
                  </w:r>
                </w:p>
                <w:p w14:paraId="6852EBE0">
                  <w:pPr>
                    <w:pStyle w:val="38"/>
                    <w:rPr>
                      <w:color w:val="auto"/>
                      <w:highlight w:val="none"/>
                    </w:rPr>
                  </w:pPr>
                  <w:r>
                    <w:rPr>
                      <w:rFonts w:hint="eastAsia"/>
                      <w:color w:val="auto"/>
                      <w:highlight w:val="none"/>
                    </w:rPr>
                    <w:t>40.032633498</w:t>
                  </w:r>
                </w:p>
              </w:tc>
              <w:tc>
                <w:tcPr>
                  <w:tcW w:w="1589" w:type="pct"/>
                  <w:noWrap/>
                  <w:vAlign w:val="center"/>
                </w:tcPr>
                <w:p w14:paraId="7B259749">
                  <w:pPr>
                    <w:pStyle w:val="38"/>
                    <w:rPr>
                      <w:rFonts w:hint="eastAsia" w:eastAsia="宋体"/>
                      <w:color w:val="auto"/>
                      <w:highlight w:val="none"/>
                      <w:lang w:eastAsia="zh-CN"/>
                    </w:rPr>
                  </w:pPr>
                  <w:r>
                    <w:rPr>
                      <w:rFonts w:hint="eastAsia"/>
                      <w:color w:val="auto"/>
                      <w:highlight w:val="none"/>
                    </w:rPr>
                    <w:t>108.499975745</w:t>
                  </w:r>
                  <w:r>
                    <w:rPr>
                      <w:rFonts w:hint="eastAsia"/>
                      <w:color w:val="auto"/>
                      <w:highlight w:val="none"/>
                      <w:lang w:eastAsia="zh-CN"/>
                    </w:rPr>
                    <w:t>，</w:t>
                  </w:r>
                </w:p>
                <w:p w14:paraId="7B5AE726">
                  <w:pPr>
                    <w:pStyle w:val="38"/>
                    <w:rPr>
                      <w:rFonts w:hint="eastAsia"/>
                      <w:color w:val="auto"/>
                      <w:highlight w:val="none"/>
                    </w:rPr>
                  </w:pPr>
                  <w:r>
                    <w:rPr>
                      <w:rFonts w:hint="eastAsia"/>
                      <w:color w:val="auto"/>
                      <w:highlight w:val="none"/>
                    </w:rPr>
                    <w:t>40.026404067</w:t>
                  </w:r>
                </w:p>
              </w:tc>
            </w:tr>
            <w:tr w14:paraId="3394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310FDF0D">
                  <w:pPr>
                    <w:pStyle w:val="38"/>
                    <w:rPr>
                      <w:color w:val="auto"/>
                      <w:highlight w:val="none"/>
                    </w:rPr>
                  </w:pPr>
                  <w:r>
                    <w:rPr>
                      <w:rFonts w:hint="eastAsia"/>
                      <w:color w:val="auto"/>
                      <w:highlight w:val="none"/>
                    </w:rPr>
                    <w:t>6</w:t>
                  </w:r>
                </w:p>
              </w:tc>
              <w:tc>
                <w:tcPr>
                  <w:tcW w:w="1495" w:type="pct"/>
                  <w:noWrap/>
                  <w:vAlign w:val="center"/>
                </w:tcPr>
                <w:p w14:paraId="3BEFE43C">
                  <w:pPr>
                    <w:jc w:val="center"/>
                    <w:rPr>
                      <w:rFonts w:hint="eastAsia"/>
                      <w:color w:val="auto"/>
                      <w:highlight w:val="none"/>
                    </w:rPr>
                  </w:pPr>
                  <w:r>
                    <w:rPr>
                      <w:rFonts w:hint="eastAsia"/>
                      <w:highlight w:val="none"/>
                      <w:lang w:val="en-US" w:eastAsia="zh-CN"/>
                    </w:rPr>
                    <w:t>低压含烃火炬燃料气输送管道</w:t>
                  </w:r>
                </w:p>
              </w:tc>
              <w:tc>
                <w:tcPr>
                  <w:tcW w:w="1495" w:type="pct"/>
                  <w:noWrap/>
                  <w:vAlign w:val="center"/>
                </w:tcPr>
                <w:p w14:paraId="50BFEEF7">
                  <w:pPr>
                    <w:pStyle w:val="38"/>
                    <w:rPr>
                      <w:rFonts w:hint="eastAsia" w:eastAsia="宋体"/>
                      <w:color w:val="auto"/>
                      <w:highlight w:val="none"/>
                      <w:lang w:eastAsia="zh-CN"/>
                    </w:rPr>
                  </w:pPr>
                  <w:r>
                    <w:rPr>
                      <w:rFonts w:hint="eastAsia"/>
                      <w:color w:val="auto"/>
                      <w:highlight w:val="none"/>
                    </w:rPr>
                    <w:t>108.499963675</w:t>
                  </w:r>
                  <w:r>
                    <w:rPr>
                      <w:rFonts w:hint="eastAsia"/>
                      <w:color w:val="auto"/>
                      <w:highlight w:val="none"/>
                      <w:lang w:eastAsia="zh-CN"/>
                    </w:rPr>
                    <w:t>，</w:t>
                  </w:r>
                </w:p>
                <w:p w14:paraId="71F6054B">
                  <w:pPr>
                    <w:pStyle w:val="38"/>
                    <w:rPr>
                      <w:color w:val="auto"/>
                      <w:highlight w:val="none"/>
                    </w:rPr>
                  </w:pPr>
                  <w:r>
                    <w:rPr>
                      <w:rFonts w:hint="eastAsia"/>
                      <w:color w:val="auto"/>
                      <w:highlight w:val="none"/>
                    </w:rPr>
                    <w:t>40.026416137</w:t>
                  </w:r>
                </w:p>
              </w:tc>
              <w:tc>
                <w:tcPr>
                  <w:tcW w:w="1589" w:type="pct"/>
                  <w:noWrap/>
                  <w:vAlign w:val="center"/>
                </w:tcPr>
                <w:p w14:paraId="510EA60B">
                  <w:pPr>
                    <w:pStyle w:val="38"/>
                    <w:rPr>
                      <w:rFonts w:hint="eastAsia" w:eastAsia="宋体"/>
                      <w:color w:val="auto"/>
                      <w:highlight w:val="none"/>
                      <w:lang w:eastAsia="zh-CN"/>
                    </w:rPr>
                  </w:pPr>
                  <w:r>
                    <w:rPr>
                      <w:rFonts w:hint="eastAsia"/>
                      <w:color w:val="auto"/>
                      <w:highlight w:val="none"/>
                    </w:rPr>
                    <w:t>108.503512238</w:t>
                  </w:r>
                  <w:r>
                    <w:rPr>
                      <w:rFonts w:hint="eastAsia"/>
                      <w:color w:val="auto"/>
                      <w:highlight w:val="none"/>
                      <w:lang w:eastAsia="zh-CN"/>
                    </w:rPr>
                    <w:t>，</w:t>
                  </w:r>
                </w:p>
                <w:p w14:paraId="69F69367">
                  <w:pPr>
                    <w:pStyle w:val="38"/>
                    <w:rPr>
                      <w:rFonts w:hint="eastAsia"/>
                      <w:color w:val="auto"/>
                      <w:highlight w:val="none"/>
                    </w:rPr>
                  </w:pPr>
                  <w:r>
                    <w:rPr>
                      <w:rFonts w:hint="eastAsia"/>
                      <w:color w:val="auto"/>
                      <w:highlight w:val="none"/>
                    </w:rPr>
                    <w:t>40.032984867</w:t>
                  </w:r>
                </w:p>
              </w:tc>
            </w:tr>
            <w:tr w14:paraId="7686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2C63F82C">
                  <w:pPr>
                    <w:pStyle w:val="38"/>
                    <w:rPr>
                      <w:color w:val="auto"/>
                      <w:highlight w:val="none"/>
                    </w:rPr>
                  </w:pPr>
                  <w:r>
                    <w:rPr>
                      <w:rFonts w:hint="eastAsia"/>
                      <w:color w:val="auto"/>
                      <w:highlight w:val="none"/>
                    </w:rPr>
                    <w:t>7</w:t>
                  </w:r>
                </w:p>
              </w:tc>
              <w:tc>
                <w:tcPr>
                  <w:tcW w:w="1495" w:type="pct"/>
                  <w:noWrap/>
                  <w:vAlign w:val="center"/>
                </w:tcPr>
                <w:p w14:paraId="204A36B4">
                  <w:pPr>
                    <w:jc w:val="center"/>
                    <w:rPr>
                      <w:rFonts w:hint="eastAsia"/>
                      <w:color w:val="auto"/>
                      <w:highlight w:val="none"/>
                    </w:rPr>
                  </w:pPr>
                  <w:r>
                    <w:rPr>
                      <w:rFonts w:hint="eastAsia"/>
                      <w:highlight w:val="none"/>
                      <w:lang w:val="en-US" w:eastAsia="zh-CN"/>
                    </w:rPr>
                    <w:t>湿酸火炬燃料气输送管道</w:t>
                  </w:r>
                </w:p>
              </w:tc>
              <w:tc>
                <w:tcPr>
                  <w:tcW w:w="1495" w:type="pct"/>
                  <w:noWrap/>
                  <w:vAlign w:val="center"/>
                </w:tcPr>
                <w:p w14:paraId="3872CD2B">
                  <w:pPr>
                    <w:pStyle w:val="38"/>
                    <w:rPr>
                      <w:rFonts w:hint="eastAsia" w:eastAsia="宋体"/>
                      <w:color w:val="auto"/>
                      <w:highlight w:val="none"/>
                      <w:lang w:eastAsia="zh-CN"/>
                    </w:rPr>
                  </w:pPr>
                  <w:r>
                    <w:rPr>
                      <w:rFonts w:hint="eastAsia"/>
                      <w:color w:val="auto"/>
                      <w:highlight w:val="none"/>
                    </w:rPr>
                    <w:t>108.499955628</w:t>
                  </w:r>
                  <w:r>
                    <w:rPr>
                      <w:rFonts w:hint="eastAsia"/>
                      <w:color w:val="auto"/>
                      <w:highlight w:val="none"/>
                      <w:lang w:eastAsia="zh-CN"/>
                    </w:rPr>
                    <w:t>，</w:t>
                  </w:r>
                </w:p>
                <w:p w14:paraId="7F8F8B78">
                  <w:pPr>
                    <w:pStyle w:val="38"/>
                    <w:rPr>
                      <w:color w:val="auto"/>
                      <w:highlight w:val="none"/>
                    </w:rPr>
                  </w:pPr>
                  <w:r>
                    <w:rPr>
                      <w:rFonts w:hint="eastAsia"/>
                      <w:color w:val="auto"/>
                      <w:highlight w:val="none"/>
                    </w:rPr>
                    <w:t>40.026410773</w:t>
                  </w:r>
                </w:p>
              </w:tc>
              <w:tc>
                <w:tcPr>
                  <w:tcW w:w="1589" w:type="pct"/>
                  <w:noWrap/>
                  <w:vAlign w:val="center"/>
                </w:tcPr>
                <w:p w14:paraId="079DF788">
                  <w:pPr>
                    <w:pStyle w:val="38"/>
                    <w:rPr>
                      <w:rFonts w:hint="eastAsia" w:eastAsia="宋体"/>
                      <w:color w:val="auto"/>
                      <w:highlight w:val="none"/>
                      <w:lang w:eastAsia="zh-CN"/>
                    </w:rPr>
                  </w:pPr>
                  <w:r>
                    <w:rPr>
                      <w:rFonts w:hint="eastAsia"/>
                      <w:color w:val="auto"/>
                      <w:highlight w:val="none"/>
                    </w:rPr>
                    <w:t>108.495147769</w:t>
                  </w:r>
                  <w:r>
                    <w:rPr>
                      <w:rFonts w:hint="eastAsia"/>
                      <w:color w:val="auto"/>
                      <w:highlight w:val="none"/>
                      <w:lang w:eastAsia="zh-CN"/>
                    </w:rPr>
                    <w:t>，</w:t>
                  </w:r>
                </w:p>
                <w:p w14:paraId="3A410A69">
                  <w:pPr>
                    <w:pStyle w:val="38"/>
                    <w:rPr>
                      <w:rFonts w:hint="eastAsia"/>
                      <w:color w:val="auto"/>
                      <w:highlight w:val="none"/>
                    </w:rPr>
                  </w:pPr>
                  <w:r>
                    <w:rPr>
                      <w:rFonts w:hint="eastAsia"/>
                      <w:color w:val="auto"/>
                      <w:highlight w:val="none"/>
                    </w:rPr>
                    <w:t>40.027364298</w:t>
                  </w:r>
                </w:p>
              </w:tc>
            </w:tr>
            <w:tr w14:paraId="382F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19" w:type="pct"/>
                  <w:noWrap/>
                  <w:vAlign w:val="center"/>
                </w:tcPr>
                <w:p w14:paraId="62F5C016">
                  <w:pPr>
                    <w:pStyle w:val="38"/>
                    <w:rPr>
                      <w:color w:val="auto"/>
                      <w:highlight w:val="none"/>
                    </w:rPr>
                  </w:pPr>
                  <w:r>
                    <w:rPr>
                      <w:rFonts w:hint="eastAsia"/>
                      <w:color w:val="auto"/>
                      <w:highlight w:val="none"/>
                    </w:rPr>
                    <w:t>8</w:t>
                  </w:r>
                </w:p>
              </w:tc>
              <w:tc>
                <w:tcPr>
                  <w:tcW w:w="1495" w:type="pct"/>
                  <w:noWrap/>
                  <w:vAlign w:val="center"/>
                </w:tcPr>
                <w:p w14:paraId="44E00480">
                  <w:pPr>
                    <w:jc w:val="center"/>
                    <w:rPr>
                      <w:rFonts w:hint="eastAsia"/>
                      <w:color w:val="auto"/>
                      <w:highlight w:val="none"/>
                    </w:rPr>
                  </w:pPr>
                  <w:r>
                    <w:rPr>
                      <w:rFonts w:hint="eastAsia"/>
                      <w:highlight w:val="none"/>
                      <w:lang w:val="en-US" w:eastAsia="zh-CN"/>
                    </w:rPr>
                    <w:t>中压蒸汽管道</w:t>
                  </w:r>
                </w:p>
              </w:tc>
              <w:tc>
                <w:tcPr>
                  <w:tcW w:w="1495" w:type="pct"/>
                  <w:noWrap/>
                  <w:vAlign w:val="center"/>
                </w:tcPr>
                <w:p w14:paraId="3E01A333">
                  <w:pPr>
                    <w:pStyle w:val="38"/>
                    <w:rPr>
                      <w:rFonts w:hint="eastAsia" w:eastAsia="宋体"/>
                      <w:color w:val="auto"/>
                      <w:highlight w:val="none"/>
                      <w:lang w:eastAsia="zh-CN"/>
                    </w:rPr>
                  </w:pPr>
                  <w:r>
                    <w:rPr>
                      <w:rFonts w:hint="eastAsia"/>
                      <w:color w:val="auto"/>
                      <w:highlight w:val="none"/>
                    </w:rPr>
                    <w:t>108.497229163</w:t>
                  </w:r>
                  <w:r>
                    <w:rPr>
                      <w:rFonts w:hint="eastAsia"/>
                      <w:color w:val="auto"/>
                      <w:highlight w:val="none"/>
                      <w:lang w:eastAsia="zh-CN"/>
                    </w:rPr>
                    <w:t>，</w:t>
                  </w:r>
                </w:p>
                <w:p w14:paraId="47328AAE">
                  <w:pPr>
                    <w:pStyle w:val="38"/>
                    <w:rPr>
                      <w:color w:val="auto"/>
                      <w:highlight w:val="none"/>
                    </w:rPr>
                  </w:pPr>
                  <w:r>
                    <w:rPr>
                      <w:rFonts w:hint="eastAsia"/>
                      <w:color w:val="auto"/>
                      <w:highlight w:val="none"/>
                    </w:rPr>
                    <w:t>40.029417529</w:t>
                  </w:r>
                </w:p>
              </w:tc>
              <w:tc>
                <w:tcPr>
                  <w:tcW w:w="1589" w:type="pct"/>
                  <w:noWrap/>
                  <w:vAlign w:val="center"/>
                </w:tcPr>
                <w:p w14:paraId="030EE326">
                  <w:pPr>
                    <w:pStyle w:val="38"/>
                    <w:rPr>
                      <w:rFonts w:hint="eastAsia" w:eastAsia="宋体"/>
                      <w:color w:val="auto"/>
                      <w:highlight w:val="none"/>
                      <w:lang w:eastAsia="zh-CN"/>
                    </w:rPr>
                  </w:pPr>
                  <w:r>
                    <w:rPr>
                      <w:rFonts w:hint="eastAsia"/>
                      <w:color w:val="auto"/>
                      <w:highlight w:val="none"/>
                    </w:rPr>
                    <w:t>108.499989156</w:t>
                  </w:r>
                  <w:r>
                    <w:rPr>
                      <w:rFonts w:hint="eastAsia"/>
                      <w:color w:val="auto"/>
                      <w:highlight w:val="none"/>
                      <w:lang w:eastAsia="zh-CN"/>
                    </w:rPr>
                    <w:t>，</w:t>
                  </w:r>
                </w:p>
                <w:p w14:paraId="16784AA3">
                  <w:pPr>
                    <w:pStyle w:val="38"/>
                    <w:rPr>
                      <w:color w:val="auto"/>
                      <w:highlight w:val="none"/>
                    </w:rPr>
                  </w:pPr>
                  <w:r>
                    <w:rPr>
                      <w:rFonts w:hint="eastAsia"/>
                      <w:color w:val="auto"/>
                      <w:highlight w:val="none"/>
                    </w:rPr>
                    <w:t>40.026414796</w:t>
                  </w:r>
                </w:p>
              </w:tc>
            </w:tr>
            <w:tr w14:paraId="61DF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62075465">
                  <w:pPr>
                    <w:pStyle w:val="38"/>
                    <w:rPr>
                      <w:color w:val="auto"/>
                      <w:highlight w:val="none"/>
                    </w:rPr>
                  </w:pPr>
                  <w:r>
                    <w:rPr>
                      <w:rFonts w:hint="eastAsia"/>
                      <w:color w:val="auto"/>
                      <w:highlight w:val="none"/>
                    </w:rPr>
                    <w:t>9</w:t>
                  </w:r>
                </w:p>
              </w:tc>
              <w:tc>
                <w:tcPr>
                  <w:tcW w:w="1495" w:type="pct"/>
                  <w:noWrap/>
                  <w:vAlign w:val="center"/>
                </w:tcPr>
                <w:p w14:paraId="66784316">
                  <w:pPr>
                    <w:jc w:val="center"/>
                    <w:rPr>
                      <w:rFonts w:hint="eastAsia"/>
                      <w:color w:val="auto"/>
                      <w:highlight w:val="none"/>
                    </w:rPr>
                  </w:pPr>
                  <w:r>
                    <w:rPr>
                      <w:rFonts w:hint="eastAsia"/>
                      <w:highlight w:val="none"/>
                      <w:lang w:val="en-US" w:eastAsia="zh-CN"/>
                    </w:rPr>
                    <w:t>凝结水管道</w:t>
                  </w:r>
                </w:p>
              </w:tc>
              <w:tc>
                <w:tcPr>
                  <w:tcW w:w="1495" w:type="pct"/>
                  <w:noWrap/>
                  <w:vAlign w:val="center"/>
                </w:tcPr>
                <w:p w14:paraId="5F18F023">
                  <w:pPr>
                    <w:pStyle w:val="38"/>
                    <w:rPr>
                      <w:rFonts w:hint="eastAsia" w:eastAsia="宋体"/>
                      <w:color w:val="auto"/>
                      <w:highlight w:val="none"/>
                      <w:lang w:eastAsia="zh-CN"/>
                    </w:rPr>
                  </w:pPr>
                  <w:r>
                    <w:rPr>
                      <w:rFonts w:hint="eastAsia"/>
                      <w:color w:val="auto"/>
                      <w:highlight w:val="none"/>
                    </w:rPr>
                    <w:t>108.496895228</w:t>
                  </w:r>
                  <w:r>
                    <w:rPr>
                      <w:rFonts w:hint="eastAsia"/>
                      <w:color w:val="auto"/>
                      <w:highlight w:val="none"/>
                      <w:lang w:eastAsia="zh-CN"/>
                    </w:rPr>
                    <w:t>，</w:t>
                  </w:r>
                </w:p>
                <w:p w14:paraId="5BFCFF54">
                  <w:pPr>
                    <w:pStyle w:val="38"/>
                    <w:rPr>
                      <w:color w:val="auto"/>
                      <w:highlight w:val="none"/>
                    </w:rPr>
                  </w:pPr>
                  <w:r>
                    <w:rPr>
                      <w:rFonts w:hint="eastAsia"/>
                      <w:color w:val="auto"/>
                      <w:highlight w:val="none"/>
                    </w:rPr>
                    <w:t>40.029098346</w:t>
                  </w:r>
                </w:p>
              </w:tc>
              <w:tc>
                <w:tcPr>
                  <w:tcW w:w="1589" w:type="pct"/>
                  <w:noWrap/>
                  <w:vAlign w:val="center"/>
                </w:tcPr>
                <w:p w14:paraId="03EB1DE3">
                  <w:pPr>
                    <w:pStyle w:val="38"/>
                    <w:rPr>
                      <w:rFonts w:hint="eastAsia" w:eastAsia="宋体"/>
                      <w:color w:val="auto"/>
                      <w:highlight w:val="none"/>
                      <w:lang w:eastAsia="zh-CN"/>
                    </w:rPr>
                  </w:pPr>
                  <w:r>
                    <w:rPr>
                      <w:rFonts w:hint="eastAsia"/>
                      <w:color w:val="auto"/>
                      <w:highlight w:val="none"/>
                    </w:rPr>
                    <w:t>108.500026707</w:t>
                  </w:r>
                  <w:r>
                    <w:rPr>
                      <w:rFonts w:hint="eastAsia"/>
                      <w:color w:val="auto"/>
                      <w:highlight w:val="none"/>
                      <w:lang w:eastAsia="zh-CN"/>
                    </w:rPr>
                    <w:t>，</w:t>
                  </w:r>
                </w:p>
                <w:p w14:paraId="08994E7F">
                  <w:pPr>
                    <w:pStyle w:val="38"/>
                    <w:rPr>
                      <w:color w:val="auto"/>
                      <w:highlight w:val="none"/>
                    </w:rPr>
                  </w:pPr>
                  <w:r>
                    <w:rPr>
                      <w:rFonts w:hint="eastAsia"/>
                      <w:color w:val="auto"/>
                      <w:highlight w:val="none"/>
                    </w:rPr>
                    <w:t>40.026460394</w:t>
                  </w:r>
                </w:p>
              </w:tc>
            </w:tr>
            <w:tr w14:paraId="59A2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9" w:type="pct"/>
                  <w:noWrap/>
                  <w:vAlign w:val="center"/>
                </w:tcPr>
                <w:p w14:paraId="51BCF513">
                  <w:pPr>
                    <w:pStyle w:val="38"/>
                    <w:rPr>
                      <w:color w:val="auto"/>
                      <w:highlight w:val="none"/>
                    </w:rPr>
                  </w:pPr>
                  <w:r>
                    <w:rPr>
                      <w:rFonts w:hint="eastAsia"/>
                      <w:color w:val="auto"/>
                      <w:highlight w:val="none"/>
                    </w:rPr>
                    <w:t>10</w:t>
                  </w:r>
                </w:p>
              </w:tc>
              <w:tc>
                <w:tcPr>
                  <w:tcW w:w="1495" w:type="pct"/>
                  <w:noWrap/>
                  <w:vAlign w:val="center"/>
                </w:tcPr>
                <w:p w14:paraId="5F6ADF58">
                  <w:pPr>
                    <w:jc w:val="center"/>
                    <w:rPr>
                      <w:rFonts w:hint="eastAsia"/>
                      <w:color w:val="auto"/>
                      <w:highlight w:val="none"/>
                    </w:rPr>
                  </w:pPr>
                  <w:r>
                    <w:rPr>
                      <w:rFonts w:hint="eastAsia"/>
                      <w:highlight w:val="none"/>
                      <w:lang w:val="en-US" w:eastAsia="zh-CN"/>
                    </w:rPr>
                    <w:t>仪表风管道</w:t>
                  </w:r>
                </w:p>
              </w:tc>
              <w:tc>
                <w:tcPr>
                  <w:tcW w:w="1495" w:type="pct"/>
                  <w:noWrap/>
                  <w:vAlign w:val="center"/>
                </w:tcPr>
                <w:p w14:paraId="4EA43B44">
                  <w:pPr>
                    <w:pStyle w:val="38"/>
                    <w:rPr>
                      <w:rFonts w:hint="eastAsia" w:eastAsia="宋体"/>
                      <w:color w:val="auto"/>
                      <w:highlight w:val="none"/>
                      <w:lang w:eastAsia="zh-CN"/>
                    </w:rPr>
                  </w:pPr>
                  <w:r>
                    <w:rPr>
                      <w:rFonts w:hint="eastAsia"/>
                      <w:color w:val="auto"/>
                      <w:highlight w:val="none"/>
                    </w:rPr>
                    <w:t>108.496860359</w:t>
                  </w:r>
                  <w:r>
                    <w:rPr>
                      <w:rFonts w:hint="eastAsia"/>
                      <w:color w:val="auto"/>
                      <w:highlight w:val="none"/>
                      <w:lang w:eastAsia="zh-CN"/>
                    </w:rPr>
                    <w:t>，</w:t>
                  </w:r>
                </w:p>
                <w:p w14:paraId="253B3420">
                  <w:pPr>
                    <w:pStyle w:val="38"/>
                    <w:rPr>
                      <w:color w:val="auto"/>
                      <w:highlight w:val="none"/>
                    </w:rPr>
                  </w:pPr>
                  <w:r>
                    <w:rPr>
                      <w:rFonts w:hint="eastAsia"/>
                      <w:color w:val="auto"/>
                      <w:highlight w:val="none"/>
                    </w:rPr>
                    <w:t>40.02907554</w:t>
                  </w:r>
                </w:p>
              </w:tc>
              <w:tc>
                <w:tcPr>
                  <w:tcW w:w="1589" w:type="pct"/>
                  <w:noWrap/>
                  <w:vAlign w:val="center"/>
                </w:tcPr>
                <w:p w14:paraId="24F42933">
                  <w:pPr>
                    <w:pStyle w:val="38"/>
                    <w:rPr>
                      <w:rFonts w:hint="eastAsia" w:eastAsia="宋体"/>
                      <w:color w:val="auto"/>
                      <w:highlight w:val="none"/>
                      <w:lang w:eastAsia="zh-CN"/>
                    </w:rPr>
                  </w:pPr>
                  <w:r>
                    <w:rPr>
                      <w:rFonts w:hint="eastAsia"/>
                      <w:color w:val="auto"/>
                      <w:highlight w:val="none"/>
                    </w:rPr>
                    <w:t>108.500018660</w:t>
                  </w:r>
                  <w:r>
                    <w:rPr>
                      <w:rFonts w:hint="eastAsia"/>
                      <w:color w:val="auto"/>
                      <w:highlight w:val="none"/>
                      <w:lang w:eastAsia="zh-CN"/>
                    </w:rPr>
                    <w:t>，</w:t>
                  </w:r>
                </w:p>
                <w:p w14:paraId="64071505">
                  <w:pPr>
                    <w:pStyle w:val="38"/>
                    <w:rPr>
                      <w:color w:val="auto"/>
                      <w:highlight w:val="none"/>
                    </w:rPr>
                  </w:pPr>
                  <w:r>
                    <w:rPr>
                      <w:rFonts w:hint="eastAsia"/>
                      <w:color w:val="auto"/>
                      <w:highlight w:val="none"/>
                    </w:rPr>
                    <w:t>40.026457711</w:t>
                  </w:r>
                </w:p>
              </w:tc>
            </w:tr>
            <w:tr w14:paraId="3169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207A2BDE">
                  <w:pPr>
                    <w:pStyle w:val="38"/>
                    <w:rPr>
                      <w:color w:val="auto"/>
                      <w:highlight w:val="none"/>
                    </w:rPr>
                  </w:pPr>
                  <w:r>
                    <w:rPr>
                      <w:rFonts w:hint="eastAsia"/>
                      <w:color w:val="auto"/>
                      <w:highlight w:val="none"/>
                    </w:rPr>
                    <w:t>11</w:t>
                  </w:r>
                </w:p>
              </w:tc>
              <w:tc>
                <w:tcPr>
                  <w:tcW w:w="1495" w:type="pct"/>
                  <w:noWrap/>
                  <w:vAlign w:val="center"/>
                </w:tcPr>
                <w:p w14:paraId="21B9A385">
                  <w:pPr>
                    <w:jc w:val="center"/>
                    <w:rPr>
                      <w:rFonts w:hint="eastAsia"/>
                      <w:color w:val="auto"/>
                      <w:highlight w:val="none"/>
                    </w:rPr>
                  </w:pPr>
                  <w:r>
                    <w:rPr>
                      <w:rFonts w:hint="eastAsia"/>
                      <w:highlight w:val="none"/>
                      <w:lang w:val="en-US" w:eastAsia="zh-CN"/>
                    </w:rPr>
                    <w:t>工厂风管道</w:t>
                  </w:r>
                </w:p>
              </w:tc>
              <w:tc>
                <w:tcPr>
                  <w:tcW w:w="1495" w:type="pct"/>
                  <w:noWrap/>
                  <w:vAlign w:val="center"/>
                </w:tcPr>
                <w:p w14:paraId="241FD151">
                  <w:pPr>
                    <w:pStyle w:val="38"/>
                    <w:rPr>
                      <w:rFonts w:hint="eastAsia" w:eastAsia="宋体"/>
                      <w:color w:val="auto"/>
                      <w:highlight w:val="none"/>
                      <w:lang w:eastAsia="zh-CN"/>
                    </w:rPr>
                  </w:pPr>
                  <w:r>
                    <w:rPr>
                      <w:rFonts w:hint="eastAsia"/>
                      <w:color w:val="auto"/>
                      <w:highlight w:val="none"/>
                    </w:rPr>
                    <w:t>108.496849630</w:t>
                  </w:r>
                  <w:r>
                    <w:rPr>
                      <w:rFonts w:hint="eastAsia"/>
                      <w:color w:val="auto"/>
                      <w:highlight w:val="none"/>
                      <w:lang w:eastAsia="zh-CN"/>
                    </w:rPr>
                    <w:t>，</w:t>
                  </w:r>
                </w:p>
                <w:p w14:paraId="08847C54">
                  <w:pPr>
                    <w:pStyle w:val="38"/>
                    <w:rPr>
                      <w:color w:val="auto"/>
                      <w:highlight w:val="none"/>
                    </w:rPr>
                  </w:pPr>
                  <w:r>
                    <w:rPr>
                      <w:rFonts w:hint="eastAsia"/>
                      <w:color w:val="auto"/>
                      <w:highlight w:val="none"/>
                    </w:rPr>
                    <w:t>40.029072865</w:t>
                  </w:r>
                </w:p>
              </w:tc>
              <w:tc>
                <w:tcPr>
                  <w:tcW w:w="1589" w:type="pct"/>
                  <w:noWrap/>
                  <w:vAlign w:val="center"/>
                </w:tcPr>
                <w:p w14:paraId="769F0839">
                  <w:pPr>
                    <w:pStyle w:val="38"/>
                    <w:rPr>
                      <w:rFonts w:hint="eastAsia" w:eastAsia="宋体"/>
                      <w:color w:val="auto"/>
                      <w:highlight w:val="none"/>
                      <w:lang w:eastAsia="zh-CN"/>
                    </w:rPr>
                  </w:pPr>
                  <w:r>
                    <w:rPr>
                      <w:rFonts w:hint="eastAsia"/>
                      <w:color w:val="auto"/>
                      <w:highlight w:val="none"/>
                    </w:rPr>
                    <w:t>108.500010614</w:t>
                  </w:r>
                  <w:r>
                    <w:rPr>
                      <w:rFonts w:hint="eastAsia"/>
                      <w:color w:val="auto"/>
                      <w:highlight w:val="none"/>
                      <w:lang w:eastAsia="zh-CN"/>
                    </w:rPr>
                    <w:t>，</w:t>
                  </w:r>
                </w:p>
                <w:p w14:paraId="6F8089FF">
                  <w:pPr>
                    <w:pStyle w:val="38"/>
                    <w:rPr>
                      <w:color w:val="auto"/>
                      <w:highlight w:val="none"/>
                    </w:rPr>
                  </w:pPr>
                  <w:r>
                    <w:rPr>
                      <w:rFonts w:hint="eastAsia"/>
                      <w:color w:val="auto"/>
                      <w:highlight w:val="none"/>
                    </w:rPr>
                    <w:t>40.026452347</w:t>
                  </w:r>
                </w:p>
              </w:tc>
            </w:tr>
            <w:tr w14:paraId="458C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3EED332C">
                  <w:pPr>
                    <w:pStyle w:val="38"/>
                    <w:rPr>
                      <w:color w:val="auto"/>
                      <w:highlight w:val="none"/>
                    </w:rPr>
                  </w:pPr>
                  <w:r>
                    <w:rPr>
                      <w:rFonts w:hint="eastAsia"/>
                      <w:color w:val="auto"/>
                      <w:highlight w:val="none"/>
                    </w:rPr>
                    <w:t>12</w:t>
                  </w:r>
                </w:p>
              </w:tc>
              <w:tc>
                <w:tcPr>
                  <w:tcW w:w="1495" w:type="pct"/>
                  <w:noWrap/>
                  <w:vAlign w:val="center"/>
                </w:tcPr>
                <w:p w14:paraId="3A77CBF6">
                  <w:pPr>
                    <w:jc w:val="center"/>
                    <w:rPr>
                      <w:rFonts w:hint="eastAsia"/>
                      <w:color w:val="auto"/>
                      <w:highlight w:val="none"/>
                    </w:rPr>
                  </w:pPr>
                  <w:r>
                    <w:rPr>
                      <w:rFonts w:hint="eastAsia"/>
                      <w:highlight w:val="none"/>
                      <w:lang w:val="en-US" w:eastAsia="zh-CN"/>
                    </w:rPr>
                    <w:t>氮气管道</w:t>
                  </w:r>
                </w:p>
              </w:tc>
              <w:tc>
                <w:tcPr>
                  <w:tcW w:w="1495" w:type="pct"/>
                  <w:noWrap/>
                  <w:vAlign w:val="center"/>
                </w:tcPr>
                <w:p w14:paraId="6ACDADD7">
                  <w:pPr>
                    <w:pStyle w:val="38"/>
                    <w:rPr>
                      <w:rFonts w:hint="eastAsia" w:eastAsia="宋体"/>
                      <w:color w:val="auto"/>
                      <w:highlight w:val="none"/>
                      <w:lang w:eastAsia="zh-CN"/>
                    </w:rPr>
                  </w:pPr>
                  <w:r>
                    <w:rPr>
                      <w:rFonts w:hint="eastAsia"/>
                      <w:color w:val="auto"/>
                      <w:highlight w:val="none"/>
                    </w:rPr>
                    <w:t>108.496860359</w:t>
                  </w:r>
                  <w:r>
                    <w:rPr>
                      <w:rFonts w:hint="eastAsia"/>
                      <w:color w:val="auto"/>
                      <w:highlight w:val="none"/>
                      <w:lang w:eastAsia="zh-CN"/>
                    </w:rPr>
                    <w:t>，</w:t>
                  </w:r>
                </w:p>
                <w:p w14:paraId="4A09FEDA">
                  <w:pPr>
                    <w:pStyle w:val="38"/>
                    <w:rPr>
                      <w:color w:val="auto"/>
                      <w:highlight w:val="none"/>
                    </w:rPr>
                  </w:pPr>
                  <w:r>
                    <w:rPr>
                      <w:rFonts w:hint="eastAsia"/>
                      <w:color w:val="auto"/>
                      <w:highlight w:val="none"/>
                    </w:rPr>
                    <w:t>40.029075547</w:t>
                  </w:r>
                </w:p>
              </w:tc>
              <w:tc>
                <w:tcPr>
                  <w:tcW w:w="1589" w:type="pct"/>
                  <w:noWrap/>
                  <w:vAlign w:val="center"/>
                </w:tcPr>
                <w:p w14:paraId="1E3CEA7C">
                  <w:pPr>
                    <w:pStyle w:val="38"/>
                    <w:rPr>
                      <w:rFonts w:hint="eastAsia" w:eastAsia="宋体"/>
                      <w:color w:val="auto"/>
                      <w:highlight w:val="none"/>
                      <w:lang w:eastAsia="zh-CN"/>
                    </w:rPr>
                  </w:pPr>
                  <w:r>
                    <w:rPr>
                      <w:rFonts w:hint="eastAsia"/>
                      <w:color w:val="auto"/>
                      <w:highlight w:val="none"/>
                    </w:rPr>
                    <w:t>108.500021343</w:t>
                  </w:r>
                  <w:r>
                    <w:rPr>
                      <w:rFonts w:hint="eastAsia"/>
                      <w:color w:val="auto"/>
                      <w:highlight w:val="none"/>
                      <w:lang w:eastAsia="zh-CN"/>
                    </w:rPr>
                    <w:t>，</w:t>
                  </w:r>
                </w:p>
                <w:p w14:paraId="6CACEAA9">
                  <w:pPr>
                    <w:pStyle w:val="38"/>
                    <w:rPr>
                      <w:color w:val="auto"/>
                      <w:highlight w:val="none"/>
                    </w:rPr>
                  </w:pPr>
                  <w:r>
                    <w:rPr>
                      <w:rFonts w:hint="eastAsia"/>
                      <w:color w:val="auto"/>
                      <w:highlight w:val="none"/>
                    </w:rPr>
                    <w:t>40.026455029</w:t>
                  </w:r>
                </w:p>
              </w:tc>
            </w:tr>
            <w:tr w14:paraId="04F0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4A57AC37">
                  <w:pPr>
                    <w:pStyle w:val="38"/>
                    <w:rPr>
                      <w:color w:val="auto"/>
                      <w:highlight w:val="none"/>
                    </w:rPr>
                  </w:pPr>
                  <w:r>
                    <w:rPr>
                      <w:rFonts w:hint="eastAsia"/>
                      <w:color w:val="auto"/>
                      <w:highlight w:val="none"/>
                    </w:rPr>
                    <w:t>13</w:t>
                  </w:r>
                </w:p>
              </w:tc>
              <w:tc>
                <w:tcPr>
                  <w:tcW w:w="1495" w:type="pct"/>
                  <w:noWrap/>
                  <w:vAlign w:val="center"/>
                </w:tcPr>
                <w:p w14:paraId="043768C5">
                  <w:pPr>
                    <w:jc w:val="center"/>
                    <w:rPr>
                      <w:rFonts w:hint="eastAsia"/>
                      <w:color w:val="auto"/>
                      <w:highlight w:val="none"/>
                    </w:rPr>
                  </w:pPr>
                  <w:r>
                    <w:rPr>
                      <w:rFonts w:hint="eastAsia"/>
                      <w:highlight w:val="none"/>
                      <w:lang w:val="en-US" w:eastAsia="zh-CN"/>
                    </w:rPr>
                    <w:t>黄河水管道</w:t>
                  </w:r>
                </w:p>
              </w:tc>
              <w:tc>
                <w:tcPr>
                  <w:tcW w:w="1495" w:type="pct"/>
                  <w:noWrap/>
                  <w:vAlign w:val="center"/>
                </w:tcPr>
                <w:p w14:paraId="2026FF93">
                  <w:pPr>
                    <w:pStyle w:val="38"/>
                    <w:rPr>
                      <w:rFonts w:hint="eastAsia" w:eastAsia="宋体"/>
                      <w:highlight w:val="none"/>
                      <w:lang w:eastAsia="zh-CN"/>
                    </w:rPr>
                  </w:pPr>
                  <w:r>
                    <w:rPr>
                      <w:rFonts w:hint="eastAsia"/>
                      <w:highlight w:val="none"/>
                    </w:rPr>
                    <w:t>108.508656715</w:t>
                  </w:r>
                  <w:r>
                    <w:rPr>
                      <w:rFonts w:hint="eastAsia"/>
                      <w:highlight w:val="none"/>
                      <w:lang w:eastAsia="zh-CN"/>
                    </w:rPr>
                    <w:t>，</w:t>
                  </w:r>
                </w:p>
                <w:p w14:paraId="2BD33AE3">
                  <w:pPr>
                    <w:pStyle w:val="38"/>
                    <w:rPr>
                      <w:color w:val="auto"/>
                      <w:highlight w:val="none"/>
                    </w:rPr>
                  </w:pPr>
                  <w:r>
                    <w:rPr>
                      <w:rFonts w:hint="eastAsia"/>
                      <w:highlight w:val="none"/>
                    </w:rPr>
                    <w:t>40.035823985</w:t>
                  </w:r>
                </w:p>
              </w:tc>
              <w:tc>
                <w:tcPr>
                  <w:tcW w:w="1589" w:type="pct"/>
                  <w:noWrap/>
                  <w:vAlign w:val="center"/>
                </w:tcPr>
                <w:p w14:paraId="3DE44CBD">
                  <w:pPr>
                    <w:pStyle w:val="38"/>
                    <w:rPr>
                      <w:rFonts w:hint="eastAsia" w:eastAsia="宋体"/>
                      <w:color w:val="auto"/>
                      <w:highlight w:val="none"/>
                      <w:lang w:eastAsia="zh-CN"/>
                    </w:rPr>
                  </w:pPr>
                  <w:r>
                    <w:rPr>
                      <w:rFonts w:hint="eastAsia"/>
                      <w:color w:val="auto"/>
                      <w:highlight w:val="none"/>
                    </w:rPr>
                    <w:t>108.499991838</w:t>
                  </w:r>
                  <w:r>
                    <w:rPr>
                      <w:rFonts w:hint="eastAsia"/>
                      <w:color w:val="auto"/>
                      <w:highlight w:val="none"/>
                      <w:lang w:eastAsia="zh-CN"/>
                    </w:rPr>
                    <w:t>，</w:t>
                  </w:r>
                </w:p>
                <w:p w14:paraId="2B5444F7">
                  <w:pPr>
                    <w:pStyle w:val="38"/>
                    <w:rPr>
                      <w:color w:val="auto"/>
                      <w:highlight w:val="none"/>
                    </w:rPr>
                  </w:pPr>
                  <w:r>
                    <w:rPr>
                      <w:rFonts w:hint="eastAsia"/>
                      <w:color w:val="auto"/>
                      <w:highlight w:val="none"/>
                    </w:rPr>
                    <w:t>40.026387974</w:t>
                  </w:r>
                </w:p>
              </w:tc>
            </w:tr>
            <w:tr w14:paraId="7A7B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56197ECD">
                  <w:pPr>
                    <w:pStyle w:val="38"/>
                    <w:rPr>
                      <w:color w:val="auto"/>
                      <w:highlight w:val="none"/>
                    </w:rPr>
                  </w:pPr>
                  <w:r>
                    <w:rPr>
                      <w:rFonts w:hint="eastAsia"/>
                      <w:color w:val="auto"/>
                      <w:highlight w:val="none"/>
                    </w:rPr>
                    <w:t>14</w:t>
                  </w:r>
                </w:p>
              </w:tc>
              <w:tc>
                <w:tcPr>
                  <w:tcW w:w="1495" w:type="pct"/>
                  <w:noWrap/>
                  <w:vAlign w:val="center"/>
                </w:tcPr>
                <w:p w14:paraId="72E8E1F1">
                  <w:pPr>
                    <w:jc w:val="center"/>
                    <w:rPr>
                      <w:rFonts w:hint="eastAsia"/>
                      <w:color w:val="auto"/>
                      <w:highlight w:val="none"/>
                    </w:rPr>
                  </w:pPr>
                  <w:r>
                    <w:rPr>
                      <w:rFonts w:hint="eastAsia"/>
                      <w:highlight w:val="none"/>
                      <w:lang w:val="en-US" w:eastAsia="zh-CN"/>
                    </w:rPr>
                    <w:t>回用水管道</w:t>
                  </w:r>
                </w:p>
              </w:tc>
              <w:tc>
                <w:tcPr>
                  <w:tcW w:w="1495" w:type="pct"/>
                  <w:noWrap/>
                  <w:vAlign w:val="center"/>
                </w:tcPr>
                <w:p w14:paraId="43CA7BAC">
                  <w:pPr>
                    <w:pStyle w:val="38"/>
                    <w:rPr>
                      <w:rFonts w:hint="eastAsia" w:eastAsia="宋体"/>
                      <w:color w:val="auto"/>
                      <w:highlight w:val="none"/>
                      <w:lang w:eastAsia="zh-CN"/>
                    </w:rPr>
                  </w:pPr>
                  <w:r>
                    <w:rPr>
                      <w:rFonts w:hint="eastAsia"/>
                      <w:color w:val="auto"/>
                      <w:highlight w:val="none"/>
                    </w:rPr>
                    <w:t>108.497335110</w:t>
                  </w:r>
                  <w:r>
                    <w:rPr>
                      <w:rFonts w:hint="eastAsia"/>
                      <w:color w:val="auto"/>
                      <w:highlight w:val="none"/>
                      <w:lang w:eastAsia="zh-CN"/>
                    </w:rPr>
                    <w:t>，</w:t>
                  </w:r>
                </w:p>
                <w:p w14:paraId="029C2B6E">
                  <w:pPr>
                    <w:pStyle w:val="38"/>
                    <w:rPr>
                      <w:color w:val="auto"/>
                      <w:highlight w:val="none"/>
                    </w:rPr>
                  </w:pPr>
                  <w:r>
                    <w:rPr>
                      <w:rFonts w:hint="eastAsia"/>
                      <w:color w:val="auto"/>
                      <w:highlight w:val="none"/>
                    </w:rPr>
                    <w:t>40.029386684</w:t>
                  </w:r>
                </w:p>
              </w:tc>
              <w:tc>
                <w:tcPr>
                  <w:tcW w:w="1589" w:type="pct"/>
                  <w:noWrap/>
                  <w:vAlign w:val="center"/>
                </w:tcPr>
                <w:p w14:paraId="43E8806A">
                  <w:pPr>
                    <w:pStyle w:val="38"/>
                    <w:rPr>
                      <w:rFonts w:hint="eastAsia" w:eastAsia="宋体"/>
                      <w:color w:val="auto"/>
                      <w:highlight w:val="none"/>
                      <w:lang w:eastAsia="zh-CN"/>
                    </w:rPr>
                  </w:pPr>
                  <w:r>
                    <w:rPr>
                      <w:rFonts w:hint="eastAsia"/>
                      <w:color w:val="auto"/>
                      <w:highlight w:val="none"/>
                    </w:rPr>
                    <w:t>108.499967698</w:t>
                  </w:r>
                  <w:r>
                    <w:rPr>
                      <w:rFonts w:hint="eastAsia"/>
                      <w:color w:val="auto"/>
                      <w:highlight w:val="none"/>
                      <w:lang w:eastAsia="zh-CN"/>
                    </w:rPr>
                    <w:t>，</w:t>
                  </w:r>
                </w:p>
                <w:p w14:paraId="1C12C218">
                  <w:pPr>
                    <w:pStyle w:val="38"/>
                    <w:rPr>
                      <w:color w:val="auto"/>
                      <w:highlight w:val="none"/>
                    </w:rPr>
                  </w:pPr>
                  <w:r>
                    <w:rPr>
                      <w:rFonts w:hint="eastAsia"/>
                      <w:color w:val="auto"/>
                      <w:highlight w:val="none"/>
                    </w:rPr>
                    <w:t>40.026401385</w:t>
                  </w:r>
                </w:p>
              </w:tc>
            </w:tr>
            <w:tr w14:paraId="6ADE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34DBA749">
                  <w:pPr>
                    <w:pStyle w:val="38"/>
                    <w:rPr>
                      <w:color w:val="auto"/>
                      <w:highlight w:val="none"/>
                    </w:rPr>
                  </w:pPr>
                  <w:r>
                    <w:rPr>
                      <w:rFonts w:hint="eastAsia"/>
                      <w:color w:val="auto"/>
                      <w:highlight w:val="none"/>
                    </w:rPr>
                    <w:t>15</w:t>
                  </w:r>
                </w:p>
              </w:tc>
              <w:tc>
                <w:tcPr>
                  <w:tcW w:w="1495" w:type="pct"/>
                  <w:noWrap/>
                  <w:vAlign w:val="center"/>
                </w:tcPr>
                <w:p w14:paraId="20FA6CA6">
                  <w:pPr>
                    <w:jc w:val="center"/>
                    <w:rPr>
                      <w:rFonts w:hint="eastAsia"/>
                      <w:color w:val="auto"/>
                      <w:highlight w:val="none"/>
                    </w:rPr>
                  </w:pPr>
                  <w:r>
                    <w:rPr>
                      <w:rFonts w:hint="eastAsia"/>
                      <w:highlight w:val="none"/>
                      <w:lang w:val="en-US" w:eastAsia="zh-CN"/>
                    </w:rPr>
                    <w:t>污水1管道</w:t>
                  </w:r>
                </w:p>
              </w:tc>
              <w:tc>
                <w:tcPr>
                  <w:tcW w:w="1495" w:type="pct"/>
                  <w:noWrap/>
                  <w:vAlign w:val="center"/>
                </w:tcPr>
                <w:p w14:paraId="41F46F64">
                  <w:pPr>
                    <w:pStyle w:val="38"/>
                    <w:rPr>
                      <w:rFonts w:hint="eastAsia" w:eastAsia="宋体"/>
                      <w:color w:val="auto"/>
                      <w:highlight w:val="none"/>
                      <w:lang w:eastAsia="zh-CN"/>
                    </w:rPr>
                  </w:pPr>
                  <w:r>
                    <w:rPr>
                      <w:rFonts w:hint="eastAsia"/>
                      <w:color w:val="auto"/>
                      <w:highlight w:val="none"/>
                    </w:rPr>
                    <w:t>108.499979768</w:t>
                  </w:r>
                  <w:r>
                    <w:rPr>
                      <w:rFonts w:hint="eastAsia"/>
                      <w:color w:val="auto"/>
                      <w:highlight w:val="none"/>
                      <w:lang w:eastAsia="zh-CN"/>
                    </w:rPr>
                    <w:t>，</w:t>
                  </w:r>
                </w:p>
                <w:p w14:paraId="64A0C0A5">
                  <w:pPr>
                    <w:pStyle w:val="38"/>
                    <w:rPr>
                      <w:color w:val="auto"/>
                      <w:highlight w:val="none"/>
                    </w:rPr>
                  </w:pPr>
                  <w:r>
                    <w:rPr>
                      <w:rFonts w:hint="eastAsia"/>
                      <w:color w:val="auto"/>
                      <w:highlight w:val="none"/>
                    </w:rPr>
                    <w:t>40.026426866</w:t>
                  </w:r>
                </w:p>
              </w:tc>
              <w:tc>
                <w:tcPr>
                  <w:tcW w:w="1589" w:type="pct"/>
                  <w:noWrap/>
                  <w:vAlign w:val="center"/>
                </w:tcPr>
                <w:p w14:paraId="6EF8E33D">
                  <w:pPr>
                    <w:pStyle w:val="38"/>
                    <w:rPr>
                      <w:rFonts w:hint="eastAsia" w:eastAsia="宋体"/>
                      <w:color w:val="auto"/>
                      <w:highlight w:val="none"/>
                      <w:lang w:eastAsia="zh-CN"/>
                    </w:rPr>
                  </w:pPr>
                  <w:r>
                    <w:rPr>
                      <w:rFonts w:hint="eastAsia"/>
                      <w:color w:val="auto"/>
                      <w:highlight w:val="none"/>
                    </w:rPr>
                    <w:t>108.499989156</w:t>
                  </w:r>
                  <w:r>
                    <w:rPr>
                      <w:rFonts w:hint="eastAsia"/>
                      <w:color w:val="auto"/>
                      <w:highlight w:val="none"/>
                      <w:lang w:eastAsia="zh-CN"/>
                    </w:rPr>
                    <w:t>，</w:t>
                  </w:r>
                </w:p>
                <w:p w14:paraId="6F98E8E8">
                  <w:pPr>
                    <w:pStyle w:val="38"/>
                    <w:rPr>
                      <w:color w:val="auto"/>
                      <w:highlight w:val="none"/>
                    </w:rPr>
                  </w:pPr>
                  <w:r>
                    <w:rPr>
                      <w:rFonts w:hint="eastAsia"/>
                      <w:color w:val="auto"/>
                      <w:highlight w:val="none"/>
                    </w:rPr>
                    <w:t>40.033291980</w:t>
                  </w:r>
                </w:p>
              </w:tc>
            </w:tr>
            <w:tr w14:paraId="7E8D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5FEC6B46">
                  <w:pPr>
                    <w:pStyle w:val="38"/>
                    <w:rPr>
                      <w:color w:val="auto"/>
                      <w:highlight w:val="none"/>
                    </w:rPr>
                  </w:pPr>
                  <w:r>
                    <w:rPr>
                      <w:rFonts w:hint="eastAsia"/>
                      <w:color w:val="auto"/>
                      <w:highlight w:val="none"/>
                    </w:rPr>
                    <w:t>16</w:t>
                  </w:r>
                </w:p>
              </w:tc>
              <w:tc>
                <w:tcPr>
                  <w:tcW w:w="1495" w:type="pct"/>
                  <w:noWrap/>
                  <w:vAlign w:val="center"/>
                </w:tcPr>
                <w:p w14:paraId="376AFCD7">
                  <w:pPr>
                    <w:jc w:val="center"/>
                    <w:rPr>
                      <w:rFonts w:hint="eastAsia"/>
                      <w:color w:val="auto"/>
                      <w:highlight w:val="none"/>
                    </w:rPr>
                  </w:pPr>
                  <w:r>
                    <w:rPr>
                      <w:rFonts w:hint="eastAsia"/>
                      <w:highlight w:val="none"/>
                      <w:lang w:val="en-US" w:eastAsia="zh-CN"/>
                    </w:rPr>
                    <w:t>污水2管道</w:t>
                  </w:r>
                </w:p>
              </w:tc>
              <w:tc>
                <w:tcPr>
                  <w:tcW w:w="1495" w:type="pct"/>
                  <w:noWrap/>
                  <w:vAlign w:val="center"/>
                </w:tcPr>
                <w:p w14:paraId="0A17DFE8">
                  <w:pPr>
                    <w:pStyle w:val="38"/>
                    <w:rPr>
                      <w:rFonts w:hint="eastAsia" w:eastAsia="宋体"/>
                      <w:color w:val="auto"/>
                      <w:highlight w:val="none"/>
                      <w:lang w:eastAsia="zh-CN"/>
                    </w:rPr>
                  </w:pPr>
                  <w:r>
                    <w:rPr>
                      <w:rFonts w:hint="eastAsia"/>
                      <w:color w:val="auto"/>
                      <w:highlight w:val="none"/>
                    </w:rPr>
                    <w:t>108.500033412</w:t>
                  </w:r>
                  <w:r>
                    <w:rPr>
                      <w:rFonts w:hint="eastAsia"/>
                      <w:color w:val="auto"/>
                      <w:highlight w:val="none"/>
                      <w:lang w:eastAsia="zh-CN"/>
                    </w:rPr>
                    <w:t>，</w:t>
                  </w:r>
                </w:p>
                <w:p w14:paraId="3C4C47B2">
                  <w:pPr>
                    <w:pStyle w:val="38"/>
                    <w:rPr>
                      <w:color w:val="auto"/>
                      <w:highlight w:val="none"/>
                    </w:rPr>
                  </w:pPr>
                  <w:r>
                    <w:rPr>
                      <w:rFonts w:hint="eastAsia"/>
                      <w:color w:val="auto"/>
                      <w:highlight w:val="none"/>
                    </w:rPr>
                    <w:t>40.026463076</w:t>
                  </w:r>
                </w:p>
              </w:tc>
              <w:tc>
                <w:tcPr>
                  <w:tcW w:w="1589" w:type="pct"/>
                  <w:noWrap/>
                  <w:vAlign w:val="center"/>
                </w:tcPr>
                <w:p w14:paraId="2E109DC0">
                  <w:pPr>
                    <w:pStyle w:val="38"/>
                    <w:rPr>
                      <w:rFonts w:hint="eastAsia" w:eastAsia="宋体"/>
                      <w:color w:val="auto"/>
                      <w:highlight w:val="none"/>
                      <w:lang w:eastAsia="zh-CN"/>
                    </w:rPr>
                  </w:pPr>
                  <w:r>
                    <w:rPr>
                      <w:rFonts w:hint="eastAsia"/>
                      <w:color w:val="auto"/>
                      <w:highlight w:val="none"/>
                    </w:rPr>
                    <w:t>108.492043112</w:t>
                  </w:r>
                  <w:r>
                    <w:rPr>
                      <w:rFonts w:hint="eastAsia"/>
                      <w:color w:val="auto"/>
                      <w:highlight w:val="none"/>
                      <w:lang w:eastAsia="zh-CN"/>
                    </w:rPr>
                    <w:t>，</w:t>
                  </w:r>
                </w:p>
                <w:p w14:paraId="4FF59844">
                  <w:pPr>
                    <w:pStyle w:val="38"/>
                    <w:rPr>
                      <w:color w:val="auto"/>
                      <w:highlight w:val="none"/>
                    </w:rPr>
                  </w:pPr>
                  <w:r>
                    <w:rPr>
                      <w:rFonts w:hint="eastAsia"/>
                      <w:color w:val="auto"/>
                      <w:highlight w:val="none"/>
                    </w:rPr>
                    <w:t>40.025309726</w:t>
                  </w:r>
                </w:p>
              </w:tc>
            </w:tr>
            <w:tr w14:paraId="317A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0F8AF5EE">
                  <w:pPr>
                    <w:pStyle w:val="38"/>
                    <w:rPr>
                      <w:color w:val="auto"/>
                      <w:highlight w:val="none"/>
                    </w:rPr>
                  </w:pPr>
                  <w:r>
                    <w:rPr>
                      <w:rFonts w:hint="eastAsia"/>
                      <w:color w:val="auto"/>
                      <w:highlight w:val="none"/>
                    </w:rPr>
                    <w:t>17</w:t>
                  </w:r>
                </w:p>
              </w:tc>
              <w:tc>
                <w:tcPr>
                  <w:tcW w:w="1495" w:type="pct"/>
                  <w:noWrap/>
                  <w:vAlign w:val="center"/>
                </w:tcPr>
                <w:p w14:paraId="4E62C8C5">
                  <w:pPr>
                    <w:jc w:val="center"/>
                    <w:rPr>
                      <w:rFonts w:hint="eastAsia"/>
                      <w:color w:val="auto"/>
                      <w:highlight w:val="none"/>
                    </w:rPr>
                  </w:pPr>
                  <w:r>
                    <w:rPr>
                      <w:rFonts w:hint="eastAsia"/>
                      <w:highlight w:val="none"/>
                      <w:lang w:val="en-US" w:eastAsia="zh-CN"/>
                    </w:rPr>
                    <w:t>清净废水管道</w:t>
                  </w:r>
                </w:p>
              </w:tc>
              <w:tc>
                <w:tcPr>
                  <w:tcW w:w="1495" w:type="pct"/>
                  <w:noWrap/>
                  <w:vAlign w:val="center"/>
                </w:tcPr>
                <w:p w14:paraId="7C53A72C">
                  <w:pPr>
                    <w:pStyle w:val="38"/>
                    <w:rPr>
                      <w:rFonts w:hint="eastAsia" w:eastAsia="宋体"/>
                      <w:color w:val="auto"/>
                      <w:highlight w:val="none"/>
                      <w:lang w:eastAsia="zh-CN"/>
                    </w:rPr>
                  </w:pPr>
                  <w:r>
                    <w:rPr>
                      <w:rFonts w:hint="eastAsia"/>
                      <w:color w:val="auto"/>
                      <w:highlight w:val="none"/>
                    </w:rPr>
                    <w:t>108.500062917</w:t>
                  </w:r>
                  <w:r>
                    <w:rPr>
                      <w:rFonts w:hint="eastAsia"/>
                      <w:color w:val="auto"/>
                      <w:highlight w:val="none"/>
                      <w:lang w:eastAsia="zh-CN"/>
                    </w:rPr>
                    <w:t>，</w:t>
                  </w:r>
                </w:p>
                <w:p w14:paraId="751C48A1">
                  <w:pPr>
                    <w:pStyle w:val="38"/>
                    <w:rPr>
                      <w:color w:val="auto"/>
                      <w:highlight w:val="none"/>
                    </w:rPr>
                  </w:pPr>
                  <w:r>
                    <w:rPr>
                      <w:rFonts w:hint="eastAsia"/>
                      <w:color w:val="auto"/>
                      <w:highlight w:val="none"/>
                    </w:rPr>
                    <w:t>40.026465758</w:t>
                  </w:r>
                </w:p>
              </w:tc>
              <w:tc>
                <w:tcPr>
                  <w:tcW w:w="1589" w:type="pct"/>
                  <w:noWrap/>
                  <w:vAlign w:val="center"/>
                </w:tcPr>
                <w:p w14:paraId="4619AFAC">
                  <w:pPr>
                    <w:pStyle w:val="38"/>
                    <w:rPr>
                      <w:rFonts w:hint="eastAsia" w:eastAsia="宋体"/>
                      <w:color w:val="auto"/>
                      <w:highlight w:val="none"/>
                      <w:lang w:eastAsia="zh-CN"/>
                    </w:rPr>
                  </w:pPr>
                  <w:r>
                    <w:rPr>
                      <w:rFonts w:hint="eastAsia"/>
                      <w:color w:val="auto"/>
                      <w:highlight w:val="none"/>
                    </w:rPr>
                    <w:t>108.506698702</w:t>
                  </w:r>
                  <w:r>
                    <w:rPr>
                      <w:rFonts w:hint="eastAsia"/>
                      <w:color w:val="auto"/>
                      <w:highlight w:val="none"/>
                      <w:lang w:eastAsia="zh-CN"/>
                    </w:rPr>
                    <w:t>，</w:t>
                  </w:r>
                </w:p>
                <w:p w14:paraId="2EADDF56">
                  <w:pPr>
                    <w:pStyle w:val="38"/>
                    <w:rPr>
                      <w:color w:val="auto"/>
                      <w:highlight w:val="none"/>
                    </w:rPr>
                  </w:pPr>
                  <w:r>
                    <w:rPr>
                      <w:rFonts w:hint="eastAsia"/>
                      <w:color w:val="auto"/>
                      <w:highlight w:val="none"/>
                    </w:rPr>
                    <w:t>40.031352743</w:t>
                  </w:r>
                </w:p>
              </w:tc>
            </w:tr>
            <w:tr w14:paraId="7C59A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01BE98FB">
                  <w:pPr>
                    <w:pStyle w:val="38"/>
                    <w:rPr>
                      <w:color w:val="auto"/>
                      <w:highlight w:val="none"/>
                    </w:rPr>
                  </w:pPr>
                  <w:r>
                    <w:rPr>
                      <w:rFonts w:hint="eastAsia"/>
                      <w:color w:val="auto"/>
                      <w:highlight w:val="none"/>
                    </w:rPr>
                    <w:t>18</w:t>
                  </w:r>
                </w:p>
              </w:tc>
              <w:tc>
                <w:tcPr>
                  <w:tcW w:w="1495" w:type="pct"/>
                  <w:noWrap/>
                  <w:vAlign w:val="center"/>
                </w:tcPr>
                <w:p w14:paraId="2BB10102">
                  <w:pPr>
                    <w:jc w:val="center"/>
                    <w:rPr>
                      <w:rFonts w:hint="default" w:eastAsia="宋体"/>
                      <w:color w:val="auto"/>
                      <w:highlight w:val="none"/>
                      <w:lang w:val="en-US" w:eastAsia="zh-CN"/>
                    </w:rPr>
                  </w:pPr>
                  <w:r>
                    <w:rPr>
                      <w:rFonts w:hint="eastAsia"/>
                      <w:color w:val="auto"/>
                      <w:highlight w:val="none"/>
                      <w:lang w:val="en-US" w:eastAsia="zh-CN"/>
                    </w:rPr>
                    <w:t>酸性气体</w:t>
                  </w:r>
                  <w:r>
                    <w:rPr>
                      <w:rFonts w:hint="eastAsia"/>
                      <w:highlight w:val="none"/>
                      <w:lang w:val="en-US" w:eastAsia="zh-CN"/>
                    </w:rPr>
                    <w:t>管道</w:t>
                  </w:r>
                </w:p>
              </w:tc>
              <w:tc>
                <w:tcPr>
                  <w:tcW w:w="1495" w:type="pct"/>
                  <w:noWrap/>
                  <w:vAlign w:val="center"/>
                </w:tcPr>
                <w:p w14:paraId="42853C3D">
                  <w:pPr>
                    <w:pStyle w:val="38"/>
                    <w:rPr>
                      <w:rFonts w:hint="eastAsia" w:eastAsia="宋体"/>
                      <w:color w:val="auto"/>
                      <w:highlight w:val="none"/>
                      <w:lang w:eastAsia="zh-CN"/>
                    </w:rPr>
                  </w:pPr>
                  <w:r>
                    <w:rPr>
                      <w:rFonts w:hint="eastAsia"/>
                      <w:color w:val="auto"/>
                      <w:highlight w:val="none"/>
                    </w:rPr>
                    <w:t>108.499952276</w:t>
                  </w:r>
                  <w:r>
                    <w:rPr>
                      <w:rFonts w:hint="eastAsia"/>
                      <w:color w:val="auto"/>
                      <w:highlight w:val="none"/>
                      <w:lang w:eastAsia="zh-CN"/>
                    </w:rPr>
                    <w:t>，</w:t>
                  </w:r>
                </w:p>
                <w:p w14:paraId="59C8C214">
                  <w:pPr>
                    <w:pStyle w:val="38"/>
                    <w:rPr>
                      <w:color w:val="auto"/>
                      <w:highlight w:val="none"/>
                    </w:rPr>
                  </w:pPr>
                  <w:r>
                    <w:rPr>
                      <w:rFonts w:hint="eastAsia"/>
                      <w:color w:val="auto"/>
                      <w:highlight w:val="none"/>
                    </w:rPr>
                    <w:t>40.026383280</w:t>
                  </w:r>
                </w:p>
              </w:tc>
              <w:tc>
                <w:tcPr>
                  <w:tcW w:w="1589" w:type="pct"/>
                  <w:noWrap/>
                  <w:vAlign w:val="center"/>
                </w:tcPr>
                <w:p w14:paraId="4792DF40">
                  <w:pPr>
                    <w:pStyle w:val="38"/>
                    <w:rPr>
                      <w:rFonts w:hint="eastAsia" w:eastAsia="宋体"/>
                      <w:color w:val="auto"/>
                      <w:highlight w:val="none"/>
                      <w:lang w:eastAsia="zh-CN"/>
                    </w:rPr>
                  </w:pPr>
                  <w:r>
                    <w:rPr>
                      <w:rFonts w:hint="eastAsia"/>
                      <w:color w:val="auto"/>
                      <w:highlight w:val="none"/>
                    </w:rPr>
                    <w:t>108.493794595</w:t>
                  </w:r>
                  <w:r>
                    <w:rPr>
                      <w:rFonts w:hint="eastAsia"/>
                      <w:color w:val="auto"/>
                      <w:highlight w:val="none"/>
                      <w:lang w:eastAsia="zh-CN"/>
                    </w:rPr>
                    <w:t>，</w:t>
                  </w:r>
                </w:p>
                <w:p w14:paraId="5933B564">
                  <w:pPr>
                    <w:pStyle w:val="38"/>
                    <w:rPr>
                      <w:color w:val="auto"/>
                      <w:highlight w:val="none"/>
                    </w:rPr>
                  </w:pPr>
                  <w:r>
                    <w:rPr>
                      <w:rFonts w:hint="eastAsia"/>
                      <w:color w:val="auto"/>
                      <w:highlight w:val="none"/>
                    </w:rPr>
                    <w:t>40.026864066</w:t>
                  </w:r>
                </w:p>
              </w:tc>
            </w:tr>
            <w:tr w14:paraId="2D7D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18DDA855">
                  <w:pPr>
                    <w:pStyle w:val="38"/>
                    <w:rPr>
                      <w:color w:val="auto"/>
                      <w:highlight w:val="none"/>
                    </w:rPr>
                  </w:pPr>
                  <w:r>
                    <w:rPr>
                      <w:rFonts w:hint="eastAsia"/>
                      <w:color w:val="auto"/>
                      <w:highlight w:val="none"/>
                    </w:rPr>
                    <w:t>19</w:t>
                  </w:r>
                </w:p>
              </w:tc>
              <w:tc>
                <w:tcPr>
                  <w:tcW w:w="1495" w:type="pct"/>
                  <w:noWrap/>
                  <w:vAlign w:val="center"/>
                </w:tcPr>
                <w:p w14:paraId="0EBDA626">
                  <w:pPr>
                    <w:jc w:val="center"/>
                    <w:rPr>
                      <w:rFonts w:hint="eastAsia"/>
                      <w:color w:val="auto"/>
                      <w:highlight w:val="none"/>
                    </w:rPr>
                  </w:pPr>
                  <w:r>
                    <w:rPr>
                      <w:rFonts w:hint="eastAsia"/>
                      <w:highlight w:val="none"/>
                      <w:lang w:val="en-US" w:eastAsia="zh-CN"/>
                    </w:rPr>
                    <w:t>冷冻来水管道</w:t>
                  </w:r>
                </w:p>
              </w:tc>
              <w:tc>
                <w:tcPr>
                  <w:tcW w:w="1495" w:type="pct"/>
                  <w:noWrap/>
                  <w:vAlign w:val="center"/>
                </w:tcPr>
                <w:p w14:paraId="3D73C60D">
                  <w:pPr>
                    <w:pStyle w:val="38"/>
                    <w:rPr>
                      <w:rFonts w:hint="eastAsia" w:eastAsia="宋体"/>
                      <w:color w:val="auto"/>
                      <w:highlight w:val="none"/>
                      <w:lang w:eastAsia="zh-CN"/>
                    </w:rPr>
                  </w:pPr>
                  <w:r>
                    <w:rPr>
                      <w:rFonts w:hint="eastAsia"/>
                      <w:color w:val="auto"/>
                      <w:highlight w:val="none"/>
                    </w:rPr>
                    <w:t>108.494813834</w:t>
                  </w:r>
                  <w:r>
                    <w:rPr>
                      <w:rFonts w:hint="eastAsia"/>
                      <w:color w:val="auto"/>
                      <w:highlight w:val="none"/>
                      <w:lang w:eastAsia="zh-CN"/>
                    </w:rPr>
                    <w:t>，</w:t>
                  </w:r>
                </w:p>
                <w:p w14:paraId="5638D785">
                  <w:pPr>
                    <w:pStyle w:val="38"/>
                    <w:rPr>
                      <w:color w:val="auto"/>
                      <w:highlight w:val="none"/>
                    </w:rPr>
                  </w:pPr>
                  <w:r>
                    <w:rPr>
                      <w:rFonts w:hint="eastAsia"/>
                      <w:color w:val="auto"/>
                      <w:highlight w:val="none"/>
                    </w:rPr>
                    <w:t>40.030427381</w:t>
                  </w:r>
                </w:p>
              </w:tc>
              <w:tc>
                <w:tcPr>
                  <w:tcW w:w="1589" w:type="pct"/>
                  <w:noWrap/>
                  <w:vAlign w:val="center"/>
                </w:tcPr>
                <w:p w14:paraId="453F0500">
                  <w:pPr>
                    <w:pStyle w:val="38"/>
                    <w:rPr>
                      <w:rFonts w:hint="eastAsia" w:eastAsia="宋体"/>
                      <w:color w:val="auto"/>
                      <w:highlight w:val="none"/>
                      <w:lang w:eastAsia="zh-CN"/>
                    </w:rPr>
                  </w:pPr>
                  <w:r>
                    <w:rPr>
                      <w:rFonts w:hint="eastAsia"/>
                      <w:color w:val="auto"/>
                      <w:highlight w:val="none"/>
                    </w:rPr>
                    <w:t>108.499947582</w:t>
                  </w:r>
                  <w:r>
                    <w:rPr>
                      <w:rFonts w:hint="eastAsia"/>
                      <w:color w:val="auto"/>
                      <w:highlight w:val="none"/>
                      <w:lang w:eastAsia="zh-CN"/>
                    </w:rPr>
                    <w:t>，</w:t>
                  </w:r>
                </w:p>
                <w:p w14:paraId="77EAE1D4">
                  <w:pPr>
                    <w:pStyle w:val="38"/>
                    <w:rPr>
                      <w:color w:val="auto"/>
                      <w:highlight w:val="none"/>
                    </w:rPr>
                  </w:pPr>
                  <w:r>
                    <w:rPr>
                      <w:rFonts w:hint="eastAsia"/>
                      <w:color w:val="auto"/>
                      <w:highlight w:val="none"/>
                    </w:rPr>
                    <w:t>40.026383951</w:t>
                  </w:r>
                </w:p>
              </w:tc>
            </w:tr>
            <w:tr w14:paraId="3A32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16723960">
                  <w:pPr>
                    <w:pStyle w:val="38"/>
                    <w:rPr>
                      <w:color w:val="auto"/>
                      <w:highlight w:val="none"/>
                    </w:rPr>
                  </w:pPr>
                  <w:r>
                    <w:rPr>
                      <w:rFonts w:hint="eastAsia"/>
                      <w:color w:val="auto"/>
                      <w:highlight w:val="none"/>
                    </w:rPr>
                    <w:t>20</w:t>
                  </w:r>
                </w:p>
              </w:tc>
              <w:tc>
                <w:tcPr>
                  <w:tcW w:w="1495" w:type="pct"/>
                  <w:noWrap/>
                  <w:vAlign w:val="center"/>
                </w:tcPr>
                <w:p w14:paraId="21B0797F">
                  <w:pPr>
                    <w:jc w:val="center"/>
                    <w:rPr>
                      <w:rFonts w:hint="eastAsia"/>
                      <w:color w:val="auto"/>
                      <w:highlight w:val="none"/>
                    </w:rPr>
                  </w:pPr>
                  <w:r>
                    <w:rPr>
                      <w:rFonts w:hint="eastAsia"/>
                      <w:highlight w:val="none"/>
                      <w:lang w:val="en-US" w:eastAsia="zh-CN"/>
                    </w:rPr>
                    <w:t>冷冻回水管道</w:t>
                  </w:r>
                </w:p>
              </w:tc>
              <w:tc>
                <w:tcPr>
                  <w:tcW w:w="1495" w:type="pct"/>
                  <w:noWrap/>
                  <w:vAlign w:val="center"/>
                </w:tcPr>
                <w:p w14:paraId="440E97C9">
                  <w:pPr>
                    <w:pStyle w:val="38"/>
                    <w:rPr>
                      <w:rFonts w:hint="eastAsia" w:eastAsia="宋体"/>
                      <w:color w:val="auto"/>
                      <w:highlight w:val="none"/>
                      <w:lang w:eastAsia="zh-CN"/>
                    </w:rPr>
                  </w:pPr>
                  <w:r>
                    <w:rPr>
                      <w:rFonts w:hint="eastAsia"/>
                      <w:color w:val="auto"/>
                      <w:highlight w:val="none"/>
                    </w:rPr>
                    <w:t>108.499938194</w:t>
                  </w:r>
                  <w:r>
                    <w:rPr>
                      <w:rFonts w:hint="eastAsia"/>
                      <w:color w:val="auto"/>
                      <w:highlight w:val="none"/>
                      <w:lang w:eastAsia="zh-CN"/>
                    </w:rPr>
                    <w:t>，</w:t>
                  </w:r>
                </w:p>
                <w:p w14:paraId="6FCEFE00">
                  <w:pPr>
                    <w:pStyle w:val="38"/>
                    <w:rPr>
                      <w:color w:val="auto"/>
                      <w:highlight w:val="none"/>
                    </w:rPr>
                  </w:pPr>
                  <w:r>
                    <w:rPr>
                      <w:rFonts w:hint="eastAsia"/>
                      <w:color w:val="auto"/>
                      <w:highlight w:val="none"/>
                    </w:rPr>
                    <w:t>40.026381268</w:t>
                  </w:r>
                </w:p>
              </w:tc>
              <w:tc>
                <w:tcPr>
                  <w:tcW w:w="1589" w:type="pct"/>
                  <w:noWrap/>
                  <w:vAlign w:val="center"/>
                </w:tcPr>
                <w:p w14:paraId="78543E77">
                  <w:pPr>
                    <w:pStyle w:val="38"/>
                    <w:rPr>
                      <w:rFonts w:hint="eastAsia" w:eastAsia="宋体"/>
                      <w:color w:val="auto"/>
                      <w:highlight w:val="none"/>
                      <w:lang w:eastAsia="zh-CN"/>
                    </w:rPr>
                  </w:pPr>
                  <w:r>
                    <w:rPr>
                      <w:rFonts w:hint="eastAsia"/>
                      <w:color w:val="auto"/>
                      <w:highlight w:val="none"/>
                    </w:rPr>
                    <w:t>108.494823222</w:t>
                  </w:r>
                  <w:r>
                    <w:rPr>
                      <w:rFonts w:hint="eastAsia"/>
                      <w:color w:val="auto"/>
                      <w:highlight w:val="none"/>
                      <w:lang w:eastAsia="zh-CN"/>
                    </w:rPr>
                    <w:t>，</w:t>
                  </w:r>
                </w:p>
                <w:p w14:paraId="6B2B965E">
                  <w:pPr>
                    <w:pStyle w:val="38"/>
                    <w:rPr>
                      <w:color w:val="auto"/>
                      <w:highlight w:val="none"/>
                    </w:rPr>
                  </w:pPr>
                  <w:r>
                    <w:rPr>
                      <w:rFonts w:hint="eastAsia"/>
                      <w:color w:val="auto"/>
                      <w:highlight w:val="none"/>
                    </w:rPr>
                    <w:t>40.030434086</w:t>
                  </w:r>
                </w:p>
              </w:tc>
            </w:tr>
            <w:tr w14:paraId="42A5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2499D768">
                  <w:pPr>
                    <w:pStyle w:val="38"/>
                    <w:rPr>
                      <w:color w:val="auto"/>
                      <w:highlight w:val="none"/>
                    </w:rPr>
                  </w:pPr>
                  <w:r>
                    <w:rPr>
                      <w:rFonts w:hint="eastAsia"/>
                      <w:color w:val="auto"/>
                      <w:highlight w:val="none"/>
                    </w:rPr>
                    <w:t>21</w:t>
                  </w:r>
                </w:p>
              </w:tc>
              <w:tc>
                <w:tcPr>
                  <w:tcW w:w="1495" w:type="pct"/>
                  <w:noWrap/>
                  <w:vAlign w:val="center"/>
                </w:tcPr>
                <w:p w14:paraId="25862FC9">
                  <w:pPr>
                    <w:jc w:val="center"/>
                    <w:rPr>
                      <w:rFonts w:hint="eastAsia"/>
                      <w:color w:val="auto"/>
                      <w:highlight w:val="none"/>
                    </w:rPr>
                  </w:pPr>
                  <w:r>
                    <w:rPr>
                      <w:rFonts w:hint="eastAsia"/>
                      <w:highlight w:val="none"/>
                      <w:lang w:val="en-US" w:eastAsia="zh-CN"/>
                    </w:rPr>
                    <w:t>富甲烷气管道</w:t>
                  </w:r>
                </w:p>
              </w:tc>
              <w:tc>
                <w:tcPr>
                  <w:tcW w:w="1495" w:type="pct"/>
                  <w:noWrap/>
                  <w:vAlign w:val="center"/>
                </w:tcPr>
                <w:p w14:paraId="541D7D84">
                  <w:pPr>
                    <w:pStyle w:val="38"/>
                    <w:rPr>
                      <w:rFonts w:hint="eastAsia" w:eastAsia="宋体"/>
                      <w:color w:val="auto"/>
                      <w:highlight w:val="none"/>
                      <w:lang w:eastAsia="zh-CN"/>
                    </w:rPr>
                  </w:pPr>
                  <w:r>
                    <w:rPr>
                      <w:rFonts w:hint="eastAsia"/>
                      <w:color w:val="auto"/>
                      <w:highlight w:val="none"/>
                    </w:rPr>
                    <w:t>108.499991838</w:t>
                  </w:r>
                  <w:r>
                    <w:rPr>
                      <w:rFonts w:hint="eastAsia"/>
                      <w:color w:val="auto"/>
                      <w:highlight w:val="none"/>
                      <w:lang w:eastAsia="zh-CN"/>
                    </w:rPr>
                    <w:t>，</w:t>
                  </w:r>
                </w:p>
                <w:p w14:paraId="27FAA922">
                  <w:pPr>
                    <w:pStyle w:val="38"/>
                    <w:rPr>
                      <w:color w:val="auto"/>
                      <w:highlight w:val="none"/>
                    </w:rPr>
                  </w:pPr>
                  <w:r>
                    <w:rPr>
                      <w:rFonts w:hint="eastAsia"/>
                      <w:color w:val="auto"/>
                      <w:highlight w:val="none"/>
                    </w:rPr>
                    <w:t>40.026434913</w:t>
                  </w:r>
                </w:p>
              </w:tc>
              <w:tc>
                <w:tcPr>
                  <w:tcW w:w="1589" w:type="pct"/>
                  <w:noWrap/>
                  <w:vAlign w:val="center"/>
                </w:tcPr>
                <w:p w14:paraId="25CA5C94">
                  <w:pPr>
                    <w:pStyle w:val="38"/>
                    <w:rPr>
                      <w:rFonts w:hint="eastAsia" w:eastAsia="宋体"/>
                      <w:color w:val="auto"/>
                      <w:highlight w:val="none"/>
                      <w:lang w:eastAsia="zh-CN"/>
                    </w:rPr>
                  </w:pPr>
                  <w:r>
                    <w:rPr>
                      <w:rFonts w:hint="eastAsia"/>
                      <w:color w:val="auto"/>
                      <w:highlight w:val="none"/>
                    </w:rPr>
                    <w:t>108.496687025</w:t>
                  </w:r>
                  <w:r>
                    <w:rPr>
                      <w:rFonts w:hint="eastAsia"/>
                      <w:color w:val="auto"/>
                      <w:highlight w:val="none"/>
                      <w:lang w:eastAsia="zh-CN"/>
                    </w:rPr>
                    <w:t>，</w:t>
                  </w:r>
                </w:p>
                <w:p w14:paraId="1AF0B80D">
                  <w:pPr>
                    <w:pStyle w:val="38"/>
                    <w:rPr>
                      <w:color w:val="auto"/>
                      <w:highlight w:val="none"/>
                    </w:rPr>
                  </w:pPr>
                  <w:r>
                    <w:rPr>
                      <w:rFonts w:hint="eastAsia"/>
                      <w:color w:val="auto"/>
                      <w:highlight w:val="none"/>
                    </w:rPr>
                    <w:t>40.027827582</w:t>
                  </w:r>
                </w:p>
              </w:tc>
            </w:tr>
            <w:tr w14:paraId="6517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19" w:type="pct"/>
                  <w:noWrap/>
                  <w:vAlign w:val="center"/>
                </w:tcPr>
                <w:p w14:paraId="70B4DA10">
                  <w:pPr>
                    <w:pStyle w:val="38"/>
                    <w:rPr>
                      <w:color w:val="auto"/>
                      <w:highlight w:val="none"/>
                    </w:rPr>
                  </w:pPr>
                  <w:r>
                    <w:rPr>
                      <w:rFonts w:hint="eastAsia"/>
                      <w:color w:val="auto"/>
                      <w:highlight w:val="none"/>
                    </w:rPr>
                    <w:t>22</w:t>
                  </w:r>
                </w:p>
              </w:tc>
              <w:tc>
                <w:tcPr>
                  <w:tcW w:w="1495" w:type="pct"/>
                  <w:noWrap/>
                  <w:vAlign w:val="center"/>
                </w:tcPr>
                <w:p w14:paraId="7F8C1C89">
                  <w:pPr>
                    <w:jc w:val="center"/>
                    <w:rPr>
                      <w:rFonts w:hint="eastAsia"/>
                      <w:color w:val="auto"/>
                      <w:highlight w:val="none"/>
                    </w:rPr>
                  </w:pPr>
                  <w:r>
                    <w:rPr>
                      <w:rFonts w:hint="eastAsia"/>
                      <w:highlight w:val="none"/>
                      <w:lang w:val="en-US" w:eastAsia="zh-CN"/>
                    </w:rPr>
                    <w:t>真空泵尾气管道</w:t>
                  </w:r>
                </w:p>
              </w:tc>
              <w:tc>
                <w:tcPr>
                  <w:tcW w:w="1495" w:type="pct"/>
                  <w:noWrap/>
                  <w:vAlign w:val="center"/>
                </w:tcPr>
                <w:p w14:paraId="7F359343">
                  <w:pPr>
                    <w:pStyle w:val="38"/>
                    <w:rPr>
                      <w:rFonts w:hint="eastAsia" w:eastAsia="宋体"/>
                      <w:color w:val="auto"/>
                      <w:highlight w:val="none"/>
                      <w:lang w:eastAsia="zh-CN"/>
                    </w:rPr>
                  </w:pPr>
                  <w:r>
                    <w:rPr>
                      <w:rFonts w:hint="eastAsia"/>
                      <w:color w:val="auto"/>
                      <w:highlight w:val="none"/>
                    </w:rPr>
                    <w:t>108.499971722</w:t>
                  </w:r>
                  <w:r>
                    <w:rPr>
                      <w:rFonts w:hint="eastAsia"/>
                      <w:color w:val="auto"/>
                      <w:highlight w:val="none"/>
                      <w:lang w:eastAsia="zh-CN"/>
                    </w:rPr>
                    <w:t>，</w:t>
                  </w:r>
                </w:p>
                <w:p w14:paraId="4EBAE840">
                  <w:pPr>
                    <w:pStyle w:val="38"/>
                    <w:rPr>
                      <w:color w:val="auto"/>
                      <w:highlight w:val="none"/>
                    </w:rPr>
                  </w:pPr>
                  <w:r>
                    <w:rPr>
                      <w:rFonts w:hint="eastAsia"/>
                      <w:color w:val="auto"/>
                      <w:highlight w:val="none"/>
                    </w:rPr>
                    <w:t>40.026381268</w:t>
                  </w:r>
                </w:p>
              </w:tc>
              <w:tc>
                <w:tcPr>
                  <w:tcW w:w="1589" w:type="pct"/>
                  <w:noWrap/>
                  <w:vAlign w:val="center"/>
                </w:tcPr>
                <w:p w14:paraId="2BBD64EE">
                  <w:pPr>
                    <w:pStyle w:val="38"/>
                    <w:rPr>
                      <w:rFonts w:hint="eastAsia" w:eastAsia="宋体"/>
                      <w:color w:val="auto"/>
                      <w:highlight w:val="none"/>
                      <w:lang w:eastAsia="zh-CN"/>
                    </w:rPr>
                  </w:pPr>
                  <w:r>
                    <w:rPr>
                      <w:rFonts w:hint="eastAsia"/>
                      <w:color w:val="auto"/>
                      <w:highlight w:val="none"/>
                    </w:rPr>
                    <w:t>108.492898737</w:t>
                  </w:r>
                  <w:r>
                    <w:rPr>
                      <w:rFonts w:hint="eastAsia"/>
                      <w:color w:val="auto"/>
                      <w:highlight w:val="none"/>
                      <w:lang w:eastAsia="zh-CN"/>
                    </w:rPr>
                    <w:t>，</w:t>
                  </w:r>
                </w:p>
                <w:p w14:paraId="06BFC5FF">
                  <w:pPr>
                    <w:pStyle w:val="38"/>
                    <w:rPr>
                      <w:color w:val="auto"/>
                      <w:highlight w:val="none"/>
                    </w:rPr>
                  </w:pPr>
                  <w:r>
                    <w:rPr>
                      <w:rFonts w:hint="eastAsia"/>
                      <w:color w:val="auto"/>
                      <w:highlight w:val="none"/>
                    </w:rPr>
                    <w:t>40.027483656</w:t>
                  </w:r>
                </w:p>
              </w:tc>
            </w:tr>
            <w:tr w14:paraId="5920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19" w:type="pct"/>
                  <w:noWrap/>
                  <w:vAlign w:val="center"/>
                </w:tcPr>
                <w:p w14:paraId="24E5583F">
                  <w:pPr>
                    <w:pStyle w:val="38"/>
                    <w:rPr>
                      <w:color w:val="auto"/>
                      <w:highlight w:val="none"/>
                    </w:rPr>
                  </w:pPr>
                  <w:r>
                    <w:rPr>
                      <w:rFonts w:hint="eastAsia"/>
                      <w:color w:val="auto"/>
                      <w:highlight w:val="none"/>
                    </w:rPr>
                    <w:t>23</w:t>
                  </w:r>
                </w:p>
              </w:tc>
              <w:tc>
                <w:tcPr>
                  <w:tcW w:w="1495" w:type="pct"/>
                  <w:noWrap/>
                  <w:vAlign w:val="center"/>
                </w:tcPr>
                <w:p w14:paraId="259B64A8">
                  <w:pPr>
                    <w:jc w:val="center"/>
                    <w:rPr>
                      <w:rFonts w:hint="eastAsia"/>
                      <w:color w:val="auto"/>
                      <w:highlight w:val="none"/>
                    </w:rPr>
                  </w:pPr>
                  <w:r>
                    <w:rPr>
                      <w:rFonts w:hint="eastAsia"/>
                      <w:highlight w:val="none"/>
                      <w:lang w:val="en-US" w:eastAsia="zh-CN"/>
                    </w:rPr>
                    <w:t>CO</w:t>
                  </w:r>
                  <w:r>
                    <w:rPr>
                      <w:rFonts w:hint="eastAsia"/>
                      <w:highlight w:val="none"/>
                      <w:vertAlign w:val="subscript"/>
                      <w:lang w:val="en-US" w:eastAsia="zh-CN"/>
                    </w:rPr>
                    <w:t>2</w:t>
                  </w:r>
                  <w:r>
                    <w:rPr>
                      <w:rFonts w:hint="eastAsia"/>
                      <w:highlight w:val="none"/>
                      <w:lang w:val="en-US" w:eastAsia="zh-CN"/>
                    </w:rPr>
                    <w:t>管线管道</w:t>
                  </w:r>
                </w:p>
              </w:tc>
              <w:tc>
                <w:tcPr>
                  <w:tcW w:w="1495" w:type="pct"/>
                  <w:noWrap/>
                  <w:vAlign w:val="center"/>
                </w:tcPr>
                <w:p w14:paraId="66DDBBA5">
                  <w:pPr>
                    <w:pStyle w:val="38"/>
                    <w:rPr>
                      <w:rFonts w:hint="eastAsia" w:eastAsia="宋体"/>
                      <w:color w:val="auto"/>
                      <w:highlight w:val="none"/>
                      <w:lang w:eastAsia="zh-CN"/>
                    </w:rPr>
                  </w:pPr>
                  <w:r>
                    <w:rPr>
                      <w:rFonts w:hint="eastAsia"/>
                      <w:color w:val="auto"/>
                      <w:highlight w:val="none"/>
                    </w:rPr>
                    <w:t>108.498960529</w:t>
                  </w:r>
                  <w:r>
                    <w:rPr>
                      <w:rFonts w:hint="eastAsia"/>
                      <w:color w:val="auto"/>
                      <w:highlight w:val="none"/>
                      <w:lang w:eastAsia="zh-CN"/>
                    </w:rPr>
                    <w:t>，</w:t>
                  </w:r>
                </w:p>
                <w:p w14:paraId="6BC9A418">
                  <w:pPr>
                    <w:pStyle w:val="38"/>
                    <w:rPr>
                      <w:color w:val="auto"/>
                      <w:highlight w:val="none"/>
                    </w:rPr>
                  </w:pPr>
                  <w:r>
                    <w:rPr>
                      <w:rFonts w:hint="eastAsia"/>
                      <w:color w:val="auto"/>
                      <w:highlight w:val="none"/>
                    </w:rPr>
                    <w:t>40.027934267</w:t>
                  </w:r>
                </w:p>
              </w:tc>
              <w:tc>
                <w:tcPr>
                  <w:tcW w:w="1589" w:type="pct"/>
                  <w:noWrap/>
                  <w:vAlign w:val="center"/>
                </w:tcPr>
                <w:p w14:paraId="5136965F">
                  <w:pPr>
                    <w:pStyle w:val="38"/>
                    <w:rPr>
                      <w:rFonts w:hint="eastAsia" w:eastAsia="宋体"/>
                      <w:color w:val="auto"/>
                      <w:highlight w:val="none"/>
                      <w:lang w:eastAsia="zh-CN"/>
                    </w:rPr>
                  </w:pPr>
                  <w:r>
                    <w:rPr>
                      <w:rFonts w:hint="eastAsia"/>
                      <w:color w:val="auto"/>
                      <w:highlight w:val="none"/>
                    </w:rPr>
                    <w:t>108.499970381</w:t>
                  </w:r>
                  <w:r>
                    <w:rPr>
                      <w:rFonts w:hint="eastAsia"/>
                      <w:color w:val="auto"/>
                      <w:highlight w:val="none"/>
                      <w:lang w:eastAsia="zh-CN"/>
                    </w:rPr>
                    <w:t>，</w:t>
                  </w:r>
                </w:p>
                <w:p w14:paraId="0BA52A31">
                  <w:pPr>
                    <w:pStyle w:val="38"/>
                    <w:rPr>
                      <w:color w:val="auto"/>
                      <w:highlight w:val="none"/>
                    </w:rPr>
                  </w:pPr>
                  <w:r>
                    <w:rPr>
                      <w:rFonts w:hint="eastAsia"/>
                      <w:color w:val="auto"/>
                      <w:highlight w:val="none"/>
                    </w:rPr>
                    <w:t>40.026416137</w:t>
                  </w:r>
                </w:p>
              </w:tc>
            </w:tr>
          </w:tbl>
          <w:p w14:paraId="4C302731">
            <w:pPr>
              <w:adjustRightInd w:val="0"/>
              <w:snapToGrid w:val="0"/>
              <w:spacing w:line="360" w:lineRule="auto"/>
              <w:jc w:val="center"/>
              <w:rPr>
                <w:rFonts w:hint="eastAsia" w:ascii="Times New Roman" w:hAnsi="Times New Roman" w:eastAsia="宋体" w:cs="Times New Roman"/>
                <w:bCs/>
                <w:sz w:val="24"/>
                <w:highlight w:val="none"/>
                <w:lang w:val="en-US" w:eastAsia="zh-CN"/>
              </w:rPr>
            </w:pPr>
            <w:r>
              <w:rPr>
                <w:highlight w:val="none"/>
              </w:rPr>
              <w:drawing>
                <wp:inline distT="0" distB="0" distL="114300" distR="114300">
                  <wp:extent cx="5107940" cy="3677285"/>
                  <wp:effectExtent l="0" t="0" r="16510" b="18415"/>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13"/>
                          <a:stretch>
                            <a:fillRect/>
                          </a:stretch>
                        </pic:blipFill>
                        <pic:spPr>
                          <a:xfrm>
                            <a:off x="0" y="0"/>
                            <a:ext cx="5107940" cy="3677285"/>
                          </a:xfrm>
                          <a:prstGeom prst="rect">
                            <a:avLst/>
                          </a:prstGeom>
                          <a:noFill/>
                          <a:ln>
                            <a:noFill/>
                          </a:ln>
                        </pic:spPr>
                      </pic:pic>
                    </a:graphicData>
                  </a:graphic>
                </wp:inline>
              </w:drawing>
            </w:r>
          </w:p>
          <w:p w14:paraId="48DADD96">
            <w:pPr>
              <w:adjustRightInd w:val="0"/>
              <w:snapToGrid w:val="0"/>
              <w:spacing w:line="360" w:lineRule="auto"/>
              <w:jc w:val="center"/>
              <w:rPr>
                <w:rFonts w:hint="eastAsia" w:ascii="宋体" w:hAnsi="宋体" w:eastAsia="宋体" w:cs="宋体"/>
                <w:color w:val="0000FF"/>
                <w:kern w:val="0"/>
                <w:szCs w:val="21"/>
                <w:highlight w:val="none"/>
                <w:lang w:val="en-US" w:eastAsia="zh-CN"/>
              </w:rPr>
            </w:pPr>
            <w:r>
              <w:rPr>
                <w:rFonts w:hint="eastAsia" w:cs="Times New Roman"/>
                <w:b/>
                <w:bCs w:val="0"/>
                <w:sz w:val="21"/>
                <w:szCs w:val="21"/>
                <w:highlight w:val="none"/>
                <w:lang w:val="en-US" w:eastAsia="zh-CN"/>
              </w:rPr>
              <w:t>图2-2   管线走向</w:t>
            </w:r>
          </w:p>
        </w:tc>
      </w:tr>
      <w:tr w14:paraId="603EF8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00" w:hRule="atLeast"/>
          <w:jc w:val="center"/>
        </w:trPr>
        <w:tc>
          <w:tcPr>
            <w:tcW w:w="456" w:type="dxa"/>
            <w:noWrap w:val="0"/>
            <w:vAlign w:val="center"/>
          </w:tcPr>
          <w:p w14:paraId="0DF01045">
            <w:pPr>
              <w:adjustRightInd w:val="0"/>
              <w:snapToGrid w:val="0"/>
              <w:jc w:val="center"/>
              <w:rPr>
                <w:rFonts w:ascii="宋体" w:hAnsi="宋体" w:cs="宋体"/>
                <w:kern w:val="0"/>
                <w:sz w:val="24"/>
                <w:highlight w:val="none"/>
              </w:rPr>
            </w:pPr>
            <w:r>
              <w:rPr>
                <w:rFonts w:hint="eastAsia" w:ascii="宋体" w:hAnsi="宋体" w:cs="宋体"/>
                <w:kern w:val="0"/>
                <w:sz w:val="24"/>
                <w:highlight w:val="none"/>
              </w:rPr>
              <w:t>项目组成及规模</w:t>
            </w:r>
          </w:p>
        </w:tc>
        <w:tc>
          <w:tcPr>
            <w:tcW w:w="8732" w:type="dxa"/>
            <w:noWrap w:val="0"/>
            <w:vAlign w:val="center"/>
          </w:tcPr>
          <w:p w14:paraId="005C14AB">
            <w:pPr>
              <w:numPr>
                <w:ilvl w:val="0"/>
                <w:numId w:val="0"/>
              </w:numPr>
              <w:spacing w:line="360" w:lineRule="auto"/>
              <w:rPr>
                <w:rFonts w:hint="eastAsia"/>
                <w:b/>
                <w:bCs/>
                <w:sz w:val="24"/>
                <w:highlight w:val="none"/>
              </w:rPr>
            </w:pPr>
            <w:r>
              <w:rPr>
                <w:rFonts w:hint="eastAsia"/>
                <w:b/>
                <w:bCs/>
                <w:sz w:val="24"/>
                <w:highlight w:val="none"/>
                <w:lang w:val="en-US" w:eastAsia="zh-CN"/>
              </w:rPr>
              <w:t>1.</w:t>
            </w:r>
            <w:r>
              <w:rPr>
                <w:rFonts w:hint="eastAsia"/>
                <w:b/>
                <w:bCs/>
                <w:sz w:val="24"/>
                <w:highlight w:val="none"/>
              </w:rPr>
              <w:t>项目背景</w:t>
            </w:r>
          </w:p>
          <w:p w14:paraId="7169C7A1">
            <w:pPr>
              <w:numPr>
                <w:ilvl w:val="0"/>
                <w:numId w:val="0"/>
              </w:numPr>
              <w:spacing w:line="360" w:lineRule="auto"/>
              <w:ind w:firstLine="482" w:firstLineChars="200"/>
              <w:rPr>
                <w:rFonts w:hint="default"/>
                <w:b/>
                <w:bCs/>
                <w:sz w:val="24"/>
                <w:highlight w:val="none"/>
                <w:lang w:val="en-US"/>
              </w:rPr>
            </w:pPr>
            <w:r>
              <w:rPr>
                <w:rFonts w:hint="eastAsia"/>
                <w:b/>
                <w:bCs/>
                <w:sz w:val="24"/>
                <w:highlight w:val="none"/>
                <w:lang w:eastAsia="zh-CN"/>
              </w:rPr>
              <w:t>（</w:t>
            </w:r>
            <w:r>
              <w:rPr>
                <w:rFonts w:hint="eastAsia"/>
                <w:b/>
                <w:bCs/>
                <w:sz w:val="24"/>
                <w:highlight w:val="none"/>
                <w:lang w:val="en-US" w:eastAsia="zh-CN"/>
              </w:rPr>
              <w:t>1</w:t>
            </w:r>
            <w:r>
              <w:rPr>
                <w:rFonts w:hint="eastAsia"/>
                <w:b/>
                <w:bCs/>
                <w:sz w:val="24"/>
                <w:highlight w:val="none"/>
                <w:lang w:eastAsia="zh-CN"/>
              </w:rPr>
              <w:t>）</w:t>
            </w:r>
            <w:r>
              <w:rPr>
                <w:rFonts w:hint="eastAsia"/>
                <w:b/>
                <w:bCs/>
                <w:sz w:val="24"/>
                <w:highlight w:val="none"/>
                <w:lang w:val="en-US" w:eastAsia="zh-CN"/>
              </w:rPr>
              <w:t>伊泰化工</w:t>
            </w:r>
          </w:p>
          <w:p w14:paraId="2DB95306">
            <w:pPr>
              <w:adjustRightInd w:val="0"/>
              <w:snapToGrid w:val="0"/>
              <w:spacing w:line="360" w:lineRule="auto"/>
              <w:ind w:firstLine="480" w:firstLineChars="200"/>
              <w:jc w:val="left"/>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内蒙古伊泰化工有限责任公司成立于2009年，公司位于鄂尔多斯市杭锦旗独贵塔拉工业园区锦泰精细化工园，公司注册资本壹亿元人民币，是隶属于内蒙古伊泰集团有限公司下属的内蒙古伊泰煤炭股份有限公司的全资子公司。</w:t>
            </w:r>
          </w:p>
          <w:p w14:paraId="160F749F">
            <w:pPr>
              <w:adjustRightInd w:val="0"/>
              <w:snapToGrid w:val="0"/>
              <w:spacing w:line="360" w:lineRule="auto"/>
              <w:ind w:firstLine="480" w:firstLineChars="200"/>
              <w:jc w:val="left"/>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原鄂尔多斯市环境保护局于2016年12月29日以《内蒙古伊泰化工有限责任公司120万吨/年精细化工项目（变更）环境影响报告书的批复》（鄂环评字〔2016〕162号）对内蒙古伊泰化工有限责任公司120万吨/年精细化工项目（变更）进行批复。</w:t>
            </w:r>
          </w:p>
          <w:p w14:paraId="5744412E">
            <w:pPr>
              <w:adjustRightInd w:val="0"/>
              <w:snapToGrid w:val="0"/>
              <w:spacing w:line="360" w:lineRule="auto"/>
              <w:ind w:firstLine="480" w:firstLineChars="200"/>
              <w:jc w:val="left"/>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内蒙古伊泰化工有限责任公司于2017年9月获得《鄂尔多斯市环境保护局关于内蒙古伊泰化工有限责任公司120万吨/年精细化学品示范项目竣工环境保护验收意见的通知》（鄂环监字﹝2017﹞190号）。</w:t>
            </w:r>
          </w:p>
          <w:p w14:paraId="0A1C4E4E">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ascii="CIDFont" w:hAnsi="CIDFont" w:eastAsia="CIDFont" w:cs="CIDFont"/>
                <w:color w:val="000000"/>
                <w:kern w:val="0"/>
                <w:sz w:val="24"/>
                <w:szCs w:val="24"/>
                <w:highlight w:val="none"/>
                <w:lang w:val="en-US" w:eastAsia="zh-CN" w:bidi="ar"/>
              </w:rPr>
              <w:t>伊</w:t>
            </w:r>
            <w:r>
              <w:rPr>
                <w:rFonts w:hint="eastAsia" w:ascii="Times New Roman" w:hAnsi="Times New Roman" w:eastAsia="宋体" w:cs="Times New Roman"/>
                <w:bCs/>
                <w:sz w:val="24"/>
                <w:highlight w:val="none"/>
                <w:lang w:val="en-US" w:eastAsia="zh-CN"/>
              </w:rPr>
              <w:t>泰化工120万吨/年精细化学品示范项目主要产品为LPG，正构稳定轻烃，1#</w:t>
            </w:r>
            <w:r>
              <w:rPr>
                <w:rFonts w:hint="default" w:ascii="Times New Roman" w:hAnsi="Times New Roman" w:eastAsia="宋体" w:cs="Times New Roman"/>
                <w:bCs/>
                <w:sz w:val="24"/>
                <w:highlight w:val="none"/>
                <w:lang w:val="en-US" w:eastAsia="zh-CN"/>
              </w:rPr>
              <w:t>粗液蜡，稳定轻烃，2#粗液蜡等。产品优点有清洁环保（不含硫</w:t>
            </w:r>
            <w:r>
              <w:rPr>
                <w:rFonts w:hint="eastAsia" w:cs="Times New Roman"/>
                <w:bCs/>
                <w:sz w:val="24"/>
                <w:highlight w:val="none"/>
                <w:lang w:val="en-US" w:eastAsia="zh-CN"/>
              </w:rPr>
              <w:t>、</w:t>
            </w:r>
            <w:r>
              <w:rPr>
                <w:rFonts w:hint="default" w:ascii="Times New Roman" w:hAnsi="Times New Roman" w:eastAsia="宋体" w:cs="Times New Roman"/>
                <w:bCs/>
                <w:sz w:val="24"/>
                <w:highlight w:val="none"/>
                <w:lang w:val="en-US" w:eastAsia="zh-CN"/>
              </w:rPr>
              <w:t>氮</w:t>
            </w:r>
            <w:r>
              <w:rPr>
                <w:rFonts w:hint="eastAsia" w:cs="Times New Roman"/>
                <w:bCs/>
                <w:sz w:val="24"/>
                <w:highlight w:val="none"/>
                <w:lang w:val="en-US" w:eastAsia="zh-CN"/>
              </w:rPr>
              <w:t>、</w:t>
            </w:r>
            <w:r>
              <w:rPr>
                <w:rFonts w:hint="default" w:ascii="Times New Roman" w:hAnsi="Times New Roman" w:eastAsia="宋体" w:cs="Times New Roman"/>
                <w:bCs/>
                <w:sz w:val="24"/>
                <w:highlight w:val="none"/>
                <w:lang w:val="en-US" w:eastAsia="zh-CN"/>
              </w:rPr>
              <w:t>芳烃</w:t>
            </w:r>
            <w:r>
              <w:rPr>
                <w:rFonts w:hint="eastAsia" w:cs="Times New Roman"/>
                <w:bCs/>
                <w:sz w:val="24"/>
                <w:highlight w:val="none"/>
                <w:lang w:val="en-US" w:eastAsia="zh-CN"/>
              </w:rPr>
              <w:t>、</w:t>
            </w:r>
            <w:r>
              <w:rPr>
                <w:rFonts w:hint="default" w:ascii="Times New Roman" w:hAnsi="Times New Roman" w:eastAsia="宋体" w:cs="Times New Roman"/>
                <w:bCs/>
                <w:sz w:val="24"/>
                <w:highlight w:val="none"/>
                <w:lang w:val="en-US" w:eastAsia="zh-CN"/>
              </w:rPr>
              <w:t>重金属等杂质），正构烷烃含量高（90%）以上，轻组分中α-烯烃含量高（55%）以上，重组分中长碳链正构烷烃含量高等特点。质量优良，目标市场可靠，在煤制油行业中也起到了技术引领作用。目前，该示范工程自2017年9月份一次性投料试车成功后，已稳定运行6年，其中煤气化装置采用航天长征6台粉煤加压气化和3台多原料浆水煤浆气化技术生产合成气，共</w:t>
            </w:r>
            <w:r>
              <w:rPr>
                <w:rFonts w:hint="eastAsia" w:cs="Times New Roman"/>
                <w:bCs/>
                <w:sz w:val="24"/>
                <w:highlight w:val="none"/>
                <w:lang w:val="en-US" w:eastAsia="zh-CN"/>
              </w:rPr>
              <w:t>生产</w:t>
            </w:r>
            <w:r>
              <w:rPr>
                <w:rFonts w:hint="default" w:ascii="Times New Roman" w:hAnsi="Times New Roman" w:eastAsia="宋体" w:cs="Times New Roman"/>
                <w:bCs/>
                <w:sz w:val="24"/>
                <w:highlight w:val="none"/>
                <w:lang w:val="en-US" w:eastAsia="zh-CN"/>
              </w:rPr>
              <w:t>71.4万</w:t>
            </w:r>
            <w:r>
              <w:rPr>
                <w:rFonts w:hint="eastAsia" w:ascii="Times New Roman" w:hAnsi="Times New Roman" w:eastAsia="宋体" w:cs="Times New Roman"/>
                <w:bCs/>
                <w:sz w:val="24"/>
                <w:highlight w:val="none"/>
                <w:lang w:val="en-US" w:eastAsia="zh-CN"/>
              </w:rPr>
              <w:t>立方米</w:t>
            </w:r>
            <w:r>
              <w:rPr>
                <w:rFonts w:hint="default" w:ascii="Times New Roman" w:hAnsi="Times New Roman" w:eastAsia="宋体" w:cs="Times New Roman"/>
                <w:bCs/>
                <w:sz w:val="24"/>
                <w:highlight w:val="none"/>
                <w:lang w:val="en-US" w:eastAsia="zh-CN"/>
              </w:rPr>
              <w:t>的有效气，其中航天炉单炉设计能力为10.2万</w:t>
            </w:r>
            <w:r>
              <w:rPr>
                <w:rFonts w:hint="eastAsia" w:ascii="Times New Roman" w:hAnsi="Times New Roman" w:eastAsia="宋体" w:cs="Times New Roman"/>
                <w:bCs/>
                <w:sz w:val="24"/>
                <w:highlight w:val="none"/>
                <w:lang w:val="en-US" w:eastAsia="zh-CN"/>
              </w:rPr>
              <w:t>立方米</w:t>
            </w:r>
            <w:r>
              <w:rPr>
                <w:rFonts w:hint="default" w:ascii="Times New Roman" w:hAnsi="Times New Roman" w:eastAsia="宋体" w:cs="Times New Roman"/>
                <w:bCs/>
                <w:sz w:val="24"/>
                <w:highlight w:val="none"/>
                <w:lang w:val="en-US" w:eastAsia="zh-CN"/>
              </w:rPr>
              <w:t>有效气，6台航天炉合计生产61.2万</w:t>
            </w:r>
            <w:r>
              <w:rPr>
                <w:rFonts w:hint="eastAsia" w:ascii="Times New Roman" w:hAnsi="Times New Roman" w:eastAsia="宋体" w:cs="Times New Roman"/>
                <w:bCs/>
                <w:sz w:val="24"/>
                <w:highlight w:val="none"/>
                <w:lang w:val="en-US" w:eastAsia="zh-CN"/>
              </w:rPr>
              <w:t>立方米</w:t>
            </w:r>
            <w:r>
              <w:rPr>
                <w:rFonts w:hint="default" w:ascii="Times New Roman" w:hAnsi="Times New Roman" w:eastAsia="宋体" w:cs="Times New Roman"/>
                <w:bCs/>
                <w:sz w:val="24"/>
                <w:highlight w:val="none"/>
                <w:lang w:val="en-US" w:eastAsia="zh-CN"/>
              </w:rPr>
              <w:t>有效气。</w:t>
            </w:r>
          </w:p>
          <w:p w14:paraId="454C0726">
            <w:pPr>
              <w:adjustRightInd w:val="0"/>
              <w:snapToGrid w:val="0"/>
              <w:spacing w:line="360" w:lineRule="auto"/>
              <w:ind w:firstLine="480" w:firstLineChars="200"/>
              <w:jc w:val="left"/>
              <w:rPr>
                <w:rFonts w:hint="eastAsia" w:cs="Times New Roman"/>
                <w:bCs/>
                <w:sz w:val="24"/>
                <w:highlight w:val="none"/>
                <w:lang w:val="en-US" w:eastAsia="zh-CN"/>
              </w:rPr>
            </w:pPr>
            <w:r>
              <w:rPr>
                <w:rFonts w:hint="eastAsia" w:ascii="Times New Roman" w:hAnsi="Times New Roman" w:eastAsia="宋体" w:cs="Times New Roman"/>
                <w:bCs/>
                <w:sz w:val="24"/>
                <w:highlight w:val="none"/>
                <w:lang w:val="en-US" w:eastAsia="zh-CN"/>
              </w:rPr>
              <w:t>由于</w:t>
            </w:r>
            <w:r>
              <w:rPr>
                <w:rFonts w:hint="default" w:ascii="Times New Roman" w:hAnsi="Times New Roman" w:eastAsia="宋体" w:cs="Times New Roman"/>
                <w:bCs/>
                <w:sz w:val="24"/>
                <w:highlight w:val="none"/>
                <w:lang w:val="en-US" w:eastAsia="zh-CN"/>
              </w:rPr>
              <w:t>伊泰</w:t>
            </w:r>
            <w:r>
              <w:rPr>
                <w:rFonts w:hint="eastAsia" w:cs="Times New Roman"/>
                <w:bCs/>
                <w:sz w:val="24"/>
                <w:highlight w:val="none"/>
                <w:lang w:val="en-US" w:eastAsia="zh-CN"/>
              </w:rPr>
              <w:t>化工</w:t>
            </w:r>
            <w:r>
              <w:rPr>
                <w:rFonts w:hint="default" w:ascii="Times New Roman" w:hAnsi="Times New Roman" w:eastAsia="宋体" w:cs="Times New Roman"/>
                <w:bCs/>
                <w:sz w:val="24"/>
                <w:highlight w:val="none"/>
                <w:lang w:val="en-US" w:eastAsia="zh-CN"/>
              </w:rPr>
              <w:t>现有</w:t>
            </w:r>
            <w:r>
              <w:rPr>
                <w:rFonts w:hint="eastAsia" w:cs="Times New Roman"/>
                <w:bCs/>
                <w:sz w:val="24"/>
                <w:highlight w:val="none"/>
                <w:lang w:val="en-US" w:eastAsia="zh-CN"/>
              </w:rPr>
              <w:t>工艺</w:t>
            </w:r>
            <w:r>
              <w:rPr>
                <w:rFonts w:hint="default" w:ascii="Times New Roman" w:hAnsi="Times New Roman" w:eastAsia="宋体" w:cs="Times New Roman"/>
                <w:bCs/>
                <w:sz w:val="24"/>
                <w:highlight w:val="none"/>
                <w:lang w:val="en-US" w:eastAsia="zh-CN"/>
              </w:rPr>
              <w:t>原料尾气</w:t>
            </w:r>
            <w:r>
              <w:rPr>
                <w:rFonts w:hint="eastAsia" w:ascii="Times New Roman" w:hAnsi="Times New Roman" w:eastAsia="宋体" w:cs="Times New Roman"/>
                <w:bCs/>
                <w:sz w:val="24"/>
                <w:highlight w:val="none"/>
                <w:lang w:val="en-US" w:eastAsia="zh-CN"/>
              </w:rPr>
              <w:t>、</w:t>
            </w:r>
            <w:r>
              <w:rPr>
                <w:rFonts w:hint="eastAsia" w:cs="Times New Roman"/>
                <w:bCs/>
                <w:sz w:val="24"/>
                <w:highlight w:val="none"/>
                <w:lang w:val="en-US" w:eastAsia="zh-CN"/>
              </w:rPr>
              <w:t>甲烷气</w:t>
            </w:r>
            <w:r>
              <w:rPr>
                <w:rFonts w:hint="eastAsia" w:ascii="Times New Roman" w:hAnsi="Times New Roman" w:eastAsia="宋体" w:cs="Times New Roman"/>
                <w:bCs/>
                <w:sz w:val="24"/>
                <w:highlight w:val="none"/>
                <w:lang w:val="en-US" w:eastAsia="zh-CN"/>
              </w:rPr>
              <w:t>、</w:t>
            </w:r>
            <w:r>
              <w:rPr>
                <w:rFonts w:hint="default" w:ascii="Times New Roman" w:hAnsi="Times New Roman" w:eastAsia="宋体" w:cs="Times New Roman"/>
                <w:bCs/>
                <w:sz w:val="24"/>
                <w:highlight w:val="none"/>
                <w:lang w:val="en-US" w:eastAsia="zh-CN"/>
              </w:rPr>
              <w:t>公用工程</w:t>
            </w:r>
            <w:r>
              <w:rPr>
                <w:rFonts w:hint="eastAsia" w:ascii="Times New Roman" w:hAnsi="Times New Roman" w:eastAsia="宋体" w:cs="Times New Roman"/>
                <w:bCs/>
                <w:sz w:val="24"/>
                <w:highlight w:val="none"/>
                <w:lang w:val="en-US" w:eastAsia="zh-CN"/>
              </w:rPr>
              <w:t>有</w:t>
            </w:r>
            <w:r>
              <w:rPr>
                <w:rFonts w:hint="default" w:ascii="Times New Roman" w:hAnsi="Times New Roman" w:eastAsia="宋体" w:cs="Times New Roman"/>
                <w:bCs/>
                <w:sz w:val="24"/>
                <w:highlight w:val="none"/>
                <w:lang w:val="en-US" w:eastAsia="zh-CN"/>
              </w:rPr>
              <w:t>剩余</w:t>
            </w: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现将剩余</w:t>
            </w:r>
            <w:r>
              <w:rPr>
                <w:rFonts w:hint="eastAsia" w:cs="Times New Roman"/>
                <w:bCs/>
                <w:sz w:val="24"/>
                <w:highlight w:val="none"/>
                <w:lang w:val="en-US" w:eastAsia="zh-CN"/>
              </w:rPr>
              <w:t>量</w:t>
            </w:r>
            <w:r>
              <w:rPr>
                <w:rFonts w:hint="default" w:ascii="Times New Roman" w:hAnsi="Times New Roman" w:eastAsia="宋体" w:cs="Times New Roman"/>
                <w:bCs/>
                <w:sz w:val="24"/>
                <w:highlight w:val="none"/>
                <w:lang w:val="en-US" w:eastAsia="zh-CN"/>
              </w:rPr>
              <w:t>输送至鹏泰生物公司，鹏泰生物公司现有</w:t>
            </w:r>
            <w:r>
              <w:rPr>
                <w:rFonts w:hint="eastAsia" w:cs="Times New Roman"/>
                <w:bCs/>
                <w:sz w:val="24"/>
                <w:highlight w:val="none"/>
                <w:lang w:val="en-US" w:eastAsia="zh-CN"/>
              </w:rPr>
              <w:t>富甲烷</w:t>
            </w:r>
            <w:r>
              <w:rPr>
                <w:rFonts w:hint="default" w:ascii="Times New Roman" w:hAnsi="Times New Roman" w:eastAsia="宋体" w:cs="Times New Roman"/>
                <w:bCs/>
                <w:sz w:val="24"/>
                <w:highlight w:val="none"/>
                <w:lang w:val="en-US" w:eastAsia="zh-CN"/>
              </w:rPr>
              <w:t>气</w:t>
            </w:r>
            <w:r>
              <w:rPr>
                <w:rFonts w:hint="eastAsia" w:cs="Times New Roman"/>
                <w:bCs/>
                <w:sz w:val="24"/>
                <w:highlight w:val="none"/>
                <w:lang w:val="en-US" w:eastAsia="zh-CN"/>
              </w:rPr>
              <w:t>、</w:t>
            </w:r>
            <w:r>
              <w:rPr>
                <w:rFonts w:hint="default" w:ascii="Times New Roman" w:hAnsi="Times New Roman" w:eastAsia="宋体" w:cs="Times New Roman"/>
                <w:bCs/>
                <w:sz w:val="24"/>
                <w:highlight w:val="none"/>
                <w:lang w:val="en-US" w:eastAsia="zh-CN"/>
              </w:rPr>
              <w:t>火炬气</w:t>
            </w:r>
            <w:r>
              <w:rPr>
                <w:rFonts w:hint="eastAsia" w:cs="Times New Roman"/>
                <w:bCs/>
                <w:sz w:val="24"/>
                <w:highlight w:val="none"/>
                <w:lang w:val="en-US" w:eastAsia="zh-CN"/>
              </w:rPr>
              <w:t>、</w:t>
            </w:r>
            <w:r>
              <w:rPr>
                <w:rFonts w:hint="default" w:ascii="Times New Roman" w:hAnsi="Times New Roman" w:eastAsia="宋体" w:cs="Times New Roman"/>
                <w:bCs/>
                <w:sz w:val="24"/>
                <w:highlight w:val="none"/>
                <w:lang w:val="en-US" w:eastAsia="zh-CN"/>
              </w:rPr>
              <w:t>低压蒸汽冷凝液</w:t>
            </w:r>
            <w:r>
              <w:rPr>
                <w:rFonts w:hint="eastAsia" w:cs="Times New Roman"/>
                <w:bCs/>
                <w:sz w:val="24"/>
                <w:highlight w:val="none"/>
                <w:lang w:val="en-US" w:eastAsia="zh-CN"/>
              </w:rPr>
              <w:t>、</w:t>
            </w:r>
            <w:r>
              <w:rPr>
                <w:rFonts w:hint="default" w:ascii="Times New Roman" w:hAnsi="Times New Roman" w:eastAsia="宋体" w:cs="Times New Roman"/>
                <w:bCs/>
                <w:sz w:val="24"/>
                <w:highlight w:val="none"/>
                <w:lang w:val="en-US" w:eastAsia="zh-CN"/>
              </w:rPr>
              <w:t>污水</w:t>
            </w:r>
            <w:r>
              <w:rPr>
                <w:rFonts w:hint="eastAsia" w:cs="Times New Roman"/>
                <w:bCs/>
                <w:sz w:val="24"/>
                <w:highlight w:val="none"/>
                <w:lang w:val="en-US" w:eastAsia="zh-CN"/>
              </w:rPr>
              <w:t>、</w:t>
            </w:r>
            <w:r>
              <w:rPr>
                <w:rFonts w:hint="default" w:ascii="Times New Roman" w:hAnsi="Times New Roman" w:eastAsia="宋体" w:cs="Times New Roman"/>
                <w:bCs/>
                <w:sz w:val="24"/>
                <w:highlight w:val="none"/>
                <w:lang w:val="en-US" w:eastAsia="zh-CN"/>
              </w:rPr>
              <w:t>酸性气体等工艺介质和公用工程介质输送至伊泰化工。</w:t>
            </w:r>
          </w:p>
          <w:p w14:paraId="344B530F">
            <w:pPr>
              <w:numPr>
                <w:ilvl w:val="0"/>
                <w:numId w:val="0"/>
              </w:numPr>
              <w:spacing w:line="360" w:lineRule="auto"/>
              <w:ind w:firstLine="482" w:firstLineChars="200"/>
              <w:rPr>
                <w:rFonts w:hint="eastAsia" w:ascii="Times New Roman" w:hAnsi="Times New Roman" w:eastAsia="宋体" w:cs="Times New Roman"/>
                <w:b/>
                <w:bCs/>
                <w:sz w:val="24"/>
                <w:highlight w:val="none"/>
                <w:lang w:val="en-US" w:eastAsia="zh-CN"/>
              </w:rPr>
            </w:pPr>
            <w:r>
              <w:rPr>
                <w:rFonts w:hint="eastAsia" w:ascii="Times New Roman" w:hAnsi="Times New Roman" w:eastAsia="宋体" w:cs="Times New Roman"/>
                <w:b/>
                <w:bCs/>
                <w:sz w:val="24"/>
                <w:highlight w:val="none"/>
                <w:lang w:val="en-US" w:eastAsia="zh-CN"/>
              </w:rPr>
              <w:t>（2）鹏泰生物</w:t>
            </w:r>
          </w:p>
          <w:p w14:paraId="22637979">
            <w:pPr>
              <w:adjustRightInd w:val="0"/>
              <w:snapToGrid w:val="0"/>
              <w:spacing w:line="360" w:lineRule="auto"/>
              <w:ind w:firstLine="480" w:firstLineChars="200"/>
              <w:jc w:val="left"/>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巨鹏生物科技（鄂尔多斯）有限公司成立于2023年10月，是巨鹏生物科技有限公司（以下简称</w:t>
            </w: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巨鹏生物</w:t>
            </w: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）控股子公司，投资方包括内蒙古伊泰化工有限责任公司（以下简称</w:t>
            </w: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伊泰化工</w:t>
            </w: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）、内蒙古弘瑞能源集团有限公司、鄂尔多斯市盛泰产业投资管理中心（有限合伙）、中国国际经济技术开发有限公司。2024年8月21日，巨鹏生物科技（鄂尔多斯）有限公司变更为内蒙古鹏泰生物科技有限公司。</w:t>
            </w:r>
          </w:p>
          <w:p w14:paraId="7E5BAC07">
            <w:pPr>
              <w:adjustRightInd w:val="0"/>
              <w:snapToGrid w:val="0"/>
              <w:spacing w:line="360" w:lineRule="auto"/>
              <w:ind w:firstLine="480" w:firstLineChars="200"/>
              <w:jc w:val="left"/>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内蒙古伊泰化工有限责任公司是</w:t>
            </w:r>
            <w:r>
              <w:rPr>
                <w:rFonts w:hint="eastAsia" w:cs="Times New Roman"/>
                <w:bCs/>
                <w:sz w:val="24"/>
                <w:highlight w:val="none"/>
                <w:lang w:val="en-US" w:eastAsia="zh-CN"/>
              </w:rPr>
              <w:t>“伊泰-巨鹏 CO</w:t>
            </w:r>
            <w:r>
              <w:rPr>
                <w:rFonts w:hint="eastAsia" w:cs="Times New Roman"/>
                <w:bCs/>
                <w:sz w:val="24"/>
                <w:highlight w:val="none"/>
                <w:vertAlign w:val="subscript"/>
                <w:lang w:val="en-US" w:eastAsia="zh-CN"/>
              </w:rPr>
              <w:t>2</w:t>
            </w:r>
            <w:r>
              <w:rPr>
                <w:rFonts w:hint="eastAsia" w:cs="Times New Roman"/>
                <w:bCs/>
                <w:sz w:val="24"/>
                <w:highlight w:val="none"/>
                <w:lang w:val="en-US" w:eastAsia="zh-CN"/>
              </w:rPr>
              <w:t>和工业尾气生物发酵法制10万吨乙醇联产2万吨菌体蛋白</w:t>
            </w:r>
            <w:r>
              <w:rPr>
                <w:rFonts w:hint="eastAsia" w:ascii="Times New Roman" w:hAnsi="Times New Roman" w:eastAsia="宋体" w:cs="Times New Roman"/>
                <w:bCs/>
                <w:sz w:val="24"/>
                <w:highlight w:val="none"/>
                <w:lang w:val="en-US" w:eastAsia="zh-CN"/>
              </w:rPr>
              <w:t>项目</w:t>
            </w:r>
            <w:r>
              <w:rPr>
                <w:rFonts w:hint="eastAsia" w:cs="Times New Roman"/>
                <w:bCs/>
                <w:sz w:val="24"/>
                <w:highlight w:val="none"/>
                <w:lang w:val="en-US" w:eastAsia="zh-CN"/>
              </w:rPr>
              <w:t>”的</w:t>
            </w:r>
            <w:r>
              <w:rPr>
                <w:rFonts w:hint="eastAsia" w:ascii="Times New Roman" w:hAnsi="Times New Roman" w:eastAsia="宋体" w:cs="Times New Roman"/>
                <w:bCs/>
                <w:sz w:val="24"/>
                <w:highlight w:val="none"/>
                <w:lang w:val="en-US" w:eastAsia="zh-CN"/>
              </w:rPr>
              <w:t>投资方、原料气及公用工程提供方</w:t>
            </w:r>
            <w:r>
              <w:rPr>
                <w:rFonts w:hint="eastAsia" w:cs="Times New Roman"/>
                <w:bCs/>
                <w:sz w:val="24"/>
                <w:highlight w:val="none"/>
                <w:lang w:val="en-US" w:eastAsia="zh-CN"/>
              </w:rPr>
              <w:t>。</w:t>
            </w:r>
          </w:p>
          <w:p w14:paraId="5427F9A9">
            <w:pPr>
              <w:adjustRightInd w:val="0"/>
              <w:snapToGrid w:val="0"/>
              <w:spacing w:line="360" w:lineRule="auto"/>
              <w:ind w:firstLine="480" w:firstLineChars="200"/>
              <w:jc w:val="left"/>
              <w:rPr>
                <w:highlight w:val="none"/>
              </w:rPr>
            </w:pPr>
            <w:r>
              <w:rPr>
                <w:rFonts w:hint="eastAsia" w:cs="Times New Roman"/>
                <w:bCs/>
                <w:sz w:val="24"/>
                <w:highlight w:val="none"/>
                <w:lang w:val="en-US" w:eastAsia="zh-CN"/>
              </w:rPr>
              <w:t>伊泰厂区的合成脱碳尾气和未变换净化气管</w:t>
            </w:r>
            <w:r>
              <w:rPr>
                <w:rFonts w:hint="default" w:cs="Times New Roman"/>
                <w:bCs/>
                <w:sz w:val="24"/>
                <w:highlight w:val="none"/>
                <w:lang w:val="en-US" w:eastAsia="zh-CN"/>
              </w:rPr>
              <w:t>道作为鹏泰生物公司的原料，采用生物发酵法，将合成气中的一氧化碳转化为乙醇，同时生成二氧化碳和菌体。</w:t>
            </w:r>
            <w:r>
              <w:rPr>
                <w:rFonts w:hint="eastAsia" w:cs="Times New Roman"/>
                <w:bCs/>
                <w:sz w:val="24"/>
                <w:highlight w:val="none"/>
                <w:lang w:val="en-US" w:eastAsia="zh-CN"/>
              </w:rPr>
              <w:t>鄂尔多斯市生态环境局于2025年以鄂环审字﹝2025﹞90号文件出具了《鄂尔多斯市生态环境局关于伊泰-巨鹏CO</w:t>
            </w:r>
            <w:r>
              <w:rPr>
                <w:rFonts w:hint="eastAsia" w:cs="Times New Roman"/>
                <w:bCs/>
                <w:sz w:val="24"/>
                <w:highlight w:val="none"/>
                <w:vertAlign w:val="subscript"/>
                <w:lang w:val="en-US" w:eastAsia="zh-CN"/>
              </w:rPr>
              <w:t>2</w:t>
            </w:r>
            <w:r>
              <w:rPr>
                <w:rFonts w:hint="eastAsia" w:cs="Times New Roman"/>
                <w:bCs/>
                <w:sz w:val="24"/>
                <w:highlight w:val="none"/>
                <w:lang w:val="en-US" w:eastAsia="zh-CN"/>
              </w:rPr>
              <w:t>和工业尾气生物发酵法制10万吨乙醇联产2万吨菌体蛋白项目环境影响报告书的批复》。目前该项目未进行验收工作。根据该项目环境影响报告书，项目原料气、污水处理、蒸汽、氮气、工厂空气、仪表空气、火炬、硫回收、燃料气等管网依托内蒙古伊泰化工有限责任公司120万吨/年精细化学品示范项目</w:t>
            </w:r>
            <w:r>
              <w:rPr>
                <w:rFonts w:hint="eastAsia" w:ascii="Times New Roman" w:hAnsi="Times New Roman" w:eastAsia="宋体" w:cs="Times New Roman"/>
                <w:bCs/>
                <w:sz w:val="24"/>
                <w:highlight w:val="none"/>
                <w:lang w:val="en-US" w:eastAsia="zh-CN"/>
              </w:rPr>
              <w:t>。</w:t>
            </w:r>
          </w:p>
          <w:p w14:paraId="54CB02B1">
            <w:pPr>
              <w:adjustRightInd w:val="0"/>
              <w:snapToGrid w:val="0"/>
              <w:spacing w:line="360" w:lineRule="auto"/>
              <w:ind w:firstLine="480" w:firstLineChars="200"/>
              <w:jc w:val="left"/>
              <w:rPr>
                <w:rFonts w:hint="eastAsia" w:cs="Times New Roman"/>
                <w:bCs/>
                <w:sz w:val="24"/>
                <w:highlight w:val="none"/>
                <w:lang w:val="en-US" w:eastAsia="zh-CN"/>
              </w:rPr>
            </w:pPr>
            <w:r>
              <w:rPr>
                <w:rFonts w:hint="default" w:ascii="Times New Roman" w:hAnsi="Times New Roman" w:eastAsia="宋体" w:cs="Times New Roman"/>
                <w:bCs/>
                <w:sz w:val="24"/>
                <w:highlight w:val="none"/>
                <w:lang w:val="en-US" w:eastAsia="zh-CN"/>
              </w:rPr>
              <w:t>两家剩余的</w:t>
            </w:r>
            <w:r>
              <w:rPr>
                <w:rFonts w:hint="default" w:cs="Times New Roman"/>
                <w:bCs/>
                <w:sz w:val="24"/>
                <w:highlight w:val="none"/>
                <w:lang w:val="en-US" w:eastAsia="zh-CN"/>
              </w:rPr>
              <w:t>公用工程和工艺介质通过管廊输送至对方装置，将现有的工艺废料和公用工程合理分配利用，</w:t>
            </w:r>
            <w:r>
              <w:rPr>
                <w:rFonts w:ascii="Segoe UI" w:hAnsi="Segoe UI" w:eastAsia="Segoe UI" w:cs="Segoe UI"/>
                <w:i w:val="0"/>
                <w:iCs w:val="0"/>
                <w:caps w:val="0"/>
                <w:color w:val="0F1115"/>
                <w:spacing w:val="0"/>
                <w:sz w:val="24"/>
                <w:szCs w:val="24"/>
                <w:highlight w:val="none"/>
                <w:shd w:val="clear" w:fill="FFFFFF"/>
              </w:rPr>
              <w:t>实现了能源与物料的循环利用。提升了资源综合利用效率，有效减少了因介质放空或单独处理造成的能源浪费与污染物新增排放</w:t>
            </w:r>
            <w:r>
              <w:rPr>
                <w:rFonts w:hint="default" w:cs="Times New Roman"/>
                <w:bCs/>
                <w:sz w:val="24"/>
                <w:highlight w:val="none"/>
                <w:lang w:val="en-US" w:eastAsia="zh-CN"/>
              </w:rPr>
              <w:t>。</w:t>
            </w:r>
          </w:p>
          <w:p w14:paraId="2B1F5121">
            <w:pPr>
              <w:numPr>
                <w:ilvl w:val="0"/>
                <w:numId w:val="0"/>
              </w:numPr>
              <w:spacing w:line="360" w:lineRule="auto"/>
              <w:rPr>
                <w:rFonts w:hint="default" w:ascii="Times New Roman" w:hAnsi="Times New Roman" w:eastAsia="宋体" w:cs="Times New Roman"/>
                <w:b/>
                <w:bCs/>
                <w:sz w:val="24"/>
                <w:highlight w:val="none"/>
                <w:lang w:val="en-US" w:eastAsia="zh-CN"/>
              </w:rPr>
            </w:pPr>
            <w:r>
              <w:rPr>
                <w:rFonts w:hint="eastAsia" w:cs="Times New Roman"/>
                <w:b/>
                <w:bCs/>
                <w:sz w:val="24"/>
                <w:highlight w:val="none"/>
                <w:lang w:val="en-US" w:eastAsia="zh-CN"/>
              </w:rPr>
              <w:t>2.</w:t>
            </w:r>
            <w:r>
              <w:rPr>
                <w:rFonts w:hint="eastAsia" w:ascii="Times New Roman" w:hAnsi="Times New Roman" w:eastAsia="宋体" w:cs="Times New Roman"/>
                <w:b/>
                <w:bCs/>
                <w:sz w:val="24"/>
                <w:highlight w:val="none"/>
                <w:lang w:val="en-US" w:eastAsia="zh-CN"/>
              </w:rPr>
              <w:t>本次项目建设内容</w:t>
            </w:r>
          </w:p>
          <w:p w14:paraId="49A57133">
            <w:pPr>
              <w:adjustRightInd w:val="0"/>
              <w:snapToGrid w:val="0"/>
              <w:spacing w:line="360" w:lineRule="auto"/>
              <w:ind w:firstLine="480" w:firstLineChars="200"/>
              <w:jc w:val="left"/>
              <w:rPr>
                <w:rFonts w:hint="eastAsia" w:ascii="Times New Roman" w:hAnsi="Times New Roman" w:eastAsia="宋体" w:cs="Times New Roman"/>
                <w:bCs/>
                <w:sz w:val="24"/>
                <w:highlight w:val="none"/>
                <w:lang w:val="en-US" w:eastAsia="zh-CN"/>
              </w:rPr>
            </w:pPr>
            <w:r>
              <w:rPr>
                <w:rFonts w:hint="eastAsia" w:cs="Times New Roman"/>
                <w:bCs/>
                <w:sz w:val="24"/>
                <w:highlight w:val="none"/>
                <w:lang w:val="en-US" w:eastAsia="zh-CN"/>
              </w:rPr>
              <w:t>本</w:t>
            </w:r>
            <w:r>
              <w:rPr>
                <w:rFonts w:hint="eastAsia" w:ascii="Times New Roman" w:hAnsi="Times New Roman" w:eastAsia="宋体" w:cs="Times New Roman"/>
                <w:bCs/>
                <w:sz w:val="24"/>
                <w:highlight w:val="none"/>
                <w:lang w:val="en-US" w:eastAsia="zh-CN"/>
              </w:rPr>
              <w:t>项目技改内容主要为伊泰化工在原有联博管廊的基础上通过加固、加两层的方式，</w:t>
            </w:r>
            <w:r>
              <w:rPr>
                <w:rFonts w:hint="eastAsia" w:cs="Times New Roman"/>
                <w:bCs/>
                <w:sz w:val="24"/>
                <w:highlight w:val="none"/>
                <w:lang w:val="en-US" w:eastAsia="zh-CN"/>
              </w:rPr>
              <w:t>全部</w:t>
            </w:r>
            <w:r>
              <w:rPr>
                <w:rFonts w:hint="eastAsia" w:ascii="Times New Roman" w:hAnsi="Times New Roman" w:eastAsia="宋体" w:cs="Times New Roman"/>
                <w:bCs/>
                <w:sz w:val="24"/>
                <w:highlight w:val="none"/>
                <w:lang w:val="en-US" w:eastAsia="zh-CN"/>
              </w:rPr>
              <w:t>采用架空的方式将</w:t>
            </w:r>
            <w:r>
              <w:rPr>
                <w:rFonts w:hint="eastAsia" w:cs="Times New Roman"/>
                <w:bCs/>
                <w:sz w:val="24"/>
                <w:highlight w:val="none"/>
                <w:lang w:val="en-US" w:eastAsia="zh-CN"/>
              </w:rPr>
              <w:t>新建的</w:t>
            </w:r>
            <w:r>
              <w:rPr>
                <w:rFonts w:hint="eastAsia" w:ascii="Times New Roman" w:hAnsi="Times New Roman" w:eastAsia="宋体" w:cs="Times New Roman"/>
                <w:bCs/>
                <w:sz w:val="24"/>
                <w:highlight w:val="none"/>
                <w:lang w:val="en-US" w:eastAsia="zh-CN"/>
              </w:rPr>
              <w:t>23条物料管线布置在改造后的联博管廊，并将物料输送至鹏泰生物装置界区</w:t>
            </w: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给每条管线设置用于物料结算计量的流量计，以及相配套的自控系统，并增设一台甲烷气压缩机。</w:t>
            </w:r>
          </w:p>
          <w:p w14:paraId="2B784F98">
            <w:pPr>
              <w:adjustRightInd w:val="0"/>
              <w:snapToGrid w:val="0"/>
              <w:spacing w:line="360" w:lineRule="auto"/>
              <w:ind w:firstLine="480" w:firstLineChars="200"/>
              <w:jc w:val="left"/>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原有联博管廊长378m，宽6.7m。底层距离地坪6.7m，底层管廊预留8</w:t>
            </w:r>
            <w:r>
              <w:rPr>
                <w:rFonts w:hint="eastAsia" w:cs="Times New Roman"/>
                <w:bCs/>
                <w:sz w:val="24"/>
                <w:highlight w:val="none"/>
                <w:lang w:val="en-US" w:eastAsia="zh-CN"/>
              </w:rPr>
              <w:t>根</w:t>
            </w:r>
            <w:r>
              <w:rPr>
                <w:rFonts w:hint="eastAsia" w:ascii="Times New Roman" w:hAnsi="Times New Roman" w:eastAsia="宋体" w:cs="Times New Roman"/>
                <w:bCs/>
                <w:sz w:val="24"/>
                <w:highlight w:val="none"/>
                <w:lang w:val="en-US" w:eastAsia="zh-CN"/>
              </w:rPr>
              <w:t>管道位置，目前已经使用2</w:t>
            </w:r>
            <w:r>
              <w:rPr>
                <w:rFonts w:hint="eastAsia" w:cs="Times New Roman"/>
                <w:bCs/>
                <w:sz w:val="24"/>
                <w:highlight w:val="none"/>
                <w:lang w:val="en-US" w:eastAsia="zh-CN"/>
              </w:rPr>
              <w:t>根，</w:t>
            </w:r>
            <w:r>
              <w:rPr>
                <w:rFonts w:hint="eastAsia" w:ascii="Times New Roman" w:hAnsi="Times New Roman" w:eastAsia="宋体" w:cs="Times New Roman"/>
                <w:bCs/>
                <w:sz w:val="24"/>
                <w:highlight w:val="none"/>
                <w:lang w:val="en-US" w:eastAsia="zh-CN"/>
              </w:rPr>
              <w:t>剩余6</w:t>
            </w:r>
            <w:r>
              <w:rPr>
                <w:rFonts w:hint="eastAsia" w:cs="Times New Roman"/>
                <w:bCs/>
                <w:sz w:val="24"/>
                <w:highlight w:val="none"/>
                <w:lang w:val="en-US" w:eastAsia="zh-CN"/>
              </w:rPr>
              <w:t>根</w:t>
            </w:r>
            <w:r>
              <w:rPr>
                <w:rFonts w:hint="eastAsia" w:ascii="Times New Roman" w:hAnsi="Times New Roman" w:eastAsia="宋体" w:cs="Times New Roman"/>
                <w:bCs/>
                <w:sz w:val="24"/>
                <w:highlight w:val="none"/>
                <w:lang w:val="en-US" w:eastAsia="zh-CN"/>
              </w:rPr>
              <w:t>为本项目新建管道分别为仪表风管道、工厂风管道、氮气管道、凝结水管道、污水2管道、酸性气管道。二层距离地坪11m、铺设9</w:t>
            </w:r>
            <w:r>
              <w:rPr>
                <w:rFonts w:hint="eastAsia" w:cs="Times New Roman"/>
                <w:bCs/>
                <w:sz w:val="24"/>
                <w:highlight w:val="none"/>
                <w:lang w:val="en-US" w:eastAsia="zh-CN"/>
              </w:rPr>
              <w:t>根</w:t>
            </w:r>
            <w:r>
              <w:rPr>
                <w:rFonts w:hint="eastAsia" w:ascii="Times New Roman" w:hAnsi="Times New Roman" w:eastAsia="宋体" w:cs="Times New Roman"/>
                <w:bCs/>
                <w:sz w:val="24"/>
                <w:highlight w:val="none"/>
                <w:lang w:val="en-US" w:eastAsia="zh-CN"/>
              </w:rPr>
              <w:t>管道，分别为冷冻水来管道、冷冻水回管道、尾气管道、富甲烷气管道、真空泵尾气管道、回用水管道、甲烷气管道、黄河水管道、中压蒸汽管道。三层距离地坪14m、铺设6</w:t>
            </w:r>
            <w:r>
              <w:rPr>
                <w:rFonts w:hint="eastAsia" w:cs="Times New Roman"/>
                <w:bCs/>
                <w:sz w:val="24"/>
                <w:highlight w:val="none"/>
                <w:lang w:val="en-US" w:eastAsia="zh-CN"/>
              </w:rPr>
              <w:t>根</w:t>
            </w:r>
            <w:r>
              <w:rPr>
                <w:rFonts w:hint="eastAsia" w:ascii="Times New Roman" w:hAnsi="Times New Roman" w:eastAsia="宋体" w:cs="Times New Roman"/>
                <w:bCs/>
                <w:sz w:val="24"/>
                <w:highlight w:val="none"/>
                <w:lang w:val="en-US" w:eastAsia="zh-CN"/>
              </w:rPr>
              <w:t>管道，分别为酸湿火炬管道、低压含烃火炬</w:t>
            </w:r>
            <w:r>
              <w:rPr>
                <w:rFonts w:hint="eastAsia" w:cs="Times New Roman"/>
                <w:bCs/>
                <w:sz w:val="24"/>
                <w:highlight w:val="none"/>
                <w:lang w:val="en-US" w:eastAsia="zh-CN"/>
              </w:rPr>
              <w:t>管道</w:t>
            </w:r>
            <w:r>
              <w:rPr>
                <w:rFonts w:hint="eastAsia" w:ascii="Times New Roman" w:hAnsi="Times New Roman" w:eastAsia="宋体" w:cs="Times New Roman"/>
                <w:bCs/>
                <w:sz w:val="24"/>
                <w:highlight w:val="none"/>
                <w:lang w:val="en-US" w:eastAsia="zh-CN"/>
              </w:rPr>
              <w:t>、CO</w:t>
            </w:r>
            <w:r>
              <w:rPr>
                <w:rFonts w:hint="eastAsia" w:ascii="Times New Roman" w:hAnsi="Times New Roman" w:eastAsia="宋体" w:cs="Times New Roman"/>
                <w:bCs/>
                <w:sz w:val="24"/>
                <w:highlight w:val="none"/>
                <w:vertAlign w:val="subscript"/>
                <w:lang w:val="en-US" w:eastAsia="zh-CN"/>
              </w:rPr>
              <w:t>2</w:t>
            </w:r>
            <w:r>
              <w:rPr>
                <w:rFonts w:hint="eastAsia" w:ascii="Times New Roman" w:hAnsi="Times New Roman" w:eastAsia="宋体" w:cs="Times New Roman"/>
                <w:bCs/>
                <w:sz w:val="24"/>
                <w:highlight w:val="none"/>
                <w:lang w:val="en-US" w:eastAsia="zh-CN"/>
              </w:rPr>
              <w:t>管道、污水1</w:t>
            </w:r>
            <w:r>
              <w:rPr>
                <w:rFonts w:hint="eastAsia" w:cs="Times New Roman"/>
                <w:bCs/>
                <w:sz w:val="24"/>
                <w:highlight w:val="none"/>
                <w:lang w:val="en-US" w:eastAsia="zh-CN"/>
              </w:rPr>
              <w:t>管道</w:t>
            </w:r>
            <w:r>
              <w:rPr>
                <w:rFonts w:hint="eastAsia" w:ascii="Times New Roman" w:hAnsi="Times New Roman" w:eastAsia="宋体" w:cs="Times New Roman"/>
                <w:bCs/>
                <w:sz w:val="24"/>
                <w:highlight w:val="none"/>
                <w:lang w:val="en-US" w:eastAsia="zh-CN"/>
              </w:rPr>
              <w:t>、合成脱碳尾气</w:t>
            </w:r>
            <w:r>
              <w:rPr>
                <w:rFonts w:hint="eastAsia" w:cs="Times New Roman"/>
                <w:bCs/>
                <w:sz w:val="24"/>
                <w:highlight w:val="none"/>
                <w:lang w:val="en-US" w:eastAsia="zh-CN"/>
              </w:rPr>
              <w:t>管道</w:t>
            </w:r>
            <w:r>
              <w:rPr>
                <w:rFonts w:hint="eastAsia" w:ascii="Times New Roman" w:hAnsi="Times New Roman" w:eastAsia="宋体" w:cs="Times New Roman"/>
                <w:bCs/>
                <w:sz w:val="24"/>
                <w:highlight w:val="none"/>
                <w:lang w:val="en-US" w:eastAsia="zh-CN"/>
              </w:rPr>
              <w:t>、未变换净化气管道。</w:t>
            </w:r>
          </w:p>
          <w:p w14:paraId="23610314">
            <w:pPr>
              <w:adjustRightInd w:val="0"/>
              <w:snapToGrid w:val="0"/>
              <w:spacing w:line="360" w:lineRule="auto"/>
              <w:ind w:firstLine="480" w:firstLineChars="200"/>
              <w:jc w:val="left"/>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清净废水、WRT甲烷气不进入管廊，单独设置独立柱架空敷设。</w:t>
            </w:r>
          </w:p>
          <w:p w14:paraId="2304895F">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cs="Times New Roman"/>
                <w:bCs/>
                <w:sz w:val="24"/>
                <w:highlight w:val="none"/>
                <w:lang w:val="en-US" w:eastAsia="zh-CN"/>
              </w:rPr>
              <w:t>项目黄河水管道</w:t>
            </w:r>
            <w:r>
              <w:rPr>
                <w:rFonts w:hint="default" w:ascii="Times New Roman" w:hAnsi="Times New Roman" w:cs="Times New Roman" w:eastAsiaTheme="minorEastAsia"/>
                <w:spacing w:val="9"/>
                <w:sz w:val="24"/>
                <w:szCs w:val="24"/>
                <w:highlight w:val="none"/>
                <w:lang w:val="en-US" w:eastAsia="zh-CN"/>
              </w:rPr>
              <w:t>厂区外取水点</w:t>
            </w:r>
            <w:r>
              <w:rPr>
                <w:rFonts w:hint="default" w:ascii="Times New Roman" w:hAnsi="Times New Roman" w:cs="Times New Roman" w:eastAsiaTheme="minorEastAsia"/>
                <w:spacing w:val="9"/>
                <w:sz w:val="24"/>
                <w:szCs w:val="24"/>
                <w:highlight w:val="none"/>
                <w:lang w:eastAsia="zh-CN"/>
              </w:rPr>
              <w:t>已有埋地管道</w:t>
            </w:r>
            <w:r>
              <w:rPr>
                <w:rFonts w:hint="default" w:ascii="Times New Roman" w:hAnsi="Times New Roman" w:cs="Times New Roman" w:eastAsiaTheme="minorEastAsia"/>
                <w:spacing w:val="9"/>
                <w:sz w:val="24"/>
                <w:szCs w:val="24"/>
                <w:highlight w:val="none"/>
                <w:lang w:val="en-US" w:eastAsia="zh-CN"/>
              </w:rPr>
              <w:t>预留接口，本项目建设直接从接口接入</w:t>
            </w:r>
            <w:r>
              <w:rPr>
                <w:rFonts w:hint="eastAsia" w:ascii="Times New Roman" w:hAnsi="Times New Roman" w:cs="Times New Roman" w:eastAsiaTheme="minorEastAsia"/>
                <w:spacing w:val="9"/>
                <w:sz w:val="24"/>
                <w:szCs w:val="24"/>
                <w:highlight w:val="none"/>
                <w:lang w:val="en-US" w:eastAsia="zh-CN"/>
              </w:rPr>
              <w:t>，采取架空敷设。</w:t>
            </w:r>
          </w:p>
          <w:p w14:paraId="1A46D04D">
            <w:pPr>
              <w:adjustRightInd w:val="0"/>
              <w:snapToGrid w:val="0"/>
              <w:spacing w:line="360" w:lineRule="auto"/>
              <w:ind w:firstLine="480" w:firstLineChars="200"/>
              <w:jc w:val="left"/>
              <w:rPr>
                <w:rFonts w:hint="eastAsia" w:ascii="Times New Roman" w:hAnsi="Times New Roman" w:eastAsia="宋体" w:cs="Times New Roman"/>
                <w:sz w:val="24"/>
                <w:highlight w:val="none"/>
                <w:lang w:val="en-US"/>
              </w:rPr>
            </w:pPr>
            <w:r>
              <w:rPr>
                <w:rFonts w:hint="eastAsia" w:cs="Times New Roman"/>
                <w:bCs/>
                <w:sz w:val="24"/>
                <w:highlight w:val="none"/>
                <w:lang w:val="en-US" w:eastAsia="zh-CN"/>
              </w:rPr>
              <w:t>根据《国民经济行业分类代码》（GB/T4754-2017），本工程行业类别为G交通运输、仓储和邮政业5720陆地管道运输。按照《建设项目环境影响评价分类管理名录》（2021年版），本工程属于“五十二、交通运输业、管道运输业；148、危险化学品输送管线（不含企业厂区内管线）；其他”，应</w:t>
            </w:r>
            <w:r>
              <w:rPr>
                <w:rFonts w:hint="eastAsia" w:ascii="Times New Roman" w:hAnsi="Times New Roman" w:eastAsia="宋体" w:cs="Times New Roman"/>
                <w:sz w:val="24"/>
                <w:highlight w:val="none"/>
                <w:lang w:val="en-US"/>
              </w:rPr>
              <w:t>编制环境影响报告表。根据《中华人民共和国环境保护法》《中华人民共和国环境影响评价法》和《建设项目环境保护管理条例》中有关规定，受</w:t>
            </w:r>
            <w:r>
              <w:rPr>
                <w:rFonts w:hint="eastAsia" w:cs="Times New Roman"/>
                <w:sz w:val="24"/>
                <w:highlight w:val="none"/>
                <w:lang w:val="en-US" w:eastAsia="zh-CN"/>
              </w:rPr>
              <w:t>内蒙古伊泰化工有限责任公司</w:t>
            </w:r>
            <w:r>
              <w:rPr>
                <w:rFonts w:hint="eastAsia" w:ascii="Times New Roman" w:hAnsi="Times New Roman" w:eastAsia="宋体" w:cs="Times New Roman"/>
                <w:sz w:val="24"/>
                <w:highlight w:val="none"/>
                <w:lang w:val="en-US"/>
              </w:rPr>
              <w:t>委托，我公司承担本工程的环境影响评价工作。我公司接受委托后，派有关工程技术人员到现场进行调查和资料收集，按照国家有关环评技术规范要求，编制完成本工程环境影响报告表。</w:t>
            </w:r>
          </w:p>
          <w:p w14:paraId="2B2046DE">
            <w:pPr>
              <w:spacing w:line="360" w:lineRule="auto"/>
              <w:rPr>
                <w:rFonts w:hint="eastAsia"/>
                <w:b/>
                <w:bCs/>
                <w:sz w:val="24"/>
                <w:highlight w:val="none"/>
              </w:rPr>
            </w:pPr>
            <w:r>
              <w:rPr>
                <w:rFonts w:hint="eastAsia"/>
                <w:b/>
                <w:bCs/>
                <w:sz w:val="24"/>
                <w:highlight w:val="none"/>
                <w:lang w:val="en-US" w:eastAsia="zh-CN"/>
              </w:rPr>
              <w:t>3.</w:t>
            </w:r>
            <w:r>
              <w:rPr>
                <w:rFonts w:hint="eastAsia"/>
                <w:b/>
                <w:bCs/>
                <w:sz w:val="24"/>
                <w:highlight w:val="none"/>
              </w:rPr>
              <w:t>项目组成</w:t>
            </w:r>
          </w:p>
          <w:p w14:paraId="7A97489D">
            <w:pPr>
              <w:spacing w:line="360" w:lineRule="auto"/>
              <w:ind w:firstLine="480" w:firstLineChars="200"/>
              <w:rPr>
                <w:sz w:val="24"/>
                <w:highlight w:val="none"/>
              </w:rPr>
            </w:pPr>
            <w:r>
              <w:rPr>
                <w:rFonts w:hint="eastAsia"/>
                <w:sz w:val="24"/>
                <w:highlight w:val="none"/>
              </w:rPr>
              <w:t>本项目建设内容及规模见表2-</w:t>
            </w:r>
            <w:r>
              <w:rPr>
                <w:rFonts w:hint="eastAsia"/>
                <w:sz w:val="24"/>
                <w:highlight w:val="none"/>
                <w:lang w:val="en-US" w:eastAsia="zh-CN"/>
              </w:rPr>
              <w:t>2</w:t>
            </w:r>
            <w:r>
              <w:rPr>
                <w:rFonts w:hint="eastAsia"/>
                <w:sz w:val="24"/>
                <w:highlight w:val="none"/>
              </w:rPr>
              <w:t>。</w:t>
            </w:r>
          </w:p>
          <w:p w14:paraId="0A44BFB5">
            <w:pPr>
              <w:adjustRightInd w:val="0"/>
              <w:snapToGrid w:val="0"/>
              <w:spacing w:line="360" w:lineRule="auto"/>
              <w:jc w:val="center"/>
              <w:rPr>
                <w:rFonts w:hint="eastAsia" w:ascii="Times New Roman" w:hAnsi="Times New Roman" w:eastAsia="宋体" w:cs="Times New Roman"/>
                <w:b/>
                <w:bCs/>
                <w:szCs w:val="21"/>
                <w:highlight w:val="none"/>
                <w:lang w:val="en-US"/>
              </w:rPr>
            </w:pPr>
            <w:r>
              <w:rPr>
                <w:rFonts w:hint="eastAsia" w:ascii="Times New Roman" w:hAnsi="Times New Roman" w:eastAsia="宋体" w:cs="Times New Roman"/>
                <w:b/>
                <w:bCs/>
                <w:sz w:val="21"/>
                <w:szCs w:val="21"/>
                <w:highlight w:val="none"/>
                <w:lang w:val="en-US"/>
              </w:rPr>
              <w:t>表2-</w:t>
            </w:r>
            <w:r>
              <w:rPr>
                <w:rFonts w:hint="eastAsia" w:cs="Times New Roman"/>
                <w:b/>
                <w:bCs/>
                <w:sz w:val="21"/>
                <w:szCs w:val="21"/>
                <w:highlight w:val="none"/>
                <w:lang w:val="en-US" w:eastAsia="zh-CN"/>
              </w:rPr>
              <w:t>2</w:t>
            </w:r>
            <w:r>
              <w:rPr>
                <w:rFonts w:hint="eastAsia" w:ascii="Times New Roman" w:hAnsi="Times New Roman" w:eastAsia="宋体" w:cs="Times New Roman"/>
                <w:b/>
                <w:bCs/>
                <w:sz w:val="21"/>
                <w:szCs w:val="21"/>
                <w:highlight w:val="none"/>
                <w:lang w:val="en-US"/>
              </w:rPr>
              <w:t xml:space="preserve">   项目组成表</w:t>
            </w:r>
          </w:p>
          <w:tbl>
            <w:tblPr>
              <w:tblStyle w:val="19"/>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426"/>
              <w:gridCol w:w="633"/>
              <w:gridCol w:w="5850"/>
              <w:gridCol w:w="919"/>
            </w:tblGrid>
            <w:tr w14:paraId="20F4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10" w:type="dxa"/>
                  <w:gridSpan w:val="3"/>
                  <w:noWrap w:val="0"/>
                  <w:vAlign w:val="center"/>
                </w:tcPr>
                <w:p w14:paraId="4FB2E69C">
                  <w:pPr>
                    <w:jc w:val="center"/>
                    <w:rPr>
                      <w:b w:val="0"/>
                      <w:bCs w:val="0"/>
                      <w:szCs w:val="21"/>
                      <w:highlight w:val="none"/>
                    </w:rPr>
                  </w:pPr>
                  <w:r>
                    <w:rPr>
                      <w:rFonts w:hint="eastAsia"/>
                      <w:b w:val="0"/>
                      <w:bCs w:val="0"/>
                      <w:szCs w:val="21"/>
                      <w:highlight w:val="none"/>
                    </w:rPr>
                    <w:t>项目</w:t>
                  </w:r>
                </w:p>
              </w:tc>
              <w:tc>
                <w:tcPr>
                  <w:tcW w:w="5850" w:type="dxa"/>
                  <w:noWrap w:val="0"/>
                  <w:vAlign w:val="center"/>
                </w:tcPr>
                <w:p w14:paraId="1D8F7B7E">
                  <w:pPr>
                    <w:jc w:val="center"/>
                    <w:rPr>
                      <w:b w:val="0"/>
                      <w:bCs w:val="0"/>
                      <w:szCs w:val="21"/>
                      <w:highlight w:val="none"/>
                    </w:rPr>
                  </w:pPr>
                  <w:r>
                    <w:rPr>
                      <w:rFonts w:hint="eastAsia"/>
                      <w:b w:val="0"/>
                      <w:bCs w:val="0"/>
                      <w:szCs w:val="21"/>
                      <w:highlight w:val="none"/>
                    </w:rPr>
                    <w:t>建设内容与规模</w:t>
                  </w:r>
                </w:p>
              </w:tc>
              <w:tc>
                <w:tcPr>
                  <w:tcW w:w="919" w:type="dxa"/>
                  <w:noWrap w:val="0"/>
                  <w:vAlign w:val="center"/>
                </w:tcPr>
                <w:p w14:paraId="01180A5B">
                  <w:pPr>
                    <w:jc w:val="center"/>
                    <w:rPr>
                      <w:b w:val="0"/>
                      <w:bCs w:val="0"/>
                      <w:szCs w:val="21"/>
                      <w:highlight w:val="none"/>
                    </w:rPr>
                  </w:pPr>
                  <w:r>
                    <w:rPr>
                      <w:rFonts w:hint="eastAsia"/>
                      <w:b w:val="0"/>
                      <w:bCs w:val="0"/>
                      <w:szCs w:val="21"/>
                      <w:highlight w:val="none"/>
                    </w:rPr>
                    <w:t>备注</w:t>
                  </w:r>
                </w:p>
              </w:tc>
            </w:tr>
            <w:tr w14:paraId="4904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9" w:hRule="atLeast"/>
                <w:jc w:val="center"/>
              </w:trPr>
              <w:tc>
                <w:tcPr>
                  <w:tcW w:w="651" w:type="dxa"/>
                  <w:vMerge w:val="restart"/>
                  <w:noWrap w:val="0"/>
                  <w:vAlign w:val="center"/>
                </w:tcPr>
                <w:p w14:paraId="46486994">
                  <w:pPr>
                    <w:rPr>
                      <w:szCs w:val="21"/>
                      <w:highlight w:val="none"/>
                    </w:rPr>
                  </w:pPr>
                  <w:r>
                    <w:rPr>
                      <w:rFonts w:hint="eastAsia"/>
                      <w:szCs w:val="21"/>
                      <w:highlight w:val="none"/>
                    </w:rPr>
                    <w:t>主体工程</w:t>
                  </w:r>
                </w:p>
              </w:tc>
              <w:tc>
                <w:tcPr>
                  <w:tcW w:w="1059" w:type="dxa"/>
                  <w:gridSpan w:val="2"/>
                  <w:noWrap w:val="0"/>
                  <w:vAlign w:val="center"/>
                </w:tcPr>
                <w:p w14:paraId="6805AA9C">
                  <w:pPr>
                    <w:spacing w:line="240" w:lineRule="auto"/>
                    <w:jc w:val="center"/>
                    <w:rPr>
                      <w:sz w:val="21"/>
                      <w:szCs w:val="21"/>
                      <w:highlight w:val="none"/>
                    </w:rPr>
                  </w:pPr>
                  <w:r>
                    <w:rPr>
                      <w:rFonts w:hint="eastAsia"/>
                      <w:sz w:val="21"/>
                      <w:szCs w:val="21"/>
                      <w:highlight w:val="none"/>
                      <w:lang w:val="en-US" w:eastAsia="zh-CN"/>
                    </w:rPr>
                    <w:t>联博</w:t>
                  </w:r>
                  <w:r>
                    <w:rPr>
                      <w:rFonts w:hint="eastAsia"/>
                      <w:sz w:val="21"/>
                      <w:szCs w:val="21"/>
                      <w:highlight w:val="none"/>
                    </w:rPr>
                    <w:t>管廊</w:t>
                  </w:r>
                </w:p>
              </w:tc>
              <w:tc>
                <w:tcPr>
                  <w:tcW w:w="5850" w:type="dxa"/>
                  <w:noWrap w:val="0"/>
                  <w:vAlign w:val="center"/>
                </w:tcPr>
                <w:p w14:paraId="34105651">
                  <w:pPr>
                    <w:spacing w:line="240" w:lineRule="auto"/>
                    <w:jc w:val="center"/>
                    <w:rPr>
                      <w:rFonts w:hint="eastAsia"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伊泰化工在原有联博管廊的基础上通过加固、加两层的方式，</w:t>
                  </w:r>
                  <w:r>
                    <w:rPr>
                      <w:rFonts w:hint="eastAsia"/>
                      <w:color w:val="auto"/>
                      <w:highlight w:val="none"/>
                      <w:lang w:val="en-US"/>
                    </w:rPr>
                    <w:t>采用架空的方式</w:t>
                  </w:r>
                  <w:r>
                    <w:rPr>
                      <w:rFonts w:hint="eastAsia" w:ascii="Times New Roman" w:hAnsi="Times New Roman" w:eastAsia="宋体" w:cs="Times New Roman"/>
                      <w:sz w:val="21"/>
                      <w:szCs w:val="21"/>
                      <w:highlight w:val="none"/>
                      <w:lang w:val="en-US" w:eastAsia="zh-CN"/>
                    </w:rPr>
                    <w:t>将23条物料管线布置在改造后的联博管廊，并将物料输送至鹏泰生物装置界区</w:t>
                  </w:r>
                  <w:r>
                    <w:rPr>
                      <w:rFonts w:hint="eastAsia"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给每条管线设置用于物料结算计量的流量计，以及相配套的自控系统，并增设一台甲烷气压缩机</w:t>
                  </w:r>
                  <w:r>
                    <w:rPr>
                      <w:rFonts w:hint="eastAsia" w:cs="Times New Roman"/>
                      <w:sz w:val="21"/>
                      <w:szCs w:val="21"/>
                      <w:highlight w:val="none"/>
                      <w:lang w:val="en-US" w:eastAsia="zh-CN"/>
                    </w:rPr>
                    <w:t>。伊泰厂界与鹏泰厂界中间设置独立柱连接。</w:t>
                  </w:r>
                </w:p>
                <w:p w14:paraId="52E7AF1F">
                  <w:pPr>
                    <w:spacing w:line="240" w:lineRule="auto"/>
                    <w:jc w:val="center"/>
                    <w:rPr>
                      <w:rFonts w:hint="default" w:cs="Times New Roman"/>
                      <w:sz w:val="21"/>
                      <w:szCs w:val="21"/>
                      <w:highlight w:val="none"/>
                      <w:lang w:val="en-US" w:eastAsia="zh-CN"/>
                    </w:rPr>
                  </w:pPr>
                  <w:r>
                    <w:rPr>
                      <w:rFonts w:hint="eastAsia" w:cs="Times New Roman"/>
                      <w:sz w:val="21"/>
                      <w:szCs w:val="21"/>
                      <w:highlight w:val="none"/>
                      <w:lang w:val="en-US" w:eastAsia="zh-CN"/>
                    </w:rPr>
                    <w:t>原有联博管廊长378m，宽6.7m。底层距离地坪6.7m，底层管廊预留8根管道位置，目前已经使用2根，剩余6根为本项目新建管道分别为仪表风、工厂风、氮气、凝结水、污水2、酸性气管道。二层距离地坪11m、铺设9根管道，分别为冷冻水来、冷冻水回、尾气、富甲烷气、真空泵尾气、回用水、甲烷气、黄河水、中压蒸汽管道。三层距离地坪14m、铺设6根管道，分别为酸湿火炬燃料气输送管道、低压含烃火炬燃料气输送管道、CO</w:t>
                  </w:r>
                  <w:r>
                    <w:rPr>
                      <w:rFonts w:hint="eastAsia" w:cs="Times New Roman"/>
                      <w:sz w:val="21"/>
                      <w:szCs w:val="21"/>
                      <w:highlight w:val="none"/>
                      <w:vertAlign w:val="subscript"/>
                      <w:lang w:val="en-US" w:eastAsia="zh-CN"/>
                    </w:rPr>
                    <w:t>2</w:t>
                  </w:r>
                  <w:r>
                    <w:rPr>
                      <w:rFonts w:hint="eastAsia" w:cs="Times New Roman"/>
                      <w:sz w:val="21"/>
                      <w:szCs w:val="21"/>
                      <w:highlight w:val="none"/>
                      <w:lang w:val="en-US" w:eastAsia="zh-CN"/>
                    </w:rPr>
                    <w:t>管道、污水1管道、合成脱碳尾气管道、未变换净化气管道。清净废水管道、WRT甲烷气管道不进入联博管廊，位于厂区外。单独设置独立柱架空敷设后沿着厂区外</w:t>
                  </w:r>
                  <w:r>
                    <w:rPr>
                      <w:rFonts w:hint="eastAsia"/>
                      <w:highlight w:val="none"/>
                    </w:rPr>
                    <w:t>沿</w:t>
                  </w:r>
                  <w:r>
                    <w:rPr>
                      <w:rFonts w:hint="eastAsia" w:cs="Times New Roman"/>
                      <w:sz w:val="21"/>
                      <w:szCs w:val="21"/>
                      <w:highlight w:val="none"/>
                      <w:lang w:val="en-US" w:eastAsia="zh-CN"/>
                    </w:rPr>
                    <w:t>现有</w:t>
                  </w:r>
                  <w:r>
                    <w:rPr>
                      <w:rFonts w:hint="eastAsia"/>
                      <w:highlight w:val="none"/>
                    </w:rPr>
                    <w:t>管廊敷设</w:t>
                  </w:r>
                  <w:r>
                    <w:rPr>
                      <w:rFonts w:hint="eastAsia"/>
                      <w:highlight w:val="none"/>
                      <w:lang w:eastAsia="zh-CN"/>
                    </w:rPr>
                    <w:t>，</w:t>
                  </w:r>
                  <w:r>
                    <w:rPr>
                      <w:rFonts w:hint="eastAsia"/>
                      <w:highlight w:val="none"/>
                      <w:lang w:val="en-US" w:eastAsia="zh-CN"/>
                    </w:rPr>
                    <w:t>厂区外管廊长300m</w:t>
                  </w:r>
                  <w:r>
                    <w:rPr>
                      <w:rFonts w:hint="eastAsia" w:cs="Times New Roman"/>
                      <w:sz w:val="21"/>
                      <w:szCs w:val="21"/>
                      <w:highlight w:val="none"/>
                      <w:lang w:val="en-US" w:eastAsia="zh-CN"/>
                    </w:rPr>
                    <w:t>。</w:t>
                  </w:r>
                </w:p>
              </w:tc>
              <w:tc>
                <w:tcPr>
                  <w:tcW w:w="919" w:type="dxa"/>
                  <w:noWrap w:val="0"/>
                  <w:vAlign w:val="center"/>
                </w:tcPr>
                <w:p w14:paraId="786E2DE7">
                  <w:pPr>
                    <w:jc w:val="center"/>
                    <w:rPr>
                      <w:rFonts w:hint="default" w:eastAsia="宋体"/>
                      <w:szCs w:val="21"/>
                      <w:highlight w:val="none"/>
                      <w:lang w:val="en-US" w:eastAsia="zh-CN"/>
                    </w:rPr>
                  </w:pPr>
                  <w:r>
                    <w:rPr>
                      <w:rFonts w:hint="eastAsia"/>
                      <w:szCs w:val="21"/>
                      <w:highlight w:val="none"/>
                      <w:lang w:val="en-US" w:eastAsia="zh-CN"/>
                    </w:rPr>
                    <w:t>依托+新建</w:t>
                  </w:r>
                </w:p>
              </w:tc>
            </w:tr>
            <w:tr w14:paraId="320E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1ADF859E">
                  <w:pPr>
                    <w:rPr>
                      <w:szCs w:val="21"/>
                      <w:highlight w:val="none"/>
                    </w:rPr>
                  </w:pPr>
                </w:p>
              </w:tc>
              <w:tc>
                <w:tcPr>
                  <w:tcW w:w="1059" w:type="dxa"/>
                  <w:gridSpan w:val="2"/>
                  <w:noWrap w:val="0"/>
                  <w:vAlign w:val="center"/>
                </w:tcPr>
                <w:p w14:paraId="6A904D80">
                  <w:pPr>
                    <w:spacing w:line="240" w:lineRule="auto"/>
                    <w:jc w:val="center"/>
                    <w:rPr>
                      <w:rFonts w:hint="eastAsia"/>
                      <w:sz w:val="21"/>
                      <w:szCs w:val="21"/>
                      <w:highlight w:val="none"/>
                    </w:rPr>
                  </w:pPr>
                  <w:r>
                    <w:rPr>
                      <w:rFonts w:hint="eastAsia"/>
                      <w:sz w:val="21"/>
                      <w:szCs w:val="21"/>
                      <w:highlight w:val="none"/>
                      <w:lang w:val="en-US" w:eastAsia="zh-CN"/>
                    </w:rPr>
                    <w:t>合成脱碳尾气</w:t>
                  </w:r>
                  <w:r>
                    <w:rPr>
                      <w:rFonts w:hint="eastAsia"/>
                      <w:sz w:val="21"/>
                      <w:szCs w:val="21"/>
                      <w:highlight w:val="none"/>
                    </w:rPr>
                    <w:t>管道</w:t>
                  </w:r>
                </w:p>
              </w:tc>
              <w:tc>
                <w:tcPr>
                  <w:tcW w:w="5850" w:type="dxa"/>
                  <w:noWrap w:val="0"/>
                  <w:vAlign w:val="center"/>
                </w:tcPr>
                <w:p w14:paraId="22BB034C">
                  <w:pPr>
                    <w:spacing w:line="240" w:lineRule="auto"/>
                    <w:jc w:val="center"/>
                    <w:rPr>
                      <w:rFonts w:hint="default"/>
                      <w:sz w:val="21"/>
                      <w:szCs w:val="21"/>
                      <w:highlight w:val="none"/>
                      <w:lang w:val="en-US"/>
                    </w:rPr>
                  </w:pPr>
                  <w:r>
                    <w:rPr>
                      <w:rFonts w:hint="eastAsia"/>
                      <w:sz w:val="21"/>
                      <w:szCs w:val="21"/>
                      <w:highlight w:val="none"/>
                    </w:rPr>
                    <w:t>1根总长度为</w:t>
                  </w:r>
                  <w:r>
                    <w:rPr>
                      <w:rFonts w:hint="eastAsia"/>
                      <w:sz w:val="21"/>
                      <w:szCs w:val="21"/>
                      <w:highlight w:val="none"/>
                      <w:lang w:val="en-US" w:eastAsia="zh-CN"/>
                    </w:rPr>
                    <w:t>288</w:t>
                  </w:r>
                  <w:r>
                    <w:rPr>
                      <w:rFonts w:hint="eastAsia"/>
                      <w:sz w:val="21"/>
                      <w:szCs w:val="21"/>
                      <w:highlight w:val="none"/>
                    </w:rPr>
                    <w:t>m的</w:t>
                  </w:r>
                  <w:r>
                    <w:rPr>
                      <w:rFonts w:hint="eastAsia"/>
                      <w:sz w:val="21"/>
                      <w:szCs w:val="21"/>
                      <w:highlight w:val="none"/>
                      <w:lang w:val="en-US" w:eastAsia="zh-CN"/>
                    </w:rPr>
                    <w:t>合成脱碳尾气</w:t>
                  </w:r>
                  <w:r>
                    <w:rPr>
                      <w:rFonts w:hint="eastAsia"/>
                      <w:sz w:val="21"/>
                      <w:szCs w:val="21"/>
                      <w:highlight w:val="none"/>
                    </w:rPr>
                    <w:t>管道，</w:t>
                  </w:r>
                  <w:r>
                    <w:rPr>
                      <w:rFonts w:hint="eastAsia"/>
                      <w:sz w:val="21"/>
                      <w:szCs w:val="21"/>
                      <w:highlight w:val="none"/>
                      <w:lang w:val="en-US" w:eastAsia="zh-CN"/>
                    </w:rPr>
                    <w:t>来自</w:t>
                  </w:r>
                  <w:r>
                    <w:rPr>
                      <w:rFonts w:hint="default"/>
                      <w:sz w:val="21"/>
                      <w:szCs w:val="21"/>
                      <w:highlight w:val="none"/>
                      <w:lang w:val="en-US" w:eastAsia="zh-CN"/>
                    </w:rPr>
                    <w:t>尾气脱碳单元，该管道现在已经做好抽头，抽头位于尾气脱碳车间，通过该抽头沿着</w:t>
                  </w:r>
                  <w:r>
                    <w:rPr>
                      <w:rFonts w:hint="eastAsia"/>
                      <w:sz w:val="21"/>
                      <w:szCs w:val="21"/>
                      <w:highlight w:val="none"/>
                      <w:lang w:val="en-US" w:eastAsia="zh-CN"/>
                    </w:rPr>
                    <w:t>改造后的</w:t>
                  </w:r>
                  <w:r>
                    <w:rPr>
                      <w:rFonts w:hint="default"/>
                      <w:sz w:val="21"/>
                      <w:szCs w:val="21"/>
                      <w:highlight w:val="none"/>
                      <w:lang w:val="en-US" w:eastAsia="zh-CN"/>
                    </w:rPr>
                    <w:t>管廊</w:t>
                  </w:r>
                  <w:r>
                    <w:rPr>
                      <w:rFonts w:hint="eastAsia"/>
                      <w:sz w:val="21"/>
                      <w:szCs w:val="21"/>
                      <w:highlight w:val="none"/>
                      <w:lang w:val="en-US" w:eastAsia="zh-CN"/>
                    </w:rPr>
                    <w:t>，</w:t>
                  </w:r>
                  <w:r>
                    <w:rPr>
                      <w:rFonts w:hint="default"/>
                      <w:sz w:val="21"/>
                      <w:szCs w:val="21"/>
                      <w:highlight w:val="none"/>
                      <w:lang w:val="en-US" w:eastAsia="zh-CN"/>
                    </w:rPr>
                    <w:t>新建管道至鹏泰生物公司管廊处</w:t>
                  </w:r>
                  <w:r>
                    <w:rPr>
                      <w:rFonts w:hint="eastAsia"/>
                      <w:sz w:val="21"/>
                      <w:szCs w:val="21"/>
                      <w:highlight w:val="none"/>
                      <w:lang w:eastAsia="zh-CN"/>
                    </w:rPr>
                    <w:t>。</w:t>
                  </w:r>
                  <w:r>
                    <w:rPr>
                      <w:rFonts w:hint="default"/>
                      <w:sz w:val="21"/>
                      <w:szCs w:val="21"/>
                      <w:highlight w:val="none"/>
                      <w:lang w:val="en-US" w:eastAsia="zh-CN"/>
                    </w:rPr>
                    <w:t>管道上增加流量计和快速切断阀</w:t>
                  </w:r>
                  <w:r>
                    <w:rPr>
                      <w:rFonts w:hint="eastAsia"/>
                      <w:sz w:val="21"/>
                      <w:szCs w:val="21"/>
                      <w:highlight w:val="none"/>
                    </w:rPr>
                    <w:t>。输送的</w:t>
                  </w:r>
                  <w:r>
                    <w:rPr>
                      <w:rFonts w:hint="eastAsia"/>
                      <w:sz w:val="21"/>
                      <w:szCs w:val="21"/>
                      <w:highlight w:val="none"/>
                      <w:lang w:val="en-US" w:eastAsia="zh-CN"/>
                    </w:rPr>
                    <w:t>合成脱碳尾气的</w:t>
                  </w:r>
                  <w:r>
                    <w:rPr>
                      <w:rFonts w:hint="eastAsia"/>
                      <w:sz w:val="21"/>
                      <w:szCs w:val="21"/>
                      <w:highlight w:val="none"/>
                    </w:rPr>
                    <w:t>流量</w:t>
                  </w:r>
                  <w:r>
                    <w:rPr>
                      <w:rFonts w:hint="eastAsia"/>
                      <w:sz w:val="21"/>
                      <w:szCs w:val="21"/>
                      <w:highlight w:val="none"/>
                      <w:lang w:val="en-US" w:eastAsia="zh-CN"/>
                    </w:rPr>
                    <w:t>为32365Nm</w:t>
                  </w:r>
                  <w:r>
                    <w:rPr>
                      <w:rFonts w:hint="eastAsia"/>
                      <w:sz w:val="21"/>
                      <w:szCs w:val="21"/>
                      <w:highlight w:val="none"/>
                      <w:vertAlign w:val="superscript"/>
                      <w:lang w:val="en-US" w:eastAsia="zh-CN"/>
                    </w:rPr>
                    <w:t>3</w:t>
                  </w:r>
                  <w:r>
                    <w:rPr>
                      <w:rFonts w:hint="eastAsia"/>
                      <w:sz w:val="21"/>
                      <w:szCs w:val="21"/>
                      <w:highlight w:val="none"/>
                      <w:lang w:val="en-US" w:eastAsia="zh-CN"/>
                    </w:rPr>
                    <w:t>/h</w:t>
                  </w:r>
                  <w:r>
                    <w:rPr>
                      <w:rFonts w:hint="eastAsia"/>
                      <w:sz w:val="21"/>
                      <w:szCs w:val="21"/>
                      <w:highlight w:val="none"/>
                    </w:rPr>
                    <w:t>、</w:t>
                  </w:r>
                  <w:r>
                    <w:rPr>
                      <w:rFonts w:hint="eastAsia"/>
                      <w:sz w:val="21"/>
                      <w:szCs w:val="21"/>
                      <w:highlight w:val="none"/>
                      <w:lang w:val="en-US" w:eastAsia="zh-CN"/>
                    </w:rPr>
                    <w:t>压力等级为CL300</w:t>
                  </w:r>
                  <w:r>
                    <w:rPr>
                      <w:rFonts w:hint="eastAsia"/>
                      <w:sz w:val="21"/>
                      <w:szCs w:val="21"/>
                      <w:highlight w:val="none"/>
                    </w:rPr>
                    <w:t>、</w:t>
                  </w:r>
                  <w:r>
                    <w:rPr>
                      <w:rFonts w:hint="eastAsia"/>
                      <w:sz w:val="21"/>
                      <w:szCs w:val="21"/>
                      <w:highlight w:val="none"/>
                      <w:lang w:val="en-US" w:eastAsia="zh-CN"/>
                    </w:rPr>
                    <w:t>内径200mm。</w:t>
                  </w:r>
                </w:p>
              </w:tc>
              <w:tc>
                <w:tcPr>
                  <w:tcW w:w="919" w:type="dxa"/>
                  <w:noWrap w:val="0"/>
                  <w:vAlign w:val="center"/>
                </w:tcPr>
                <w:p w14:paraId="3EEBEB28">
                  <w:pPr>
                    <w:jc w:val="center"/>
                    <w:rPr>
                      <w:rFonts w:hint="eastAsia" w:eastAsia="宋体"/>
                      <w:szCs w:val="21"/>
                      <w:highlight w:val="none"/>
                      <w:lang w:val="en-US" w:eastAsia="zh-CN"/>
                    </w:rPr>
                  </w:pPr>
                  <w:r>
                    <w:rPr>
                      <w:rFonts w:hint="eastAsia"/>
                      <w:szCs w:val="21"/>
                      <w:highlight w:val="none"/>
                      <w:lang w:val="en-US" w:eastAsia="zh-CN"/>
                    </w:rPr>
                    <w:t>新建（联博管廊内）</w:t>
                  </w:r>
                </w:p>
              </w:tc>
            </w:tr>
            <w:tr w14:paraId="1DC1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2D32413F">
                  <w:pPr>
                    <w:rPr>
                      <w:szCs w:val="21"/>
                      <w:highlight w:val="none"/>
                    </w:rPr>
                  </w:pPr>
                </w:p>
              </w:tc>
              <w:tc>
                <w:tcPr>
                  <w:tcW w:w="1059" w:type="dxa"/>
                  <w:gridSpan w:val="2"/>
                  <w:noWrap w:val="0"/>
                  <w:vAlign w:val="center"/>
                </w:tcPr>
                <w:p w14:paraId="099EF2D1">
                  <w:pPr>
                    <w:spacing w:line="240" w:lineRule="auto"/>
                    <w:jc w:val="center"/>
                    <w:rPr>
                      <w:rFonts w:hint="eastAsia"/>
                      <w:sz w:val="21"/>
                      <w:szCs w:val="21"/>
                      <w:highlight w:val="none"/>
                      <w:lang w:val="en-US" w:eastAsia="zh-CN"/>
                    </w:rPr>
                  </w:pPr>
                  <w:r>
                    <w:rPr>
                      <w:rFonts w:hint="eastAsia"/>
                      <w:sz w:val="21"/>
                      <w:szCs w:val="21"/>
                      <w:highlight w:val="none"/>
                      <w:lang w:val="en-US" w:eastAsia="zh-CN"/>
                    </w:rPr>
                    <w:t>未变换净化气</w:t>
                  </w:r>
                  <w:r>
                    <w:rPr>
                      <w:rFonts w:hint="eastAsia"/>
                      <w:sz w:val="21"/>
                      <w:szCs w:val="21"/>
                      <w:highlight w:val="none"/>
                    </w:rPr>
                    <w:t>管道</w:t>
                  </w:r>
                </w:p>
              </w:tc>
              <w:tc>
                <w:tcPr>
                  <w:tcW w:w="5850" w:type="dxa"/>
                  <w:noWrap w:val="0"/>
                  <w:vAlign w:val="center"/>
                </w:tcPr>
                <w:p w14:paraId="7322152B">
                  <w:pPr>
                    <w:spacing w:line="240" w:lineRule="auto"/>
                    <w:jc w:val="center"/>
                    <w:rPr>
                      <w:rFonts w:hint="eastAsia"/>
                      <w:sz w:val="21"/>
                      <w:szCs w:val="21"/>
                      <w:highlight w:val="none"/>
                      <w:lang w:val="en-US" w:eastAsia="zh-CN"/>
                    </w:rPr>
                  </w:pPr>
                  <w:r>
                    <w:rPr>
                      <w:rFonts w:hint="eastAsia"/>
                      <w:sz w:val="21"/>
                      <w:szCs w:val="21"/>
                      <w:highlight w:val="none"/>
                      <w:lang w:val="en-US" w:eastAsia="zh-CN"/>
                    </w:rPr>
                    <w:t>1根总长度为597m的未变换净化气管道，</w:t>
                  </w:r>
                  <w:r>
                    <w:rPr>
                      <w:rFonts w:hint="default"/>
                      <w:sz w:val="21"/>
                      <w:szCs w:val="21"/>
                      <w:highlight w:val="none"/>
                      <w:lang w:val="en-US" w:eastAsia="zh-CN"/>
                    </w:rPr>
                    <w:t>现有管道抽头已经位于</w:t>
                  </w:r>
                  <w:r>
                    <w:rPr>
                      <w:rFonts w:hint="eastAsia"/>
                      <w:sz w:val="21"/>
                      <w:szCs w:val="21"/>
                      <w:highlight w:val="none"/>
                      <w:lang w:val="en-US" w:eastAsia="zh-CN"/>
                    </w:rPr>
                    <w:t>改造后</w:t>
                  </w:r>
                  <w:r>
                    <w:rPr>
                      <w:rFonts w:hint="default"/>
                      <w:sz w:val="21"/>
                      <w:szCs w:val="21"/>
                      <w:highlight w:val="none"/>
                      <w:lang w:val="en-US" w:eastAsia="zh-CN"/>
                    </w:rPr>
                    <w:t>管廊处，需要沿着该抽头处新建管道至鹏泰生物公司管廊</w:t>
                  </w:r>
                  <w:r>
                    <w:rPr>
                      <w:rFonts w:hint="eastAsia"/>
                      <w:sz w:val="21"/>
                      <w:szCs w:val="21"/>
                      <w:highlight w:val="none"/>
                      <w:lang w:val="en-US" w:eastAsia="zh-CN"/>
                    </w:rPr>
                    <w:t>，</w:t>
                  </w:r>
                  <w:r>
                    <w:rPr>
                      <w:rFonts w:hint="default"/>
                      <w:sz w:val="21"/>
                      <w:szCs w:val="21"/>
                      <w:highlight w:val="none"/>
                      <w:lang w:val="en-US" w:eastAsia="zh-CN"/>
                    </w:rPr>
                    <w:t>增加流量计和快速切断阀</w:t>
                  </w:r>
                  <w:r>
                    <w:rPr>
                      <w:rFonts w:hint="eastAsia"/>
                      <w:sz w:val="21"/>
                      <w:szCs w:val="21"/>
                      <w:highlight w:val="none"/>
                      <w:lang w:val="en-US" w:eastAsia="zh-CN"/>
                    </w:rPr>
                    <w:t>。输送的未变换净化气流量59897Nm</w:t>
                  </w:r>
                  <w:r>
                    <w:rPr>
                      <w:rFonts w:hint="eastAsia"/>
                      <w:sz w:val="21"/>
                      <w:szCs w:val="21"/>
                      <w:highlight w:val="none"/>
                      <w:vertAlign w:val="superscript"/>
                      <w:lang w:val="en-US" w:eastAsia="zh-CN"/>
                    </w:rPr>
                    <w:t>3</w:t>
                  </w:r>
                  <w:r>
                    <w:rPr>
                      <w:rFonts w:hint="eastAsia"/>
                      <w:sz w:val="21"/>
                      <w:szCs w:val="21"/>
                      <w:highlight w:val="none"/>
                      <w:lang w:val="en-US" w:eastAsia="zh-CN"/>
                    </w:rPr>
                    <w:t>/h，压力等级为CL300</w:t>
                  </w:r>
                  <w:r>
                    <w:rPr>
                      <w:rFonts w:hint="eastAsia"/>
                      <w:sz w:val="21"/>
                      <w:szCs w:val="21"/>
                      <w:highlight w:val="none"/>
                    </w:rPr>
                    <w:t>、</w:t>
                  </w:r>
                  <w:r>
                    <w:rPr>
                      <w:rFonts w:hint="eastAsia"/>
                      <w:sz w:val="21"/>
                      <w:szCs w:val="21"/>
                      <w:highlight w:val="none"/>
                      <w:lang w:val="en-US" w:eastAsia="zh-CN"/>
                    </w:rPr>
                    <w:t>内径200mm。</w:t>
                  </w:r>
                </w:p>
              </w:tc>
              <w:tc>
                <w:tcPr>
                  <w:tcW w:w="919" w:type="dxa"/>
                  <w:noWrap w:val="0"/>
                  <w:vAlign w:val="center"/>
                </w:tcPr>
                <w:p w14:paraId="0DE249C6">
                  <w:pPr>
                    <w:jc w:val="center"/>
                    <w:rPr>
                      <w:rFonts w:hint="eastAsia" w:eastAsia="宋体"/>
                      <w:szCs w:val="21"/>
                      <w:highlight w:val="none"/>
                      <w:lang w:val="en-US" w:eastAsia="zh-CN"/>
                    </w:rPr>
                  </w:pPr>
                  <w:r>
                    <w:rPr>
                      <w:rFonts w:hint="eastAsia"/>
                      <w:szCs w:val="21"/>
                      <w:highlight w:val="none"/>
                      <w:lang w:val="en-US" w:eastAsia="zh-CN"/>
                    </w:rPr>
                    <w:t>新建（联博管廊内）</w:t>
                  </w:r>
                </w:p>
              </w:tc>
            </w:tr>
            <w:tr w14:paraId="0C67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272C5BF3">
                  <w:pPr>
                    <w:rPr>
                      <w:szCs w:val="21"/>
                      <w:highlight w:val="none"/>
                    </w:rPr>
                  </w:pPr>
                </w:p>
              </w:tc>
              <w:tc>
                <w:tcPr>
                  <w:tcW w:w="1059" w:type="dxa"/>
                  <w:gridSpan w:val="2"/>
                  <w:noWrap w:val="0"/>
                  <w:vAlign w:val="center"/>
                </w:tcPr>
                <w:p w14:paraId="71374860">
                  <w:pPr>
                    <w:spacing w:line="240" w:lineRule="auto"/>
                    <w:jc w:val="center"/>
                    <w:rPr>
                      <w:sz w:val="21"/>
                      <w:szCs w:val="21"/>
                      <w:highlight w:val="none"/>
                    </w:rPr>
                  </w:pPr>
                  <w:r>
                    <w:rPr>
                      <w:rFonts w:hint="eastAsia"/>
                      <w:sz w:val="21"/>
                      <w:szCs w:val="21"/>
                      <w:highlight w:val="none"/>
                      <w:lang w:val="en-US" w:eastAsia="zh-CN"/>
                    </w:rPr>
                    <w:t>尾气</w:t>
                  </w:r>
                  <w:r>
                    <w:rPr>
                      <w:rFonts w:hint="eastAsia"/>
                      <w:sz w:val="21"/>
                      <w:szCs w:val="21"/>
                      <w:highlight w:val="none"/>
                    </w:rPr>
                    <w:t>管道</w:t>
                  </w:r>
                </w:p>
              </w:tc>
              <w:tc>
                <w:tcPr>
                  <w:tcW w:w="5850" w:type="dxa"/>
                  <w:noWrap w:val="0"/>
                  <w:vAlign w:val="center"/>
                </w:tcPr>
                <w:p w14:paraId="3B1C60DD">
                  <w:pPr>
                    <w:spacing w:line="240" w:lineRule="auto"/>
                    <w:jc w:val="center"/>
                    <w:rPr>
                      <w:sz w:val="21"/>
                      <w:szCs w:val="21"/>
                      <w:highlight w:val="none"/>
                    </w:rPr>
                  </w:pPr>
                  <w:r>
                    <w:rPr>
                      <w:rFonts w:hint="eastAsia"/>
                      <w:sz w:val="21"/>
                      <w:szCs w:val="21"/>
                      <w:highlight w:val="none"/>
                    </w:rPr>
                    <w:t>1根总长度为</w:t>
                  </w:r>
                  <w:r>
                    <w:rPr>
                      <w:rFonts w:hint="eastAsia"/>
                      <w:sz w:val="21"/>
                      <w:szCs w:val="21"/>
                      <w:highlight w:val="none"/>
                      <w:lang w:val="en-US" w:eastAsia="zh-CN"/>
                    </w:rPr>
                    <w:t>417</w:t>
                  </w:r>
                  <w:r>
                    <w:rPr>
                      <w:rFonts w:hint="eastAsia"/>
                      <w:sz w:val="21"/>
                      <w:szCs w:val="21"/>
                      <w:highlight w:val="none"/>
                    </w:rPr>
                    <w:t>m的</w:t>
                  </w:r>
                  <w:r>
                    <w:rPr>
                      <w:rFonts w:hint="eastAsia"/>
                      <w:sz w:val="21"/>
                      <w:szCs w:val="21"/>
                      <w:highlight w:val="none"/>
                      <w:lang w:val="en-US" w:eastAsia="zh-CN"/>
                    </w:rPr>
                    <w:t>尾气</w:t>
                  </w:r>
                  <w:r>
                    <w:rPr>
                      <w:rFonts w:hint="eastAsia"/>
                      <w:sz w:val="21"/>
                      <w:szCs w:val="21"/>
                      <w:highlight w:val="none"/>
                    </w:rPr>
                    <w:t>管道，</w:t>
                  </w:r>
                  <w:r>
                    <w:rPr>
                      <w:rFonts w:hint="default" w:ascii="Times New Roman" w:hAnsi="Times New Roman" w:eastAsia="宋体" w:cs="Times New Roman"/>
                      <w:bCs/>
                      <w:sz w:val="21"/>
                      <w:szCs w:val="21"/>
                      <w:highlight w:val="none"/>
                      <w:lang w:val="en-US" w:eastAsia="zh-CN"/>
                    </w:rPr>
                    <w:t>鹏泰生物公司尾气，该处接点位于鹏泰生物管廊处，需要沿着该抽头新建管道至伊泰化工管廊抽头处</w:t>
                  </w:r>
                  <w:r>
                    <w:rPr>
                      <w:rFonts w:hint="default"/>
                      <w:sz w:val="21"/>
                      <w:szCs w:val="21"/>
                      <w:highlight w:val="none"/>
                      <w:lang w:val="en-US" w:eastAsia="zh-CN"/>
                    </w:rPr>
                    <w:t>设置流量计</w:t>
                  </w:r>
                  <w:r>
                    <w:rPr>
                      <w:rFonts w:hint="eastAsia"/>
                      <w:sz w:val="21"/>
                      <w:szCs w:val="21"/>
                      <w:highlight w:val="none"/>
                    </w:rPr>
                    <w:t>。输送的</w:t>
                  </w:r>
                  <w:r>
                    <w:rPr>
                      <w:rFonts w:hint="eastAsia"/>
                      <w:sz w:val="21"/>
                      <w:szCs w:val="21"/>
                      <w:highlight w:val="none"/>
                      <w:lang w:val="en-US" w:eastAsia="zh-CN"/>
                    </w:rPr>
                    <w:t>尾气</w:t>
                  </w:r>
                  <w:r>
                    <w:rPr>
                      <w:rFonts w:hint="eastAsia"/>
                      <w:sz w:val="21"/>
                      <w:szCs w:val="21"/>
                      <w:highlight w:val="none"/>
                    </w:rPr>
                    <w:t>流量为</w:t>
                  </w:r>
                  <w:r>
                    <w:rPr>
                      <w:rFonts w:hint="eastAsia"/>
                      <w:sz w:val="21"/>
                      <w:szCs w:val="21"/>
                      <w:highlight w:val="none"/>
                      <w:lang w:val="en-US" w:eastAsia="zh-CN"/>
                    </w:rPr>
                    <w:t>14324Nm</w:t>
                  </w:r>
                  <w:r>
                    <w:rPr>
                      <w:rFonts w:hint="eastAsia"/>
                      <w:sz w:val="21"/>
                      <w:szCs w:val="21"/>
                      <w:highlight w:val="none"/>
                      <w:vertAlign w:val="superscript"/>
                      <w:lang w:val="en-US" w:eastAsia="zh-CN"/>
                    </w:rPr>
                    <w:t>3</w:t>
                  </w:r>
                  <w:r>
                    <w:rPr>
                      <w:rFonts w:hint="eastAsia"/>
                      <w:sz w:val="21"/>
                      <w:szCs w:val="21"/>
                      <w:highlight w:val="none"/>
                      <w:lang w:val="en-US" w:eastAsia="zh-CN"/>
                    </w:rPr>
                    <w:t>/h</w:t>
                  </w:r>
                  <w:r>
                    <w:rPr>
                      <w:rFonts w:hint="eastAsia"/>
                      <w:sz w:val="21"/>
                      <w:szCs w:val="21"/>
                      <w:highlight w:val="none"/>
                    </w:rPr>
                    <w:t>、</w:t>
                  </w:r>
                  <w:r>
                    <w:rPr>
                      <w:rFonts w:hint="eastAsia"/>
                      <w:sz w:val="21"/>
                      <w:szCs w:val="21"/>
                      <w:highlight w:val="none"/>
                      <w:lang w:val="en-US" w:eastAsia="zh-CN"/>
                    </w:rPr>
                    <w:t>压力等级为CL150</w:t>
                  </w:r>
                  <w:r>
                    <w:rPr>
                      <w:rFonts w:hint="eastAsia"/>
                      <w:sz w:val="21"/>
                      <w:szCs w:val="21"/>
                      <w:highlight w:val="none"/>
                    </w:rPr>
                    <w:t>、</w:t>
                  </w:r>
                  <w:r>
                    <w:rPr>
                      <w:rFonts w:hint="eastAsia"/>
                      <w:sz w:val="21"/>
                      <w:szCs w:val="21"/>
                      <w:highlight w:val="none"/>
                      <w:lang w:val="en-US" w:eastAsia="zh-CN"/>
                    </w:rPr>
                    <w:t>内径250mm</w:t>
                  </w:r>
                  <w:r>
                    <w:rPr>
                      <w:rFonts w:hint="eastAsia"/>
                      <w:sz w:val="21"/>
                      <w:szCs w:val="21"/>
                      <w:highlight w:val="none"/>
                    </w:rPr>
                    <w:t>。</w:t>
                  </w:r>
                </w:p>
              </w:tc>
              <w:tc>
                <w:tcPr>
                  <w:tcW w:w="919" w:type="dxa"/>
                  <w:noWrap w:val="0"/>
                  <w:vAlign w:val="center"/>
                </w:tcPr>
                <w:p w14:paraId="681641BF">
                  <w:pPr>
                    <w:jc w:val="center"/>
                    <w:rPr>
                      <w:rFonts w:hint="eastAsia" w:eastAsia="宋体"/>
                      <w:szCs w:val="21"/>
                      <w:highlight w:val="none"/>
                      <w:lang w:val="en-US" w:eastAsia="zh-CN"/>
                    </w:rPr>
                  </w:pPr>
                  <w:r>
                    <w:rPr>
                      <w:rFonts w:hint="eastAsia"/>
                      <w:szCs w:val="21"/>
                      <w:highlight w:val="none"/>
                      <w:lang w:val="en-US" w:eastAsia="zh-CN"/>
                    </w:rPr>
                    <w:t>新建（联博管廊内）</w:t>
                  </w:r>
                </w:p>
              </w:tc>
            </w:tr>
            <w:tr w14:paraId="21AB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531F4B48">
                  <w:pPr>
                    <w:rPr>
                      <w:szCs w:val="21"/>
                      <w:highlight w:val="none"/>
                    </w:rPr>
                  </w:pPr>
                </w:p>
              </w:tc>
              <w:tc>
                <w:tcPr>
                  <w:tcW w:w="1059" w:type="dxa"/>
                  <w:gridSpan w:val="2"/>
                  <w:noWrap w:val="0"/>
                  <w:vAlign w:val="center"/>
                </w:tcPr>
                <w:p w14:paraId="6E5D789A">
                  <w:pPr>
                    <w:spacing w:line="240" w:lineRule="auto"/>
                    <w:jc w:val="center"/>
                    <w:rPr>
                      <w:sz w:val="21"/>
                      <w:szCs w:val="21"/>
                      <w:highlight w:val="none"/>
                    </w:rPr>
                  </w:pPr>
                  <w:r>
                    <w:rPr>
                      <w:rFonts w:hint="eastAsia"/>
                      <w:sz w:val="21"/>
                      <w:szCs w:val="21"/>
                      <w:highlight w:val="none"/>
                      <w:lang w:val="en-US" w:eastAsia="zh-CN"/>
                    </w:rPr>
                    <w:t>WTR甲烷气</w:t>
                  </w:r>
                  <w:r>
                    <w:rPr>
                      <w:rFonts w:hint="eastAsia"/>
                      <w:sz w:val="21"/>
                      <w:szCs w:val="21"/>
                      <w:highlight w:val="none"/>
                    </w:rPr>
                    <w:t>管道</w:t>
                  </w:r>
                </w:p>
              </w:tc>
              <w:tc>
                <w:tcPr>
                  <w:tcW w:w="5850" w:type="dxa"/>
                  <w:noWrap w:val="0"/>
                  <w:vAlign w:val="center"/>
                </w:tcPr>
                <w:p w14:paraId="61ED5A57">
                  <w:pPr>
                    <w:adjustRightInd w:val="0"/>
                    <w:snapToGrid w:val="0"/>
                    <w:spacing w:line="240" w:lineRule="auto"/>
                    <w:jc w:val="center"/>
                    <w:rPr>
                      <w:rFonts w:hint="default" w:eastAsia="宋体"/>
                      <w:sz w:val="21"/>
                      <w:szCs w:val="21"/>
                      <w:highlight w:val="none"/>
                      <w:lang w:val="en-US" w:eastAsia="zh-CN"/>
                    </w:rPr>
                  </w:pPr>
                  <w:r>
                    <w:rPr>
                      <w:rFonts w:hint="eastAsia"/>
                      <w:sz w:val="21"/>
                      <w:szCs w:val="21"/>
                      <w:highlight w:val="none"/>
                    </w:rPr>
                    <w:t>1根</w:t>
                  </w:r>
                  <w:r>
                    <w:rPr>
                      <w:rFonts w:hint="eastAsia"/>
                      <w:sz w:val="21"/>
                      <w:szCs w:val="21"/>
                      <w:highlight w:val="none"/>
                      <w:lang w:val="en-US" w:eastAsia="zh-CN"/>
                    </w:rPr>
                    <w:t>961</w:t>
                  </w:r>
                  <w:r>
                    <w:rPr>
                      <w:rFonts w:hint="eastAsia"/>
                      <w:sz w:val="21"/>
                      <w:szCs w:val="21"/>
                      <w:highlight w:val="none"/>
                    </w:rPr>
                    <w:t>m的</w:t>
                  </w:r>
                  <w:r>
                    <w:rPr>
                      <w:rFonts w:hint="eastAsia"/>
                      <w:sz w:val="21"/>
                      <w:szCs w:val="21"/>
                      <w:highlight w:val="none"/>
                      <w:lang w:val="en-US" w:eastAsia="zh-CN"/>
                    </w:rPr>
                    <w:t>WTR甲烷气</w:t>
                  </w:r>
                  <w:r>
                    <w:rPr>
                      <w:rFonts w:hint="eastAsia"/>
                      <w:sz w:val="21"/>
                      <w:szCs w:val="21"/>
                      <w:highlight w:val="none"/>
                    </w:rPr>
                    <w:t>管道，</w:t>
                  </w:r>
                  <w:r>
                    <w:rPr>
                      <w:rFonts w:hint="default" w:ascii="Times New Roman" w:hAnsi="Times New Roman" w:eastAsia="宋体" w:cs="Times New Roman"/>
                      <w:bCs/>
                      <w:sz w:val="21"/>
                      <w:szCs w:val="21"/>
                      <w:highlight w:val="none"/>
                      <w:lang w:val="en-US" w:eastAsia="zh-CN"/>
                    </w:rPr>
                    <w:t>WRT甲烷尾气，该管道暂未抽头，为鹏泰生物公司输送至伊泰化工管道</w:t>
                  </w:r>
                  <w:r>
                    <w:rPr>
                      <w:rFonts w:hint="eastAsia"/>
                      <w:sz w:val="21"/>
                      <w:szCs w:val="21"/>
                      <w:highlight w:val="none"/>
                    </w:rPr>
                    <w:t>，并配套流量计</w:t>
                  </w:r>
                  <w:r>
                    <w:rPr>
                      <w:rFonts w:hint="eastAsia"/>
                      <w:sz w:val="21"/>
                      <w:szCs w:val="21"/>
                      <w:highlight w:val="none"/>
                      <w:lang w:val="en-US" w:eastAsia="zh-CN"/>
                    </w:rPr>
                    <w:t>。输送的WTR甲烷气流量1650Nm</w:t>
                  </w:r>
                  <w:r>
                    <w:rPr>
                      <w:rFonts w:hint="eastAsia"/>
                      <w:sz w:val="21"/>
                      <w:szCs w:val="21"/>
                      <w:highlight w:val="none"/>
                      <w:vertAlign w:val="superscript"/>
                      <w:lang w:val="en-US" w:eastAsia="zh-CN"/>
                    </w:rPr>
                    <w:t>3</w:t>
                  </w:r>
                  <w:r>
                    <w:rPr>
                      <w:rFonts w:hint="eastAsia"/>
                      <w:sz w:val="21"/>
                      <w:szCs w:val="21"/>
                      <w:highlight w:val="none"/>
                      <w:lang w:val="en-US" w:eastAsia="zh-CN"/>
                    </w:rPr>
                    <w:t>/h、压力等级为CL150</w:t>
                  </w:r>
                  <w:r>
                    <w:rPr>
                      <w:rFonts w:hint="eastAsia"/>
                      <w:sz w:val="21"/>
                      <w:szCs w:val="21"/>
                      <w:highlight w:val="none"/>
                    </w:rPr>
                    <w:t>、</w:t>
                  </w:r>
                  <w:r>
                    <w:rPr>
                      <w:rFonts w:hint="eastAsia"/>
                      <w:sz w:val="21"/>
                      <w:szCs w:val="21"/>
                      <w:highlight w:val="none"/>
                      <w:lang w:val="en-US" w:eastAsia="zh-CN"/>
                    </w:rPr>
                    <w:t>内径150mm。</w:t>
                  </w:r>
                </w:p>
              </w:tc>
              <w:tc>
                <w:tcPr>
                  <w:tcW w:w="919" w:type="dxa"/>
                  <w:noWrap w:val="0"/>
                  <w:vAlign w:val="center"/>
                </w:tcPr>
                <w:p w14:paraId="29D0D062">
                  <w:pPr>
                    <w:jc w:val="center"/>
                    <w:rPr>
                      <w:rFonts w:hint="eastAsia" w:eastAsia="宋体"/>
                      <w:szCs w:val="21"/>
                      <w:highlight w:val="none"/>
                      <w:lang w:val="en-US" w:eastAsia="zh-CN"/>
                    </w:rPr>
                  </w:pPr>
                  <w:r>
                    <w:rPr>
                      <w:rFonts w:hint="eastAsia"/>
                      <w:szCs w:val="21"/>
                      <w:highlight w:val="none"/>
                      <w:lang w:val="en-US" w:eastAsia="zh-CN"/>
                    </w:rPr>
                    <w:t>新建（厂界外管廊）</w:t>
                  </w:r>
                </w:p>
              </w:tc>
            </w:tr>
            <w:tr w14:paraId="0587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473D2F72">
                  <w:pPr>
                    <w:rPr>
                      <w:szCs w:val="21"/>
                      <w:highlight w:val="none"/>
                    </w:rPr>
                  </w:pPr>
                </w:p>
              </w:tc>
              <w:tc>
                <w:tcPr>
                  <w:tcW w:w="1059" w:type="dxa"/>
                  <w:gridSpan w:val="2"/>
                  <w:noWrap w:val="0"/>
                  <w:vAlign w:val="center"/>
                </w:tcPr>
                <w:p w14:paraId="5E5E6C4C">
                  <w:pPr>
                    <w:spacing w:line="240" w:lineRule="auto"/>
                    <w:jc w:val="center"/>
                    <w:rPr>
                      <w:rFonts w:hint="eastAsia" w:eastAsia="宋体"/>
                      <w:sz w:val="21"/>
                      <w:szCs w:val="21"/>
                      <w:highlight w:val="none"/>
                      <w:lang w:val="en-US" w:eastAsia="zh-CN"/>
                    </w:rPr>
                  </w:pPr>
                  <w:r>
                    <w:rPr>
                      <w:rFonts w:hint="eastAsia"/>
                      <w:sz w:val="21"/>
                      <w:szCs w:val="21"/>
                      <w:highlight w:val="none"/>
                      <w:lang w:val="en-US" w:eastAsia="zh-CN"/>
                    </w:rPr>
                    <w:t>甲烷</w:t>
                  </w:r>
                  <w:r>
                    <w:rPr>
                      <w:rFonts w:hint="eastAsia"/>
                      <w:sz w:val="21"/>
                      <w:szCs w:val="21"/>
                      <w:highlight w:val="none"/>
                    </w:rPr>
                    <w:t>管道</w:t>
                  </w:r>
                </w:p>
              </w:tc>
              <w:tc>
                <w:tcPr>
                  <w:tcW w:w="5850" w:type="dxa"/>
                  <w:noWrap w:val="0"/>
                  <w:vAlign w:val="center"/>
                </w:tcPr>
                <w:p w14:paraId="5FAE66BA">
                  <w:pPr>
                    <w:keepNext w:val="0"/>
                    <w:keepLines w:val="0"/>
                    <w:widowControl/>
                    <w:suppressLineNumbers w:val="0"/>
                    <w:spacing w:line="240" w:lineRule="auto"/>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904</w:t>
                  </w:r>
                  <w:r>
                    <w:rPr>
                      <w:rFonts w:hint="eastAsia"/>
                      <w:sz w:val="21"/>
                      <w:szCs w:val="21"/>
                      <w:highlight w:val="none"/>
                    </w:rPr>
                    <w:t>m的</w:t>
                  </w:r>
                  <w:r>
                    <w:rPr>
                      <w:rFonts w:hint="eastAsia"/>
                      <w:sz w:val="21"/>
                      <w:szCs w:val="21"/>
                      <w:highlight w:val="none"/>
                      <w:lang w:val="en-US" w:eastAsia="zh-CN"/>
                    </w:rPr>
                    <w:t>甲烷</w:t>
                  </w:r>
                  <w:r>
                    <w:rPr>
                      <w:rFonts w:hint="eastAsia"/>
                      <w:sz w:val="21"/>
                      <w:szCs w:val="21"/>
                      <w:highlight w:val="none"/>
                    </w:rPr>
                    <w:t>管道，</w:t>
                  </w:r>
                  <w:r>
                    <w:rPr>
                      <w:rFonts w:hint="default" w:ascii="Times New Roman" w:hAnsi="Times New Roman" w:eastAsia="宋体" w:cs="Times New Roman"/>
                      <w:bCs/>
                      <w:sz w:val="21"/>
                      <w:szCs w:val="21"/>
                      <w:highlight w:val="none"/>
                      <w:lang w:val="en-US" w:eastAsia="zh-CN"/>
                    </w:rPr>
                    <w:t>暂未抽头，需要由伊泰化工新建管道至鹏泰生物公司的管廊处</w:t>
                  </w:r>
                  <w:r>
                    <w:rPr>
                      <w:rFonts w:hint="eastAsia"/>
                      <w:sz w:val="21"/>
                      <w:szCs w:val="21"/>
                      <w:highlight w:val="none"/>
                      <w:lang w:eastAsia="zh-CN"/>
                    </w:rPr>
                    <w:t>，</w:t>
                  </w:r>
                  <w:r>
                    <w:rPr>
                      <w:rFonts w:hint="eastAsia"/>
                      <w:sz w:val="21"/>
                      <w:szCs w:val="21"/>
                      <w:highlight w:val="none"/>
                    </w:rPr>
                    <w:t>并配套流量计。输送的</w:t>
                  </w:r>
                  <w:r>
                    <w:rPr>
                      <w:rFonts w:hint="eastAsia"/>
                      <w:sz w:val="21"/>
                      <w:szCs w:val="21"/>
                      <w:highlight w:val="none"/>
                      <w:lang w:val="en-US" w:eastAsia="zh-CN"/>
                    </w:rPr>
                    <w:t>甲烷气的</w:t>
                  </w:r>
                  <w:r>
                    <w:rPr>
                      <w:rFonts w:hint="eastAsia"/>
                      <w:sz w:val="21"/>
                      <w:szCs w:val="21"/>
                      <w:highlight w:val="none"/>
                    </w:rPr>
                    <w:t>流量</w:t>
                  </w:r>
                  <w:r>
                    <w:rPr>
                      <w:rFonts w:hint="eastAsia"/>
                      <w:sz w:val="21"/>
                      <w:szCs w:val="21"/>
                      <w:highlight w:val="none"/>
                      <w:lang w:val="en-US" w:eastAsia="zh-CN"/>
                    </w:rPr>
                    <w:t>为1000Nm</w:t>
                  </w:r>
                  <w:r>
                    <w:rPr>
                      <w:rFonts w:hint="eastAsia"/>
                      <w:sz w:val="21"/>
                      <w:szCs w:val="21"/>
                      <w:highlight w:val="none"/>
                      <w:vertAlign w:val="superscript"/>
                      <w:lang w:val="en-US" w:eastAsia="zh-CN"/>
                    </w:rPr>
                    <w:t>3</w:t>
                  </w:r>
                  <w:r>
                    <w:rPr>
                      <w:rFonts w:hint="eastAsia"/>
                      <w:sz w:val="21"/>
                      <w:szCs w:val="21"/>
                      <w:highlight w:val="none"/>
                      <w:lang w:val="en-US" w:eastAsia="zh-CN"/>
                    </w:rPr>
                    <w:t>/h</w:t>
                  </w:r>
                  <w:r>
                    <w:rPr>
                      <w:rFonts w:hint="eastAsia"/>
                      <w:sz w:val="21"/>
                      <w:szCs w:val="21"/>
                      <w:highlight w:val="none"/>
                    </w:rPr>
                    <w:t>、</w:t>
                  </w:r>
                  <w:r>
                    <w:rPr>
                      <w:rFonts w:hint="eastAsia"/>
                      <w:sz w:val="21"/>
                      <w:szCs w:val="21"/>
                      <w:highlight w:val="none"/>
                      <w:lang w:val="en-US" w:eastAsia="zh-CN"/>
                    </w:rPr>
                    <w:t>压力等级为CL150、内径150mm。</w:t>
                  </w:r>
                </w:p>
              </w:tc>
              <w:tc>
                <w:tcPr>
                  <w:tcW w:w="919" w:type="dxa"/>
                  <w:noWrap w:val="0"/>
                  <w:vAlign w:val="center"/>
                </w:tcPr>
                <w:p w14:paraId="24504220">
                  <w:pPr>
                    <w:jc w:val="center"/>
                    <w:rPr>
                      <w:rFonts w:hint="eastAsia" w:eastAsia="宋体"/>
                      <w:szCs w:val="21"/>
                      <w:highlight w:val="none"/>
                      <w:lang w:val="en-US" w:eastAsia="zh-CN"/>
                    </w:rPr>
                  </w:pPr>
                  <w:r>
                    <w:rPr>
                      <w:rFonts w:hint="eastAsia"/>
                      <w:szCs w:val="21"/>
                      <w:highlight w:val="none"/>
                      <w:lang w:val="en-US" w:eastAsia="zh-CN"/>
                    </w:rPr>
                    <w:t>新建（联博管廊内）</w:t>
                  </w:r>
                </w:p>
              </w:tc>
            </w:tr>
            <w:tr w14:paraId="6435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1D346A94">
                  <w:pPr>
                    <w:rPr>
                      <w:szCs w:val="21"/>
                      <w:highlight w:val="none"/>
                    </w:rPr>
                  </w:pPr>
                </w:p>
              </w:tc>
              <w:tc>
                <w:tcPr>
                  <w:tcW w:w="1059" w:type="dxa"/>
                  <w:gridSpan w:val="2"/>
                  <w:noWrap w:val="0"/>
                  <w:vAlign w:val="center"/>
                </w:tcPr>
                <w:p w14:paraId="3A898BEF">
                  <w:pPr>
                    <w:spacing w:line="240" w:lineRule="auto"/>
                    <w:jc w:val="center"/>
                    <w:rPr>
                      <w:rFonts w:hint="eastAsia"/>
                      <w:sz w:val="21"/>
                      <w:szCs w:val="21"/>
                      <w:highlight w:val="none"/>
                    </w:rPr>
                  </w:pPr>
                  <w:r>
                    <w:rPr>
                      <w:rFonts w:hint="eastAsia"/>
                      <w:sz w:val="21"/>
                      <w:szCs w:val="21"/>
                      <w:highlight w:val="none"/>
                      <w:lang w:val="en-US" w:eastAsia="zh-CN"/>
                    </w:rPr>
                    <w:t>低压含烃火炬气</w:t>
                  </w:r>
                  <w:r>
                    <w:rPr>
                      <w:rFonts w:hint="eastAsia"/>
                      <w:sz w:val="21"/>
                      <w:szCs w:val="21"/>
                      <w:highlight w:val="none"/>
                    </w:rPr>
                    <w:t>管道</w:t>
                  </w:r>
                </w:p>
              </w:tc>
              <w:tc>
                <w:tcPr>
                  <w:tcW w:w="5850" w:type="dxa"/>
                  <w:noWrap w:val="0"/>
                  <w:vAlign w:val="center"/>
                </w:tcPr>
                <w:p w14:paraId="5B5B254B">
                  <w:pPr>
                    <w:spacing w:line="240" w:lineRule="auto"/>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1229</w:t>
                  </w:r>
                  <w:r>
                    <w:rPr>
                      <w:rFonts w:hint="eastAsia"/>
                      <w:sz w:val="21"/>
                      <w:szCs w:val="21"/>
                      <w:highlight w:val="none"/>
                    </w:rPr>
                    <w:t>m的</w:t>
                  </w:r>
                  <w:r>
                    <w:rPr>
                      <w:rFonts w:hint="eastAsia"/>
                      <w:sz w:val="21"/>
                      <w:szCs w:val="21"/>
                      <w:highlight w:val="none"/>
                      <w:lang w:val="en-US" w:eastAsia="zh-CN"/>
                    </w:rPr>
                    <w:t>低压含烃火炬</w:t>
                  </w:r>
                  <w:r>
                    <w:rPr>
                      <w:rFonts w:hint="eastAsia"/>
                      <w:sz w:val="21"/>
                      <w:szCs w:val="21"/>
                      <w:highlight w:val="none"/>
                    </w:rPr>
                    <w:t>管道，</w:t>
                  </w:r>
                  <w:r>
                    <w:rPr>
                      <w:rFonts w:hint="default" w:ascii="Times New Roman" w:hAnsi="Times New Roman" w:eastAsia="宋体" w:cs="Times New Roman"/>
                      <w:bCs/>
                      <w:sz w:val="21"/>
                      <w:szCs w:val="21"/>
                      <w:highlight w:val="none"/>
                      <w:lang w:val="en-US" w:eastAsia="zh-CN"/>
                    </w:rPr>
                    <w:t>未抽头，需要在就近的含烃火炬总管处抽头后新建管道至鹏泰生物公司管廊处</w:t>
                  </w:r>
                  <w:r>
                    <w:rPr>
                      <w:rFonts w:hint="eastAsia"/>
                      <w:sz w:val="21"/>
                      <w:szCs w:val="21"/>
                      <w:highlight w:val="none"/>
                      <w:lang w:eastAsia="zh-CN"/>
                    </w:rPr>
                    <w:t>。</w:t>
                  </w:r>
                  <w:r>
                    <w:rPr>
                      <w:rFonts w:hint="eastAsia"/>
                      <w:sz w:val="21"/>
                      <w:szCs w:val="21"/>
                      <w:highlight w:val="none"/>
                    </w:rPr>
                    <w:t>并配套流量计。输送的</w:t>
                  </w:r>
                  <w:r>
                    <w:rPr>
                      <w:rFonts w:hint="eastAsia"/>
                      <w:sz w:val="21"/>
                      <w:szCs w:val="21"/>
                      <w:highlight w:val="none"/>
                      <w:lang w:val="en-US" w:eastAsia="zh-CN"/>
                    </w:rPr>
                    <w:t>低压含烃火炬气的</w:t>
                  </w:r>
                  <w:r>
                    <w:rPr>
                      <w:rFonts w:hint="eastAsia"/>
                      <w:sz w:val="21"/>
                      <w:szCs w:val="21"/>
                      <w:highlight w:val="none"/>
                    </w:rPr>
                    <w:t>流量</w:t>
                  </w:r>
                  <w:r>
                    <w:rPr>
                      <w:rFonts w:hint="eastAsia"/>
                      <w:sz w:val="21"/>
                      <w:szCs w:val="21"/>
                      <w:highlight w:val="none"/>
                      <w:lang w:val="en-US" w:eastAsia="zh-CN"/>
                    </w:rPr>
                    <w:t>为36237Nm</w:t>
                  </w:r>
                  <w:r>
                    <w:rPr>
                      <w:rFonts w:hint="eastAsia"/>
                      <w:sz w:val="21"/>
                      <w:szCs w:val="21"/>
                      <w:highlight w:val="none"/>
                      <w:vertAlign w:val="superscript"/>
                      <w:lang w:val="en-US" w:eastAsia="zh-CN"/>
                    </w:rPr>
                    <w:t>3</w:t>
                  </w:r>
                  <w:r>
                    <w:rPr>
                      <w:rFonts w:hint="eastAsia"/>
                      <w:sz w:val="21"/>
                      <w:szCs w:val="21"/>
                      <w:highlight w:val="none"/>
                      <w:lang w:val="en-US" w:eastAsia="zh-CN"/>
                    </w:rPr>
                    <w:t>/h</w:t>
                  </w:r>
                  <w:r>
                    <w:rPr>
                      <w:rFonts w:hint="eastAsia"/>
                      <w:sz w:val="21"/>
                      <w:szCs w:val="21"/>
                      <w:highlight w:val="none"/>
                    </w:rPr>
                    <w:t>、</w:t>
                  </w:r>
                  <w:r>
                    <w:rPr>
                      <w:rFonts w:hint="eastAsia"/>
                      <w:sz w:val="21"/>
                      <w:szCs w:val="21"/>
                      <w:highlight w:val="none"/>
                      <w:lang w:val="en-US" w:eastAsia="zh-CN"/>
                    </w:rPr>
                    <w:t>压力等级为CL150、内径450mm。</w:t>
                  </w:r>
                </w:p>
              </w:tc>
              <w:tc>
                <w:tcPr>
                  <w:tcW w:w="919" w:type="dxa"/>
                  <w:noWrap w:val="0"/>
                  <w:vAlign w:val="center"/>
                </w:tcPr>
                <w:p w14:paraId="5093BE1D">
                  <w:pPr>
                    <w:jc w:val="center"/>
                    <w:rPr>
                      <w:rFonts w:hint="eastAsia" w:eastAsia="宋体"/>
                      <w:szCs w:val="21"/>
                      <w:highlight w:val="none"/>
                      <w:lang w:val="en-US" w:eastAsia="zh-CN"/>
                    </w:rPr>
                  </w:pPr>
                  <w:r>
                    <w:rPr>
                      <w:rFonts w:hint="eastAsia"/>
                      <w:szCs w:val="21"/>
                      <w:highlight w:val="none"/>
                      <w:lang w:val="en-US" w:eastAsia="zh-CN"/>
                    </w:rPr>
                    <w:t>新建（联博管廊内）</w:t>
                  </w:r>
                </w:p>
              </w:tc>
            </w:tr>
            <w:tr w14:paraId="0D9E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53F60F3B">
                  <w:pPr>
                    <w:rPr>
                      <w:szCs w:val="21"/>
                      <w:highlight w:val="none"/>
                    </w:rPr>
                  </w:pPr>
                </w:p>
              </w:tc>
              <w:tc>
                <w:tcPr>
                  <w:tcW w:w="1059" w:type="dxa"/>
                  <w:gridSpan w:val="2"/>
                  <w:noWrap w:val="0"/>
                  <w:vAlign w:val="center"/>
                </w:tcPr>
                <w:p w14:paraId="5F937D7D">
                  <w:pPr>
                    <w:spacing w:line="240" w:lineRule="auto"/>
                    <w:jc w:val="center"/>
                    <w:rPr>
                      <w:rFonts w:hint="eastAsia"/>
                      <w:sz w:val="21"/>
                      <w:szCs w:val="21"/>
                      <w:highlight w:val="none"/>
                    </w:rPr>
                  </w:pPr>
                  <w:r>
                    <w:rPr>
                      <w:rFonts w:hint="eastAsia"/>
                      <w:sz w:val="21"/>
                      <w:szCs w:val="21"/>
                      <w:highlight w:val="none"/>
                      <w:lang w:val="en-US" w:eastAsia="zh-CN"/>
                    </w:rPr>
                    <w:t>湿酸火炬气</w:t>
                  </w:r>
                  <w:r>
                    <w:rPr>
                      <w:rFonts w:hint="eastAsia"/>
                      <w:sz w:val="21"/>
                      <w:szCs w:val="21"/>
                      <w:highlight w:val="none"/>
                    </w:rPr>
                    <w:t>管道</w:t>
                  </w:r>
                </w:p>
              </w:tc>
              <w:tc>
                <w:tcPr>
                  <w:tcW w:w="5850" w:type="dxa"/>
                  <w:noWrap w:val="0"/>
                  <w:vAlign w:val="center"/>
                </w:tcPr>
                <w:p w14:paraId="26382C1D">
                  <w:pPr>
                    <w:adjustRightInd w:val="0"/>
                    <w:snapToGrid w:val="0"/>
                    <w:spacing w:line="240" w:lineRule="auto"/>
                    <w:ind w:firstLine="420" w:firstLineChars="200"/>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707</w:t>
                  </w:r>
                  <w:r>
                    <w:rPr>
                      <w:rFonts w:hint="eastAsia"/>
                      <w:sz w:val="21"/>
                      <w:szCs w:val="21"/>
                      <w:highlight w:val="none"/>
                    </w:rPr>
                    <w:t>m的</w:t>
                  </w:r>
                  <w:r>
                    <w:rPr>
                      <w:rFonts w:hint="eastAsia"/>
                      <w:sz w:val="21"/>
                      <w:szCs w:val="21"/>
                      <w:highlight w:val="none"/>
                      <w:lang w:val="en-US" w:eastAsia="zh-CN"/>
                    </w:rPr>
                    <w:t>湿酸火炬气</w:t>
                  </w:r>
                  <w:r>
                    <w:rPr>
                      <w:rFonts w:hint="eastAsia"/>
                      <w:sz w:val="21"/>
                      <w:szCs w:val="21"/>
                      <w:highlight w:val="none"/>
                    </w:rPr>
                    <w:t>管道，</w:t>
                  </w:r>
                  <w:r>
                    <w:rPr>
                      <w:rFonts w:hint="default" w:ascii="Times New Roman" w:hAnsi="Times New Roman" w:eastAsia="宋体" w:cs="Times New Roman"/>
                      <w:bCs/>
                      <w:sz w:val="21"/>
                      <w:szCs w:val="21"/>
                      <w:highlight w:val="none"/>
                      <w:lang w:val="en-US" w:eastAsia="zh-CN"/>
                    </w:rPr>
                    <w:t>需要</w:t>
                  </w:r>
                  <w:r>
                    <w:rPr>
                      <w:rFonts w:hint="eastAsia" w:cs="Times New Roman"/>
                      <w:bCs/>
                      <w:sz w:val="21"/>
                      <w:szCs w:val="21"/>
                      <w:highlight w:val="none"/>
                      <w:lang w:val="en-US" w:eastAsia="zh-CN"/>
                    </w:rPr>
                    <w:t>在</w:t>
                  </w:r>
                  <w:r>
                    <w:rPr>
                      <w:rFonts w:hint="default" w:ascii="Times New Roman" w:hAnsi="Times New Roman" w:eastAsia="宋体" w:cs="Times New Roman"/>
                      <w:bCs/>
                      <w:sz w:val="21"/>
                      <w:szCs w:val="21"/>
                      <w:highlight w:val="none"/>
                      <w:lang w:val="en-US" w:eastAsia="zh-CN"/>
                    </w:rPr>
                    <w:t>就近的湿酸火炬总管处抽头，新建管道至鹏泰生物公司管廊处。</w:t>
                  </w:r>
                  <w:r>
                    <w:rPr>
                      <w:rFonts w:hint="eastAsia"/>
                      <w:sz w:val="21"/>
                      <w:szCs w:val="21"/>
                      <w:highlight w:val="none"/>
                    </w:rPr>
                    <w:t>并配套流量计。输送的</w:t>
                  </w:r>
                  <w:r>
                    <w:rPr>
                      <w:rFonts w:hint="eastAsia"/>
                      <w:sz w:val="21"/>
                      <w:szCs w:val="21"/>
                      <w:highlight w:val="none"/>
                      <w:lang w:val="en-US" w:eastAsia="zh-CN"/>
                    </w:rPr>
                    <w:t>湿酸火炬气的</w:t>
                  </w:r>
                  <w:r>
                    <w:rPr>
                      <w:rFonts w:hint="eastAsia"/>
                      <w:sz w:val="21"/>
                      <w:szCs w:val="21"/>
                      <w:highlight w:val="none"/>
                    </w:rPr>
                    <w:t>流量</w:t>
                  </w:r>
                  <w:r>
                    <w:rPr>
                      <w:rFonts w:hint="eastAsia"/>
                      <w:sz w:val="21"/>
                      <w:szCs w:val="21"/>
                      <w:highlight w:val="none"/>
                      <w:lang w:val="en-US" w:eastAsia="zh-CN"/>
                    </w:rPr>
                    <w:t>为25000Nm</w:t>
                  </w:r>
                  <w:r>
                    <w:rPr>
                      <w:rFonts w:hint="eastAsia"/>
                      <w:sz w:val="21"/>
                      <w:szCs w:val="21"/>
                      <w:highlight w:val="none"/>
                      <w:vertAlign w:val="superscript"/>
                      <w:lang w:val="en-US" w:eastAsia="zh-CN"/>
                    </w:rPr>
                    <w:t>3</w:t>
                  </w:r>
                  <w:r>
                    <w:rPr>
                      <w:rFonts w:hint="eastAsia"/>
                      <w:sz w:val="21"/>
                      <w:szCs w:val="21"/>
                      <w:highlight w:val="none"/>
                      <w:lang w:val="en-US" w:eastAsia="zh-CN"/>
                    </w:rPr>
                    <w:t>/h</w:t>
                  </w:r>
                  <w:r>
                    <w:rPr>
                      <w:rFonts w:hint="eastAsia"/>
                      <w:sz w:val="21"/>
                      <w:szCs w:val="21"/>
                      <w:highlight w:val="none"/>
                    </w:rPr>
                    <w:t>、</w:t>
                  </w:r>
                  <w:r>
                    <w:rPr>
                      <w:rFonts w:hint="eastAsia"/>
                      <w:sz w:val="21"/>
                      <w:szCs w:val="21"/>
                      <w:highlight w:val="none"/>
                      <w:lang w:val="en-US" w:eastAsia="zh-CN"/>
                    </w:rPr>
                    <w:t>压力等级为CL150</w:t>
                  </w:r>
                  <w:r>
                    <w:rPr>
                      <w:rFonts w:hint="eastAsia"/>
                      <w:sz w:val="21"/>
                      <w:szCs w:val="21"/>
                      <w:highlight w:val="none"/>
                    </w:rPr>
                    <w:t>、</w:t>
                  </w:r>
                  <w:r>
                    <w:rPr>
                      <w:rFonts w:hint="eastAsia"/>
                      <w:sz w:val="21"/>
                      <w:szCs w:val="21"/>
                      <w:highlight w:val="none"/>
                      <w:lang w:val="en-US" w:eastAsia="zh-CN"/>
                    </w:rPr>
                    <w:t>内径400mm。</w:t>
                  </w:r>
                </w:p>
              </w:tc>
              <w:tc>
                <w:tcPr>
                  <w:tcW w:w="919" w:type="dxa"/>
                  <w:noWrap w:val="0"/>
                  <w:vAlign w:val="center"/>
                </w:tcPr>
                <w:p w14:paraId="7365B4D7">
                  <w:pPr>
                    <w:jc w:val="center"/>
                    <w:rPr>
                      <w:szCs w:val="21"/>
                      <w:highlight w:val="none"/>
                    </w:rPr>
                  </w:pPr>
                  <w:r>
                    <w:rPr>
                      <w:rFonts w:hint="eastAsia"/>
                      <w:szCs w:val="21"/>
                      <w:highlight w:val="none"/>
                      <w:lang w:val="en-US" w:eastAsia="zh-CN"/>
                    </w:rPr>
                    <w:t>新建（联博管廊内）</w:t>
                  </w:r>
                </w:p>
              </w:tc>
            </w:tr>
            <w:tr w14:paraId="09CB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1BD21A4E">
                  <w:pPr>
                    <w:rPr>
                      <w:szCs w:val="21"/>
                      <w:highlight w:val="none"/>
                    </w:rPr>
                  </w:pPr>
                </w:p>
              </w:tc>
              <w:tc>
                <w:tcPr>
                  <w:tcW w:w="1059" w:type="dxa"/>
                  <w:gridSpan w:val="2"/>
                  <w:noWrap w:val="0"/>
                  <w:vAlign w:val="center"/>
                </w:tcPr>
                <w:p w14:paraId="7C2FA2FA">
                  <w:pPr>
                    <w:spacing w:line="240" w:lineRule="auto"/>
                    <w:jc w:val="center"/>
                    <w:rPr>
                      <w:rFonts w:hint="default" w:eastAsia="宋体"/>
                      <w:sz w:val="21"/>
                      <w:szCs w:val="21"/>
                      <w:highlight w:val="none"/>
                      <w:lang w:val="en-US" w:eastAsia="zh-CN"/>
                    </w:rPr>
                  </w:pPr>
                  <w:r>
                    <w:rPr>
                      <w:rFonts w:hint="eastAsia"/>
                      <w:sz w:val="21"/>
                      <w:szCs w:val="21"/>
                      <w:highlight w:val="none"/>
                      <w:lang w:val="en-US" w:eastAsia="zh-CN"/>
                    </w:rPr>
                    <w:t>中压蒸汽</w:t>
                  </w:r>
                  <w:r>
                    <w:rPr>
                      <w:rFonts w:hint="eastAsia"/>
                      <w:sz w:val="21"/>
                      <w:szCs w:val="21"/>
                      <w:highlight w:val="none"/>
                    </w:rPr>
                    <w:t>管道</w:t>
                  </w:r>
                </w:p>
              </w:tc>
              <w:tc>
                <w:tcPr>
                  <w:tcW w:w="5850" w:type="dxa"/>
                  <w:noWrap w:val="0"/>
                  <w:vAlign w:val="center"/>
                </w:tcPr>
                <w:p w14:paraId="7A71D133">
                  <w:pPr>
                    <w:spacing w:line="240" w:lineRule="auto"/>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521</w:t>
                  </w:r>
                  <w:r>
                    <w:rPr>
                      <w:rFonts w:hint="eastAsia"/>
                      <w:sz w:val="21"/>
                      <w:szCs w:val="21"/>
                      <w:highlight w:val="none"/>
                    </w:rPr>
                    <w:t>m的</w:t>
                  </w:r>
                  <w:r>
                    <w:rPr>
                      <w:rFonts w:hint="eastAsia"/>
                      <w:sz w:val="21"/>
                      <w:szCs w:val="21"/>
                      <w:highlight w:val="none"/>
                      <w:lang w:val="en-US" w:eastAsia="zh-CN"/>
                    </w:rPr>
                    <w:t>蒸汽</w:t>
                  </w:r>
                  <w:r>
                    <w:rPr>
                      <w:rFonts w:hint="eastAsia"/>
                      <w:sz w:val="21"/>
                      <w:szCs w:val="21"/>
                      <w:highlight w:val="none"/>
                    </w:rPr>
                    <w:t>管道，</w:t>
                  </w:r>
                  <w:r>
                    <w:rPr>
                      <w:rFonts w:hint="default" w:ascii="Times New Roman" w:hAnsi="Times New Roman" w:eastAsia="宋体" w:cs="Times New Roman"/>
                      <w:bCs/>
                      <w:sz w:val="21"/>
                      <w:szCs w:val="21"/>
                      <w:highlight w:val="none"/>
                      <w:lang w:val="en-US" w:eastAsia="zh-CN"/>
                    </w:rPr>
                    <w:t>已在现有伊泰化工管廊处抽头，需要在抽头处新增管道至鹏泰生物公司管廊。</w:t>
                  </w:r>
                  <w:r>
                    <w:rPr>
                      <w:rFonts w:hint="eastAsia"/>
                      <w:sz w:val="21"/>
                      <w:szCs w:val="21"/>
                      <w:highlight w:val="none"/>
                    </w:rPr>
                    <w:t>并配套流量计。输送的</w:t>
                  </w:r>
                  <w:r>
                    <w:rPr>
                      <w:rFonts w:hint="eastAsia"/>
                      <w:sz w:val="21"/>
                      <w:szCs w:val="21"/>
                      <w:highlight w:val="none"/>
                      <w:lang w:val="en-US" w:eastAsia="zh-CN"/>
                    </w:rPr>
                    <w:t>蒸汽的</w:t>
                  </w:r>
                  <w:r>
                    <w:rPr>
                      <w:rFonts w:hint="eastAsia"/>
                      <w:sz w:val="21"/>
                      <w:szCs w:val="21"/>
                      <w:highlight w:val="none"/>
                    </w:rPr>
                    <w:t>流量</w:t>
                  </w:r>
                  <w:r>
                    <w:rPr>
                      <w:rFonts w:hint="eastAsia"/>
                      <w:sz w:val="21"/>
                      <w:szCs w:val="21"/>
                      <w:highlight w:val="none"/>
                      <w:lang w:val="en-US" w:eastAsia="zh-CN"/>
                    </w:rPr>
                    <w:t>为150t/h</w:t>
                  </w:r>
                  <w:r>
                    <w:rPr>
                      <w:rFonts w:hint="eastAsia"/>
                      <w:sz w:val="21"/>
                      <w:szCs w:val="21"/>
                      <w:highlight w:val="none"/>
                    </w:rPr>
                    <w:t>、</w:t>
                  </w:r>
                  <w:r>
                    <w:rPr>
                      <w:rFonts w:hint="eastAsia"/>
                      <w:sz w:val="21"/>
                      <w:szCs w:val="21"/>
                      <w:highlight w:val="none"/>
                      <w:lang w:val="en-US" w:eastAsia="zh-CN"/>
                    </w:rPr>
                    <w:t>压力等级为CL300</w:t>
                  </w:r>
                  <w:r>
                    <w:rPr>
                      <w:rFonts w:hint="eastAsia"/>
                      <w:sz w:val="21"/>
                      <w:szCs w:val="21"/>
                      <w:highlight w:val="none"/>
                    </w:rPr>
                    <w:t>、</w:t>
                  </w:r>
                  <w:r>
                    <w:rPr>
                      <w:rFonts w:hint="eastAsia"/>
                      <w:sz w:val="21"/>
                      <w:szCs w:val="21"/>
                      <w:highlight w:val="none"/>
                      <w:lang w:val="en-US" w:eastAsia="zh-CN"/>
                    </w:rPr>
                    <w:t>内径350mm。</w:t>
                  </w:r>
                </w:p>
              </w:tc>
              <w:tc>
                <w:tcPr>
                  <w:tcW w:w="919" w:type="dxa"/>
                  <w:noWrap w:val="0"/>
                  <w:vAlign w:val="center"/>
                </w:tcPr>
                <w:p w14:paraId="6400B955">
                  <w:pPr>
                    <w:jc w:val="center"/>
                    <w:rPr>
                      <w:szCs w:val="21"/>
                      <w:highlight w:val="none"/>
                    </w:rPr>
                  </w:pPr>
                  <w:r>
                    <w:rPr>
                      <w:rFonts w:hint="eastAsia"/>
                      <w:szCs w:val="21"/>
                      <w:highlight w:val="none"/>
                      <w:lang w:val="en-US" w:eastAsia="zh-CN"/>
                    </w:rPr>
                    <w:t>新建（联博管廊内）</w:t>
                  </w:r>
                </w:p>
              </w:tc>
            </w:tr>
            <w:tr w14:paraId="7002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507AA404">
                  <w:pPr>
                    <w:rPr>
                      <w:szCs w:val="21"/>
                      <w:highlight w:val="none"/>
                    </w:rPr>
                  </w:pPr>
                </w:p>
              </w:tc>
              <w:tc>
                <w:tcPr>
                  <w:tcW w:w="1059" w:type="dxa"/>
                  <w:gridSpan w:val="2"/>
                  <w:noWrap w:val="0"/>
                  <w:vAlign w:val="center"/>
                </w:tcPr>
                <w:p w14:paraId="45DFBCD6">
                  <w:pPr>
                    <w:spacing w:line="240" w:lineRule="auto"/>
                    <w:jc w:val="center"/>
                    <w:rPr>
                      <w:rFonts w:hint="eastAsia"/>
                      <w:sz w:val="21"/>
                      <w:szCs w:val="21"/>
                      <w:highlight w:val="none"/>
                    </w:rPr>
                  </w:pPr>
                  <w:r>
                    <w:rPr>
                      <w:rFonts w:hint="eastAsia"/>
                      <w:sz w:val="21"/>
                      <w:szCs w:val="21"/>
                      <w:highlight w:val="none"/>
                      <w:lang w:val="en-US" w:eastAsia="zh-CN"/>
                    </w:rPr>
                    <w:t>凝结水</w:t>
                  </w:r>
                  <w:r>
                    <w:rPr>
                      <w:rFonts w:hint="eastAsia"/>
                      <w:sz w:val="21"/>
                      <w:szCs w:val="21"/>
                      <w:highlight w:val="none"/>
                    </w:rPr>
                    <w:t>管道</w:t>
                  </w:r>
                </w:p>
              </w:tc>
              <w:tc>
                <w:tcPr>
                  <w:tcW w:w="5850" w:type="dxa"/>
                  <w:noWrap w:val="0"/>
                  <w:vAlign w:val="center"/>
                </w:tcPr>
                <w:p w14:paraId="747F565E">
                  <w:pPr>
                    <w:spacing w:line="240" w:lineRule="auto"/>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467</w:t>
                  </w:r>
                  <w:r>
                    <w:rPr>
                      <w:rFonts w:hint="eastAsia"/>
                      <w:sz w:val="21"/>
                      <w:szCs w:val="21"/>
                      <w:highlight w:val="none"/>
                    </w:rPr>
                    <w:t>m的</w:t>
                  </w:r>
                  <w:r>
                    <w:rPr>
                      <w:rFonts w:hint="eastAsia"/>
                      <w:sz w:val="21"/>
                      <w:szCs w:val="21"/>
                      <w:highlight w:val="none"/>
                      <w:lang w:val="en-US" w:eastAsia="zh-CN"/>
                    </w:rPr>
                    <w:t>凝结水</w:t>
                  </w:r>
                  <w:r>
                    <w:rPr>
                      <w:rFonts w:hint="eastAsia"/>
                      <w:sz w:val="21"/>
                      <w:szCs w:val="21"/>
                      <w:highlight w:val="none"/>
                    </w:rPr>
                    <w:t>管道，</w:t>
                  </w:r>
                  <w:r>
                    <w:rPr>
                      <w:rFonts w:hint="default" w:ascii="Times New Roman" w:hAnsi="Times New Roman" w:eastAsia="宋体" w:cs="Times New Roman"/>
                      <w:bCs/>
                      <w:sz w:val="21"/>
                      <w:szCs w:val="21"/>
                      <w:highlight w:val="none"/>
                      <w:lang w:val="en-US" w:eastAsia="zh-CN"/>
                    </w:rPr>
                    <w:t>已在现有伊泰化工管廊处抽头，需要在抽头处新增管道至鹏泰生物公司管廊</w:t>
                  </w:r>
                  <w:r>
                    <w:rPr>
                      <w:rFonts w:hint="eastAsia"/>
                      <w:sz w:val="21"/>
                      <w:szCs w:val="21"/>
                      <w:highlight w:val="none"/>
                      <w:lang w:eastAsia="zh-CN"/>
                    </w:rPr>
                    <w:t>。</w:t>
                  </w:r>
                  <w:r>
                    <w:rPr>
                      <w:rFonts w:hint="eastAsia"/>
                      <w:sz w:val="21"/>
                      <w:szCs w:val="21"/>
                      <w:highlight w:val="none"/>
                    </w:rPr>
                    <w:t>并配套流量计。输送的</w:t>
                  </w:r>
                  <w:r>
                    <w:rPr>
                      <w:rFonts w:hint="eastAsia"/>
                      <w:sz w:val="21"/>
                      <w:szCs w:val="21"/>
                      <w:highlight w:val="none"/>
                      <w:lang w:val="en-US" w:eastAsia="zh-CN"/>
                    </w:rPr>
                    <w:t>凝结水</w:t>
                  </w:r>
                  <w:r>
                    <w:rPr>
                      <w:rFonts w:hint="eastAsia"/>
                      <w:sz w:val="21"/>
                      <w:szCs w:val="21"/>
                      <w:highlight w:val="none"/>
                    </w:rPr>
                    <w:t>流量</w:t>
                  </w:r>
                  <w:r>
                    <w:rPr>
                      <w:rFonts w:hint="eastAsia"/>
                      <w:sz w:val="21"/>
                      <w:szCs w:val="21"/>
                      <w:highlight w:val="none"/>
                      <w:lang w:val="en-US" w:eastAsia="zh-CN"/>
                    </w:rPr>
                    <w:t>为150t/h</w:t>
                  </w:r>
                  <w:r>
                    <w:rPr>
                      <w:rFonts w:hint="eastAsia"/>
                      <w:sz w:val="21"/>
                      <w:szCs w:val="21"/>
                      <w:highlight w:val="none"/>
                    </w:rPr>
                    <w:t>、</w:t>
                  </w:r>
                  <w:r>
                    <w:rPr>
                      <w:rFonts w:hint="eastAsia"/>
                      <w:sz w:val="21"/>
                      <w:szCs w:val="21"/>
                      <w:highlight w:val="none"/>
                      <w:lang w:val="en-US" w:eastAsia="zh-CN"/>
                    </w:rPr>
                    <w:t>压力等级为CL150</w:t>
                  </w:r>
                  <w:r>
                    <w:rPr>
                      <w:rFonts w:hint="eastAsia"/>
                      <w:sz w:val="21"/>
                      <w:szCs w:val="21"/>
                      <w:highlight w:val="none"/>
                      <w:lang w:eastAsia="zh-CN"/>
                    </w:rPr>
                    <w:t>，</w:t>
                  </w:r>
                  <w:r>
                    <w:rPr>
                      <w:rFonts w:hint="eastAsia"/>
                      <w:sz w:val="21"/>
                      <w:szCs w:val="21"/>
                      <w:highlight w:val="none"/>
                      <w:lang w:val="en-US" w:eastAsia="zh-CN"/>
                    </w:rPr>
                    <w:t>内径200mm。</w:t>
                  </w:r>
                </w:p>
              </w:tc>
              <w:tc>
                <w:tcPr>
                  <w:tcW w:w="919" w:type="dxa"/>
                  <w:noWrap w:val="0"/>
                  <w:vAlign w:val="center"/>
                </w:tcPr>
                <w:p w14:paraId="26AA486F">
                  <w:pPr>
                    <w:jc w:val="center"/>
                    <w:rPr>
                      <w:szCs w:val="21"/>
                      <w:highlight w:val="none"/>
                    </w:rPr>
                  </w:pPr>
                  <w:r>
                    <w:rPr>
                      <w:rFonts w:hint="eastAsia"/>
                      <w:szCs w:val="21"/>
                      <w:highlight w:val="none"/>
                      <w:lang w:val="en-US" w:eastAsia="zh-CN"/>
                    </w:rPr>
                    <w:t>新建（联博管廊内）</w:t>
                  </w:r>
                </w:p>
              </w:tc>
            </w:tr>
            <w:tr w14:paraId="10D5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2CB1A8AF">
                  <w:pPr>
                    <w:rPr>
                      <w:szCs w:val="21"/>
                      <w:highlight w:val="none"/>
                    </w:rPr>
                  </w:pPr>
                </w:p>
              </w:tc>
              <w:tc>
                <w:tcPr>
                  <w:tcW w:w="1059" w:type="dxa"/>
                  <w:gridSpan w:val="2"/>
                  <w:noWrap w:val="0"/>
                  <w:vAlign w:val="center"/>
                </w:tcPr>
                <w:p w14:paraId="6CD4F88D">
                  <w:pPr>
                    <w:spacing w:line="240" w:lineRule="auto"/>
                    <w:jc w:val="center"/>
                    <w:rPr>
                      <w:rFonts w:hint="eastAsia"/>
                      <w:sz w:val="21"/>
                      <w:szCs w:val="21"/>
                      <w:highlight w:val="none"/>
                    </w:rPr>
                  </w:pPr>
                  <w:r>
                    <w:rPr>
                      <w:rFonts w:hint="eastAsia"/>
                      <w:sz w:val="21"/>
                      <w:szCs w:val="21"/>
                      <w:highlight w:val="none"/>
                      <w:lang w:val="en-US" w:eastAsia="zh-CN"/>
                    </w:rPr>
                    <w:t>仪表风</w:t>
                  </w:r>
                  <w:r>
                    <w:rPr>
                      <w:rFonts w:hint="eastAsia"/>
                      <w:sz w:val="21"/>
                      <w:szCs w:val="21"/>
                      <w:highlight w:val="none"/>
                    </w:rPr>
                    <w:t>管道</w:t>
                  </w:r>
                </w:p>
              </w:tc>
              <w:tc>
                <w:tcPr>
                  <w:tcW w:w="5850" w:type="dxa"/>
                  <w:noWrap w:val="0"/>
                  <w:vAlign w:val="center"/>
                </w:tcPr>
                <w:p w14:paraId="64246A5D">
                  <w:pPr>
                    <w:spacing w:line="240" w:lineRule="auto"/>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422</w:t>
                  </w:r>
                  <w:r>
                    <w:rPr>
                      <w:rFonts w:hint="eastAsia"/>
                      <w:sz w:val="21"/>
                      <w:szCs w:val="21"/>
                      <w:highlight w:val="none"/>
                    </w:rPr>
                    <w:t>m的</w:t>
                  </w:r>
                  <w:r>
                    <w:rPr>
                      <w:rFonts w:hint="eastAsia"/>
                      <w:sz w:val="21"/>
                      <w:szCs w:val="21"/>
                      <w:highlight w:val="none"/>
                      <w:lang w:val="en-US" w:eastAsia="zh-CN"/>
                    </w:rPr>
                    <w:t>仪表空气</w:t>
                  </w:r>
                  <w:r>
                    <w:rPr>
                      <w:rFonts w:hint="eastAsia"/>
                      <w:sz w:val="21"/>
                      <w:szCs w:val="21"/>
                      <w:highlight w:val="none"/>
                    </w:rPr>
                    <w:t>管道，</w:t>
                  </w:r>
                  <w:r>
                    <w:rPr>
                      <w:rFonts w:hint="default" w:ascii="Times New Roman" w:hAnsi="Times New Roman" w:eastAsia="宋体" w:cs="Times New Roman"/>
                      <w:bCs/>
                      <w:sz w:val="21"/>
                      <w:szCs w:val="21"/>
                      <w:highlight w:val="none"/>
                      <w:lang w:val="en-US" w:eastAsia="zh-CN"/>
                    </w:rPr>
                    <w:t>已在现有伊泰化工管廊处抽头，需要在抽头处新增管道至鹏泰生物公司管廊</w:t>
                  </w:r>
                  <w:r>
                    <w:rPr>
                      <w:rFonts w:hint="eastAsia" w:cs="Times New Roman"/>
                      <w:bCs/>
                      <w:sz w:val="21"/>
                      <w:szCs w:val="21"/>
                      <w:highlight w:val="none"/>
                      <w:lang w:val="en-US" w:eastAsia="zh-CN"/>
                    </w:rPr>
                    <w:t>，</w:t>
                  </w:r>
                  <w:r>
                    <w:rPr>
                      <w:rFonts w:hint="eastAsia"/>
                      <w:sz w:val="21"/>
                      <w:szCs w:val="21"/>
                      <w:highlight w:val="none"/>
                    </w:rPr>
                    <w:t>并配套流量计。输送的</w:t>
                  </w:r>
                  <w:r>
                    <w:rPr>
                      <w:rFonts w:hint="eastAsia"/>
                      <w:sz w:val="21"/>
                      <w:szCs w:val="21"/>
                      <w:highlight w:val="none"/>
                      <w:lang w:val="en-US" w:eastAsia="zh-CN"/>
                    </w:rPr>
                    <w:t>合成仪表风的</w:t>
                  </w:r>
                  <w:r>
                    <w:rPr>
                      <w:rFonts w:hint="eastAsia"/>
                      <w:sz w:val="21"/>
                      <w:szCs w:val="21"/>
                      <w:highlight w:val="none"/>
                    </w:rPr>
                    <w:t>流量</w:t>
                  </w:r>
                  <w:r>
                    <w:rPr>
                      <w:rFonts w:hint="eastAsia"/>
                      <w:sz w:val="21"/>
                      <w:szCs w:val="21"/>
                      <w:highlight w:val="none"/>
                      <w:lang w:val="en-US" w:eastAsia="zh-CN"/>
                    </w:rPr>
                    <w:t>为1600Nm</w:t>
                  </w:r>
                  <w:r>
                    <w:rPr>
                      <w:rFonts w:hint="eastAsia"/>
                      <w:sz w:val="21"/>
                      <w:szCs w:val="21"/>
                      <w:highlight w:val="none"/>
                      <w:vertAlign w:val="superscript"/>
                      <w:lang w:val="en-US" w:eastAsia="zh-CN"/>
                    </w:rPr>
                    <w:t>3</w:t>
                  </w:r>
                  <w:r>
                    <w:rPr>
                      <w:rFonts w:hint="eastAsia"/>
                      <w:sz w:val="21"/>
                      <w:szCs w:val="21"/>
                      <w:highlight w:val="none"/>
                      <w:lang w:val="en-US" w:eastAsia="zh-CN"/>
                    </w:rPr>
                    <w:t>/h</w:t>
                  </w:r>
                  <w:r>
                    <w:rPr>
                      <w:rFonts w:hint="eastAsia"/>
                      <w:sz w:val="21"/>
                      <w:szCs w:val="21"/>
                      <w:highlight w:val="none"/>
                    </w:rPr>
                    <w:t>、</w:t>
                  </w:r>
                  <w:r>
                    <w:rPr>
                      <w:rFonts w:hint="eastAsia"/>
                      <w:sz w:val="21"/>
                      <w:szCs w:val="21"/>
                      <w:highlight w:val="none"/>
                      <w:lang w:val="en-US" w:eastAsia="zh-CN"/>
                    </w:rPr>
                    <w:t>压力等级为CL150</w:t>
                  </w:r>
                  <w:r>
                    <w:rPr>
                      <w:rFonts w:hint="eastAsia"/>
                      <w:sz w:val="21"/>
                      <w:szCs w:val="21"/>
                      <w:highlight w:val="none"/>
                      <w:lang w:eastAsia="zh-CN"/>
                    </w:rPr>
                    <w:t>、</w:t>
                  </w:r>
                  <w:r>
                    <w:rPr>
                      <w:rFonts w:hint="eastAsia"/>
                      <w:sz w:val="21"/>
                      <w:szCs w:val="21"/>
                      <w:highlight w:val="none"/>
                      <w:lang w:val="en-US" w:eastAsia="zh-CN"/>
                    </w:rPr>
                    <w:t>内径100mm。</w:t>
                  </w:r>
                </w:p>
              </w:tc>
              <w:tc>
                <w:tcPr>
                  <w:tcW w:w="919" w:type="dxa"/>
                  <w:noWrap w:val="0"/>
                  <w:vAlign w:val="center"/>
                </w:tcPr>
                <w:p w14:paraId="0B81444D">
                  <w:pPr>
                    <w:jc w:val="center"/>
                    <w:rPr>
                      <w:szCs w:val="21"/>
                      <w:highlight w:val="none"/>
                    </w:rPr>
                  </w:pPr>
                  <w:r>
                    <w:rPr>
                      <w:rFonts w:hint="eastAsia"/>
                      <w:szCs w:val="21"/>
                      <w:highlight w:val="none"/>
                      <w:lang w:val="en-US" w:eastAsia="zh-CN"/>
                    </w:rPr>
                    <w:t>新建（联博管廊内）</w:t>
                  </w:r>
                </w:p>
              </w:tc>
            </w:tr>
            <w:tr w14:paraId="4115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13DEFBD7">
                  <w:pPr>
                    <w:rPr>
                      <w:szCs w:val="21"/>
                      <w:highlight w:val="none"/>
                    </w:rPr>
                  </w:pPr>
                </w:p>
              </w:tc>
              <w:tc>
                <w:tcPr>
                  <w:tcW w:w="1059" w:type="dxa"/>
                  <w:gridSpan w:val="2"/>
                  <w:noWrap w:val="0"/>
                  <w:vAlign w:val="center"/>
                </w:tcPr>
                <w:p w14:paraId="1F112A40">
                  <w:pPr>
                    <w:spacing w:line="240" w:lineRule="auto"/>
                    <w:jc w:val="center"/>
                    <w:rPr>
                      <w:rFonts w:hint="eastAsia"/>
                      <w:sz w:val="21"/>
                      <w:szCs w:val="21"/>
                      <w:highlight w:val="none"/>
                    </w:rPr>
                  </w:pPr>
                  <w:r>
                    <w:rPr>
                      <w:rFonts w:hint="eastAsia"/>
                      <w:sz w:val="21"/>
                      <w:szCs w:val="21"/>
                      <w:highlight w:val="none"/>
                      <w:lang w:val="en-US" w:eastAsia="zh-CN"/>
                    </w:rPr>
                    <w:t>工厂风</w:t>
                  </w:r>
                  <w:r>
                    <w:rPr>
                      <w:rFonts w:hint="eastAsia"/>
                      <w:sz w:val="21"/>
                      <w:szCs w:val="21"/>
                      <w:highlight w:val="none"/>
                    </w:rPr>
                    <w:t>管道</w:t>
                  </w:r>
                </w:p>
              </w:tc>
              <w:tc>
                <w:tcPr>
                  <w:tcW w:w="5850" w:type="dxa"/>
                  <w:noWrap w:val="0"/>
                  <w:vAlign w:val="center"/>
                </w:tcPr>
                <w:p w14:paraId="3BA08E4F">
                  <w:pPr>
                    <w:spacing w:line="240" w:lineRule="auto"/>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422</w:t>
                  </w:r>
                  <w:r>
                    <w:rPr>
                      <w:rFonts w:hint="eastAsia"/>
                      <w:sz w:val="21"/>
                      <w:szCs w:val="21"/>
                      <w:highlight w:val="none"/>
                    </w:rPr>
                    <w:t>m的</w:t>
                  </w:r>
                  <w:r>
                    <w:rPr>
                      <w:rFonts w:hint="eastAsia"/>
                      <w:sz w:val="21"/>
                      <w:szCs w:val="21"/>
                      <w:highlight w:val="none"/>
                      <w:lang w:val="en-US" w:eastAsia="zh-CN"/>
                    </w:rPr>
                    <w:t>压缩空气</w:t>
                  </w:r>
                  <w:r>
                    <w:rPr>
                      <w:rFonts w:hint="eastAsia"/>
                      <w:sz w:val="21"/>
                      <w:szCs w:val="21"/>
                      <w:highlight w:val="none"/>
                    </w:rPr>
                    <w:t>管道</w:t>
                  </w:r>
                  <w:r>
                    <w:rPr>
                      <w:rFonts w:hint="eastAsia"/>
                      <w:sz w:val="21"/>
                      <w:szCs w:val="21"/>
                      <w:highlight w:val="none"/>
                      <w:lang w:eastAsia="zh-CN"/>
                    </w:rPr>
                    <w:t>，</w:t>
                  </w:r>
                  <w:r>
                    <w:rPr>
                      <w:rFonts w:hint="default" w:ascii="Times New Roman" w:hAnsi="Times New Roman" w:eastAsia="宋体" w:cs="Times New Roman"/>
                      <w:bCs/>
                      <w:sz w:val="21"/>
                      <w:szCs w:val="21"/>
                      <w:highlight w:val="none"/>
                      <w:lang w:val="en-US" w:eastAsia="zh-CN"/>
                    </w:rPr>
                    <w:t>已在现有伊泰化工管廊处抽头，需要在抽头处新增管道至鹏泰生物公司管廊。</w:t>
                  </w:r>
                  <w:r>
                    <w:rPr>
                      <w:rFonts w:hint="eastAsia"/>
                      <w:sz w:val="21"/>
                      <w:szCs w:val="21"/>
                      <w:highlight w:val="none"/>
                    </w:rPr>
                    <w:t>并配套流量计。输送的</w:t>
                  </w:r>
                  <w:r>
                    <w:rPr>
                      <w:rFonts w:hint="eastAsia"/>
                      <w:sz w:val="21"/>
                      <w:szCs w:val="21"/>
                      <w:highlight w:val="none"/>
                      <w:lang w:val="en-US" w:eastAsia="zh-CN"/>
                    </w:rPr>
                    <w:t>工厂风</w:t>
                  </w:r>
                  <w:r>
                    <w:rPr>
                      <w:rFonts w:hint="eastAsia"/>
                      <w:sz w:val="21"/>
                      <w:szCs w:val="21"/>
                      <w:highlight w:val="none"/>
                    </w:rPr>
                    <w:t>流量</w:t>
                  </w:r>
                  <w:r>
                    <w:rPr>
                      <w:rFonts w:hint="eastAsia"/>
                      <w:sz w:val="21"/>
                      <w:szCs w:val="21"/>
                      <w:highlight w:val="none"/>
                      <w:lang w:val="en-US" w:eastAsia="zh-CN"/>
                    </w:rPr>
                    <w:t>为1000Nm</w:t>
                  </w:r>
                  <w:r>
                    <w:rPr>
                      <w:rFonts w:hint="eastAsia"/>
                      <w:sz w:val="21"/>
                      <w:szCs w:val="21"/>
                      <w:highlight w:val="none"/>
                      <w:vertAlign w:val="superscript"/>
                      <w:lang w:val="en-US" w:eastAsia="zh-CN"/>
                    </w:rPr>
                    <w:t>3</w:t>
                  </w:r>
                  <w:r>
                    <w:rPr>
                      <w:rFonts w:hint="eastAsia"/>
                      <w:sz w:val="21"/>
                      <w:szCs w:val="21"/>
                      <w:highlight w:val="none"/>
                      <w:lang w:val="en-US" w:eastAsia="zh-CN"/>
                    </w:rPr>
                    <w:t>/h</w:t>
                  </w:r>
                  <w:r>
                    <w:rPr>
                      <w:rFonts w:hint="eastAsia"/>
                      <w:sz w:val="21"/>
                      <w:szCs w:val="21"/>
                      <w:highlight w:val="none"/>
                    </w:rPr>
                    <w:t>、</w:t>
                  </w:r>
                  <w:r>
                    <w:rPr>
                      <w:rFonts w:hint="eastAsia"/>
                      <w:sz w:val="21"/>
                      <w:szCs w:val="21"/>
                      <w:highlight w:val="none"/>
                      <w:lang w:val="en-US" w:eastAsia="zh-CN"/>
                    </w:rPr>
                    <w:t>压力等级为CL150</w:t>
                  </w:r>
                  <w:r>
                    <w:rPr>
                      <w:rFonts w:hint="eastAsia"/>
                      <w:sz w:val="21"/>
                      <w:szCs w:val="21"/>
                      <w:highlight w:val="none"/>
                    </w:rPr>
                    <w:t>、</w:t>
                  </w:r>
                  <w:r>
                    <w:rPr>
                      <w:rFonts w:hint="eastAsia"/>
                      <w:sz w:val="21"/>
                      <w:szCs w:val="21"/>
                      <w:highlight w:val="none"/>
                      <w:lang w:val="en-US" w:eastAsia="zh-CN"/>
                    </w:rPr>
                    <w:t>内径100mm。</w:t>
                  </w:r>
                </w:p>
              </w:tc>
              <w:tc>
                <w:tcPr>
                  <w:tcW w:w="919" w:type="dxa"/>
                  <w:noWrap w:val="0"/>
                  <w:vAlign w:val="center"/>
                </w:tcPr>
                <w:p w14:paraId="052DCA61">
                  <w:pPr>
                    <w:jc w:val="center"/>
                    <w:rPr>
                      <w:szCs w:val="21"/>
                      <w:highlight w:val="none"/>
                    </w:rPr>
                  </w:pPr>
                  <w:r>
                    <w:rPr>
                      <w:rFonts w:hint="eastAsia"/>
                      <w:szCs w:val="21"/>
                      <w:highlight w:val="none"/>
                      <w:lang w:val="en-US" w:eastAsia="zh-CN"/>
                    </w:rPr>
                    <w:t>新建（联博管廊内）</w:t>
                  </w:r>
                </w:p>
              </w:tc>
            </w:tr>
            <w:tr w14:paraId="43EE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4C0A1845">
                  <w:pPr>
                    <w:rPr>
                      <w:szCs w:val="21"/>
                      <w:highlight w:val="none"/>
                    </w:rPr>
                  </w:pPr>
                </w:p>
              </w:tc>
              <w:tc>
                <w:tcPr>
                  <w:tcW w:w="1059" w:type="dxa"/>
                  <w:gridSpan w:val="2"/>
                  <w:noWrap w:val="0"/>
                  <w:vAlign w:val="center"/>
                </w:tcPr>
                <w:p w14:paraId="1D2E49D2">
                  <w:pPr>
                    <w:spacing w:line="240" w:lineRule="auto"/>
                    <w:jc w:val="center"/>
                    <w:rPr>
                      <w:rFonts w:hint="eastAsia"/>
                      <w:sz w:val="21"/>
                      <w:szCs w:val="21"/>
                      <w:highlight w:val="none"/>
                    </w:rPr>
                  </w:pPr>
                  <w:r>
                    <w:rPr>
                      <w:rFonts w:hint="eastAsia"/>
                      <w:sz w:val="21"/>
                      <w:szCs w:val="21"/>
                      <w:highlight w:val="none"/>
                      <w:lang w:val="en-US" w:eastAsia="zh-CN"/>
                    </w:rPr>
                    <w:t>氮气</w:t>
                  </w:r>
                  <w:r>
                    <w:rPr>
                      <w:rFonts w:hint="eastAsia"/>
                      <w:sz w:val="21"/>
                      <w:szCs w:val="21"/>
                      <w:highlight w:val="none"/>
                    </w:rPr>
                    <w:t>管道</w:t>
                  </w:r>
                </w:p>
              </w:tc>
              <w:tc>
                <w:tcPr>
                  <w:tcW w:w="5850" w:type="dxa"/>
                  <w:noWrap w:val="0"/>
                  <w:vAlign w:val="center"/>
                </w:tcPr>
                <w:p w14:paraId="62724A5C">
                  <w:pPr>
                    <w:spacing w:line="240" w:lineRule="auto"/>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422</w:t>
                  </w:r>
                  <w:r>
                    <w:rPr>
                      <w:rFonts w:hint="eastAsia"/>
                      <w:sz w:val="21"/>
                      <w:szCs w:val="21"/>
                      <w:highlight w:val="none"/>
                    </w:rPr>
                    <w:t>m的</w:t>
                  </w:r>
                  <w:r>
                    <w:rPr>
                      <w:rFonts w:hint="eastAsia"/>
                      <w:sz w:val="21"/>
                      <w:szCs w:val="21"/>
                      <w:highlight w:val="none"/>
                      <w:lang w:val="en-US" w:eastAsia="zh-CN"/>
                    </w:rPr>
                    <w:t>氮气</w:t>
                  </w:r>
                  <w:r>
                    <w:rPr>
                      <w:rFonts w:hint="eastAsia"/>
                      <w:sz w:val="21"/>
                      <w:szCs w:val="21"/>
                      <w:highlight w:val="none"/>
                    </w:rPr>
                    <w:t>管道</w:t>
                  </w:r>
                  <w:r>
                    <w:rPr>
                      <w:rFonts w:hint="eastAsia"/>
                      <w:sz w:val="21"/>
                      <w:szCs w:val="21"/>
                      <w:highlight w:val="none"/>
                      <w:lang w:eastAsia="zh-CN"/>
                    </w:rPr>
                    <w:t>，</w:t>
                  </w:r>
                  <w:r>
                    <w:rPr>
                      <w:rFonts w:hint="default" w:ascii="Times New Roman" w:hAnsi="Times New Roman" w:eastAsia="宋体" w:cs="Times New Roman"/>
                      <w:bCs/>
                      <w:sz w:val="21"/>
                      <w:szCs w:val="21"/>
                      <w:highlight w:val="none"/>
                      <w:lang w:val="en-US" w:eastAsia="zh-CN"/>
                    </w:rPr>
                    <w:t>已在现有伊泰化工管廊处抽头，需要在抽头处新增管道至鹏泰生物公司管廊。</w:t>
                  </w:r>
                  <w:r>
                    <w:rPr>
                      <w:rFonts w:hint="eastAsia"/>
                      <w:sz w:val="21"/>
                      <w:szCs w:val="21"/>
                      <w:highlight w:val="none"/>
                    </w:rPr>
                    <w:t>并配套流量计。输送的</w:t>
                  </w:r>
                  <w:r>
                    <w:rPr>
                      <w:rFonts w:hint="eastAsia"/>
                      <w:sz w:val="21"/>
                      <w:szCs w:val="21"/>
                      <w:highlight w:val="none"/>
                      <w:lang w:val="en-US" w:eastAsia="zh-CN"/>
                    </w:rPr>
                    <w:t>合成氮气</w:t>
                  </w:r>
                  <w:r>
                    <w:rPr>
                      <w:rFonts w:hint="eastAsia"/>
                      <w:sz w:val="21"/>
                      <w:szCs w:val="21"/>
                      <w:highlight w:val="none"/>
                    </w:rPr>
                    <w:t>流量</w:t>
                  </w:r>
                  <w:r>
                    <w:rPr>
                      <w:rFonts w:hint="eastAsia"/>
                      <w:sz w:val="21"/>
                      <w:szCs w:val="21"/>
                      <w:highlight w:val="none"/>
                      <w:lang w:val="en-US" w:eastAsia="zh-CN"/>
                    </w:rPr>
                    <w:t>为1000Nm</w:t>
                  </w:r>
                  <w:r>
                    <w:rPr>
                      <w:rFonts w:hint="eastAsia"/>
                      <w:sz w:val="21"/>
                      <w:szCs w:val="21"/>
                      <w:highlight w:val="none"/>
                      <w:vertAlign w:val="superscript"/>
                      <w:lang w:val="en-US" w:eastAsia="zh-CN"/>
                    </w:rPr>
                    <w:t>3</w:t>
                  </w:r>
                  <w:r>
                    <w:rPr>
                      <w:rFonts w:hint="eastAsia"/>
                      <w:sz w:val="21"/>
                      <w:szCs w:val="21"/>
                      <w:highlight w:val="none"/>
                      <w:lang w:val="en-US" w:eastAsia="zh-CN"/>
                    </w:rPr>
                    <w:t>/h</w:t>
                  </w:r>
                  <w:r>
                    <w:rPr>
                      <w:rFonts w:hint="eastAsia"/>
                      <w:sz w:val="21"/>
                      <w:szCs w:val="21"/>
                      <w:highlight w:val="none"/>
                    </w:rPr>
                    <w:t>、</w:t>
                  </w:r>
                  <w:r>
                    <w:rPr>
                      <w:rFonts w:hint="eastAsia"/>
                      <w:sz w:val="21"/>
                      <w:szCs w:val="21"/>
                      <w:highlight w:val="none"/>
                      <w:lang w:val="en-US" w:eastAsia="zh-CN"/>
                    </w:rPr>
                    <w:t>压力等级为CL150</w:t>
                  </w:r>
                  <w:r>
                    <w:rPr>
                      <w:rFonts w:hint="eastAsia"/>
                      <w:sz w:val="21"/>
                      <w:szCs w:val="21"/>
                      <w:highlight w:val="none"/>
                    </w:rPr>
                    <w:t>、</w:t>
                  </w:r>
                  <w:r>
                    <w:rPr>
                      <w:rFonts w:hint="eastAsia"/>
                      <w:sz w:val="21"/>
                      <w:szCs w:val="21"/>
                      <w:highlight w:val="none"/>
                      <w:lang w:val="en-US" w:eastAsia="zh-CN"/>
                    </w:rPr>
                    <w:t>内径100mm。</w:t>
                  </w:r>
                </w:p>
              </w:tc>
              <w:tc>
                <w:tcPr>
                  <w:tcW w:w="919" w:type="dxa"/>
                  <w:noWrap w:val="0"/>
                  <w:vAlign w:val="center"/>
                </w:tcPr>
                <w:p w14:paraId="4D7482C1">
                  <w:pPr>
                    <w:jc w:val="center"/>
                    <w:rPr>
                      <w:szCs w:val="21"/>
                      <w:highlight w:val="none"/>
                    </w:rPr>
                  </w:pPr>
                  <w:r>
                    <w:rPr>
                      <w:rFonts w:hint="eastAsia"/>
                      <w:szCs w:val="21"/>
                      <w:highlight w:val="none"/>
                      <w:lang w:val="en-US" w:eastAsia="zh-CN"/>
                    </w:rPr>
                    <w:t>新建（联博管廊内）</w:t>
                  </w:r>
                </w:p>
              </w:tc>
            </w:tr>
            <w:tr w14:paraId="5A8C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679FAE4A">
                  <w:pPr>
                    <w:rPr>
                      <w:szCs w:val="21"/>
                      <w:highlight w:val="none"/>
                    </w:rPr>
                  </w:pPr>
                </w:p>
              </w:tc>
              <w:tc>
                <w:tcPr>
                  <w:tcW w:w="1059" w:type="dxa"/>
                  <w:gridSpan w:val="2"/>
                  <w:noWrap w:val="0"/>
                  <w:vAlign w:val="center"/>
                </w:tcPr>
                <w:p w14:paraId="1B44C529">
                  <w:pPr>
                    <w:spacing w:line="240" w:lineRule="auto"/>
                    <w:jc w:val="center"/>
                    <w:rPr>
                      <w:rFonts w:hint="eastAsia"/>
                      <w:sz w:val="21"/>
                      <w:szCs w:val="21"/>
                      <w:highlight w:val="none"/>
                    </w:rPr>
                  </w:pPr>
                  <w:r>
                    <w:rPr>
                      <w:rFonts w:hint="eastAsia"/>
                      <w:sz w:val="21"/>
                      <w:szCs w:val="21"/>
                      <w:highlight w:val="none"/>
                      <w:lang w:val="en-US" w:eastAsia="zh-CN"/>
                    </w:rPr>
                    <w:t>黄河水</w:t>
                  </w:r>
                  <w:r>
                    <w:rPr>
                      <w:rFonts w:hint="eastAsia"/>
                      <w:sz w:val="21"/>
                      <w:szCs w:val="21"/>
                      <w:highlight w:val="none"/>
                    </w:rPr>
                    <w:t>管道</w:t>
                  </w:r>
                </w:p>
              </w:tc>
              <w:tc>
                <w:tcPr>
                  <w:tcW w:w="5850" w:type="dxa"/>
                  <w:noWrap w:val="0"/>
                  <w:vAlign w:val="center"/>
                </w:tcPr>
                <w:p w14:paraId="064E4ABA">
                  <w:pPr>
                    <w:spacing w:line="240" w:lineRule="auto"/>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1775</w:t>
                  </w:r>
                  <w:r>
                    <w:rPr>
                      <w:rFonts w:hint="eastAsia"/>
                      <w:sz w:val="21"/>
                      <w:szCs w:val="21"/>
                      <w:highlight w:val="none"/>
                    </w:rPr>
                    <w:t>m的</w:t>
                  </w:r>
                  <w:r>
                    <w:rPr>
                      <w:rFonts w:hint="eastAsia"/>
                      <w:sz w:val="21"/>
                      <w:szCs w:val="21"/>
                      <w:highlight w:val="none"/>
                      <w:lang w:val="en-US" w:eastAsia="zh-CN"/>
                    </w:rPr>
                    <w:t>黄河水</w:t>
                  </w:r>
                  <w:r>
                    <w:rPr>
                      <w:rFonts w:hint="eastAsia"/>
                      <w:sz w:val="21"/>
                      <w:szCs w:val="21"/>
                      <w:highlight w:val="none"/>
                    </w:rPr>
                    <w:t>管道</w:t>
                  </w:r>
                  <w:r>
                    <w:rPr>
                      <w:rFonts w:hint="default" w:ascii="Times New Roman" w:hAnsi="Times New Roman" w:eastAsia="宋体" w:cs="Times New Roman"/>
                      <w:bCs/>
                      <w:sz w:val="21"/>
                      <w:szCs w:val="21"/>
                      <w:highlight w:val="none"/>
                      <w:lang w:val="en-US" w:eastAsia="zh-CN"/>
                    </w:rPr>
                    <w:t>需要从场外埋地管线处，引入伊泰化工管廊，输送至鹏泰化工管廊处</w:t>
                  </w:r>
                  <w:r>
                    <w:rPr>
                      <w:rFonts w:hint="eastAsia"/>
                      <w:sz w:val="21"/>
                      <w:szCs w:val="21"/>
                      <w:highlight w:val="none"/>
                    </w:rPr>
                    <w:t>并配套流量计。输送的</w:t>
                  </w:r>
                  <w:r>
                    <w:rPr>
                      <w:rFonts w:hint="eastAsia"/>
                      <w:sz w:val="21"/>
                      <w:szCs w:val="21"/>
                      <w:highlight w:val="none"/>
                      <w:lang w:val="en-US" w:eastAsia="zh-CN"/>
                    </w:rPr>
                    <w:t>黄河水</w:t>
                  </w:r>
                  <w:r>
                    <w:rPr>
                      <w:rFonts w:hint="eastAsia"/>
                      <w:sz w:val="21"/>
                      <w:szCs w:val="21"/>
                      <w:highlight w:val="none"/>
                    </w:rPr>
                    <w:t>流量</w:t>
                  </w:r>
                  <w:r>
                    <w:rPr>
                      <w:rFonts w:hint="eastAsia"/>
                      <w:sz w:val="21"/>
                      <w:szCs w:val="21"/>
                      <w:highlight w:val="none"/>
                      <w:lang w:val="en-US" w:eastAsia="zh-CN"/>
                    </w:rPr>
                    <w:t>为165t/h</w:t>
                  </w:r>
                  <w:r>
                    <w:rPr>
                      <w:rFonts w:hint="eastAsia"/>
                      <w:sz w:val="21"/>
                      <w:szCs w:val="21"/>
                      <w:highlight w:val="none"/>
                    </w:rPr>
                    <w:t>、</w:t>
                  </w:r>
                  <w:r>
                    <w:rPr>
                      <w:rFonts w:hint="eastAsia"/>
                      <w:sz w:val="21"/>
                      <w:szCs w:val="21"/>
                      <w:highlight w:val="none"/>
                      <w:lang w:val="en-US" w:eastAsia="zh-CN"/>
                    </w:rPr>
                    <w:t>压力等级为CL150</w:t>
                  </w:r>
                  <w:r>
                    <w:rPr>
                      <w:rFonts w:hint="eastAsia"/>
                      <w:sz w:val="21"/>
                      <w:szCs w:val="21"/>
                      <w:highlight w:val="none"/>
                    </w:rPr>
                    <w:t>、</w:t>
                  </w:r>
                  <w:r>
                    <w:rPr>
                      <w:rFonts w:hint="eastAsia"/>
                      <w:sz w:val="21"/>
                      <w:szCs w:val="21"/>
                      <w:highlight w:val="none"/>
                      <w:lang w:val="en-US" w:eastAsia="zh-CN"/>
                    </w:rPr>
                    <w:t>内径200mm。</w:t>
                  </w:r>
                </w:p>
              </w:tc>
              <w:tc>
                <w:tcPr>
                  <w:tcW w:w="919" w:type="dxa"/>
                  <w:noWrap w:val="0"/>
                  <w:vAlign w:val="center"/>
                </w:tcPr>
                <w:p w14:paraId="4495193E">
                  <w:pPr>
                    <w:jc w:val="center"/>
                    <w:rPr>
                      <w:szCs w:val="21"/>
                      <w:highlight w:val="none"/>
                    </w:rPr>
                  </w:pPr>
                  <w:r>
                    <w:rPr>
                      <w:rFonts w:hint="eastAsia"/>
                      <w:szCs w:val="21"/>
                      <w:highlight w:val="none"/>
                      <w:lang w:val="en-US" w:eastAsia="zh-CN"/>
                    </w:rPr>
                    <w:t>新建（联博管廊内）</w:t>
                  </w:r>
                </w:p>
              </w:tc>
            </w:tr>
            <w:tr w14:paraId="00AA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4DE9E72E">
                  <w:pPr>
                    <w:rPr>
                      <w:szCs w:val="21"/>
                      <w:highlight w:val="none"/>
                    </w:rPr>
                  </w:pPr>
                </w:p>
              </w:tc>
              <w:tc>
                <w:tcPr>
                  <w:tcW w:w="1059" w:type="dxa"/>
                  <w:gridSpan w:val="2"/>
                  <w:noWrap w:val="0"/>
                  <w:vAlign w:val="center"/>
                </w:tcPr>
                <w:p w14:paraId="1662303C">
                  <w:pPr>
                    <w:spacing w:line="240" w:lineRule="auto"/>
                    <w:jc w:val="center"/>
                    <w:rPr>
                      <w:rFonts w:hint="eastAsia"/>
                      <w:sz w:val="21"/>
                      <w:szCs w:val="21"/>
                      <w:highlight w:val="none"/>
                    </w:rPr>
                  </w:pPr>
                  <w:r>
                    <w:rPr>
                      <w:rFonts w:hint="eastAsia"/>
                      <w:sz w:val="21"/>
                      <w:szCs w:val="21"/>
                      <w:highlight w:val="none"/>
                      <w:lang w:val="en-US" w:eastAsia="zh-CN"/>
                    </w:rPr>
                    <w:t>回用水</w:t>
                  </w:r>
                  <w:r>
                    <w:rPr>
                      <w:rFonts w:hint="eastAsia"/>
                      <w:sz w:val="21"/>
                      <w:szCs w:val="21"/>
                      <w:highlight w:val="none"/>
                    </w:rPr>
                    <w:t>管道</w:t>
                  </w:r>
                </w:p>
              </w:tc>
              <w:tc>
                <w:tcPr>
                  <w:tcW w:w="5850" w:type="dxa"/>
                  <w:noWrap w:val="0"/>
                  <w:vAlign w:val="center"/>
                </w:tcPr>
                <w:p w14:paraId="514B9E2F">
                  <w:pPr>
                    <w:spacing w:line="240" w:lineRule="auto"/>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479</w:t>
                  </w:r>
                  <w:r>
                    <w:rPr>
                      <w:rFonts w:hint="eastAsia"/>
                      <w:sz w:val="21"/>
                      <w:szCs w:val="21"/>
                      <w:highlight w:val="none"/>
                    </w:rPr>
                    <w:t>m的</w:t>
                  </w:r>
                  <w:r>
                    <w:rPr>
                      <w:rFonts w:hint="eastAsia"/>
                      <w:sz w:val="21"/>
                      <w:szCs w:val="21"/>
                      <w:highlight w:val="none"/>
                      <w:lang w:val="en-US" w:eastAsia="zh-CN"/>
                    </w:rPr>
                    <w:t>回用水</w:t>
                  </w:r>
                  <w:r>
                    <w:rPr>
                      <w:rFonts w:hint="eastAsia"/>
                      <w:sz w:val="21"/>
                      <w:szCs w:val="21"/>
                      <w:highlight w:val="none"/>
                    </w:rPr>
                    <w:t>管道，</w:t>
                  </w:r>
                  <w:r>
                    <w:rPr>
                      <w:rFonts w:hint="default" w:ascii="Times New Roman" w:hAnsi="Times New Roman" w:eastAsia="宋体" w:cs="Times New Roman"/>
                      <w:bCs/>
                      <w:sz w:val="21"/>
                      <w:szCs w:val="21"/>
                      <w:highlight w:val="none"/>
                      <w:lang w:val="en-US" w:eastAsia="zh-CN"/>
                    </w:rPr>
                    <w:t>已在现有伊泰化工管廊处抽头，需要在抽头处新增管道至鹏泰生物公司管廊</w:t>
                  </w:r>
                  <w:r>
                    <w:rPr>
                      <w:rFonts w:hint="eastAsia" w:cs="Times New Roman"/>
                      <w:bCs/>
                      <w:sz w:val="21"/>
                      <w:szCs w:val="21"/>
                      <w:highlight w:val="none"/>
                      <w:lang w:val="en-US" w:eastAsia="zh-CN"/>
                    </w:rPr>
                    <w:t>，</w:t>
                  </w:r>
                  <w:r>
                    <w:rPr>
                      <w:rFonts w:hint="eastAsia"/>
                      <w:sz w:val="21"/>
                      <w:szCs w:val="21"/>
                      <w:highlight w:val="none"/>
                    </w:rPr>
                    <w:t>并配套流量计。输送的</w:t>
                  </w:r>
                  <w:r>
                    <w:rPr>
                      <w:rFonts w:hint="eastAsia"/>
                      <w:sz w:val="21"/>
                      <w:szCs w:val="21"/>
                      <w:highlight w:val="none"/>
                      <w:lang w:val="en-US" w:eastAsia="zh-CN"/>
                    </w:rPr>
                    <w:t>回用水</w:t>
                  </w:r>
                  <w:r>
                    <w:rPr>
                      <w:rFonts w:hint="eastAsia"/>
                      <w:sz w:val="21"/>
                      <w:szCs w:val="21"/>
                      <w:highlight w:val="none"/>
                    </w:rPr>
                    <w:t>流量</w:t>
                  </w:r>
                  <w:r>
                    <w:rPr>
                      <w:rFonts w:hint="eastAsia"/>
                      <w:sz w:val="21"/>
                      <w:szCs w:val="21"/>
                      <w:highlight w:val="none"/>
                      <w:lang w:val="en-US" w:eastAsia="zh-CN"/>
                    </w:rPr>
                    <w:t>为270t/h</w:t>
                  </w:r>
                  <w:r>
                    <w:rPr>
                      <w:rFonts w:hint="eastAsia"/>
                      <w:sz w:val="21"/>
                      <w:szCs w:val="21"/>
                      <w:highlight w:val="none"/>
                    </w:rPr>
                    <w:t>、</w:t>
                  </w:r>
                  <w:r>
                    <w:rPr>
                      <w:rFonts w:hint="eastAsia"/>
                      <w:sz w:val="21"/>
                      <w:szCs w:val="21"/>
                      <w:highlight w:val="none"/>
                      <w:lang w:val="en-US" w:eastAsia="zh-CN"/>
                    </w:rPr>
                    <w:t>压力等级为CL150</w:t>
                  </w:r>
                  <w:r>
                    <w:rPr>
                      <w:rFonts w:hint="eastAsia"/>
                      <w:sz w:val="21"/>
                      <w:szCs w:val="21"/>
                      <w:highlight w:val="none"/>
                    </w:rPr>
                    <w:t>、</w:t>
                  </w:r>
                  <w:r>
                    <w:rPr>
                      <w:rFonts w:hint="eastAsia"/>
                      <w:sz w:val="21"/>
                      <w:szCs w:val="21"/>
                      <w:highlight w:val="none"/>
                      <w:lang w:val="en-US" w:eastAsia="zh-CN"/>
                    </w:rPr>
                    <w:t>内径250mm。</w:t>
                  </w:r>
                </w:p>
              </w:tc>
              <w:tc>
                <w:tcPr>
                  <w:tcW w:w="919" w:type="dxa"/>
                  <w:noWrap w:val="0"/>
                  <w:vAlign w:val="center"/>
                </w:tcPr>
                <w:p w14:paraId="51A12DFD">
                  <w:pPr>
                    <w:jc w:val="center"/>
                    <w:rPr>
                      <w:szCs w:val="21"/>
                      <w:highlight w:val="none"/>
                    </w:rPr>
                  </w:pPr>
                  <w:r>
                    <w:rPr>
                      <w:rFonts w:hint="eastAsia"/>
                      <w:szCs w:val="21"/>
                      <w:highlight w:val="none"/>
                      <w:lang w:val="en-US" w:eastAsia="zh-CN"/>
                    </w:rPr>
                    <w:t>新建（联博管廊内）</w:t>
                  </w:r>
                </w:p>
              </w:tc>
            </w:tr>
            <w:tr w14:paraId="2841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7C119956">
                  <w:pPr>
                    <w:rPr>
                      <w:szCs w:val="21"/>
                      <w:highlight w:val="none"/>
                    </w:rPr>
                  </w:pPr>
                </w:p>
              </w:tc>
              <w:tc>
                <w:tcPr>
                  <w:tcW w:w="1059" w:type="dxa"/>
                  <w:gridSpan w:val="2"/>
                  <w:noWrap w:val="0"/>
                  <w:vAlign w:val="center"/>
                </w:tcPr>
                <w:p w14:paraId="2E69B7E6">
                  <w:pPr>
                    <w:spacing w:line="240" w:lineRule="auto"/>
                    <w:jc w:val="center"/>
                    <w:rPr>
                      <w:rFonts w:hint="eastAsia"/>
                      <w:sz w:val="21"/>
                      <w:szCs w:val="21"/>
                      <w:highlight w:val="none"/>
                    </w:rPr>
                  </w:pPr>
                  <w:r>
                    <w:rPr>
                      <w:rFonts w:hint="eastAsia"/>
                      <w:sz w:val="21"/>
                      <w:szCs w:val="21"/>
                      <w:highlight w:val="none"/>
                      <w:lang w:val="en-US" w:eastAsia="zh-CN"/>
                    </w:rPr>
                    <w:t>污水1</w:t>
                  </w:r>
                  <w:r>
                    <w:rPr>
                      <w:rFonts w:hint="eastAsia"/>
                      <w:sz w:val="21"/>
                      <w:szCs w:val="21"/>
                      <w:highlight w:val="none"/>
                    </w:rPr>
                    <w:t>管道</w:t>
                  </w:r>
                </w:p>
              </w:tc>
              <w:tc>
                <w:tcPr>
                  <w:tcW w:w="5850" w:type="dxa"/>
                  <w:noWrap w:val="0"/>
                  <w:vAlign w:val="center"/>
                </w:tcPr>
                <w:p w14:paraId="25B06199">
                  <w:pPr>
                    <w:spacing w:line="240" w:lineRule="auto"/>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1051</w:t>
                  </w:r>
                  <w:r>
                    <w:rPr>
                      <w:rFonts w:hint="eastAsia"/>
                      <w:sz w:val="21"/>
                      <w:szCs w:val="21"/>
                      <w:highlight w:val="none"/>
                    </w:rPr>
                    <w:t>m的</w:t>
                  </w:r>
                  <w:r>
                    <w:rPr>
                      <w:rFonts w:hint="eastAsia"/>
                      <w:sz w:val="21"/>
                      <w:szCs w:val="21"/>
                      <w:highlight w:val="none"/>
                      <w:lang w:val="en-US" w:eastAsia="zh-CN"/>
                    </w:rPr>
                    <w:t>污水</w:t>
                  </w:r>
                  <w:r>
                    <w:rPr>
                      <w:rFonts w:hint="eastAsia"/>
                      <w:sz w:val="21"/>
                      <w:szCs w:val="21"/>
                      <w:highlight w:val="none"/>
                    </w:rPr>
                    <w:t>管道，</w:t>
                  </w:r>
                  <w:r>
                    <w:rPr>
                      <w:rFonts w:hint="default" w:ascii="Times New Roman" w:hAnsi="Times New Roman" w:eastAsia="宋体" w:cs="Times New Roman"/>
                      <w:bCs/>
                      <w:sz w:val="21"/>
                      <w:szCs w:val="21"/>
                      <w:highlight w:val="none"/>
                      <w:lang w:val="en-US" w:eastAsia="zh-CN"/>
                    </w:rPr>
                    <w:t>污水处理池附近做好抽头，需要在抽头处新增管道至鹏泰生物公司管廊</w:t>
                  </w:r>
                  <w:r>
                    <w:rPr>
                      <w:rFonts w:hint="eastAsia"/>
                      <w:sz w:val="21"/>
                      <w:szCs w:val="21"/>
                      <w:highlight w:val="none"/>
                    </w:rPr>
                    <w:t>并配套流量计。输送的</w:t>
                  </w:r>
                  <w:r>
                    <w:rPr>
                      <w:rFonts w:hint="eastAsia"/>
                      <w:sz w:val="21"/>
                      <w:szCs w:val="21"/>
                      <w:highlight w:val="none"/>
                      <w:lang w:val="en-US" w:eastAsia="zh-CN"/>
                    </w:rPr>
                    <w:t>污水</w:t>
                  </w:r>
                  <w:r>
                    <w:rPr>
                      <w:rFonts w:hint="eastAsia"/>
                      <w:sz w:val="21"/>
                      <w:szCs w:val="21"/>
                      <w:highlight w:val="none"/>
                    </w:rPr>
                    <w:t>流量</w:t>
                  </w:r>
                  <w:r>
                    <w:rPr>
                      <w:rFonts w:hint="eastAsia"/>
                      <w:sz w:val="21"/>
                      <w:szCs w:val="21"/>
                      <w:highlight w:val="none"/>
                      <w:lang w:val="en-US" w:eastAsia="zh-CN"/>
                    </w:rPr>
                    <w:t>为150t/h</w:t>
                  </w:r>
                  <w:r>
                    <w:rPr>
                      <w:rFonts w:hint="eastAsia"/>
                      <w:sz w:val="21"/>
                      <w:szCs w:val="21"/>
                      <w:highlight w:val="none"/>
                    </w:rPr>
                    <w:t>、</w:t>
                  </w:r>
                  <w:r>
                    <w:rPr>
                      <w:rFonts w:hint="eastAsia"/>
                      <w:sz w:val="21"/>
                      <w:szCs w:val="21"/>
                      <w:highlight w:val="none"/>
                      <w:lang w:val="en-US" w:eastAsia="zh-CN"/>
                    </w:rPr>
                    <w:t>压力等级为CL150</w:t>
                  </w:r>
                  <w:r>
                    <w:rPr>
                      <w:rFonts w:hint="eastAsia"/>
                      <w:sz w:val="21"/>
                      <w:szCs w:val="21"/>
                      <w:highlight w:val="none"/>
                    </w:rPr>
                    <w:t>、</w:t>
                  </w:r>
                  <w:r>
                    <w:rPr>
                      <w:rFonts w:hint="eastAsia"/>
                      <w:sz w:val="21"/>
                      <w:szCs w:val="21"/>
                      <w:highlight w:val="none"/>
                      <w:lang w:val="en-US" w:eastAsia="zh-CN"/>
                    </w:rPr>
                    <w:t>内径200mm。</w:t>
                  </w:r>
                </w:p>
              </w:tc>
              <w:tc>
                <w:tcPr>
                  <w:tcW w:w="919" w:type="dxa"/>
                  <w:noWrap w:val="0"/>
                  <w:vAlign w:val="center"/>
                </w:tcPr>
                <w:p w14:paraId="5146E3ED">
                  <w:pPr>
                    <w:jc w:val="center"/>
                    <w:rPr>
                      <w:szCs w:val="21"/>
                      <w:highlight w:val="none"/>
                    </w:rPr>
                  </w:pPr>
                  <w:r>
                    <w:rPr>
                      <w:rFonts w:hint="eastAsia"/>
                      <w:szCs w:val="21"/>
                      <w:highlight w:val="none"/>
                      <w:lang w:val="en-US" w:eastAsia="zh-CN"/>
                    </w:rPr>
                    <w:t>新建（联博管廊内）</w:t>
                  </w:r>
                </w:p>
              </w:tc>
            </w:tr>
            <w:tr w14:paraId="34E7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4BE761FD">
                  <w:pPr>
                    <w:rPr>
                      <w:szCs w:val="21"/>
                      <w:highlight w:val="none"/>
                    </w:rPr>
                  </w:pPr>
                </w:p>
              </w:tc>
              <w:tc>
                <w:tcPr>
                  <w:tcW w:w="1059" w:type="dxa"/>
                  <w:gridSpan w:val="2"/>
                  <w:noWrap w:val="0"/>
                  <w:vAlign w:val="center"/>
                </w:tcPr>
                <w:p w14:paraId="1D971272">
                  <w:pPr>
                    <w:spacing w:line="240" w:lineRule="auto"/>
                    <w:jc w:val="center"/>
                    <w:rPr>
                      <w:rFonts w:hint="eastAsia"/>
                      <w:sz w:val="21"/>
                      <w:szCs w:val="21"/>
                      <w:highlight w:val="none"/>
                    </w:rPr>
                  </w:pPr>
                  <w:r>
                    <w:rPr>
                      <w:rFonts w:hint="eastAsia"/>
                      <w:sz w:val="21"/>
                      <w:szCs w:val="21"/>
                      <w:highlight w:val="none"/>
                      <w:lang w:val="en-US" w:eastAsia="zh-CN"/>
                    </w:rPr>
                    <w:t>污水2</w:t>
                  </w:r>
                  <w:r>
                    <w:rPr>
                      <w:rFonts w:hint="eastAsia"/>
                      <w:sz w:val="21"/>
                      <w:szCs w:val="21"/>
                      <w:highlight w:val="none"/>
                    </w:rPr>
                    <w:t>管道</w:t>
                  </w:r>
                </w:p>
              </w:tc>
              <w:tc>
                <w:tcPr>
                  <w:tcW w:w="5850" w:type="dxa"/>
                  <w:noWrap w:val="0"/>
                  <w:vAlign w:val="center"/>
                </w:tcPr>
                <w:p w14:paraId="17E93AD8">
                  <w:pPr>
                    <w:spacing w:line="240" w:lineRule="auto"/>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1082</w:t>
                  </w:r>
                  <w:r>
                    <w:rPr>
                      <w:rFonts w:hint="eastAsia"/>
                      <w:sz w:val="21"/>
                      <w:szCs w:val="21"/>
                      <w:highlight w:val="none"/>
                    </w:rPr>
                    <w:t>m的</w:t>
                  </w:r>
                  <w:r>
                    <w:rPr>
                      <w:rFonts w:hint="eastAsia"/>
                      <w:sz w:val="21"/>
                      <w:szCs w:val="21"/>
                      <w:highlight w:val="none"/>
                      <w:lang w:val="en-US" w:eastAsia="zh-CN"/>
                    </w:rPr>
                    <w:t>污水</w:t>
                  </w:r>
                  <w:r>
                    <w:rPr>
                      <w:rFonts w:hint="eastAsia"/>
                      <w:sz w:val="21"/>
                      <w:szCs w:val="21"/>
                      <w:highlight w:val="none"/>
                    </w:rPr>
                    <w:t>管道，</w:t>
                  </w:r>
                  <w:r>
                    <w:rPr>
                      <w:rFonts w:hint="eastAsia"/>
                      <w:sz w:val="21"/>
                      <w:szCs w:val="21"/>
                      <w:highlight w:val="none"/>
                      <w:lang w:val="en-US" w:eastAsia="zh-CN"/>
                    </w:rPr>
                    <w:t>在</w:t>
                  </w:r>
                  <w:r>
                    <w:rPr>
                      <w:rFonts w:hint="default" w:ascii="Times New Roman" w:hAnsi="Times New Roman" w:eastAsia="宋体" w:cs="Times New Roman"/>
                      <w:bCs/>
                      <w:sz w:val="21"/>
                      <w:szCs w:val="21"/>
                      <w:highlight w:val="none"/>
                      <w:lang w:val="en-US" w:eastAsia="zh-CN"/>
                    </w:rPr>
                    <w:t>调浆装置附近做好抽头，需要在抽头处新增管道至鹏泰生物公司管廊</w:t>
                  </w:r>
                  <w:r>
                    <w:rPr>
                      <w:rFonts w:hint="default"/>
                      <w:sz w:val="21"/>
                      <w:szCs w:val="21"/>
                      <w:highlight w:val="none"/>
                      <w:lang w:val="en-US" w:eastAsia="zh-CN"/>
                    </w:rPr>
                    <w:t>管道上设置压力调节阀组和流量计</w:t>
                  </w:r>
                  <w:r>
                    <w:rPr>
                      <w:rFonts w:hint="eastAsia"/>
                      <w:sz w:val="21"/>
                      <w:szCs w:val="21"/>
                      <w:highlight w:val="none"/>
                    </w:rPr>
                    <w:t>。输送的</w:t>
                  </w:r>
                  <w:r>
                    <w:rPr>
                      <w:rFonts w:hint="eastAsia"/>
                      <w:sz w:val="21"/>
                      <w:szCs w:val="21"/>
                      <w:highlight w:val="none"/>
                      <w:lang w:val="en-US" w:eastAsia="zh-CN"/>
                    </w:rPr>
                    <w:t>污水</w:t>
                  </w:r>
                  <w:r>
                    <w:rPr>
                      <w:rFonts w:hint="eastAsia"/>
                      <w:sz w:val="21"/>
                      <w:szCs w:val="21"/>
                      <w:highlight w:val="none"/>
                    </w:rPr>
                    <w:t>流量</w:t>
                  </w:r>
                  <w:r>
                    <w:rPr>
                      <w:rFonts w:hint="eastAsia"/>
                      <w:sz w:val="21"/>
                      <w:szCs w:val="21"/>
                      <w:highlight w:val="none"/>
                      <w:lang w:val="en-US" w:eastAsia="zh-CN"/>
                    </w:rPr>
                    <w:t>为40t/h</w:t>
                  </w:r>
                  <w:r>
                    <w:rPr>
                      <w:rFonts w:hint="eastAsia"/>
                      <w:sz w:val="21"/>
                      <w:szCs w:val="21"/>
                      <w:highlight w:val="none"/>
                    </w:rPr>
                    <w:t>、</w:t>
                  </w:r>
                  <w:r>
                    <w:rPr>
                      <w:rFonts w:hint="eastAsia"/>
                      <w:sz w:val="21"/>
                      <w:szCs w:val="21"/>
                      <w:highlight w:val="none"/>
                      <w:lang w:val="en-US" w:eastAsia="zh-CN"/>
                    </w:rPr>
                    <w:t>压力等级为CL150</w:t>
                  </w:r>
                  <w:r>
                    <w:rPr>
                      <w:rFonts w:hint="eastAsia"/>
                      <w:sz w:val="21"/>
                      <w:szCs w:val="21"/>
                      <w:highlight w:val="none"/>
                    </w:rPr>
                    <w:t>、</w:t>
                  </w:r>
                  <w:r>
                    <w:rPr>
                      <w:rFonts w:hint="eastAsia"/>
                      <w:sz w:val="21"/>
                      <w:szCs w:val="21"/>
                      <w:highlight w:val="none"/>
                      <w:lang w:val="en-US" w:eastAsia="zh-CN"/>
                    </w:rPr>
                    <w:t>内径125mm。</w:t>
                  </w:r>
                </w:p>
              </w:tc>
              <w:tc>
                <w:tcPr>
                  <w:tcW w:w="919" w:type="dxa"/>
                  <w:noWrap w:val="0"/>
                  <w:vAlign w:val="center"/>
                </w:tcPr>
                <w:p w14:paraId="586944E0">
                  <w:pPr>
                    <w:jc w:val="center"/>
                    <w:rPr>
                      <w:szCs w:val="21"/>
                      <w:highlight w:val="none"/>
                    </w:rPr>
                  </w:pPr>
                  <w:r>
                    <w:rPr>
                      <w:rFonts w:hint="eastAsia"/>
                      <w:szCs w:val="21"/>
                      <w:highlight w:val="none"/>
                      <w:lang w:val="en-US" w:eastAsia="zh-CN"/>
                    </w:rPr>
                    <w:t>新建（联博管廊内）</w:t>
                  </w:r>
                </w:p>
              </w:tc>
            </w:tr>
            <w:tr w14:paraId="6E7F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57D66BE6">
                  <w:pPr>
                    <w:rPr>
                      <w:szCs w:val="21"/>
                      <w:highlight w:val="none"/>
                    </w:rPr>
                  </w:pPr>
                </w:p>
              </w:tc>
              <w:tc>
                <w:tcPr>
                  <w:tcW w:w="1059" w:type="dxa"/>
                  <w:gridSpan w:val="2"/>
                  <w:noWrap w:val="0"/>
                  <w:vAlign w:val="center"/>
                </w:tcPr>
                <w:p w14:paraId="24C4033D">
                  <w:pPr>
                    <w:spacing w:line="240" w:lineRule="auto"/>
                    <w:jc w:val="center"/>
                    <w:rPr>
                      <w:rFonts w:hint="eastAsia"/>
                      <w:sz w:val="21"/>
                      <w:szCs w:val="21"/>
                      <w:highlight w:val="none"/>
                    </w:rPr>
                  </w:pPr>
                  <w:r>
                    <w:rPr>
                      <w:rFonts w:hint="eastAsia"/>
                      <w:sz w:val="21"/>
                      <w:szCs w:val="21"/>
                      <w:highlight w:val="none"/>
                      <w:lang w:val="en-US" w:eastAsia="zh-CN"/>
                    </w:rPr>
                    <w:t>清净废水</w:t>
                  </w:r>
                  <w:r>
                    <w:rPr>
                      <w:rFonts w:hint="eastAsia"/>
                      <w:sz w:val="21"/>
                      <w:szCs w:val="21"/>
                      <w:highlight w:val="none"/>
                    </w:rPr>
                    <w:t>管道</w:t>
                  </w:r>
                </w:p>
              </w:tc>
              <w:tc>
                <w:tcPr>
                  <w:tcW w:w="5850" w:type="dxa"/>
                  <w:noWrap w:val="0"/>
                  <w:vAlign w:val="center"/>
                </w:tcPr>
                <w:p w14:paraId="71F420AB">
                  <w:pPr>
                    <w:spacing w:line="240" w:lineRule="auto"/>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907</w:t>
                  </w:r>
                  <w:r>
                    <w:rPr>
                      <w:rFonts w:hint="eastAsia"/>
                      <w:sz w:val="21"/>
                      <w:szCs w:val="21"/>
                      <w:highlight w:val="none"/>
                    </w:rPr>
                    <w:t>m的</w:t>
                  </w:r>
                  <w:r>
                    <w:rPr>
                      <w:rFonts w:hint="eastAsia"/>
                      <w:sz w:val="21"/>
                      <w:szCs w:val="21"/>
                      <w:highlight w:val="none"/>
                      <w:lang w:val="en-US" w:eastAsia="zh-CN"/>
                    </w:rPr>
                    <w:t>清净废水</w:t>
                  </w:r>
                  <w:r>
                    <w:rPr>
                      <w:rFonts w:hint="eastAsia"/>
                      <w:sz w:val="21"/>
                      <w:szCs w:val="21"/>
                      <w:highlight w:val="none"/>
                    </w:rPr>
                    <w:t>管道，</w:t>
                  </w:r>
                  <w:r>
                    <w:rPr>
                      <w:rFonts w:hint="default" w:ascii="Times New Roman" w:hAnsi="Times New Roman" w:eastAsia="宋体" w:cs="Times New Roman"/>
                      <w:bCs/>
                      <w:sz w:val="21"/>
                      <w:szCs w:val="21"/>
                      <w:highlight w:val="none"/>
                      <w:lang w:val="en-US" w:eastAsia="zh-CN"/>
                    </w:rPr>
                    <w:t>暂未抽头，需要在就近清净废水管道处抽头，新增管道至鹏泰生物公司管廊</w:t>
                  </w:r>
                  <w:r>
                    <w:rPr>
                      <w:rFonts w:hint="eastAsia"/>
                      <w:sz w:val="21"/>
                      <w:szCs w:val="21"/>
                      <w:highlight w:val="none"/>
                    </w:rPr>
                    <w:t>并配套流量计。输送的</w:t>
                  </w:r>
                  <w:r>
                    <w:rPr>
                      <w:rFonts w:hint="eastAsia"/>
                      <w:sz w:val="21"/>
                      <w:szCs w:val="21"/>
                      <w:highlight w:val="none"/>
                      <w:lang w:val="en-US" w:eastAsia="zh-CN"/>
                    </w:rPr>
                    <w:t>清净废水</w:t>
                  </w:r>
                  <w:r>
                    <w:rPr>
                      <w:rFonts w:hint="eastAsia"/>
                      <w:sz w:val="21"/>
                      <w:szCs w:val="21"/>
                      <w:highlight w:val="none"/>
                    </w:rPr>
                    <w:t>流量</w:t>
                  </w:r>
                  <w:r>
                    <w:rPr>
                      <w:rFonts w:hint="eastAsia"/>
                      <w:sz w:val="21"/>
                      <w:szCs w:val="21"/>
                      <w:highlight w:val="none"/>
                      <w:lang w:val="en-US" w:eastAsia="zh-CN"/>
                    </w:rPr>
                    <w:t>为120t/h</w:t>
                  </w:r>
                  <w:r>
                    <w:rPr>
                      <w:rFonts w:hint="eastAsia"/>
                      <w:sz w:val="21"/>
                      <w:szCs w:val="21"/>
                      <w:highlight w:val="none"/>
                    </w:rPr>
                    <w:t>、</w:t>
                  </w:r>
                  <w:r>
                    <w:rPr>
                      <w:rFonts w:hint="eastAsia"/>
                      <w:sz w:val="21"/>
                      <w:szCs w:val="21"/>
                      <w:highlight w:val="none"/>
                      <w:lang w:val="en-US" w:eastAsia="zh-CN"/>
                    </w:rPr>
                    <w:t>压力等级为CL150</w:t>
                  </w:r>
                  <w:r>
                    <w:rPr>
                      <w:rFonts w:hint="eastAsia"/>
                      <w:sz w:val="21"/>
                      <w:szCs w:val="21"/>
                      <w:highlight w:val="none"/>
                    </w:rPr>
                    <w:t>、</w:t>
                  </w:r>
                  <w:r>
                    <w:rPr>
                      <w:rFonts w:hint="eastAsia"/>
                      <w:sz w:val="21"/>
                      <w:szCs w:val="21"/>
                      <w:highlight w:val="none"/>
                      <w:lang w:val="en-US" w:eastAsia="zh-CN"/>
                    </w:rPr>
                    <w:t>内径200mm。</w:t>
                  </w:r>
                </w:p>
              </w:tc>
              <w:tc>
                <w:tcPr>
                  <w:tcW w:w="919" w:type="dxa"/>
                  <w:noWrap w:val="0"/>
                  <w:vAlign w:val="center"/>
                </w:tcPr>
                <w:p w14:paraId="18C9C049">
                  <w:pPr>
                    <w:jc w:val="center"/>
                    <w:rPr>
                      <w:szCs w:val="21"/>
                      <w:highlight w:val="none"/>
                    </w:rPr>
                  </w:pPr>
                  <w:r>
                    <w:rPr>
                      <w:rFonts w:hint="eastAsia"/>
                      <w:szCs w:val="21"/>
                      <w:highlight w:val="none"/>
                      <w:lang w:val="en-US" w:eastAsia="zh-CN"/>
                    </w:rPr>
                    <w:t>新建（厂界外管廊）</w:t>
                  </w:r>
                </w:p>
              </w:tc>
            </w:tr>
            <w:tr w14:paraId="6014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497DA02F">
                  <w:pPr>
                    <w:rPr>
                      <w:szCs w:val="21"/>
                      <w:highlight w:val="none"/>
                    </w:rPr>
                  </w:pPr>
                </w:p>
              </w:tc>
              <w:tc>
                <w:tcPr>
                  <w:tcW w:w="1059" w:type="dxa"/>
                  <w:gridSpan w:val="2"/>
                  <w:noWrap w:val="0"/>
                  <w:vAlign w:val="center"/>
                </w:tcPr>
                <w:p w14:paraId="65FB07B0">
                  <w:pPr>
                    <w:spacing w:line="240" w:lineRule="auto"/>
                    <w:jc w:val="center"/>
                    <w:rPr>
                      <w:rFonts w:hint="default"/>
                      <w:sz w:val="21"/>
                      <w:szCs w:val="21"/>
                      <w:highlight w:val="none"/>
                      <w:lang w:val="en-US"/>
                    </w:rPr>
                  </w:pPr>
                  <w:r>
                    <w:rPr>
                      <w:rFonts w:hint="eastAsia"/>
                      <w:sz w:val="21"/>
                      <w:szCs w:val="21"/>
                      <w:highlight w:val="none"/>
                      <w:lang w:val="en-US" w:eastAsia="zh-CN"/>
                    </w:rPr>
                    <w:t>酸性气</w:t>
                  </w:r>
                  <w:r>
                    <w:rPr>
                      <w:rFonts w:hint="eastAsia"/>
                      <w:sz w:val="21"/>
                      <w:szCs w:val="21"/>
                      <w:highlight w:val="none"/>
                    </w:rPr>
                    <w:t>管道</w:t>
                  </w:r>
                </w:p>
              </w:tc>
              <w:tc>
                <w:tcPr>
                  <w:tcW w:w="5850" w:type="dxa"/>
                  <w:noWrap w:val="0"/>
                  <w:vAlign w:val="center"/>
                </w:tcPr>
                <w:p w14:paraId="05F8330D">
                  <w:pPr>
                    <w:spacing w:line="240" w:lineRule="auto"/>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907</w:t>
                  </w:r>
                  <w:r>
                    <w:rPr>
                      <w:rFonts w:hint="eastAsia"/>
                      <w:sz w:val="21"/>
                      <w:szCs w:val="21"/>
                      <w:highlight w:val="none"/>
                    </w:rPr>
                    <w:t>m的</w:t>
                  </w:r>
                  <w:r>
                    <w:rPr>
                      <w:rFonts w:hint="eastAsia"/>
                      <w:sz w:val="21"/>
                      <w:szCs w:val="21"/>
                      <w:highlight w:val="none"/>
                      <w:lang w:val="en-US" w:eastAsia="zh-CN"/>
                    </w:rPr>
                    <w:t>酸性气</w:t>
                  </w:r>
                  <w:r>
                    <w:rPr>
                      <w:rFonts w:hint="eastAsia"/>
                      <w:sz w:val="21"/>
                      <w:szCs w:val="21"/>
                      <w:highlight w:val="none"/>
                    </w:rPr>
                    <w:t>管道，</w:t>
                  </w:r>
                  <w:r>
                    <w:rPr>
                      <w:rFonts w:hint="default" w:ascii="Times New Roman" w:hAnsi="Times New Roman" w:eastAsia="宋体" w:cs="Times New Roman"/>
                      <w:bCs/>
                      <w:sz w:val="21"/>
                      <w:szCs w:val="21"/>
                      <w:highlight w:val="none"/>
                      <w:lang w:val="en-US" w:eastAsia="zh-CN"/>
                    </w:rPr>
                    <w:t>已在伊泰化工管廊处抽头，需要在抽头处新增管道至鹏泰生物公司管廊</w:t>
                  </w:r>
                  <w:r>
                    <w:rPr>
                      <w:rFonts w:hint="eastAsia"/>
                      <w:sz w:val="21"/>
                      <w:szCs w:val="21"/>
                      <w:highlight w:val="none"/>
                    </w:rPr>
                    <w:t>并配套流量计。输送的</w:t>
                  </w:r>
                  <w:r>
                    <w:rPr>
                      <w:rFonts w:hint="eastAsia"/>
                      <w:sz w:val="21"/>
                      <w:szCs w:val="21"/>
                      <w:highlight w:val="none"/>
                      <w:lang w:val="en-US" w:eastAsia="zh-CN"/>
                    </w:rPr>
                    <w:t>酸性气的</w:t>
                  </w:r>
                  <w:r>
                    <w:rPr>
                      <w:rFonts w:hint="eastAsia"/>
                      <w:sz w:val="21"/>
                      <w:szCs w:val="21"/>
                      <w:highlight w:val="none"/>
                    </w:rPr>
                    <w:t>流量</w:t>
                  </w:r>
                  <w:r>
                    <w:rPr>
                      <w:rFonts w:hint="eastAsia"/>
                      <w:sz w:val="21"/>
                      <w:szCs w:val="21"/>
                      <w:highlight w:val="none"/>
                      <w:lang w:val="en-US" w:eastAsia="zh-CN"/>
                    </w:rPr>
                    <w:t>为1500Nm</w:t>
                  </w:r>
                  <w:r>
                    <w:rPr>
                      <w:rFonts w:hint="eastAsia"/>
                      <w:sz w:val="21"/>
                      <w:szCs w:val="21"/>
                      <w:highlight w:val="none"/>
                      <w:vertAlign w:val="superscript"/>
                      <w:lang w:val="en-US" w:eastAsia="zh-CN"/>
                    </w:rPr>
                    <w:t>3</w:t>
                  </w:r>
                  <w:r>
                    <w:rPr>
                      <w:rFonts w:hint="eastAsia"/>
                      <w:sz w:val="21"/>
                      <w:szCs w:val="21"/>
                      <w:highlight w:val="none"/>
                      <w:lang w:val="en-US" w:eastAsia="zh-CN"/>
                    </w:rPr>
                    <w:t>/h</w:t>
                  </w:r>
                  <w:r>
                    <w:rPr>
                      <w:rFonts w:hint="eastAsia"/>
                      <w:sz w:val="21"/>
                      <w:szCs w:val="21"/>
                      <w:highlight w:val="none"/>
                    </w:rPr>
                    <w:t>、</w:t>
                  </w:r>
                  <w:r>
                    <w:rPr>
                      <w:rFonts w:hint="eastAsia"/>
                      <w:sz w:val="21"/>
                      <w:szCs w:val="21"/>
                      <w:highlight w:val="none"/>
                      <w:lang w:val="en-US" w:eastAsia="zh-CN"/>
                    </w:rPr>
                    <w:t>压力等级为CL150</w:t>
                  </w:r>
                  <w:r>
                    <w:rPr>
                      <w:rFonts w:hint="eastAsia"/>
                      <w:sz w:val="21"/>
                      <w:szCs w:val="21"/>
                      <w:highlight w:val="none"/>
                    </w:rPr>
                    <w:t>、</w:t>
                  </w:r>
                  <w:r>
                    <w:rPr>
                      <w:rFonts w:hint="eastAsia"/>
                      <w:sz w:val="21"/>
                      <w:szCs w:val="21"/>
                      <w:highlight w:val="none"/>
                      <w:lang w:val="en-US" w:eastAsia="zh-CN"/>
                    </w:rPr>
                    <w:t>内径150mm。</w:t>
                  </w:r>
                </w:p>
              </w:tc>
              <w:tc>
                <w:tcPr>
                  <w:tcW w:w="919" w:type="dxa"/>
                  <w:noWrap w:val="0"/>
                  <w:vAlign w:val="center"/>
                </w:tcPr>
                <w:p w14:paraId="634A99AA">
                  <w:pPr>
                    <w:jc w:val="center"/>
                    <w:rPr>
                      <w:szCs w:val="21"/>
                      <w:highlight w:val="none"/>
                    </w:rPr>
                  </w:pPr>
                  <w:r>
                    <w:rPr>
                      <w:rFonts w:hint="eastAsia"/>
                      <w:szCs w:val="21"/>
                      <w:highlight w:val="none"/>
                      <w:lang w:val="en-US" w:eastAsia="zh-CN"/>
                    </w:rPr>
                    <w:t>新建（联博管廊内）</w:t>
                  </w:r>
                </w:p>
              </w:tc>
            </w:tr>
            <w:tr w14:paraId="2DA6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6CEA49AA">
                  <w:pPr>
                    <w:rPr>
                      <w:szCs w:val="21"/>
                      <w:highlight w:val="none"/>
                    </w:rPr>
                  </w:pPr>
                </w:p>
              </w:tc>
              <w:tc>
                <w:tcPr>
                  <w:tcW w:w="1059" w:type="dxa"/>
                  <w:gridSpan w:val="2"/>
                  <w:noWrap w:val="0"/>
                  <w:vAlign w:val="center"/>
                </w:tcPr>
                <w:p w14:paraId="462C29E3">
                  <w:pPr>
                    <w:spacing w:line="240" w:lineRule="auto"/>
                    <w:jc w:val="center"/>
                    <w:rPr>
                      <w:rFonts w:hint="eastAsia"/>
                      <w:sz w:val="21"/>
                      <w:szCs w:val="21"/>
                      <w:highlight w:val="none"/>
                    </w:rPr>
                  </w:pPr>
                  <w:r>
                    <w:rPr>
                      <w:rFonts w:hint="eastAsia"/>
                      <w:sz w:val="21"/>
                      <w:szCs w:val="21"/>
                      <w:highlight w:val="none"/>
                      <w:lang w:val="en-US" w:eastAsia="zh-CN"/>
                    </w:rPr>
                    <w:t>冷冻来水</w:t>
                  </w:r>
                  <w:r>
                    <w:rPr>
                      <w:rFonts w:hint="eastAsia"/>
                      <w:sz w:val="21"/>
                      <w:szCs w:val="21"/>
                      <w:highlight w:val="none"/>
                    </w:rPr>
                    <w:t>管道</w:t>
                  </w:r>
                </w:p>
              </w:tc>
              <w:tc>
                <w:tcPr>
                  <w:tcW w:w="5850" w:type="dxa"/>
                  <w:noWrap w:val="0"/>
                  <w:vAlign w:val="center"/>
                </w:tcPr>
                <w:p w14:paraId="45C42673">
                  <w:pPr>
                    <w:spacing w:line="240" w:lineRule="auto"/>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455</w:t>
                  </w:r>
                  <w:r>
                    <w:rPr>
                      <w:rFonts w:hint="eastAsia"/>
                      <w:sz w:val="21"/>
                      <w:szCs w:val="21"/>
                      <w:highlight w:val="none"/>
                    </w:rPr>
                    <w:t>m的</w:t>
                  </w:r>
                  <w:r>
                    <w:rPr>
                      <w:rFonts w:hint="eastAsia"/>
                      <w:sz w:val="21"/>
                      <w:szCs w:val="21"/>
                      <w:highlight w:val="none"/>
                      <w:lang w:val="en-US" w:eastAsia="zh-CN"/>
                    </w:rPr>
                    <w:t>冷冻来水</w:t>
                  </w:r>
                  <w:r>
                    <w:rPr>
                      <w:rFonts w:hint="eastAsia"/>
                      <w:sz w:val="21"/>
                      <w:szCs w:val="21"/>
                      <w:highlight w:val="none"/>
                    </w:rPr>
                    <w:t>管道，</w:t>
                  </w:r>
                  <w:r>
                    <w:rPr>
                      <w:rFonts w:hint="default" w:ascii="Times New Roman" w:hAnsi="Times New Roman" w:eastAsia="宋体" w:cs="Times New Roman"/>
                      <w:bCs/>
                      <w:sz w:val="21"/>
                      <w:szCs w:val="21"/>
                      <w:highlight w:val="none"/>
                      <w:lang w:val="en-US" w:eastAsia="zh-CN"/>
                    </w:rPr>
                    <w:t>无须抽头，在冷冻机装置附近直接新建管道至鹏泰生物公司即可</w:t>
                  </w:r>
                  <w:r>
                    <w:rPr>
                      <w:rFonts w:hint="eastAsia" w:cs="Times New Roman"/>
                      <w:bCs/>
                      <w:sz w:val="21"/>
                      <w:szCs w:val="21"/>
                      <w:highlight w:val="none"/>
                      <w:lang w:val="en-US" w:eastAsia="zh-CN"/>
                    </w:rPr>
                    <w:t>。</w:t>
                  </w:r>
                  <w:r>
                    <w:rPr>
                      <w:rFonts w:hint="eastAsia"/>
                      <w:sz w:val="21"/>
                      <w:szCs w:val="21"/>
                      <w:highlight w:val="none"/>
                    </w:rPr>
                    <w:t>并配套流量计。输送的</w:t>
                  </w:r>
                  <w:r>
                    <w:rPr>
                      <w:rFonts w:hint="eastAsia"/>
                      <w:sz w:val="21"/>
                      <w:szCs w:val="21"/>
                      <w:highlight w:val="none"/>
                      <w:lang w:val="en-US" w:eastAsia="zh-CN"/>
                    </w:rPr>
                    <w:t>冷冻水</w:t>
                  </w:r>
                  <w:r>
                    <w:rPr>
                      <w:rFonts w:hint="eastAsia"/>
                      <w:sz w:val="21"/>
                      <w:szCs w:val="21"/>
                      <w:highlight w:val="none"/>
                    </w:rPr>
                    <w:t>流量</w:t>
                  </w:r>
                  <w:r>
                    <w:rPr>
                      <w:rFonts w:hint="eastAsia"/>
                      <w:sz w:val="21"/>
                      <w:szCs w:val="21"/>
                      <w:highlight w:val="none"/>
                      <w:lang w:val="en-US" w:eastAsia="zh-CN"/>
                    </w:rPr>
                    <w:t>为1800m</w:t>
                  </w:r>
                  <w:r>
                    <w:rPr>
                      <w:rFonts w:hint="eastAsia"/>
                      <w:sz w:val="21"/>
                      <w:szCs w:val="21"/>
                      <w:highlight w:val="none"/>
                      <w:vertAlign w:val="superscript"/>
                      <w:lang w:val="en-US" w:eastAsia="zh-CN"/>
                    </w:rPr>
                    <w:t>3</w:t>
                  </w:r>
                  <w:r>
                    <w:rPr>
                      <w:rFonts w:hint="eastAsia"/>
                      <w:sz w:val="21"/>
                      <w:szCs w:val="21"/>
                      <w:highlight w:val="none"/>
                      <w:lang w:val="en-US" w:eastAsia="zh-CN"/>
                    </w:rPr>
                    <w:t>/h</w:t>
                  </w:r>
                  <w:r>
                    <w:rPr>
                      <w:rFonts w:hint="eastAsia"/>
                      <w:sz w:val="21"/>
                      <w:szCs w:val="21"/>
                      <w:highlight w:val="none"/>
                    </w:rPr>
                    <w:t>、</w:t>
                  </w:r>
                  <w:r>
                    <w:rPr>
                      <w:rFonts w:hint="eastAsia"/>
                      <w:sz w:val="21"/>
                      <w:szCs w:val="21"/>
                      <w:highlight w:val="none"/>
                      <w:lang w:val="en-US" w:eastAsia="zh-CN"/>
                    </w:rPr>
                    <w:t>压力等级为CL150</w:t>
                  </w:r>
                  <w:r>
                    <w:rPr>
                      <w:rFonts w:hint="eastAsia"/>
                      <w:sz w:val="21"/>
                      <w:szCs w:val="21"/>
                      <w:highlight w:val="none"/>
                    </w:rPr>
                    <w:t>、</w:t>
                  </w:r>
                  <w:r>
                    <w:rPr>
                      <w:rFonts w:hint="eastAsia"/>
                      <w:sz w:val="21"/>
                      <w:szCs w:val="21"/>
                      <w:highlight w:val="none"/>
                      <w:lang w:val="en-US" w:eastAsia="zh-CN"/>
                    </w:rPr>
                    <w:t>内径500mm。</w:t>
                  </w:r>
                </w:p>
              </w:tc>
              <w:tc>
                <w:tcPr>
                  <w:tcW w:w="919" w:type="dxa"/>
                  <w:noWrap w:val="0"/>
                  <w:vAlign w:val="center"/>
                </w:tcPr>
                <w:p w14:paraId="0583364D">
                  <w:pPr>
                    <w:jc w:val="center"/>
                    <w:rPr>
                      <w:szCs w:val="21"/>
                      <w:highlight w:val="none"/>
                    </w:rPr>
                  </w:pPr>
                  <w:r>
                    <w:rPr>
                      <w:rFonts w:hint="eastAsia"/>
                      <w:szCs w:val="21"/>
                      <w:highlight w:val="none"/>
                      <w:lang w:val="en-US" w:eastAsia="zh-CN"/>
                    </w:rPr>
                    <w:t>新建（联博管廊内）</w:t>
                  </w:r>
                </w:p>
              </w:tc>
            </w:tr>
            <w:tr w14:paraId="0532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2E30C36D">
                  <w:pPr>
                    <w:rPr>
                      <w:szCs w:val="21"/>
                      <w:highlight w:val="none"/>
                    </w:rPr>
                  </w:pPr>
                </w:p>
              </w:tc>
              <w:tc>
                <w:tcPr>
                  <w:tcW w:w="1059" w:type="dxa"/>
                  <w:gridSpan w:val="2"/>
                  <w:noWrap w:val="0"/>
                  <w:vAlign w:val="center"/>
                </w:tcPr>
                <w:p w14:paraId="5C7400E0">
                  <w:pPr>
                    <w:spacing w:line="240" w:lineRule="auto"/>
                    <w:jc w:val="center"/>
                    <w:rPr>
                      <w:rFonts w:hint="eastAsia"/>
                      <w:sz w:val="21"/>
                      <w:szCs w:val="21"/>
                      <w:highlight w:val="none"/>
                    </w:rPr>
                  </w:pPr>
                  <w:r>
                    <w:rPr>
                      <w:rFonts w:hint="eastAsia"/>
                      <w:sz w:val="21"/>
                      <w:szCs w:val="21"/>
                      <w:highlight w:val="none"/>
                      <w:lang w:val="en-US" w:eastAsia="zh-CN"/>
                    </w:rPr>
                    <w:t>冷冻回水</w:t>
                  </w:r>
                  <w:r>
                    <w:rPr>
                      <w:rFonts w:hint="eastAsia"/>
                      <w:sz w:val="21"/>
                      <w:szCs w:val="21"/>
                      <w:highlight w:val="none"/>
                    </w:rPr>
                    <w:t>管道</w:t>
                  </w:r>
                </w:p>
              </w:tc>
              <w:tc>
                <w:tcPr>
                  <w:tcW w:w="5850" w:type="dxa"/>
                  <w:noWrap w:val="0"/>
                  <w:vAlign w:val="center"/>
                </w:tcPr>
                <w:p w14:paraId="321271A6">
                  <w:pPr>
                    <w:spacing w:line="240" w:lineRule="auto"/>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445</w:t>
                  </w:r>
                  <w:r>
                    <w:rPr>
                      <w:rFonts w:hint="eastAsia"/>
                      <w:sz w:val="21"/>
                      <w:szCs w:val="21"/>
                      <w:highlight w:val="none"/>
                    </w:rPr>
                    <w:t>m的</w:t>
                  </w:r>
                  <w:r>
                    <w:rPr>
                      <w:rFonts w:hint="eastAsia"/>
                      <w:sz w:val="21"/>
                      <w:szCs w:val="21"/>
                      <w:highlight w:val="none"/>
                      <w:lang w:val="en-US" w:eastAsia="zh-CN"/>
                    </w:rPr>
                    <w:t>冷冻回水</w:t>
                  </w:r>
                  <w:r>
                    <w:rPr>
                      <w:rFonts w:hint="eastAsia"/>
                      <w:sz w:val="21"/>
                      <w:szCs w:val="21"/>
                      <w:highlight w:val="none"/>
                    </w:rPr>
                    <w:t>管道，</w:t>
                  </w:r>
                  <w:r>
                    <w:rPr>
                      <w:rFonts w:hint="default" w:ascii="Times New Roman" w:hAnsi="Times New Roman" w:eastAsia="宋体" w:cs="Times New Roman"/>
                      <w:bCs/>
                      <w:sz w:val="21"/>
                      <w:szCs w:val="21"/>
                      <w:highlight w:val="none"/>
                      <w:lang w:val="en-US" w:eastAsia="zh-CN"/>
                    </w:rPr>
                    <w:t>无须抽头，在冷冻机装置附近直接新建管道至鹏泰生物公司即可</w:t>
                  </w:r>
                  <w:r>
                    <w:rPr>
                      <w:rFonts w:hint="eastAsia" w:cs="Times New Roman"/>
                      <w:bCs/>
                      <w:sz w:val="21"/>
                      <w:szCs w:val="21"/>
                      <w:highlight w:val="none"/>
                      <w:lang w:val="en-US" w:eastAsia="zh-CN"/>
                    </w:rPr>
                    <w:t>。</w:t>
                  </w:r>
                  <w:r>
                    <w:rPr>
                      <w:rFonts w:hint="eastAsia"/>
                      <w:sz w:val="21"/>
                      <w:szCs w:val="21"/>
                      <w:highlight w:val="none"/>
                    </w:rPr>
                    <w:t>并配套流量计。输送的</w:t>
                  </w:r>
                  <w:r>
                    <w:rPr>
                      <w:rFonts w:hint="eastAsia"/>
                      <w:sz w:val="21"/>
                      <w:szCs w:val="21"/>
                      <w:highlight w:val="none"/>
                      <w:lang w:val="en-US" w:eastAsia="zh-CN"/>
                    </w:rPr>
                    <w:t>冷冻水</w:t>
                  </w:r>
                  <w:r>
                    <w:rPr>
                      <w:rFonts w:hint="eastAsia"/>
                      <w:sz w:val="21"/>
                      <w:szCs w:val="21"/>
                      <w:highlight w:val="none"/>
                    </w:rPr>
                    <w:t>流量</w:t>
                  </w:r>
                  <w:r>
                    <w:rPr>
                      <w:rFonts w:hint="eastAsia"/>
                      <w:sz w:val="21"/>
                      <w:szCs w:val="21"/>
                      <w:highlight w:val="none"/>
                      <w:lang w:val="en-US" w:eastAsia="zh-CN"/>
                    </w:rPr>
                    <w:t>为1800m</w:t>
                  </w:r>
                  <w:r>
                    <w:rPr>
                      <w:rFonts w:hint="eastAsia"/>
                      <w:sz w:val="21"/>
                      <w:szCs w:val="21"/>
                      <w:highlight w:val="none"/>
                      <w:vertAlign w:val="superscript"/>
                      <w:lang w:val="en-US" w:eastAsia="zh-CN"/>
                    </w:rPr>
                    <w:t>3</w:t>
                  </w:r>
                  <w:r>
                    <w:rPr>
                      <w:rFonts w:hint="eastAsia"/>
                      <w:sz w:val="21"/>
                      <w:szCs w:val="21"/>
                      <w:highlight w:val="none"/>
                      <w:lang w:val="en-US" w:eastAsia="zh-CN"/>
                    </w:rPr>
                    <w:t>/h</w:t>
                  </w:r>
                  <w:r>
                    <w:rPr>
                      <w:rFonts w:hint="eastAsia"/>
                      <w:sz w:val="21"/>
                      <w:szCs w:val="21"/>
                      <w:highlight w:val="none"/>
                    </w:rPr>
                    <w:t>、</w:t>
                  </w:r>
                  <w:r>
                    <w:rPr>
                      <w:rFonts w:hint="eastAsia"/>
                      <w:sz w:val="21"/>
                      <w:szCs w:val="21"/>
                      <w:highlight w:val="none"/>
                      <w:lang w:val="en-US" w:eastAsia="zh-CN"/>
                    </w:rPr>
                    <w:t>压力等级为CL150</w:t>
                  </w:r>
                  <w:r>
                    <w:rPr>
                      <w:rFonts w:hint="eastAsia"/>
                      <w:sz w:val="21"/>
                      <w:szCs w:val="21"/>
                      <w:highlight w:val="none"/>
                    </w:rPr>
                    <w:t>、</w:t>
                  </w:r>
                  <w:r>
                    <w:rPr>
                      <w:rFonts w:hint="eastAsia"/>
                      <w:sz w:val="21"/>
                      <w:szCs w:val="21"/>
                      <w:highlight w:val="none"/>
                      <w:lang w:val="en-US" w:eastAsia="zh-CN"/>
                    </w:rPr>
                    <w:t>内径500mm。</w:t>
                  </w:r>
                </w:p>
              </w:tc>
              <w:tc>
                <w:tcPr>
                  <w:tcW w:w="919" w:type="dxa"/>
                  <w:noWrap w:val="0"/>
                  <w:vAlign w:val="center"/>
                </w:tcPr>
                <w:p w14:paraId="218583EB">
                  <w:pPr>
                    <w:jc w:val="center"/>
                    <w:rPr>
                      <w:szCs w:val="21"/>
                      <w:highlight w:val="none"/>
                    </w:rPr>
                  </w:pPr>
                  <w:r>
                    <w:rPr>
                      <w:rFonts w:hint="eastAsia"/>
                      <w:szCs w:val="21"/>
                      <w:highlight w:val="none"/>
                      <w:lang w:val="en-US" w:eastAsia="zh-CN"/>
                    </w:rPr>
                    <w:t>新建（联博管廊内）</w:t>
                  </w:r>
                </w:p>
              </w:tc>
            </w:tr>
            <w:tr w14:paraId="1AFAF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0F9991CB">
                  <w:pPr>
                    <w:rPr>
                      <w:szCs w:val="21"/>
                      <w:highlight w:val="none"/>
                    </w:rPr>
                  </w:pPr>
                </w:p>
              </w:tc>
              <w:tc>
                <w:tcPr>
                  <w:tcW w:w="1059" w:type="dxa"/>
                  <w:gridSpan w:val="2"/>
                  <w:noWrap w:val="0"/>
                  <w:vAlign w:val="center"/>
                </w:tcPr>
                <w:p w14:paraId="5E70889C">
                  <w:pPr>
                    <w:spacing w:line="240" w:lineRule="auto"/>
                    <w:jc w:val="center"/>
                    <w:rPr>
                      <w:rFonts w:hint="eastAsia"/>
                      <w:sz w:val="21"/>
                      <w:szCs w:val="21"/>
                      <w:highlight w:val="none"/>
                    </w:rPr>
                  </w:pPr>
                  <w:r>
                    <w:rPr>
                      <w:rFonts w:hint="eastAsia"/>
                      <w:sz w:val="21"/>
                      <w:szCs w:val="21"/>
                      <w:highlight w:val="none"/>
                      <w:lang w:val="en-US" w:eastAsia="zh-CN"/>
                    </w:rPr>
                    <w:t>富甲烷气</w:t>
                  </w:r>
                  <w:r>
                    <w:rPr>
                      <w:rFonts w:hint="eastAsia"/>
                      <w:sz w:val="21"/>
                      <w:szCs w:val="21"/>
                      <w:highlight w:val="none"/>
                    </w:rPr>
                    <w:t>管道</w:t>
                  </w:r>
                </w:p>
              </w:tc>
              <w:tc>
                <w:tcPr>
                  <w:tcW w:w="5850" w:type="dxa"/>
                  <w:noWrap w:val="0"/>
                  <w:vAlign w:val="center"/>
                </w:tcPr>
                <w:p w14:paraId="496A734B">
                  <w:pPr>
                    <w:adjustRightInd w:val="0"/>
                    <w:snapToGrid w:val="0"/>
                    <w:spacing w:line="240" w:lineRule="auto"/>
                    <w:ind w:firstLine="420" w:firstLineChars="200"/>
                    <w:jc w:val="center"/>
                    <w:rPr>
                      <w:rFonts w:hint="default" w:ascii="Times New Roman" w:hAnsi="Times New Roman" w:eastAsia="宋体" w:cs="Times New Roman"/>
                      <w:bCs/>
                      <w:sz w:val="21"/>
                      <w:szCs w:val="21"/>
                      <w:highlight w:val="none"/>
                      <w:lang w:val="en-US" w:eastAsia="zh-CN"/>
                    </w:rPr>
                  </w:pPr>
                  <w:r>
                    <w:rPr>
                      <w:rFonts w:hint="eastAsia"/>
                      <w:sz w:val="21"/>
                      <w:szCs w:val="21"/>
                      <w:highlight w:val="none"/>
                    </w:rPr>
                    <w:t>1根总长度为</w:t>
                  </w:r>
                  <w:r>
                    <w:rPr>
                      <w:rFonts w:hint="eastAsia"/>
                      <w:sz w:val="21"/>
                      <w:szCs w:val="21"/>
                      <w:highlight w:val="none"/>
                      <w:lang w:val="en-US" w:eastAsia="zh-CN"/>
                    </w:rPr>
                    <w:t>637</w:t>
                  </w:r>
                  <w:r>
                    <w:rPr>
                      <w:rFonts w:hint="eastAsia"/>
                      <w:sz w:val="21"/>
                      <w:szCs w:val="21"/>
                      <w:highlight w:val="none"/>
                    </w:rPr>
                    <w:t>m的</w:t>
                  </w:r>
                  <w:r>
                    <w:rPr>
                      <w:rFonts w:hint="eastAsia"/>
                      <w:sz w:val="21"/>
                      <w:szCs w:val="21"/>
                      <w:highlight w:val="none"/>
                      <w:lang w:val="en-US" w:eastAsia="zh-CN"/>
                    </w:rPr>
                    <w:t>富甲烷尾气</w:t>
                  </w:r>
                  <w:r>
                    <w:rPr>
                      <w:rFonts w:hint="eastAsia"/>
                      <w:sz w:val="21"/>
                      <w:szCs w:val="21"/>
                      <w:highlight w:val="none"/>
                    </w:rPr>
                    <w:t>管道，</w:t>
                  </w:r>
                  <w:r>
                    <w:rPr>
                      <w:rFonts w:hint="default" w:ascii="Times New Roman" w:hAnsi="Times New Roman" w:eastAsia="宋体" w:cs="Times New Roman"/>
                      <w:bCs/>
                      <w:sz w:val="21"/>
                      <w:szCs w:val="21"/>
                      <w:highlight w:val="none"/>
                      <w:lang w:val="en-US" w:eastAsia="zh-CN"/>
                    </w:rPr>
                    <w:t>由鹏泰生物公司管道处，新建管道接至伊泰化工。</w:t>
                  </w:r>
                </w:p>
                <w:p w14:paraId="0E0F8B21">
                  <w:pPr>
                    <w:spacing w:line="240" w:lineRule="auto"/>
                    <w:jc w:val="center"/>
                    <w:rPr>
                      <w:rFonts w:hint="eastAsia"/>
                      <w:sz w:val="21"/>
                      <w:szCs w:val="21"/>
                      <w:highlight w:val="none"/>
                    </w:rPr>
                  </w:pPr>
                  <w:r>
                    <w:rPr>
                      <w:rFonts w:hint="eastAsia"/>
                      <w:sz w:val="21"/>
                      <w:szCs w:val="21"/>
                      <w:highlight w:val="none"/>
                    </w:rPr>
                    <w:t>并配套流量计。输送的</w:t>
                  </w:r>
                  <w:r>
                    <w:rPr>
                      <w:rFonts w:hint="eastAsia"/>
                      <w:sz w:val="21"/>
                      <w:szCs w:val="21"/>
                      <w:highlight w:val="none"/>
                      <w:lang w:val="en-US" w:eastAsia="zh-CN"/>
                    </w:rPr>
                    <w:t>富甲烷气</w:t>
                  </w:r>
                  <w:r>
                    <w:rPr>
                      <w:rFonts w:hint="eastAsia"/>
                      <w:sz w:val="21"/>
                      <w:szCs w:val="21"/>
                      <w:highlight w:val="none"/>
                    </w:rPr>
                    <w:t>流量</w:t>
                  </w:r>
                  <w:r>
                    <w:rPr>
                      <w:rFonts w:hint="eastAsia"/>
                      <w:sz w:val="21"/>
                      <w:szCs w:val="21"/>
                      <w:highlight w:val="none"/>
                      <w:lang w:val="en-US" w:eastAsia="zh-CN"/>
                    </w:rPr>
                    <w:t>为30000Nm</w:t>
                  </w:r>
                  <w:r>
                    <w:rPr>
                      <w:rFonts w:hint="eastAsia"/>
                      <w:sz w:val="21"/>
                      <w:szCs w:val="21"/>
                      <w:highlight w:val="none"/>
                      <w:vertAlign w:val="superscript"/>
                      <w:lang w:val="en-US" w:eastAsia="zh-CN"/>
                    </w:rPr>
                    <w:t>3</w:t>
                  </w:r>
                  <w:r>
                    <w:rPr>
                      <w:rFonts w:hint="eastAsia"/>
                      <w:sz w:val="21"/>
                      <w:szCs w:val="21"/>
                      <w:highlight w:val="none"/>
                      <w:lang w:val="en-US" w:eastAsia="zh-CN"/>
                    </w:rPr>
                    <w:t>/h</w:t>
                  </w:r>
                  <w:r>
                    <w:rPr>
                      <w:rFonts w:hint="eastAsia"/>
                      <w:sz w:val="21"/>
                      <w:szCs w:val="21"/>
                      <w:highlight w:val="none"/>
                    </w:rPr>
                    <w:t>、</w:t>
                  </w:r>
                  <w:r>
                    <w:rPr>
                      <w:rFonts w:hint="eastAsia"/>
                      <w:sz w:val="21"/>
                      <w:szCs w:val="21"/>
                      <w:highlight w:val="none"/>
                      <w:lang w:val="en-US" w:eastAsia="zh-CN"/>
                    </w:rPr>
                    <w:t>压力等级为CL600</w:t>
                  </w:r>
                  <w:r>
                    <w:rPr>
                      <w:rFonts w:hint="eastAsia"/>
                      <w:sz w:val="21"/>
                      <w:szCs w:val="21"/>
                      <w:highlight w:val="none"/>
                    </w:rPr>
                    <w:t>、</w:t>
                  </w:r>
                  <w:r>
                    <w:rPr>
                      <w:rFonts w:hint="eastAsia"/>
                      <w:sz w:val="21"/>
                      <w:szCs w:val="21"/>
                      <w:highlight w:val="none"/>
                      <w:lang w:val="en-US" w:eastAsia="zh-CN"/>
                    </w:rPr>
                    <w:t>内径200mm。</w:t>
                  </w:r>
                </w:p>
              </w:tc>
              <w:tc>
                <w:tcPr>
                  <w:tcW w:w="919" w:type="dxa"/>
                  <w:noWrap w:val="0"/>
                  <w:vAlign w:val="center"/>
                </w:tcPr>
                <w:p w14:paraId="507DF2A9">
                  <w:pPr>
                    <w:jc w:val="center"/>
                    <w:rPr>
                      <w:szCs w:val="21"/>
                      <w:highlight w:val="none"/>
                    </w:rPr>
                  </w:pPr>
                  <w:r>
                    <w:rPr>
                      <w:rFonts w:hint="eastAsia"/>
                      <w:szCs w:val="21"/>
                      <w:highlight w:val="none"/>
                      <w:lang w:val="en-US" w:eastAsia="zh-CN"/>
                    </w:rPr>
                    <w:t>新建（联博管廊内）</w:t>
                  </w:r>
                </w:p>
              </w:tc>
            </w:tr>
            <w:tr w14:paraId="769E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361EC5DF">
                  <w:pPr>
                    <w:rPr>
                      <w:szCs w:val="21"/>
                      <w:highlight w:val="none"/>
                    </w:rPr>
                  </w:pPr>
                </w:p>
              </w:tc>
              <w:tc>
                <w:tcPr>
                  <w:tcW w:w="1059" w:type="dxa"/>
                  <w:gridSpan w:val="2"/>
                  <w:noWrap w:val="0"/>
                  <w:vAlign w:val="center"/>
                </w:tcPr>
                <w:p w14:paraId="16F06970">
                  <w:pPr>
                    <w:spacing w:line="240" w:lineRule="auto"/>
                    <w:jc w:val="center"/>
                    <w:rPr>
                      <w:rFonts w:hint="eastAsia"/>
                      <w:sz w:val="21"/>
                      <w:szCs w:val="21"/>
                      <w:highlight w:val="none"/>
                    </w:rPr>
                  </w:pPr>
                  <w:r>
                    <w:rPr>
                      <w:rFonts w:hint="eastAsia"/>
                      <w:sz w:val="21"/>
                      <w:szCs w:val="21"/>
                      <w:highlight w:val="none"/>
                      <w:lang w:val="en-US" w:eastAsia="zh-CN"/>
                    </w:rPr>
                    <w:t>真空泵尾气</w:t>
                  </w:r>
                  <w:r>
                    <w:rPr>
                      <w:rFonts w:hint="eastAsia"/>
                      <w:sz w:val="21"/>
                      <w:szCs w:val="21"/>
                      <w:highlight w:val="none"/>
                    </w:rPr>
                    <w:t>管道</w:t>
                  </w:r>
                </w:p>
              </w:tc>
              <w:tc>
                <w:tcPr>
                  <w:tcW w:w="5850" w:type="dxa"/>
                  <w:noWrap w:val="0"/>
                  <w:vAlign w:val="center"/>
                </w:tcPr>
                <w:p w14:paraId="47FEECDA">
                  <w:pPr>
                    <w:spacing w:line="240" w:lineRule="auto"/>
                    <w:jc w:val="center"/>
                    <w:rPr>
                      <w:rFonts w:hint="eastAsia"/>
                      <w:sz w:val="21"/>
                      <w:szCs w:val="21"/>
                      <w:highlight w:val="none"/>
                    </w:rPr>
                  </w:pPr>
                  <w:r>
                    <w:rPr>
                      <w:rFonts w:hint="eastAsia"/>
                      <w:sz w:val="21"/>
                      <w:szCs w:val="21"/>
                      <w:highlight w:val="none"/>
                    </w:rPr>
                    <w:t>1根总长度为</w:t>
                  </w:r>
                  <w:r>
                    <w:rPr>
                      <w:rFonts w:hint="eastAsia"/>
                      <w:sz w:val="21"/>
                      <w:szCs w:val="21"/>
                      <w:highlight w:val="none"/>
                      <w:lang w:val="en-US" w:eastAsia="zh-CN"/>
                    </w:rPr>
                    <w:t>930</w:t>
                  </w:r>
                  <w:r>
                    <w:rPr>
                      <w:rFonts w:hint="eastAsia"/>
                      <w:sz w:val="21"/>
                      <w:szCs w:val="21"/>
                      <w:highlight w:val="none"/>
                    </w:rPr>
                    <w:t>m的</w:t>
                  </w:r>
                  <w:r>
                    <w:rPr>
                      <w:rFonts w:hint="eastAsia"/>
                      <w:sz w:val="21"/>
                      <w:szCs w:val="21"/>
                      <w:highlight w:val="none"/>
                      <w:lang w:val="en-US" w:eastAsia="zh-CN"/>
                    </w:rPr>
                    <w:t>合成脱碳尾气</w:t>
                  </w:r>
                  <w:r>
                    <w:rPr>
                      <w:rFonts w:hint="eastAsia"/>
                      <w:sz w:val="21"/>
                      <w:szCs w:val="21"/>
                      <w:highlight w:val="none"/>
                    </w:rPr>
                    <w:t>管道，</w:t>
                  </w:r>
                  <w:r>
                    <w:rPr>
                      <w:rFonts w:hint="eastAsia"/>
                      <w:sz w:val="21"/>
                      <w:szCs w:val="21"/>
                      <w:highlight w:val="none"/>
                      <w:lang w:val="en-US" w:eastAsia="zh-CN"/>
                    </w:rPr>
                    <w:t>来自</w:t>
                  </w:r>
                  <w:r>
                    <w:rPr>
                      <w:rFonts w:hint="default"/>
                      <w:sz w:val="21"/>
                      <w:szCs w:val="21"/>
                      <w:highlight w:val="none"/>
                      <w:lang w:val="en-US" w:eastAsia="zh-CN"/>
                    </w:rPr>
                    <w:t>尾气脱碳单元，该管道现在已经做好抽头，抽头位于尾气脱碳车间，通过该抽头沿着现有管廊新建管道至鹏泰生物公司管廊处</w:t>
                  </w:r>
                  <w:r>
                    <w:rPr>
                      <w:rFonts w:hint="eastAsia"/>
                      <w:sz w:val="21"/>
                      <w:szCs w:val="21"/>
                      <w:highlight w:val="none"/>
                    </w:rPr>
                    <w:t>管道</w:t>
                  </w:r>
                  <w:r>
                    <w:rPr>
                      <w:rFonts w:hint="eastAsia"/>
                      <w:sz w:val="21"/>
                      <w:szCs w:val="21"/>
                      <w:highlight w:val="none"/>
                      <w:lang w:eastAsia="zh-CN"/>
                    </w:rPr>
                    <w:t>。</w:t>
                  </w:r>
                  <w:r>
                    <w:rPr>
                      <w:rFonts w:hint="eastAsia"/>
                      <w:sz w:val="21"/>
                      <w:szCs w:val="21"/>
                      <w:highlight w:val="none"/>
                    </w:rPr>
                    <w:t>并配套流量计。输送的</w:t>
                  </w:r>
                  <w:r>
                    <w:rPr>
                      <w:rFonts w:hint="eastAsia"/>
                      <w:sz w:val="21"/>
                      <w:szCs w:val="21"/>
                      <w:highlight w:val="none"/>
                      <w:lang w:val="en-US" w:eastAsia="zh-CN"/>
                    </w:rPr>
                    <w:t>真空泵尾气</w:t>
                  </w:r>
                  <w:r>
                    <w:rPr>
                      <w:rFonts w:hint="eastAsia"/>
                      <w:sz w:val="21"/>
                      <w:szCs w:val="21"/>
                      <w:highlight w:val="none"/>
                    </w:rPr>
                    <w:t>流量</w:t>
                  </w:r>
                  <w:r>
                    <w:rPr>
                      <w:rFonts w:hint="eastAsia"/>
                      <w:sz w:val="21"/>
                      <w:szCs w:val="21"/>
                      <w:highlight w:val="none"/>
                      <w:lang w:val="en-US" w:eastAsia="zh-CN"/>
                    </w:rPr>
                    <w:t>为660Nm</w:t>
                  </w:r>
                  <w:r>
                    <w:rPr>
                      <w:rFonts w:hint="eastAsia"/>
                      <w:sz w:val="21"/>
                      <w:szCs w:val="21"/>
                      <w:highlight w:val="none"/>
                      <w:vertAlign w:val="superscript"/>
                      <w:lang w:val="en-US" w:eastAsia="zh-CN"/>
                    </w:rPr>
                    <w:t>3</w:t>
                  </w:r>
                  <w:r>
                    <w:rPr>
                      <w:rFonts w:hint="eastAsia"/>
                      <w:sz w:val="21"/>
                      <w:szCs w:val="21"/>
                      <w:highlight w:val="none"/>
                      <w:lang w:val="en-US" w:eastAsia="zh-CN"/>
                    </w:rPr>
                    <w:t>/h</w:t>
                  </w:r>
                  <w:r>
                    <w:rPr>
                      <w:rFonts w:hint="eastAsia"/>
                      <w:sz w:val="21"/>
                      <w:szCs w:val="21"/>
                      <w:highlight w:val="none"/>
                    </w:rPr>
                    <w:t>、</w:t>
                  </w:r>
                  <w:r>
                    <w:rPr>
                      <w:rFonts w:hint="eastAsia"/>
                      <w:sz w:val="21"/>
                      <w:szCs w:val="21"/>
                      <w:highlight w:val="none"/>
                      <w:lang w:val="en-US" w:eastAsia="zh-CN"/>
                    </w:rPr>
                    <w:t>压力等级为CL150</w:t>
                  </w:r>
                  <w:r>
                    <w:rPr>
                      <w:rFonts w:hint="eastAsia"/>
                      <w:sz w:val="21"/>
                      <w:szCs w:val="21"/>
                      <w:highlight w:val="none"/>
                    </w:rPr>
                    <w:t>、</w:t>
                  </w:r>
                  <w:r>
                    <w:rPr>
                      <w:rFonts w:hint="eastAsia"/>
                      <w:sz w:val="21"/>
                      <w:szCs w:val="21"/>
                      <w:highlight w:val="none"/>
                      <w:lang w:val="en-US" w:eastAsia="zh-CN"/>
                    </w:rPr>
                    <w:t>内径200mm。</w:t>
                  </w:r>
                </w:p>
              </w:tc>
              <w:tc>
                <w:tcPr>
                  <w:tcW w:w="919" w:type="dxa"/>
                  <w:noWrap w:val="0"/>
                  <w:vAlign w:val="center"/>
                </w:tcPr>
                <w:p w14:paraId="2DA33781">
                  <w:pPr>
                    <w:jc w:val="center"/>
                    <w:rPr>
                      <w:szCs w:val="21"/>
                      <w:highlight w:val="none"/>
                    </w:rPr>
                  </w:pPr>
                  <w:r>
                    <w:rPr>
                      <w:rFonts w:hint="eastAsia"/>
                      <w:szCs w:val="21"/>
                      <w:highlight w:val="none"/>
                      <w:lang w:val="en-US" w:eastAsia="zh-CN"/>
                    </w:rPr>
                    <w:t>新建（联博管廊内）</w:t>
                  </w:r>
                </w:p>
              </w:tc>
            </w:tr>
            <w:tr w14:paraId="311C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35E3A0DB">
                  <w:pPr>
                    <w:rPr>
                      <w:szCs w:val="21"/>
                      <w:highlight w:val="none"/>
                    </w:rPr>
                  </w:pPr>
                </w:p>
              </w:tc>
              <w:tc>
                <w:tcPr>
                  <w:tcW w:w="1059" w:type="dxa"/>
                  <w:gridSpan w:val="2"/>
                  <w:noWrap w:val="0"/>
                  <w:vAlign w:val="center"/>
                </w:tcPr>
                <w:p w14:paraId="6959FCAD">
                  <w:pPr>
                    <w:spacing w:line="240" w:lineRule="auto"/>
                    <w:jc w:val="center"/>
                    <w:rPr>
                      <w:rFonts w:hint="eastAsia"/>
                      <w:sz w:val="21"/>
                      <w:szCs w:val="21"/>
                      <w:highlight w:val="none"/>
                    </w:rPr>
                  </w:pPr>
                  <w:r>
                    <w:rPr>
                      <w:rFonts w:hint="eastAsia"/>
                      <w:sz w:val="21"/>
                      <w:szCs w:val="21"/>
                      <w:highlight w:val="none"/>
                      <w:lang w:val="en-US" w:eastAsia="zh-CN"/>
                    </w:rPr>
                    <w:t>CO</w:t>
                  </w:r>
                  <w:r>
                    <w:rPr>
                      <w:rFonts w:hint="eastAsia"/>
                      <w:sz w:val="21"/>
                      <w:szCs w:val="21"/>
                      <w:highlight w:val="none"/>
                      <w:vertAlign w:val="subscript"/>
                      <w:lang w:val="en-US" w:eastAsia="zh-CN"/>
                    </w:rPr>
                    <w:t>2</w:t>
                  </w:r>
                  <w:r>
                    <w:rPr>
                      <w:rFonts w:hint="eastAsia"/>
                      <w:sz w:val="21"/>
                      <w:szCs w:val="21"/>
                      <w:highlight w:val="none"/>
                      <w:lang w:val="en-US" w:eastAsia="zh-CN"/>
                    </w:rPr>
                    <w:t>管线</w:t>
                  </w:r>
                </w:p>
              </w:tc>
              <w:tc>
                <w:tcPr>
                  <w:tcW w:w="5850" w:type="dxa"/>
                  <w:noWrap w:val="0"/>
                  <w:vAlign w:val="center"/>
                </w:tcPr>
                <w:p w14:paraId="62BF883E">
                  <w:pPr>
                    <w:spacing w:line="240" w:lineRule="auto"/>
                    <w:ind w:firstLine="420" w:firstLineChars="200"/>
                    <w:jc w:val="center"/>
                    <w:rPr>
                      <w:rFonts w:hint="default" w:ascii="Times New Roman" w:hAnsi="Times New Roman" w:eastAsia="宋体" w:cs="Times New Roman"/>
                      <w:bCs/>
                      <w:sz w:val="21"/>
                      <w:szCs w:val="21"/>
                      <w:highlight w:val="none"/>
                      <w:lang w:val="en-US" w:eastAsia="zh-CN"/>
                    </w:rPr>
                  </w:pPr>
                  <w:r>
                    <w:rPr>
                      <w:rFonts w:hint="eastAsia"/>
                      <w:sz w:val="21"/>
                      <w:szCs w:val="21"/>
                      <w:highlight w:val="none"/>
                    </w:rPr>
                    <w:t>1根总长度为</w:t>
                  </w:r>
                  <w:r>
                    <w:rPr>
                      <w:rFonts w:hint="eastAsia"/>
                      <w:sz w:val="21"/>
                      <w:szCs w:val="21"/>
                      <w:highlight w:val="none"/>
                      <w:lang w:val="en-US" w:eastAsia="zh-CN"/>
                    </w:rPr>
                    <w:t>308</w:t>
                  </w:r>
                  <w:r>
                    <w:rPr>
                      <w:rFonts w:hint="eastAsia"/>
                      <w:sz w:val="21"/>
                      <w:szCs w:val="21"/>
                      <w:highlight w:val="none"/>
                    </w:rPr>
                    <w:t>m的</w:t>
                  </w:r>
                  <w:r>
                    <w:rPr>
                      <w:rFonts w:hint="eastAsia"/>
                      <w:sz w:val="21"/>
                      <w:szCs w:val="21"/>
                      <w:highlight w:val="none"/>
                      <w:lang w:val="en-US" w:eastAsia="zh-CN"/>
                    </w:rPr>
                    <w:t>CO</w:t>
                  </w:r>
                  <w:r>
                    <w:rPr>
                      <w:rFonts w:hint="eastAsia"/>
                      <w:sz w:val="21"/>
                      <w:szCs w:val="21"/>
                      <w:highlight w:val="none"/>
                      <w:vertAlign w:val="subscript"/>
                      <w:lang w:val="en-US" w:eastAsia="zh-CN"/>
                    </w:rPr>
                    <w:t>2</w:t>
                  </w:r>
                  <w:r>
                    <w:rPr>
                      <w:rFonts w:hint="eastAsia"/>
                      <w:sz w:val="21"/>
                      <w:szCs w:val="21"/>
                      <w:highlight w:val="none"/>
                      <w:lang w:val="en-US" w:eastAsia="zh-CN"/>
                    </w:rPr>
                    <w:t>管线</w:t>
                  </w:r>
                  <w:r>
                    <w:rPr>
                      <w:rFonts w:hint="eastAsia"/>
                      <w:sz w:val="21"/>
                      <w:szCs w:val="21"/>
                      <w:highlight w:val="none"/>
                    </w:rPr>
                    <w:t>，</w:t>
                  </w:r>
                  <w:r>
                    <w:rPr>
                      <w:rFonts w:hint="default" w:ascii="Times New Roman" w:hAnsi="Times New Roman" w:eastAsia="宋体" w:cs="Times New Roman"/>
                      <w:bCs/>
                      <w:sz w:val="21"/>
                      <w:szCs w:val="21"/>
                      <w:highlight w:val="none"/>
                      <w:lang w:val="en-US" w:eastAsia="zh-CN"/>
                    </w:rPr>
                    <w:t>需要在就近主管处抽头后经过伊泰化工管廊输送至鹏泰生物公司管廊。</w:t>
                  </w:r>
                </w:p>
                <w:p w14:paraId="40282388">
                  <w:pPr>
                    <w:spacing w:line="240" w:lineRule="auto"/>
                    <w:jc w:val="center"/>
                    <w:rPr>
                      <w:rFonts w:hint="eastAsia"/>
                      <w:sz w:val="21"/>
                      <w:szCs w:val="21"/>
                      <w:highlight w:val="none"/>
                    </w:rPr>
                  </w:pPr>
                  <w:r>
                    <w:rPr>
                      <w:rFonts w:hint="eastAsia"/>
                      <w:sz w:val="21"/>
                      <w:szCs w:val="21"/>
                      <w:highlight w:val="none"/>
                    </w:rPr>
                    <w:t>并配套流量计。输送的</w:t>
                  </w:r>
                  <w:r>
                    <w:rPr>
                      <w:rFonts w:hint="eastAsia"/>
                      <w:sz w:val="21"/>
                      <w:szCs w:val="21"/>
                      <w:highlight w:val="none"/>
                      <w:lang w:val="en-US" w:eastAsia="zh-CN"/>
                    </w:rPr>
                    <w:t>CO</w:t>
                  </w:r>
                  <w:r>
                    <w:rPr>
                      <w:rFonts w:hint="eastAsia"/>
                      <w:sz w:val="21"/>
                      <w:szCs w:val="21"/>
                      <w:highlight w:val="none"/>
                      <w:vertAlign w:val="subscript"/>
                      <w:lang w:val="en-US" w:eastAsia="zh-CN"/>
                    </w:rPr>
                    <w:t>2</w:t>
                  </w:r>
                  <w:r>
                    <w:rPr>
                      <w:rFonts w:hint="eastAsia"/>
                      <w:sz w:val="21"/>
                      <w:szCs w:val="21"/>
                      <w:highlight w:val="none"/>
                    </w:rPr>
                    <w:t>流量</w:t>
                  </w:r>
                  <w:r>
                    <w:rPr>
                      <w:rFonts w:hint="eastAsia"/>
                      <w:sz w:val="21"/>
                      <w:szCs w:val="21"/>
                      <w:highlight w:val="none"/>
                      <w:lang w:val="en-US" w:eastAsia="zh-CN"/>
                    </w:rPr>
                    <w:t>为5000m</w:t>
                  </w:r>
                  <w:r>
                    <w:rPr>
                      <w:rFonts w:hint="eastAsia"/>
                      <w:sz w:val="21"/>
                      <w:szCs w:val="21"/>
                      <w:highlight w:val="none"/>
                      <w:vertAlign w:val="superscript"/>
                      <w:lang w:val="en-US" w:eastAsia="zh-CN"/>
                    </w:rPr>
                    <w:t>3</w:t>
                  </w:r>
                  <w:r>
                    <w:rPr>
                      <w:rFonts w:hint="eastAsia"/>
                      <w:sz w:val="21"/>
                      <w:szCs w:val="21"/>
                      <w:highlight w:val="none"/>
                      <w:lang w:val="en-US" w:eastAsia="zh-CN"/>
                    </w:rPr>
                    <w:t>/h</w:t>
                  </w:r>
                  <w:r>
                    <w:rPr>
                      <w:rFonts w:hint="eastAsia"/>
                      <w:sz w:val="21"/>
                      <w:szCs w:val="21"/>
                      <w:highlight w:val="none"/>
                    </w:rPr>
                    <w:t>、</w:t>
                  </w:r>
                  <w:r>
                    <w:rPr>
                      <w:rFonts w:hint="eastAsia"/>
                      <w:sz w:val="21"/>
                      <w:szCs w:val="21"/>
                      <w:highlight w:val="none"/>
                      <w:lang w:val="en-US" w:eastAsia="zh-CN"/>
                    </w:rPr>
                    <w:t>压力等级为CL150</w:t>
                  </w:r>
                  <w:r>
                    <w:rPr>
                      <w:rFonts w:hint="eastAsia"/>
                      <w:sz w:val="21"/>
                      <w:szCs w:val="21"/>
                      <w:highlight w:val="none"/>
                    </w:rPr>
                    <w:t>、</w:t>
                  </w:r>
                  <w:r>
                    <w:rPr>
                      <w:rFonts w:hint="eastAsia"/>
                      <w:sz w:val="21"/>
                      <w:szCs w:val="21"/>
                      <w:highlight w:val="none"/>
                      <w:lang w:val="en-US" w:eastAsia="zh-CN"/>
                    </w:rPr>
                    <w:t>内径150mm。</w:t>
                  </w:r>
                </w:p>
              </w:tc>
              <w:tc>
                <w:tcPr>
                  <w:tcW w:w="919" w:type="dxa"/>
                  <w:noWrap w:val="0"/>
                  <w:vAlign w:val="center"/>
                </w:tcPr>
                <w:p w14:paraId="68F862D7">
                  <w:pPr>
                    <w:jc w:val="center"/>
                    <w:rPr>
                      <w:szCs w:val="21"/>
                      <w:highlight w:val="none"/>
                    </w:rPr>
                  </w:pPr>
                  <w:r>
                    <w:rPr>
                      <w:rFonts w:hint="eastAsia"/>
                      <w:szCs w:val="21"/>
                      <w:highlight w:val="none"/>
                      <w:lang w:val="en-US" w:eastAsia="zh-CN"/>
                    </w:rPr>
                    <w:t>新建（联博管廊内）</w:t>
                  </w:r>
                </w:p>
              </w:tc>
            </w:tr>
            <w:tr w14:paraId="2083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restart"/>
                  <w:noWrap w:val="0"/>
                  <w:vAlign w:val="center"/>
                </w:tcPr>
                <w:p w14:paraId="40B182CA">
                  <w:pPr>
                    <w:rPr>
                      <w:szCs w:val="21"/>
                      <w:highlight w:val="none"/>
                    </w:rPr>
                  </w:pPr>
                  <w:r>
                    <w:rPr>
                      <w:rFonts w:hint="eastAsia"/>
                      <w:szCs w:val="21"/>
                      <w:highlight w:val="none"/>
                    </w:rPr>
                    <w:t>辅助工程</w:t>
                  </w:r>
                </w:p>
              </w:tc>
              <w:tc>
                <w:tcPr>
                  <w:tcW w:w="1059" w:type="dxa"/>
                  <w:gridSpan w:val="2"/>
                  <w:noWrap w:val="0"/>
                  <w:vAlign w:val="center"/>
                </w:tcPr>
                <w:p w14:paraId="2F47A9D3">
                  <w:pPr>
                    <w:jc w:val="center"/>
                    <w:rPr>
                      <w:szCs w:val="21"/>
                      <w:highlight w:val="none"/>
                    </w:rPr>
                  </w:pPr>
                  <w:r>
                    <w:rPr>
                      <w:rFonts w:hint="eastAsia"/>
                      <w:szCs w:val="21"/>
                      <w:highlight w:val="none"/>
                    </w:rPr>
                    <w:t>管道检修系统</w:t>
                  </w:r>
                </w:p>
              </w:tc>
              <w:tc>
                <w:tcPr>
                  <w:tcW w:w="5850" w:type="dxa"/>
                  <w:noWrap w:val="0"/>
                  <w:vAlign w:val="center"/>
                </w:tcPr>
                <w:p w14:paraId="1776D722">
                  <w:pPr>
                    <w:jc w:val="center"/>
                    <w:rPr>
                      <w:szCs w:val="21"/>
                      <w:highlight w:val="none"/>
                    </w:rPr>
                  </w:pPr>
                  <w:r>
                    <w:rPr>
                      <w:rFonts w:hint="eastAsia"/>
                      <w:spacing w:val="9"/>
                      <w:sz w:val="21"/>
                      <w:szCs w:val="21"/>
                      <w:highlight w:val="none"/>
                      <w:lang w:val="en-US" w:eastAsia="zh-CN"/>
                    </w:rPr>
                    <w:t>主要为</w:t>
                  </w:r>
                  <w:r>
                    <w:rPr>
                      <w:spacing w:val="9"/>
                      <w:sz w:val="21"/>
                      <w:szCs w:val="21"/>
                      <w:highlight w:val="none"/>
                    </w:rPr>
                    <w:t>管道阀门、法兰</w:t>
                  </w:r>
                  <w:r>
                    <w:rPr>
                      <w:rFonts w:hint="eastAsia"/>
                      <w:spacing w:val="9"/>
                      <w:sz w:val="21"/>
                      <w:szCs w:val="21"/>
                      <w:highlight w:val="none"/>
                      <w:lang w:eastAsia="zh-CN"/>
                    </w:rPr>
                    <w:t>等</w:t>
                  </w:r>
                  <w:r>
                    <w:rPr>
                      <w:spacing w:val="9"/>
                      <w:sz w:val="21"/>
                      <w:szCs w:val="21"/>
                      <w:highlight w:val="none"/>
                    </w:rPr>
                    <w:t>。</w:t>
                  </w:r>
                  <w:r>
                    <w:rPr>
                      <w:rFonts w:hint="eastAsia"/>
                      <w:spacing w:val="9"/>
                      <w:sz w:val="21"/>
                      <w:szCs w:val="21"/>
                      <w:highlight w:val="none"/>
                    </w:rPr>
                    <w:t>管道两端的阀门由各自厂区进行检修。</w:t>
                  </w:r>
                </w:p>
              </w:tc>
              <w:tc>
                <w:tcPr>
                  <w:tcW w:w="919" w:type="dxa"/>
                  <w:noWrap w:val="0"/>
                  <w:vAlign w:val="center"/>
                </w:tcPr>
                <w:p w14:paraId="53678053">
                  <w:pPr>
                    <w:jc w:val="center"/>
                    <w:rPr>
                      <w:szCs w:val="21"/>
                      <w:highlight w:val="none"/>
                    </w:rPr>
                  </w:pPr>
                  <w:r>
                    <w:rPr>
                      <w:rFonts w:hint="eastAsia"/>
                      <w:szCs w:val="21"/>
                      <w:highlight w:val="none"/>
                      <w:lang w:val="en-US" w:eastAsia="zh-CN"/>
                    </w:rPr>
                    <w:t>新建</w:t>
                  </w:r>
                </w:p>
              </w:tc>
            </w:tr>
            <w:tr w14:paraId="6F39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5FB82D80">
                  <w:pPr>
                    <w:rPr>
                      <w:szCs w:val="21"/>
                      <w:highlight w:val="none"/>
                    </w:rPr>
                  </w:pPr>
                </w:p>
              </w:tc>
              <w:tc>
                <w:tcPr>
                  <w:tcW w:w="1059" w:type="dxa"/>
                  <w:gridSpan w:val="2"/>
                  <w:noWrap w:val="0"/>
                  <w:vAlign w:val="center"/>
                </w:tcPr>
                <w:p w14:paraId="1EC4D579">
                  <w:pPr>
                    <w:jc w:val="center"/>
                    <w:rPr>
                      <w:rFonts w:hint="eastAsia"/>
                      <w:szCs w:val="21"/>
                      <w:highlight w:val="none"/>
                    </w:rPr>
                  </w:pPr>
                  <w:r>
                    <w:rPr>
                      <w:rFonts w:hint="eastAsia"/>
                      <w:szCs w:val="21"/>
                      <w:highlight w:val="none"/>
                    </w:rPr>
                    <w:t>控制系统</w:t>
                  </w:r>
                </w:p>
              </w:tc>
              <w:tc>
                <w:tcPr>
                  <w:tcW w:w="5850" w:type="dxa"/>
                  <w:noWrap w:val="0"/>
                  <w:vAlign w:val="center"/>
                </w:tcPr>
                <w:p w14:paraId="28D3D650">
                  <w:pPr>
                    <w:jc w:val="center"/>
                    <w:rPr>
                      <w:rFonts w:hint="eastAsia"/>
                      <w:szCs w:val="21"/>
                      <w:highlight w:val="none"/>
                    </w:rPr>
                  </w:pPr>
                  <w:r>
                    <w:rPr>
                      <w:rFonts w:hint="default"/>
                      <w:szCs w:val="21"/>
                      <w:highlight w:val="none"/>
                      <w:lang w:val="en-US" w:eastAsia="zh-CN"/>
                    </w:rPr>
                    <w:t>所有流量计和调节阀以及切断阀集中布置便于操作和维护，阀门和仪表的控制信号接入</w:t>
                  </w:r>
                  <w:r>
                    <w:rPr>
                      <w:rFonts w:hint="eastAsia"/>
                      <w:szCs w:val="21"/>
                      <w:highlight w:val="none"/>
                      <w:lang w:val="en-US" w:eastAsia="zh-CN"/>
                    </w:rPr>
                    <w:t>伊泰化工公司的</w:t>
                  </w:r>
                  <w:r>
                    <w:rPr>
                      <w:rFonts w:hint="default"/>
                      <w:szCs w:val="21"/>
                      <w:highlight w:val="none"/>
                      <w:lang w:val="en-US" w:eastAsia="zh-CN"/>
                    </w:rPr>
                    <w:t>DCS系统，DCS信号通过光纤接入伊泰化工的中控系统显示</w:t>
                  </w:r>
                  <w:r>
                    <w:rPr>
                      <w:rFonts w:hint="eastAsia"/>
                      <w:szCs w:val="21"/>
                      <w:highlight w:val="none"/>
                    </w:rPr>
                    <w:t>。</w:t>
                  </w:r>
                </w:p>
              </w:tc>
              <w:tc>
                <w:tcPr>
                  <w:tcW w:w="919" w:type="dxa"/>
                  <w:noWrap w:val="0"/>
                  <w:vAlign w:val="center"/>
                </w:tcPr>
                <w:p w14:paraId="7C206D0A">
                  <w:pPr>
                    <w:jc w:val="center"/>
                    <w:rPr>
                      <w:szCs w:val="21"/>
                      <w:highlight w:val="none"/>
                    </w:rPr>
                  </w:pPr>
                  <w:r>
                    <w:rPr>
                      <w:rFonts w:hint="eastAsia"/>
                      <w:szCs w:val="21"/>
                      <w:highlight w:val="none"/>
                      <w:lang w:val="en-US" w:eastAsia="zh-CN"/>
                    </w:rPr>
                    <w:t>新建</w:t>
                  </w:r>
                </w:p>
              </w:tc>
            </w:tr>
            <w:tr w14:paraId="3B2B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restart"/>
                  <w:noWrap w:val="0"/>
                  <w:vAlign w:val="center"/>
                </w:tcPr>
                <w:p w14:paraId="36A8D780">
                  <w:pPr>
                    <w:rPr>
                      <w:szCs w:val="21"/>
                      <w:highlight w:val="none"/>
                    </w:rPr>
                  </w:pPr>
                  <w:r>
                    <w:rPr>
                      <w:rFonts w:hint="eastAsia"/>
                      <w:szCs w:val="21"/>
                      <w:highlight w:val="none"/>
                    </w:rPr>
                    <w:t>环保工程</w:t>
                  </w:r>
                </w:p>
              </w:tc>
              <w:tc>
                <w:tcPr>
                  <w:tcW w:w="426" w:type="dxa"/>
                  <w:vMerge w:val="restart"/>
                  <w:noWrap w:val="0"/>
                  <w:vAlign w:val="center"/>
                </w:tcPr>
                <w:p w14:paraId="401F52F6">
                  <w:pPr>
                    <w:rPr>
                      <w:szCs w:val="21"/>
                      <w:highlight w:val="none"/>
                    </w:rPr>
                  </w:pPr>
                  <w:r>
                    <w:rPr>
                      <w:rFonts w:hint="eastAsia"/>
                      <w:szCs w:val="21"/>
                      <w:highlight w:val="none"/>
                    </w:rPr>
                    <w:t>运营期</w:t>
                  </w:r>
                </w:p>
              </w:tc>
              <w:tc>
                <w:tcPr>
                  <w:tcW w:w="633" w:type="dxa"/>
                  <w:noWrap w:val="0"/>
                  <w:vAlign w:val="center"/>
                </w:tcPr>
                <w:p w14:paraId="5BCBFD9C">
                  <w:pPr>
                    <w:jc w:val="center"/>
                    <w:rPr>
                      <w:rFonts w:hint="eastAsia"/>
                      <w:szCs w:val="21"/>
                      <w:highlight w:val="none"/>
                    </w:rPr>
                  </w:pPr>
                  <w:r>
                    <w:rPr>
                      <w:rFonts w:hint="eastAsia"/>
                      <w:szCs w:val="21"/>
                      <w:highlight w:val="none"/>
                    </w:rPr>
                    <w:t>废气</w:t>
                  </w:r>
                </w:p>
              </w:tc>
              <w:tc>
                <w:tcPr>
                  <w:tcW w:w="5850" w:type="dxa"/>
                  <w:noWrap w:val="0"/>
                  <w:vAlign w:val="center"/>
                </w:tcPr>
                <w:p w14:paraId="60AE644F">
                  <w:pPr>
                    <w:jc w:val="center"/>
                    <w:rPr>
                      <w:szCs w:val="21"/>
                      <w:highlight w:val="none"/>
                    </w:rPr>
                  </w:pPr>
                  <w:r>
                    <w:rPr>
                      <w:rFonts w:hint="eastAsia"/>
                      <w:szCs w:val="21"/>
                      <w:highlight w:val="none"/>
                    </w:rPr>
                    <w:t>本项目无废气产生。</w:t>
                  </w:r>
                </w:p>
              </w:tc>
              <w:tc>
                <w:tcPr>
                  <w:tcW w:w="919" w:type="dxa"/>
                  <w:noWrap w:val="0"/>
                  <w:vAlign w:val="center"/>
                </w:tcPr>
                <w:p w14:paraId="328F93A2">
                  <w:pPr>
                    <w:jc w:val="center"/>
                    <w:rPr>
                      <w:rFonts w:hint="eastAsia" w:eastAsia="宋体"/>
                      <w:szCs w:val="21"/>
                      <w:highlight w:val="none"/>
                      <w:lang w:val="en-US" w:eastAsia="zh-CN"/>
                    </w:rPr>
                  </w:pPr>
                  <w:r>
                    <w:rPr>
                      <w:rFonts w:hint="eastAsia"/>
                      <w:szCs w:val="21"/>
                      <w:highlight w:val="none"/>
                      <w:lang w:val="en-US" w:eastAsia="zh-CN"/>
                    </w:rPr>
                    <w:t>/</w:t>
                  </w:r>
                </w:p>
              </w:tc>
            </w:tr>
            <w:tr w14:paraId="07BD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38FD9CBE">
                  <w:pPr>
                    <w:rPr>
                      <w:szCs w:val="21"/>
                      <w:highlight w:val="none"/>
                    </w:rPr>
                  </w:pPr>
                </w:p>
              </w:tc>
              <w:tc>
                <w:tcPr>
                  <w:tcW w:w="426" w:type="dxa"/>
                  <w:vMerge w:val="continue"/>
                  <w:noWrap w:val="0"/>
                  <w:vAlign w:val="center"/>
                </w:tcPr>
                <w:p w14:paraId="79116AE6">
                  <w:pPr>
                    <w:rPr>
                      <w:szCs w:val="21"/>
                      <w:highlight w:val="none"/>
                    </w:rPr>
                  </w:pPr>
                </w:p>
              </w:tc>
              <w:tc>
                <w:tcPr>
                  <w:tcW w:w="633" w:type="dxa"/>
                  <w:noWrap w:val="0"/>
                  <w:vAlign w:val="center"/>
                </w:tcPr>
                <w:p w14:paraId="2DE2B3A7">
                  <w:pPr>
                    <w:jc w:val="center"/>
                    <w:rPr>
                      <w:rFonts w:hint="eastAsia"/>
                      <w:szCs w:val="21"/>
                      <w:highlight w:val="none"/>
                    </w:rPr>
                  </w:pPr>
                  <w:r>
                    <w:rPr>
                      <w:rFonts w:hint="eastAsia"/>
                      <w:szCs w:val="21"/>
                      <w:highlight w:val="none"/>
                    </w:rPr>
                    <w:t>废水</w:t>
                  </w:r>
                </w:p>
              </w:tc>
              <w:tc>
                <w:tcPr>
                  <w:tcW w:w="5850" w:type="dxa"/>
                  <w:noWrap w:val="0"/>
                  <w:vAlign w:val="center"/>
                </w:tcPr>
                <w:p w14:paraId="6C32BBF1">
                  <w:pPr>
                    <w:jc w:val="center"/>
                    <w:rPr>
                      <w:szCs w:val="21"/>
                      <w:highlight w:val="none"/>
                    </w:rPr>
                  </w:pPr>
                  <w:r>
                    <w:rPr>
                      <w:rFonts w:hint="eastAsia"/>
                      <w:szCs w:val="21"/>
                      <w:highlight w:val="none"/>
                    </w:rPr>
                    <w:t>本项目无废水产生。</w:t>
                  </w:r>
                </w:p>
              </w:tc>
              <w:tc>
                <w:tcPr>
                  <w:tcW w:w="919" w:type="dxa"/>
                  <w:noWrap w:val="0"/>
                  <w:vAlign w:val="center"/>
                </w:tcPr>
                <w:p w14:paraId="4AD9AD05">
                  <w:pPr>
                    <w:jc w:val="center"/>
                    <w:rPr>
                      <w:rFonts w:hint="eastAsia" w:eastAsia="宋体"/>
                      <w:szCs w:val="21"/>
                      <w:highlight w:val="none"/>
                      <w:lang w:val="en-US" w:eastAsia="zh-CN"/>
                    </w:rPr>
                  </w:pPr>
                  <w:r>
                    <w:rPr>
                      <w:rFonts w:hint="eastAsia"/>
                      <w:szCs w:val="21"/>
                      <w:highlight w:val="none"/>
                      <w:lang w:val="en-US" w:eastAsia="zh-CN"/>
                    </w:rPr>
                    <w:t>/</w:t>
                  </w:r>
                </w:p>
              </w:tc>
            </w:tr>
            <w:tr w14:paraId="1768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166E263A">
                  <w:pPr>
                    <w:rPr>
                      <w:szCs w:val="21"/>
                      <w:highlight w:val="none"/>
                    </w:rPr>
                  </w:pPr>
                </w:p>
              </w:tc>
              <w:tc>
                <w:tcPr>
                  <w:tcW w:w="426" w:type="dxa"/>
                  <w:vMerge w:val="continue"/>
                  <w:noWrap w:val="0"/>
                  <w:vAlign w:val="center"/>
                </w:tcPr>
                <w:p w14:paraId="11F06CE7">
                  <w:pPr>
                    <w:rPr>
                      <w:szCs w:val="21"/>
                      <w:highlight w:val="none"/>
                    </w:rPr>
                  </w:pPr>
                </w:p>
              </w:tc>
              <w:tc>
                <w:tcPr>
                  <w:tcW w:w="633" w:type="dxa"/>
                  <w:noWrap w:val="0"/>
                  <w:vAlign w:val="center"/>
                </w:tcPr>
                <w:p w14:paraId="15712D6E">
                  <w:pPr>
                    <w:jc w:val="center"/>
                    <w:rPr>
                      <w:rFonts w:hint="eastAsia"/>
                      <w:szCs w:val="21"/>
                      <w:highlight w:val="none"/>
                    </w:rPr>
                  </w:pPr>
                  <w:r>
                    <w:rPr>
                      <w:rFonts w:hint="eastAsia"/>
                      <w:szCs w:val="21"/>
                      <w:highlight w:val="none"/>
                    </w:rPr>
                    <w:t>噪声</w:t>
                  </w:r>
                </w:p>
              </w:tc>
              <w:tc>
                <w:tcPr>
                  <w:tcW w:w="5850" w:type="dxa"/>
                  <w:noWrap w:val="0"/>
                  <w:vAlign w:val="center"/>
                </w:tcPr>
                <w:p w14:paraId="436816FE">
                  <w:pPr>
                    <w:jc w:val="center"/>
                    <w:rPr>
                      <w:szCs w:val="21"/>
                      <w:highlight w:val="none"/>
                    </w:rPr>
                  </w:pPr>
                  <w:r>
                    <w:rPr>
                      <w:rFonts w:hint="eastAsia"/>
                      <w:szCs w:val="21"/>
                      <w:highlight w:val="none"/>
                    </w:rPr>
                    <w:t>本项目</w:t>
                  </w:r>
                  <w:r>
                    <w:rPr>
                      <w:rFonts w:hint="eastAsia"/>
                      <w:szCs w:val="21"/>
                      <w:highlight w:val="none"/>
                      <w:lang w:val="en-US" w:eastAsia="zh-CN"/>
                    </w:rPr>
                    <w:t>噪声源主要为甲烷气压缩机，选择低噪声设备</w:t>
                  </w:r>
                  <w:r>
                    <w:rPr>
                      <w:rFonts w:hint="eastAsia"/>
                      <w:szCs w:val="21"/>
                      <w:highlight w:val="none"/>
                    </w:rPr>
                    <w:t>。</w:t>
                  </w:r>
                </w:p>
              </w:tc>
              <w:tc>
                <w:tcPr>
                  <w:tcW w:w="919" w:type="dxa"/>
                  <w:noWrap w:val="0"/>
                  <w:vAlign w:val="center"/>
                </w:tcPr>
                <w:p w14:paraId="2DDFE11E">
                  <w:pPr>
                    <w:jc w:val="center"/>
                    <w:rPr>
                      <w:szCs w:val="21"/>
                      <w:highlight w:val="none"/>
                    </w:rPr>
                  </w:pPr>
                  <w:r>
                    <w:rPr>
                      <w:rFonts w:hint="eastAsia"/>
                      <w:szCs w:val="21"/>
                      <w:highlight w:val="none"/>
                      <w:lang w:val="en-US" w:eastAsia="zh-CN"/>
                    </w:rPr>
                    <w:t>新建</w:t>
                  </w:r>
                </w:p>
              </w:tc>
            </w:tr>
            <w:tr w14:paraId="2238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3257A6B7">
                  <w:pPr>
                    <w:rPr>
                      <w:szCs w:val="21"/>
                      <w:highlight w:val="none"/>
                    </w:rPr>
                  </w:pPr>
                </w:p>
              </w:tc>
              <w:tc>
                <w:tcPr>
                  <w:tcW w:w="426" w:type="dxa"/>
                  <w:vMerge w:val="continue"/>
                  <w:noWrap w:val="0"/>
                  <w:vAlign w:val="center"/>
                </w:tcPr>
                <w:p w14:paraId="46C01399">
                  <w:pPr>
                    <w:rPr>
                      <w:szCs w:val="21"/>
                      <w:highlight w:val="none"/>
                    </w:rPr>
                  </w:pPr>
                </w:p>
              </w:tc>
              <w:tc>
                <w:tcPr>
                  <w:tcW w:w="633" w:type="dxa"/>
                  <w:noWrap w:val="0"/>
                  <w:vAlign w:val="center"/>
                </w:tcPr>
                <w:p w14:paraId="4FED19D1">
                  <w:pPr>
                    <w:jc w:val="center"/>
                    <w:rPr>
                      <w:rFonts w:hint="eastAsia"/>
                      <w:szCs w:val="21"/>
                      <w:highlight w:val="none"/>
                    </w:rPr>
                  </w:pPr>
                  <w:r>
                    <w:rPr>
                      <w:rFonts w:hint="eastAsia"/>
                      <w:szCs w:val="21"/>
                      <w:highlight w:val="none"/>
                    </w:rPr>
                    <w:t>固废</w:t>
                  </w:r>
                </w:p>
              </w:tc>
              <w:tc>
                <w:tcPr>
                  <w:tcW w:w="5850" w:type="dxa"/>
                  <w:noWrap w:val="0"/>
                  <w:vAlign w:val="center"/>
                </w:tcPr>
                <w:p w14:paraId="31DD7AF6">
                  <w:pPr>
                    <w:jc w:val="center"/>
                    <w:rPr>
                      <w:szCs w:val="21"/>
                      <w:highlight w:val="none"/>
                    </w:rPr>
                  </w:pPr>
                  <w:r>
                    <w:rPr>
                      <w:rFonts w:hint="eastAsia"/>
                      <w:szCs w:val="21"/>
                      <w:highlight w:val="none"/>
                    </w:rPr>
                    <w:t>本项目</w:t>
                  </w:r>
                  <w:r>
                    <w:rPr>
                      <w:rFonts w:hint="eastAsia"/>
                      <w:szCs w:val="21"/>
                      <w:highlight w:val="none"/>
                      <w:lang w:val="en-US" w:eastAsia="zh-CN"/>
                    </w:rPr>
                    <w:t>运营期间</w:t>
                  </w:r>
                  <w:r>
                    <w:rPr>
                      <w:rFonts w:hint="eastAsia"/>
                      <w:szCs w:val="21"/>
                      <w:highlight w:val="none"/>
                    </w:rPr>
                    <w:t>无固废产生。</w:t>
                  </w:r>
                </w:p>
              </w:tc>
              <w:tc>
                <w:tcPr>
                  <w:tcW w:w="919" w:type="dxa"/>
                  <w:noWrap w:val="0"/>
                  <w:vAlign w:val="center"/>
                </w:tcPr>
                <w:p w14:paraId="26F48DC2">
                  <w:pPr>
                    <w:jc w:val="center"/>
                    <w:rPr>
                      <w:rFonts w:hint="eastAsia" w:eastAsia="宋体"/>
                      <w:szCs w:val="21"/>
                      <w:highlight w:val="none"/>
                      <w:lang w:val="en-US" w:eastAsia="zh-CN"/>
                    </w:rPr>
                  </w:pPr>
                  <w:r>
                    <w:rPr>
                      <w:rFonts w:hint="eastAsia"/>
                      <w:szCs w:val="21"/>
                      <w:highlight w:val="none"/>
                      <w:lang w:val="en-US" w:eastAsia="zh-CN"/>
                    </w:rPr>
                    <w:t>/</w:t>
                  </w:r>
                </w:p>
              </w:tc>
            </w:tr>
            <w:tr w14:paraId="4121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2165F485">
                  <w:pPr>
                    <w:rPr>
                      <w:szCs w:val="21"/>
                      <w:highlight w:val="none"/>
                    </w:rPr>
                  </w:pPr>
                </w:p>
              </w:tc>
              <w:tc>
                <w:tcPr>
                  <w:tcW w:w="426" w:type="dxa"/>
                  <w:vMerge w:val="continue"/>
                  <w:noWrap w:val="0"/>
                  <w:vAlign w:val="center"/>
                </w:tcPr>
                <w:p w14:paraId="52479F4E">
                  <w:pPr>
                    <w:rPr>
                      <w:color w:val="0000FF"/>
                      <w:szCs w:val="21"/>
                      <w:highlight w:val="none"/>
                    </w:rPr>
                  </w:pPr>
                </w:p>
              </w:tc>
              <w:tc>
                <w:tcPr>
                  <w:tcW w:w="633" w:type="dxa"/>
                  <w:noWrap w:val="0"/>
                  <w:vAlign w:val="center"/>
                </w:tcPr>
                <w:p w14:paraId="7BF40986">
                  <w:pPr>
                    <w:jc w:val="center"/>
                    <w:rPr>
                      <w:rFonts w:hint="eastAsia"/>
                      <w:szCs w:val="21"/>
                      <w:highlight w:val="none"/>
                    </w:rPr>
                  </w:pPr>
                  <w:r>
                    <w:rPr>
                      <w:rFonts w:hint="eastAsia"/>
                      <w:szCs w:val="21"/>
                      <w:highlight w:val="none"/>
                    </w:rPr>
                    <w:t>环境风险</w:t>
                  </w:r>
                </w:p>
              </w:tc>
              <w:tc>
                <w:tcPr>
                  <w:tcW w:w="5850" w:type="dxa"/>
                  <w:noWrap w:val="0"/>
                  <w:vAlign w:val="center"/>
                </w:tcPr>
                <w:p w14:paraId="7484E045">
                  <w:pPr>
                    <w:jc w:val="center"/>
                    <w:rPr>
                      <w:szCs w:val="21"/>
                      <w:highlight w:val="none"/>
                    </w:rPr>
                  </w:pPr>
                  <w:r>
                    <w:rPr>
                      <w:rFonts w:hint="eastAsia"/>
                      <w:szCs w:val="21"/>
                      <w:highlight w:val="none"/>
                    </w:rPr>
                    <w:t>严格按照相关要求进行设计、施工、管理和维护。管线采用法兰连接和焊接方式，</w:t>
                  </w:r>
                  <w:r>
                    <w:rPr>
                      <w:rFonts w:hint="eastAsia"/>
                      <w:szCs w:val="21"/>
                      <w:highlight w:val="none"/>
                      <w:lang w:val="en-US" w:eastAsia="zh-CN"/>
                    </w:rPr>
                    <w:t>项目管道架空敷设，其中为了便于计量和快速切断，在合成脱碳尾气、未变换净化气、WRT甲烷气、回用水、富甲烷气等管道上设置快速切断阀，WRT甲烷气和污水2管线设置压力调节阀组和流量计，其他工艺和公用工程管道仅设置流量计用于计量结算，管线末端设置手动切断阀组。在物料输出端和接收端设置中控系统和紧急切断阀，阀门和仪表的控制信号接入伊泰化工公司DCS系统</w:t>
                  </w:r>
                  <w:r>
                    <w:rPr>
                      <w:rFonts w:hint="eastAsia"/>
                      <w:szCs w:val="21"/>
                      <w:highlight w:val="none"/>
                    </w:rPr>
                    <w:t>。</w:t>
                  </w:r>
                  <w:r>
                    <w:rPr>
                      <w:rFonts w:hint="eastAsia"/>
                      <w:szCs w:val="21"/>
                      <w:highlight w:val="none"/>
                      <w:lang w:val="en-US" w:eastAsia="zh-CN"/>
                    </w:rPr>
                    <w:t>本项目</w:t>
                  </w:r>
                  <w:r>
                    <w:rPr>
                      <w:rFonts w:hint="eastAsia"/>
                      <w:szCs w:val="21"/>
                      <w:highlight w:val="none"/>
                    </w:rPr>
                    <w:t>依托</w:t>
                  </w:r>
                  <w:r>
                    <w:rPr>
                      <w:rFonts w:hint="eastAsia"/>
                      <w:szCs w:val="21"/>
                      <w:highlight w:val="none"/>
                      <w:lang w:val="en-US" w:eastAsia="zh-CN"/>
                    </w:rPr>
                    <w:t>内蒙古伊泰化工有限责任公司</w:t>
                  </w:r>
                  <w:r>
                    <w:rPr>
                      <w:rFonts w:hint="eastAsia"/>
                      <w:szCs w:val="21"/>
                      <w:highlight w:val="none"/>
                    </w:rPr>
                    <w:t>应急物资，详见环境风险专项评价。</w:t>
                  </w:r>
                </w:p>
              </w:tc>
              <w:tc>
                <w:tcPr>
                  <w:tcW w:w="919" w:type="dxa"/>
                  <w:noWrap w:val="0"/>
                  <w:vAlign w:val="center"/>
                </w:tcPr>
                <w:p w14:paraId="61E90455">
                  <w:pPr>
                    <w:jc w:val="center"/>
                    <w:rPr>
                      <w:szCs w:val="21"/>
                      <w:highlight w:val="none"/>
                    </w:rPr>
                  </w:pPr>
                  <w:r>
                    <w:rPr>
                      <w:rFonts w:hint="eastAsia"/>
                      <w:szCs w:val="21"/>
                      <w:highlight w:val="none"/>
                      <w:lang w:val="en-US" w:eastAsia="zh-CN"/>
                    </w:rPr>
                    <w:t>依托+新建</w:t>
                  </w:r>
                </w:p>
              </w:tc>
            </w:tr>
            <w:tr w14:paraId="4764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3DFA967E">
                  <w:pPr>
                    <w:rPr>
                      <w:szCs w:val="21"/>
                      <w:highlight w:val="none"/>
                    </w:rPr>
                  </w:pPr>
                </w:p>
              </w:tc>
              <w:tc>
                <w:tcPr>
                  <w:tcW w:w="426" w:type="dxa"/>
                  <w:vMerge w:val="restart"/>
                  <w:noWrap w:val="0"/>
                  <w:vAlign w:val="center"/>
                </w:tcPr>
                <w:p w14:paraId="037FEB26">
                  <w:pPr>
                    <w:rPr>
                      <w:color w:val="0000FF"/>
                      <w:szCs w:val="21"/>
                      <w:highlight w:val="none"/>
                    </w:rPr>
                  </w:pPr>
                  <w:r>
                    <w:rPr>
                      <w:rFonts w:hint="eastAsia"/>
                      <w:szCs w:val="21"/>
                      <w:highlight w:val="none"/>
                    </w:rPr>
                    <w:t>施工期</w:t>
                  </w:r>
                </w:p>
              </w:tc>
              <w:tc>
                <w:tcPr>
                  <w:tcW w:w="633" w:type="dxa"/>
                  <w:noWrap w:val="0"/>
                  <w:vAlign w:val="center"/>
                </w:tcPr>
                <w:p w14:paraId="1AB0FD63">
                  <w:pPr>
                    <w:jc w:val="center"/>
                    <w:rPr>
                      <w:rFonts w:hint="eastAsia"/>
                      <w:szCs w:val="21"/>
                      <w:highlight w:val="none"/>
                    </w:rPr>
                  </w:pPr>
                  <w:r>
                    <w:rPr>
                      <w:rFonts w:hint="eastAsia"/>
                      <w:szCs w:val="21"/>
                      <w:highlight w:val="none"/>
                    </w:rPr>
                    <w:t>废气</w:t>
                  </w:r>
                </w:p>
              </w:tc>
              <w:tc>
                <w:tcPr>
                  <w:tcW w:w="5850" w:type="dxa"/>
                  <w:noWrap w:val="0"/>
                  <w:vAlign w:val="center"/>
                </w:tcPr>
                <w:p w14:paraId="3102410C">
                  <w:pPr>
                    <w:jc w:val="center"/>
                    <w:rPr>
                      <w:szCs w:val="21"/>
                      <w:highlight w:val="none"/>
                    </w:rPr>
                  </w:pPr>
                  <w:r>
                    <w:rPr>
                      <w:rFonts w:hint="eastAsia"/>
                      <w:szCs w:val="21"/>
                      <w:highlight w:val="none"/>
                    </w:rPr>
                    <w:t>洒水降尘、车辆减速慢行</w:t>
                  </w:r>
                  <w:r>
                    <w:rPr>
                      <w:szCs w:val="21"/>
                      <w:highlight w:val="none"/>
                    </w:rPr>
                    <w:t>。</w:t>
                  </w:r>
                </w:p>
              </w:tc>
              <w:tc>
                <w:tcPr>
                  <w:tcW w:w="919" w:type="dxa"/>
                  <w:noWrap w:val="0"/>
                  <w:vAlign w:val="center"/>
                </w:tcPr>
                <w:p w14:paraId="44AE0032">
                  <w:pPr>
                    <w:jc w:val="center"/>
                    <w:rPr>
                      <w:rFonts w:hint="eastAsia" w:eastAsia="宋体"/>
                      <w:szCs w:val="21"/>
                      <w:highlight w:val="none"/>
                      <w:lang w:val="en-US" w:eastAsia="zh-CN"/>
                    </w:rPr>
                  </w:pPr>
                  <w:r>
                    <w:rPr>
                      <w:rFonts w:hint="eastAsia"/>
                      <w:szCs w:val="21"/>
                      <w:highlight w:val="none"/>
                      <w:lang w:val="en-US" w:eastAsia="zh-CN"/>
                    </w:rPr>
                    <w:t>/</w:t>
                  </w:r>
                </w:p>
              </w:tc>
            </w:tr>
            <w:tr w14:paraId="1715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6BDA0AF2">
                  <w:pPr>
                    <w:rPr>
                      <w:szCs w:val="21"/>
                      <w:highlight w:val="none"/>
                    </w:rPr>
                  </w:pPr>
                </w:p>
              </w:tc>
              <w:tc>
                <w:tcPr>
                  <w:tcW w:w="426" w:type="dxa"/>
                  <w:vMerge w:val="continue"/>
                  <w:noWrap w:val="0"/>
                  <w:vAlign w:val="center"/>
                </w:tcPr>
                <w:p w14:paraId="0A37A71D">
                  <w:pPr>
                    <w:rPr>
                      <w:rFonts w:hint="eastAsia"/>
                      <w:color w:val="0000FF"/>
                      <w:szCs w:val="21"/>
                      <w:highlight w:val="none"/>
                    </w:rPr>
                  </w:pPr>
                </w:p>
              </w:tc>
              <w:tc>
                <w:tcPr>
                  <w:tcW w:w="633" w:type="dxa"/>
                  <w:noWrap w:val="0"/>
                  <w:vAlign w:val="center"/>
                </w:tcPr>
                <w:p w14:paraId="3A625654">
                  <w:pPr>
                    <w:jc w:val="center"/>
                    <w:rPr>
                      <w:szCs w:val="21"/>
                      <w:highlight w:val="none"/>
                    </w:rPr>
                  </w:pPr>
                  <w:r>
                    <w:rPr>
                      <w:rFonts w:hint="eastAsia"/>
                      <w:szCs w:val="21"/>
                      <w:highlight w:val="none"/>
                    </w:rPr>
                    <w:t>废水</w:t>
                  </w:r>
                </w:p>
              </w:tc>
              <w:tc>
                <w:tcPr>
                  <w:tcW w:w="5850" w:type="dxa"/>
                  <w:noWrap w:val="0"/>
                  <w:vAlign w:val="center"/>
                </w:tcPr>
                <w:p w14:paraId="135DEF4E">
                  <w:pPr>
                    <w:jc w:val="center"/>
                    <w:rPr>
                      <w:szCs w:val="21"/>
                      <w:highlight w:val="none"/>
                    </w:rPr>
                  </w:pPr>
                  <w:r>
                    <w:rPr>
                      <w:rFonts w:hint="eastAsia"/>
                      <w:color w:val="auto"/>
                      <w:szCs w:val="21"/>
                      <w:highlight w:val="none"/>
                      <w:lang w:val="en-US" w:eastAsia="zh-CN"/>
                    </w:rPr>
                    <w:t>试压</w:t>
                  </w:r>
                  <w:r>
                    <w:rPr>
                      <w:rFonts w:hint="eastAsia"/>
                      <w:color w:val="auto"/>
                      <w:szCs w:val="21"/>
                      <w:highlight w:val="none"/>
                    </w:rPr>
                    <w:t>废水</w:t>
                  </w:r>
                  <w:r>
                    <w:rPr>
                      <w:rFonts w:hint="eastAsia"/>
                      <w:color w:val="auto"/>
                      <w:szCs w:val="21"/>
                      <w:highlight w:val="none"/>
                      <w:lang w:val="en-US" w:eastAsia="zh-CN"/>
                    </w:rPr>
                    <w:t>产生后通过罐车运输至伊泰化工</w:t>
                  </w:r>
                  <w:r>
                    <w:rPr>
                      <w:rFonts w:hint="eastAsia"/>
                      <w:color w:val="auto"/>
                      <w:szCs w:val="21"/>
                      <w:highlight w:val="none"/>
                    </w:rPr>
                    <w:t>厂区内现有污水处理站废水处理及回用清净废水处理单元，处理后回用，不外排。</w:t>
                  </w:r>
                </w:p>
              </w:tc>
              <w:tc>
                <w:tcPr>
                  <w:tcW w:w="919" w:type="dxa"/>
                  <w:noWrap w:val="0"/>
                  <w:vAlign w:val="center"/>
                </w:tcPr>
                <w:p w14:paraId="6FAAE239">
                  <w:pPr>
                    <w:jc w:val="center"/>
                    <w:rPr>
                      <w:szCs w:val="21"/>
                      <w:highlight w:val="none"/>
                    </w:rPr>
                  </w:pPr>
                  <w:r>
                    <w:rPr>
                      <w:rFonts w:hint="eastAsia"/>
                      <w:szCs w:val="21"/>
                      <w:highlight w:val="none"/>
                    </w:rPr>
                    <w:t>依托</w:t>
                  </w:r>
                </w:p>
              </w:tc>
            </w:tr>
            <w:tr w14:paraId="4947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1E38305C">
                  <w:pPr>
                    <w:rPr>
                      <w:szCs w:val="21"/>
                      <w:highlight w:val="none"/>
                    </w:rPr>
                  </w:pPr>
                </w:p>
              </w:tc>
              <w:tc>
                <w:tcPr>
                  <w:tcW w:w="426" w:type="dxa"/>
                  <w:vMerge w:val="continue"/>
                  <w:noWrap w:val="0"/>
                  <w:vAlign w:val="center"/>
                </w:tcPr>
                <w:p w14:paraId="750E13CA">
                  <w:pPr>
                    <w:rPr>
                      <w:rFonts w:hint="eastAsia"/>
                      <w:color w:val="0000FF"/>
                      <w:szCs w:val="21"/>
                      <w:highlight w:val="none"/>
                    </w:rPr>
                  </w:pPr>
                </w:p>
              </w:tc>
              <w:tc>
                <w:tcPr>
                  <w:tcW w:w="633" w:type="dxa"/>
                  <w:noWrap w:val="0"/>
                  <w:vAlign w:val="center"/>
                </w:tcPr>
                <w:p w14:paraId="3DE0BD9B">
                  <w:pPr>
                    <w:jc w:val="center"/>
                    <w:rPr>
                      <w:szCs w:val="21"/>
                      <w:highlight w:val="none"/>
                    </w:rPr>
                  </w:pPr>
                  <w:r>
                    <w:rPr>
                      <w:rFonts w:hint="eastAsia"/>
                      <w:szCs w:val="21"/>
                      <w:highlight w:val="none"/>
                    </w:rPr>
                    <w:t>噪声</w:t>
                  </w:r>
                </w:p>
              </w:tc>
              <w:tc>
                <w:tcPr>
                  <w:tcW w:w="5850" w:type="dxa"/>
                  <w:noWrap w:val="0"/>
                  <w:vAlign w:val="center"/>
                </w:tcPr>
                <w:p w14:paraId="286A3540">
                  <w:pPr>
                    <w:jc w:val="center"/>
                    <w:rPr>
                      <w:szCs w:val="21"/>
                      <w:highlight w:val="none"/>
                    </w:rPr>
                  </w:pPr>
                  <w:r>
                    <w:rPr>
                      <w:rFonts w:hint="eastAsia"/>
                      <w:szCs w:val="21"/>
                      <w:highlight w:val="none"/>
                    </w:rPr>
                    <w:t>施工车辆减速慢行，加强施工设备的维护避免异常噪声排放。</w:t>
                  </w:r>
                </w:p>
              </w:tc>
              <w:tc>
                <w:tcPr>
                  <w:tcW w:w="919" w:type="dxa"/>
                  <w:noWrap w:val="0"/>
                  <w:vAlign w:val="center"/>
                </w:tcPr>
                <w:p w14:paraId="17F7408A">
                  <w:pPr>
                    <w:jc w:val="center"/>
                    <w:rPr>
                      <w:szCs w:val="21"/>
                      <w:highlight w:val="none"/>
                    </w:rPr>
                  </w:pPr>
                  <w:r>
                    <w:rPr>
                      <w:rFonts w:hint="eastAsia"/>
                      <w:szCs w:val="21"/>
                      <w:highlight w:val="none"/>
                      <w:lang w:val="en-US" w:eastAsia="zh-CN"/>
                    </w:rPr>
                    <w:t>新建</w:t>
                  </w:r>
                </w:p>
              </w:tc>
            </w:tr>
            <w:tr w14:paraId="2164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79D7BB19">
                  <w:pPr>
                    <w:rPr>
                      <w:szCs w:val="21"/>
                      <w:highlight w:val="none"/>
                    </w:rPr>
                  </w:pPr>
                </w:p>
              </w:tc>
              <w:tc>
                <w:tcPr>
                  <w:tcW w:w="426" w:type="dxa"/>
                  <w:vMerge w:val="continue"/>
                  <w:noWrap w:val="0"/>
                  <w:vAlign w:val="center"/>
                </w:tcPr>
                <w:p w14:paraId="09B194C7">
                  <w:pPr>
                    <w:rPr>
                      <w:rFonts w:hint="eastAsia"/>
                      <w:color w:val="0000FF"/>
                      <w:szCs w:val="21"/>
                      <w:highlight w:val="none"/>
                    </w:rPr>
                  </w:pPr>
                </w:p>
              </w:tc>
              <w:tc>
                <w:tcPr>
                  <w:tcW w:w="633" w:type="dxa"/>
                  <w:noWrap w:val="0"/>
                  <w:vAlign w:val="center"/>
                </w:tcPr>
                <w:p w14:paraId="212C9D45">
                  <w:pPr>
                    <w:jc w:val="center"/>
                    <w:rPr>
                      <w:szCs w:val="21"/>
                      <w:highlight w:val="none"/>
                    </w:rPr>
                  </w:pPr>
                  <w:r>
                    <w:rPr>
                      <w:rFonts w:hint="eastAsia"/>
                      <w:szCs w:val="21"/>
                      <w:highlight w:val="none"/>
                    </w:rPr>
                    <w:t>固废</w:t>
                  </w:r>
                </w:p>
              </w:tc>
              <w:tc>
                <w:tcPr>
                  <w:tcW w:w="5850" w:type="dxa"/>
                  <w:noWrap w:val="0"/>
                  <w:vAlign w:val="center"/>
                </w:tcPr>
                <w:p w14:paraId="2D568A0B">
                  <w:pPr>
                    <w:jc w:val="center"/>
                    <w:rPr>
                      <w:szCs w:val="21"/>
                      <w:highlight w:val="none"/>
                    </w:rPr>
                  </w:pPr>
                  <w:r>
                    <w:rPr>
                      <w:rFonts w:hint="eastAsia"/>
                      <w:szCs w:val="21"/>
                      <w:highlight w:val="none"/>
                    </w:rPr>
                    <w:t>施工期产生的建筑垃圾运送至就近的建筑垃圾处理厂统一处理，废油漆桶暂存</w:t>
                  </w:r>
                  <w:r>
                    <w:rPr>
                      <w:rFonts w:hint="eastAsia"/>
                      <w:highlight w:val="none"/>
                      <w:lang w:val="en-US" w:eastAsia="zh-CN"/>
                    </w:rPr>
                    <w:t>于伊泰化工</w:t>
                  </w:r>
                  <w:r>
                    <w:rPr>
                      <w:rFonts w:hint="eastAsia"/>
                      <w:szCs w:val="21"/>
                      <w:highlight w:val="none"/>
                    </w:rPr>
                    <w:t>危废间</w:t>
                  </w:r>
                  <w:r>
                    <w:rPr>
                      <w:rFonts w:hint="eastAsia"/>
                      <w:szCs w:val="21"/>
                      <w:highlight w:val="none"/>
                      <w:lang w:eastAsia="zh-CN"/>
                    </w:rPr>
                    <w:t>，</w:t>
                  </w:r>
                  <w:r>
                    <w:rPr>
                      <w:rFonts w:hint="eastAsia"/>
                      <w:szCs w:val="21"/>
                      <w:highlight w:val="none"/>
                      <w:lang w:val="en-US" w:eastAsia="zh-CN"/>
                    </w:rPr>
                    <w:t>后</w:t>
                  </w:r>
                  <w:r>
                    <w:rPr>
                      <w:rFonts w:hint="eastAsia"/>
                      <w:szCs w:val="21"/>
                      <w:highlight w:val="none"/>
                    </w:rPr>
                    <w:t>交由有资质的单位处理，生活垃圾经收集后</w:t>
                  </w:r>
                  <w:r>
                    <w:rPr>
                      <w:rFonts w:hint="eastAsia"/>
                      <w:szCs w:val="21"/>
                      <w:highlight w:val="none"/>
                      <w:lang w:eastAsia="zh-CN"/>
                    </w:rPr>
                    <w:t>由</w:t>
                  </w:r>
                  <w:r>
                    <w:rPr>
                      <w:rFonts w:hint="eastAsia"/>
                      <w:szCs w:val="21"/>
                      <w:highlight w:val="none"/>
                      <w:lang w:val="en-US" w:eastAsia="zh-CN"/>
                    </w:rPr>
                    <w:t>环卫部门</w:t>
                  </w:r>
                  <w:r>
                    <w:rPr>
                      <w:rFonts w:hint="eastAsia"/>
                      <w:szCs w:val="21"/>
                      <w:highlight w:val="none"/>
                    </w:rPr>
                    <w:t>统一处理。</w:t>
                  </w:r>
                </w:p>
              </w:tc>
              <w:tc>
                <w:tcPr>
                  <w:tcW w:w="919" w:type="dxa"/>
                  <w:noWrap w:val="0"/>
                  <w:vAlign w:val="center"/>
                </w:tcPr>
                <w:p w14:paraId="39A5A4B4">
                  <w:pPr>
                    <w:jc w:val="center"/>
                    <w:rPr>
                      <w:szCs w:val="21"/>
                      <w:highlight w:val="none"/>
                    </w:rPr>
                  </w:pPr>
                  <w:r>
                    <w:rPr>
                      <w:rFonts w:hint="eastAsia"/>
                      <w:szCs w:val="21"/>
                      <w:highlight w:val="none"/>
                    </w:rPr>
                    <w:t>依托</w:t>
                  </w:r>
                </w:p>
              </w:tc>
            </w:tr>
            <w:tr w14:paraId="72BB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32FC09FB">
                  <w:pPr>
                    <w:rPr>
                      <w:szCs w:val="21"/>
                      <w:highlight w:val="none"/>
                    </w:rPr>
                  </w:pPr>
                </w:p>
              </w:tc>
              <w:tc>
                <w:tcPr>
                  <w:tcW w:w="426" w:type="dxa"/>
                  <w:vMerge w:val="continue"/>
                  <w:noWrap w:val="0"/>
                  <w:vAlign w:val="center"/>
                </w:tcPr>
                <w:p w14:paraId="6342571D">
                  <w:pPr>
                    <w:rPr>
                      <w:rFonts w:hint="eastAsia"/>
                      <w:color w:val="0000FF"/>
                      <w:szCs w:val="21"/>
                      <w:highlight w:val="none"/>
                    </w:rPr>
                  </w:pPr>
                </w:p>
              </w:tc>
              <w:tc>
                <w:tcPr>
                  <w:tcW w:w="633" w:type="dxa"/>
                  <w:noWrap w:val="0"/>
                  <w:vAlign w:val="center"/>
                </w:tcPr>
                <w:p w14:paraId="290840B2">
                  <w:pPr>
                    <w:jc w:val="center"/>
                    <w:rPr>
                      <w:szCs w:val="21"/>
                      <w:highlight w:val="none"/>
                    </w:rPr>
                  </w:pPr>
                  <w:r>
                    <w:rPr>
                      <w:rFonts w:hint="eastAsia"/>
                      <w:szCs w:val="21"/>
                      <w:highlight w:val="none"/>
                    </w:rPr>
                    <w:t>生态</w:t>
                  </w:r>
                </w:p>
              </w:tc>
              <w:tc>
                <w:tcPr>
                  <w:tcW w:w="5850" w:type="dxa"/>
                  <w:noWrap w:val="0"/>
                  <w:vAlign w:val="center"/>
                </w:tcPr>
                <w:p w14:paraId="6C62FE4F">
                  <w:pPr>
                    <w:jc w:val="center"/>
                    <w:rPr>
                      <w:szCs w:val="21"/>
                      <w:highlight w:val="none"/>
                    </w:rPr>
                  </w:pPr>
                  <w:r>
                    <w:rPr>
                      <w:rFonts w:hint="eastAsia"/>
                      <w:szCs w:val="21"/>
                      <w:highlight w:val="none"/>
                    </w:rPr>
                    <w:t>尽量减少临时工程占地面积</w:t>
                  </w:r>
                </w:p>
              </w:tc>
              <w:tc>
                <w:tcPr>
                  <w:tcW w:w="919" w:type="dxa"/>
                  <w:noWrap w:val="0"/>
                  <w:vAlign w:val="center"/>
                </w:tcPr>
                <w:p w14:paraId="061DCC14">
                  <w:pPr>
                    <w:jc w:val="center"/>
                    <w:rPr>
                      <w:rFonts w:hint="eastAsia" w:eastAsia="宋体"/>
                      <w:szCs w:val="21"/>
                      <w:highlight w:val="none"/>
                      <w:lang w:val="en-US" w:eastAsia="zh-CN"/>
                    </w:rPr>
                  </w:pPr>
                  <w:r>
                    <w:rPr>
                      <w:rFonts w:hint="eastAsia"/>
                      <w:szCs w:val="21"/>
                      <w:highlight w:val="none"/>
                      <w:lang w:val="en-US" w:eastAsia="zh-CN"/>
                    </w:rPr>
                    <w:t>/</w:t>
                  </w:r>
                </w:p>
              </w:tc>
            </w:tr>
            <w:tr w14:paraId="4DE8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restart"/>
                  <w:noWrap w:val="0"/>
                  <w:vAlign w:val="center"/>
                </w:tcPr>
                <w:p w14:paraId="4AC93E27">
                  <w:pPr>
                    <w:rPr>
                      <w:szCs w:val="21"/>
                      <w:highlight w:val="none"/>
                    </w:rPr>
                  </w:pPr>
                  <w:r>
                    <w:rPr>
                      <w:rFonts w:hint="eastAsia"/>
                      <w:szCs w:val="21"/>
                      <w:highlight w:val="none"/>
                    </w:rPr>
                    <w:t>依托工程</w:t>
                  </w:r>
                </w:p>
              </w:tc>
              <w:tc>
                <w:tcPr>
                  <w:tcW w:w="1059" w:type="dxa"/>
                  <w:gridSpan w:val="2"/>
                  <w:noWrap w:val="0"/>
                  <w:vAlign w:val="center"/>
                </w:tcPr>
                <w:p w14:paraId="5B1E3F2E">
                  <w:pPr>
                    <w:jc w:val="center"/>
                    <w:rPr>
                      <w:szCs w:val="21"/>
                      <w:highlight w:val="none"/>
                    </w:rPr>
                  </w:pPr>
                  <w:r>
                    <w:rPr>
                      <w:rFonts w:hint="eastAsia"/>
                      <w:szCs w:val="21"/>
                      <w:highlight w:val="none"/>
                    </w:rPr>
                    <w:t>风险防控系统</w:t>
                  </w:r>
                </w:p>
              </w:tc>
              <w:tc>
                <w:tcPr>
                  <w:tcW w:w="5850" w:type="dxa"/>
                  <w:noWrap w:val="0"/>
                  <w:vAlign w:val="center"/>
                </w:tcPr>
                <w:p w14:paraId="7D0E0970">
                  <w:pPr>
                    <w:jc w:val="center"/>
                    <w:rPr>
                      <w:szCs w:val="21"/>
                      <w:highlight w:val="none"/>
                    </w:rPr>
                  </w:pPr>
                  <w:r>
                    <w:rPr>
                      <w:szCs w:val="21"/>
                      <w:highlight w:val="none"/>
                    </w:rPr>
                    <w:t>保证施工质量，避免或减少事故的发生。在管道附近</w:t>
                  </w:r>
                  <w:r>
                    <w:rPr>
                      <w:rFonts w:hint="eastAsia"/>
                      <w:szCs w:val="21"/>
                      <w:highlight w:val="none"/>
                      <w:lang w:val="en-US" w:eastAsia="zh-CN"/>
                    </w:rPr>
                    <w:t>设置</w:t>
                  </w:r>
                  <w:r>
                    <w:rPr>
                      <w:szCs w:val="21"/>
                      <w:highlight w:val="none"/>
                    </w:rPr>
                    <w:t>安全标识，防止人为破坏等。运营期间及时对管道进行</w:t>
                  </w:r>
                  <w:r>
                    <w:rPr>
                      <w:rFonts w:hint="eastAsia"/>
                      <w:szCs w:val="21"/>
                      <w:highlight w:val="none"/>
                      <w:lang w:val="en-US" w:eastAsia="zh-CN"/>
                    </w:rPr>
                    <w:t>泄漏</w:t>
                  </w:r>
                  <w:r>
                    <w:rPr>
                      <w:szCs w:val="21"/>
                      <w:highlight w:val="none"/>
                    </w:rPr>
                    <w:t>性检查，若发现</w:t>
                  </w:r>
                  <w:r>
                    <w:rPr>
                      <w:rFonts w:hint="eastAsia"/>
                      <w:szCs w:val="21"/>
                      <w:highlight w:val="none"/>
                      <w:lang w:val="en-US" w:eastAsia="zh-CN"/>
                    </w:rPr>
                    <w:t>泄漏</w:t>
                  </w:r>
                  <w:r>
                    <w:rPr>
                      <w:szCs w:val="21"/>
                      <w:highlight w:val="none"/>
                    </w:rPr>
                    <w:t>及时修复，建立完善的泄漏检查制度。如突发火灾，应迅速按应急预案紧急处理。制定严格的消防管理制度，在厂区内配备泡沫炮、灭火栓、干粉灭火器</w:t>
                  </w:r>
                  <w:r>
                    <w:rPr>
                      <w:rFonts w:hint="eastAsia"/>
                      <w:szCs w:val="21"/>
                      <w:highlight w:val="none"/>
                      <w:lang w:eastAsia="zh-CN"/>
                    </w:rPr>
                    <w:t>和</w:t>
                  </w:r>
                  <w:r>
                    <w:rPr>
                      <w:szCs w:val="21"/>
                      <w:highlight w:val="none"/>
                    </w:rPr>
                    <w:t>灭火沙箱等消防器材，定期组织消防演练。</w:t>
                  </w:r>
                </w:p>
              </w:tc>
              <w:tc>
                <w:tcPr>
                  <w:tcW w:w="919" w:type="dxa"/>
                  <w:vMerge w:val="restart"/>
                  <w:noWrap w:val="0"/>
                  <w:vAlign w:val="center"/>
                </w:tcPr>
                <w:p w14:paraId="7A9A47DA">
                  <w:pPr>
                    <w:jc w:val="center"/>
                    <w:rPr>
                      <w:rFonts w:hint="eastAsia" w:eastAsia="宋体"/>
                      <w:szCs w:val="21"/>
                      <w:highlight w:val="none"/>
                      <w:lang w:val="en-US" w:eastAsia="zh-CN"/>
                    </w:rPr>
                  </w:pPr>
                  <w:r>
                    <w:rPr>
                      <w:rFonts w:hint="eastAsia"/>
                      <w:szCs w:val="21"/>
                      <w:highlight w:val="none"/>
                      <w:lang w:val="en-US" w:eastAsia="zh-CN"/>
                    </w:rPr>
                    <w:t>依托</w:t>
                  </w:r>
                </w:p>
              </w:tc>
            </w:tr>
            <w:tr w14:paraId="12EF2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vMerge w:val="continue"/>
                  <w:noWrap w:val="0"/>
                  <w:vAlign w:val="center"/>
                </w:tcPr>
                <w:p w14:paraId="3E063EF8">
                  <w:pPr>
                    <w:rPr>
                      <w:rFonts w:hint="eastAsia"/>
                      <w:szCs w:val="21"/>
                      <w:highlight w:val="none"/>
                    </w:rPr>
                  </w:pPr>
                </w:p>
              </w:tc>
              <w:tc>
                <w:tcPr>
                  <w:tcW w:w="1059" w:type="dxa"/>
                  <w:gridSpan w:val="2"/>
                  <w:noWrap w:val="0"/>
                  <w:vAlign w:val="center"/>
                </w:tcPr>
                <w:p w14:paraId="4E704BD4">
                  <w:pPr>
                    <w:jc w:val="center"/>
                    <w:rPr>
                      <w:rFonts w:hint="eastAsia"/>
                      <w:szCs w:val="21"/>
                      <w:highlight w:val="none"/>
                    </w:rPr>
                  </w:pPr>
                  <w:r>
                    <w:rPr>
                      <w:rFonts w:hint="eastAsia"/>
                      <w:szCs w:val="21"/>
                      <w:highlight w:val="none"/>
                    </w:rPr>
                    <w:t>消防设施</w:t>
                  </w:r>
                </w:p>
              </w:tc>
              <w:tc>
                <w:tcPr>
                  <w:tcW w:w="5850" w:type="dxa"/>
                  <w:noWrap w:val="0"/>
                  <w:vAlign w:val="center"/>
                </w:tcPr>
                <w:p w14:paraId="1FCA9C6E">
                  <w:pPr>
                    <w:jc w:val="center"/>
                    <w:rPr>
                      <w:rFonts w:hint="eastAsia"/>
                      <w:szCs w:val="21"/>
                      <w:highlight w:val="none"/>
                    </w:rPr>
                  </w:pPr>
                  <w:r>
                    <w:rPr>
                      <w:rFonts w:hint="eastAsia"/>
                      <w:szCs w:val="21"/>
                      <w:highlight w:val="none"/>
                      <w:lang w:val="en-US" w:eastAsia="zh-CN"/>
                    </w:rPr>
                    <w:t>本项目依托伊泰化工现有的消防系统。本项目不单独设消防站，</w:t>
                  </w:r>
                  <w:r>
                    <w:rPr>
                      <w:rFonts w:hint="default"/>
                      <w:szCs w:val="21"/>
                      <w:highlight w:val="none"/>
                      <w:lang w:val="en-US" w:eastAsia="zh-CN"/>
                    </w:rPr>
                    <w:t>消防站依托伊泰化工及工业区消防站。</w:t>
                  </w:r>
                </w:p>
              </w:tc>
              <w:tc>
                <w:tcPr>
                  <w:tcW w:w="919" w:type="dxa"/>
                  <w:vMerge w:val="continue"/>
                  <w:noWrap w:val="0"/>
                  <w:vAlign w:val="center"/>
                </w:tcPr>
                <w:p w14:paraId="7FAE9AEB">
                  <w:pPr>
                    <w:rPr>
                      <w:rFonts w:hint="eastAsia" w:eastAsia="宋体"/>
                      <w:szCs w:val="21"/>
                      <w:highlight w:val="none"/>
                      <w:lang w:val="en-US" w:eastAsia="zh-CN"/>
                    </w:rPr>
                  </w:pPr>
                </w:p>
              </w:tc>
            </w:tr>
          </w:tbl>
          <w:p w14:paraId="634B3E3A">
            <w:pPr>
              <w:rPr>
                <w:highlight w:val="none"/>
              </w:rPr>
            </w:pPr>
          </w:p>
          <w:p w14:paraId="2E904E07">
            <w:pPr>
              <w:spacing w:line="360" w:lineRule="auto"/>
              <w:rPr>
                <w:rFonts w:hint="default" w:eastAsia="宋体"/>
                <w:b/>
                <w:bCs/>
                <w:sz w:val="24"/>
                <w:highlight w:val="none"/>
                <w:lang w:val="en-US" w:eastAsia="zh-CN"/>
              </w:rPr>
            </w:pPr>
            <w:r>
              <w:rPr>
                <w:rFonts w:hint="eastAsia"/>
                <w:b/>
                <w:bCs/>
                <w:sz w:val="24"/>
                <w:highlight w:val="none"/>
                <w:lang w:val="en-US" w:eastAsia="zh-CN"/>
              </w:rPr>
              <w:t>2.1</w:t>
            </w:r>
            <w:r>
              <w:rPr>
                <w:rFonts w:hint="eastAsia"/>
                <w:b/>
                <w:bCs/>
                <w:sz w:val="24"/>
                <w:highlight w:val="none"/>
              </w:rPr>
              <w:t>管线</w:t>
            </w:r>
            <w:r>
              <w:rPr>
                <w:rFonts w:hint="eastAsia"/>
                <w:b/>
                <w:bCs/>
                <w:sz w:val="24"/>
                <w:highlight w:val="none"/>
                <w:lang w:val="en-US" w:eastAsia="zh-CN"/>
              </w:rPr>
              <w:t>建设方案及设备表</w:t>
            </w:r>
          </w:p>
          <w:p w14:paraId="13332C11">
            <w:pPr>
              <w:pStyle w:val="27"/>
              <w:spacing w:line="360" w:lineRule="auto"/>
              <w:ind w:firstLine="476" w:firstLineChars="200"/>
              <w:rPr>
                <w:highlight w:val="none"/>
                <w:lang w:eastAsia="zh-CN"/>
              </w:rPr>
            </w:pPr>
            <w:r>
              <w:rPr>
                <w:rFonts w:hint="eastAsia"/>
                <w:spacing w:val="-1"/>
                <w:highlight w:val="none"/>
                <w:lang w:val="en-US" w:eastAsia="zh-CN"/>
              </w:rPr>
              <w:t>本</w:t>
            </w:r>
            <w:r>
              <w:rPr>
                <w:spacing w:val="-1"/>
                <w:highlight w:val="none"/>
                <w:lang w:eastAsia="zh-CN"/>
              </w:rPr>
              <w:t>项目</w:t>
            </w:r>
            <w:r>
              <w:rPr>
                <w:rFonts w:hint="eastAsia"/>
                <w:spacing w:val="-1"/>
                <w:highlight w:val="none"/>
                <w:lang w:val="en-US" w:eastAsia="zh-CN"/>
              </w:rPr>
              <w:t>所有</w:t>
            </w:r>
            <w:r>
              <w:rPr>
                <w:spacing w:val="-1"/>
                <w:highlight w:val="none"/>
                <w:lang w:eastAsia="zh-CN"/>
              </w:rPr>
              <w:t>管道</w:t>
            </w:r>
            <w:r>
              <w:rPr>
                <w:rFonts w:hint="eastAsia"/>
                <w:spacing w:val="-1"/>
                <w:highlight w:val="none"/>
                <w:lang w:val="en-US" w:eastAsia="zh-CN"/>
              </w:rPr>
              <w:t>总长度</w:t>
            </w:r>
            <w:r>
              <w:rPr>
                <w:rFonts w:hint="eastAsia" w:ascii="Times New Roman" w:hAnsi="Times New Roman" w:cs="Times New Roman"/>
                <w:sz w:val="24"/>
                <w:highlight w:val="none"/>
                <w:lang w:val="en-US" w:eastAsia="zh-CN"/>
              </w:rPr>
              <w:t>16.333km，</w:t>
            </w:r>
            <w:r>
              <w:rPr>
                <w:spacing w:val="-1"/>
                <w:highlight w:val="none"/>
                <w:lang w:eastAsia="zh-CN"/>
              </w:rPr>
              <w:t>输送介质及基本参数如下表所示。</w:t>
            </w:r>
          </w:p>
          <w:p w14:paraId="4A37CEED">
            <w:pPr>
              <w:adjustRightInd w:val="0"/>
              <w:snapToGrid w:val="0"/>
              <w:spacing w:line="360" w:lineRule="auto"/>
              <w:jc w:val="center"/>
              <w:outlineLvl w:val="9"/>
              <w:rPr>
                <w:rFonts w:hint="eastAsia" w:ascii="Times New Roman" w:hAnsi="Times New Roman" w:eastAsia="宋体" w:cs="Times New Roman"/>
                <w:b/>
                <w:bCs/>
                <w:spacing w:val="0"/>
                <w:sz w:val="21"/>
                <w:szCs w:val="21"/>
                <w:highlight w:val="none"/>
              </w:rPr>
            </w:pPr>
            <w:r>
              <w:rPr>
                <w:rFonts w:hint="eastAsia" w:ascii="Times New Roman" w:hAnsi="Times New Roman" w:eastAsia="宋体" w:cs="Times New Roman"/>
                <w:b/>
                <w:bCs/>
                <w:spacing w:val="0"/>
                <w:sz w:val="21"/>
                <w:szCs w:val="21"/>
                <w:highlight w:val="none"/>
              </w:rPr>
              <w:t>表2-</w:t>
            </w:r>
            <w:r>
              <w:rPr>
                <w:rFonts w:hint="eastAsia" w:cs="Times New Roman"/>
                <w:b/>
                <w:bCs/>
                <w:spacing w:val="0"/>
                <w:sz w:val="21"/>
                <w:szCs w:val="21"/>
                <w:highlight w:val="none"/>
                <w:lang w:val="en-US" w:eastAsia="zh-CN"/>
              </w:rPr>
              <w:t xml:space="preserve">3 </w:t>
            </w:r>
            <w:r>
              <w:rPr>
                <w:rFonts w:hint="eastAsia" w:ascii="Times New Roman" w:hAnsi="Times New Roman" w:eastAsia="宋体" w:cs="Times New Roman"/>
                <w:b/>
                <w:bCs/>
                <w:spacing w:val="0"/>
                <w:sz w:val="21"/>
                <w:szCs w:val="21"/>
                <w:highlight w:val="none"/>
              </w:rPr>
              <w:t xml:space="preserve">  管道输送介质及基本参数</w:t>
            </w:r>
          </w:p>
          <w:tbl>
            <w:tblPr>
              <w:tblStyle w:val="19"/>
              <w:tblW w:w="4395"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425"/>
              <w:gridCol w:w="682"/>
              <w:gridCol w:w="541"/>
              <w:gridCol w:w="741"/>
              <w:gridCol w:w="971"/>
              <w:gridCol w:w="1232"/>
              <w:gridCol w:w="1286"/>
              <w:gridCol w:w="798"/>
              <w:gridCol w:w="801"/>
            </w:tblGrid>
            <w:tr w14:paraId="1F5A543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70" w:hRule="atLeast"/>
                <w:jc w:val="center"/>
              </w:trPr>
              <w:tc>
                <w:tcPr>
                  <w:tcW w:w="284" w:type="pct"/>
                  <w:tcBorders>
                    <w:bottom w:val="single" w:color="000000" w:sz="4" w:space="0"/>
                    <w:right w:val="single" w:color="000000" w:sz="4" w:space="0"/>
                  </w:tcBorders>
                  <w:tcMar>
                    <w:left w:w="108" w:type="dxa"/>
                    <w:right w:w="108" w:type="dxa"/>
                  </w:tcMar>
                  <w:vAlign w:val="center"/>
                </w:tcPr>
                <w:p w14:paraId="072405F2">
                  <w:pPr>
                    <w:jc w:val="center"/>
                    <w:rPr>
                      <w:rFonts w:hint="eastAsia"/>
                      <w:sz w:val="21"/>
                      <w:szCs w:val="21"/>
                      <w:highlight w:val="none"/>
                      <w:lang w:val="en-US" w:eastAsia="zh-CN"/>
                    </w:rPr>
                  </w:pPr>
                  <w:r>
                    <w:rPr>
                      <w:rFonts w:hint="eastAsia"/>
                      <w:sz w:val="21"/>
                      <w:szCs w:val="21"/>
                      <w:highlight w:val="none"/>
                      <w:lang w:val="en-US" w:eastAsia="zh-CN"/>
                    </w:rPr>
                    <w:t>序号</w:t>
                  </w:r>
                </w:p>
              </w:tc>
              <w:tc>
                <w:tcPr>
                  <w:tcW w:w="456" w:type="pct"/>
                  <w:tcBorders>
                    <w:left w:val="single" w:color="000000" w:sz="4" w:space="0"/>
                    <w:bottom w:val="single" w:color="000000" w:sz="4" w:space="0"/>
                    <w:right w:val="single" w:color="000000" w:sz="4" w:space="0"/>
                  </w:tcBorders>
                  <w:tcMar>
                    <w:left w:w="108" w:type="dxa"/>
                    <w:right w:w="108" w:type="dxa"/>
                  </w:tcMar>
                  <w:vAlign w:val="center"/>
                </w:tcPr>
                <w:p w14:paraId="672840B5">
                  <w:pPr>
                    <w:jc w:val="center"/>
                    <w:rPr>
                      <w:rFonts w:hint="eastAsia"/>
                      <w:sz w:val="21"/>
                      <w:szCs w:val="21"/>
                      <w:highlight w:val="none"/>
                      <w:lang w:val="en-US" w:eastAsia="zh-CN"/>
                    </w:rPr>
                  </w:pPr>
                  <w:r>
                    <w:rPr>
                      <w:rFonts w:hint="eastAsia"/>
                      <w:sz w:val="21"/>
                      <w:szCs w:val="21"/>
                      <w:highlight w:val="none"/>
                      <w:lang w:val="en-US" w:eastAsia="zh-CN"/>
                    </w:rPr>
                    <w:t>介质名称</w:t>
                  </w:r>
                </w:p>
              </w:tc>
              <w:tc>
                <w:tcPr>
                  <w:tcW w:w="361" w:type="pct"/>
                  <w:tcBorders>
                    <w:left w:val="single" w:color="000000" w:sz="4" w:space="0"/>
                    <w:bottom w:val="single" w:color="000000" w:sz="4" w:space="0"/>
                    <w:right w:val="single" w:color="000000" w:sz="4" w:space="0"/>
                  </w:tcBorders>
                  <w:tcMar>
                    <w:left w:w="108" w:type="dxa"/>
                    <w:right w:w="108" w:type="dxa"/>
                  </w:tcMar>
                  <w:vAlign w:val="center"/>
                </w:tcPr>
                <w:p w14:paraId="4FC823D0">
                  <w:pPr>
                    <w:jc w:val="center"/>
                    <w:rPr>
                      <w:rFonts w:hint="eastAsia"/>
                      <w:sz w:val="21"/>
                      <w:szCs w:val="21"/>
                      <w:highlight w:val="none"/>
                      <w:lang w:val="en-US" w:eastAsia="zh-CN"/>
                    </w:rPr>
                  </w:pPr>
                  <w:r>
                    <w:rPr>
                      <w:rFonts w:hint="eastAsia"/>
                      <w:sz w:val="21"/>
                      <w:szCs w:val="21"/>
                      <w:highlight w:val="none"/>
                      <w:lang w:val="en-US" w:eastAsia="zh-CN"/>
                    </w:rPr>
                    <w:t>管径mm</w:t>
                  </w:r>
                </w:p>
              </w:tc>
              <w:tc>
                <w:tcPr>
                  <w:tcW w:w="495" w:type="pct"/>
                  <w:tcBorders>
                    <w:left w:val="single" w:color="000000" w:sz="4" w:space="0"/>
                    <w:bottom w:val="single" w:color="000000" w:sz="4" w:space="0"/>
                    <w:right w:val="single" w:color="000000" w:sz="4" w:space="0"/>
                  </w:tcBorders>
                  <w:tcMar>
                    <w:left w:w="108" w:type="dxa"/>
                    <w:right w:w="108" w:type="dxa"/>
                  </w:tcMar>
                  <w:vAlign w:val="center"/>
                </w:tcPr>
                <w:p w14:paraId="188DD06B">
                  <w:pPr>
                    <w:jc w:val="center"/>
                    <w:rPr>
                      <w:rFonts w:hint="eastAsia"/>
                      <w:sz w:val="21"/>
                      <w:szCs w:val="21"/>
                      <w:highlight w:val="none"/>
                      <w:lang w:val="en-US" w:eastAsia="zh-CN"/>
                    </w:rPr>
                  </w:pPr>
                  <w:r>
                    <w:rPr>
                      <w:rFonts w:hint="eastAsia"/>
                      <w:sz w:val="21"/>
                      <w:szCs w:val="21"/>
                      <w:highlight w:val="none"/>
                      <w:lang w:val="en-US" w:eastAsia="zh-CN"/>
                    </w:rPr>
                    <w:t>材质</w:t>
                  </w:r>
                </w:p>
              </w:tc>
              <w:tc>
                <w:tcPr>
                  <w:tcW w:w="649" w:type="pct"/>
                  <w:tcBorders>
                    <w:left w:val="single" w:color="000000" w:sz="4" w:space="0"/>
                    <w:bottom w:val="single" w:color="000000" w:sz="4" w:space="0"/>
                    <w:right w:val="single" w:color="000000" w:sz="4" w:space="0"/>
                  </w:tcBorders>
                  <w:tcMar>
                    <w:left w:w="108" w:type="dxa"/>
                    <w:right w:w="108" w:type="dxa"/>
                  </w:tcMar>
                  <w:vAlign w:val="center"/>
                </w:tcPr>
                <w:p w14:paraId="5EB2E133">
                  <w:pPr>
                    <w:jc w:val="center"/>
                    <w:rPr>
                      <w:rFonts w:hint="eastAsia"/>
                      <w:sz w:val="21"/>
                      <w:szCs w:val="21"/>
                      <w:highlight w:val="none"/>
                      <w:lang w:val="en-US" w:eastAsia="zh-CN"/>
                    </w:rPr>
                  </w:pPr>
                  <w:r>
                    <w:rPr>
                      <w:rFonts w:hint="eastAsia"/>
                      <w:sz w:val="21"/>
                      <w:szCs w:val="21"/>
                      <w:highlight w:val="none"/>
                      <w:lang w:val="en-US" w:eastAsia="zh-CN"/>
                    </w:rPr>
                    <w:t>操作参数T（</w:t>
                  </w:r>
                  <w:r>
                    <w:rPr>
                      <w:rFonts w:ascii="微软雅黑" w:hAnsi="微软雅黑" w:eastAsia="微软雅黑" w:cs="微软雅黑"/>
                      <w:i w:val="0"/>
                      <w:iCs w:val="0"/>
                      <w:caps w:val="0"/>
                      <w:color w:val="333333"/>
                      <w:spacing w:val="0"/>
                      <w:sz w:val="21"/>
                      <w:szCs w:val="21"/>
                      <w:highlight w:val="none"/>
                      <w:shd w:val="clear" w:fill="FFFFFF"/>
                    </w:rPr>
                    <w:t>℃</w:t>
                  </w:r>
                  <w:r>
                    <w:rPr>
                      <w:rFonts w:hint="eastAsia"/>
                      <w:sz w:val="21"/>
                      <w:szCs w:val="21"/>
                      <w:highlight w:val="none"/>
                      <w:lang w:val="en-US" w:eastAsia="zh-CN"/>
                    </w:rPr>
                    <w:t>）</w:t>
                  </w:r>
                </w:p>
                <w:p w14:paraId="6F988F12">
                  <w:pPr>
                    <w:jc w:val="center"/>
                    <w:rPr>
                      <w:rFonts w:hint="eastAsia"/>
                      <w:sz w:val="21"/>
                      <w:szCs w:val="21"/>
                      <w:highlight w:val="none"/>
                      <w:lang w:val="en-US" w:eastAsia="zh-CN"/>
                    </w:rPr>
                  </w:pPr>
                  <w:r>
                    <w:rPr>
                      <w:rFonts w:hint="eastAsia"/>
                      <w:sz w:val="21"/>
                      <w:szCs w:val="21"/>
                      <w:highlight w:val="none"/>
                      <w:lang w:val="en-US" w:eastAsia="zh-CN"/>
                    </w:rPr>
                    <w:t>P（MPa）</w:t>
                  </w:r>
                </w:p>
              </w:tc>
              <w:tc>
                <w:tcPr>
                  <w:tcW w:w="823" w:type="pct"/>
                  <w:tcBorders>
                    <w:left w:val="single" w:color="000000" w:sz="4" w:space="0"/>
                    <w:bottom w:val="single" w:color="000000" w:sz="4" w:space="0"/>
                    <w:right w:val="single" w:color="000000" w:sz="4" w:space="0"/>
                  </w:tcBorders>
                  <w:tcMar>
                    <w:left w:w="108" w:type="dxa"/>
                    <w:right w:w="108" w:type="dxa"/>
                  </w:tcMar>
                  <w:vAlign w:val="center"/>
                </w:tcPr>
                <w:p w14:paraId="675810D3">
                  <w:pPr>
                    <w:jc w:val="center"/>
                    <w:rPr>
                      <w:rFonts w:hint="eastAsia"/>
                      <w:sz w:val="21"/>
                      <w:szCs w:val="21"/>
                      <w:highlight w:val="none"/>
                      <w:lang w:val="en-US" w:eastAsia="zh-CN"/>
                    </w:rPr>
                  </w:pPr>
                  <w:r>
                    <w:rPr>
                      <w:rFonts w:hint="eastAsia"/>
                      <w:sz w:val="21"/>
                      <w:szCs w:val="21"/>
                      <w:highlight w:val="none"/>
                      <w:lang w:val="en-US" w:eastAsia="zh-CN"/>
                    </w:rPr>
                    <w:t>去向</w:t>
                  </w:r>
                </w:p>
              </w:tc>
              <w:tc>
                <w:tcPr>
                  <w:tcW w:w="859" w:type="pct"/>
                  <w:tcBorders>
                    <w:left w:val="single" w:color="000000" w:sz="4" w:space="0"/>
                    <w:bottom w:val="single" w:color="000000" w:sz="4" w:space="0"/>
                    <w:right w:val="single" w:color="000000" w:sz="4" w:space="0"/>
                  </w:tcBorders>
                  <w:tcMar>
                    <w:left w:w="108" w:type="dxa"/>
                    <w:right w:w="108" w:type="dxa"/>
                  </w:tcMar>
                  <w:vAlign w:val="center"/>
                </w:tcPr>
                <w:p w14:paraId="342D84A6">
                  <w:pPr>
                    <w:jc w:val="center"/>
                    <w:rPr>
                      <w:rFonts w:hint="eastAsia"/>
                      <w:sz w:val="21"/>
                      <w:szCs w:val="21"/>
                      <w:highlight w:val="none"/>
                      <w:lang w:val="en-US" w:eastAsia="zh-CN"/>
                    </w:rPr>
                  </w:pPr>
                  <w:r>
                    <w:rPr>
                      <w:rFonts w:hint="eastAsia"/>
                      <w:sz w:val="21"/>
                      <w:szCs w:val="21"/>
                      <w:highlight w:val="none"/>
                      <w:lang w:val="en-US" w:eastAsia="zh-CN"/>
                    </w:rPr>
                    <w:t>流量</w:t>
                  </w:r>
                </w:p>
              </w:tc>
              <w:tc>
                <w:tcPr>
                  <w:tcW w:w="533" w:type="pct"/>
                  <w:tcBorders>
                    <w:left w:val="single" w:color="000000" w:sz="4" w:space="0"/>
                    <w:bottom w:val="single" w:color="000000" w:sz="4" w:space="0"/>
                    <w:right w:val="single" w:color="000000" w:sz="4" w:space="0"/>
                  </w:tcBorders>
                  <w:tcMar>
                    <w:left w:w="108" w:type="dxa"/>
                    <w:right w:w="108" w:type="dxa"/>
                  </w:tcMar>
                  <w:vAlign w:val="center"/>
                </w:tcPr>
                <w:p w14:paraId="580FF127">
                  <w:pPr>
                    <w:jc w:val="center"/>
                    <w:rPr>
                      <w:rFonts w:hint="eastAsia"/>
                      <w:sz w:val="21"/>
                      <w:szCs w:val="21"/>
                      <w:highlight w:val="none"/>
                      <w:lang w:val="en-US" w:eastAsia="zh-CN"/>
                    </w:rPr>
                  </w:pPr>
                  <w:r>
                    <w:rPr>
                      <w:rFonts w:hint="eastAsia"/>
                      <w:sz w:val="21"/>
                      <w:szCs w:val="21"/>
                      <w:highlight w:val="none"/>
                      <w:lang w:val="en-US" w:eastAsia="zh-CN"/>
                    </w:rPr>
                    <w:t>压力等级</w:t>
                  </w:r>
                </w:p>
              </w:tc>
              <w:tc>
                <w:tcPr>
                  <w:tcW w:w="535" w:type="pct"/>
                  <w:tcBorders>
                    <w:left w:val="single" w:color="000000" w:sz="4" w:space="0"/>
                    <w:bottom w:val="single" w:color="000000" w:sz="4" w:space="0"/>
                  </w:tcBorders>
                  <w:tcMar>
                    <w:left w:w="108" w:type="dxa"/>
                    <w:right w:w="108" w:type="dxa"/>
                  </w:tcMar>
                  <w:vAlign w:val="center"/>
                </w:tcPr>
                <w:p w14:paraId="146E5C1E">
                  <w:pPr>
                    <w:jc w:val="center"/>
                    <w:rPr>
                      <w:rFonts w:hint="eastAsia"/>
                      <w:sz w:val="21"/>
                      <w:szCs w:val="21"/>
                      <w:highlight w:val="none"/>
                      <w:lang w:val="en-US" w:eastAsia="zh-CN"/>
                    </w:rPr>
                  </w:pPr>
                  <w:r>
                    <w:rPr>
                      <w:rFonts w:hint="eastAsia"/>
                      <w:sz w:val="21"/>
                      <w:szCs w:val="21"/>
                      <w:highlight w:val="none"/>
                      <w:lang w:val="en-US" w:eastAsia="zh-CN"/>
                    </w:rPr>
                    <w:t>长度（m）</w:t>
                  </w:r>
                </w:p>
              </w:tc>
            </w:tr>
            <w:tr w14:paraId="33DC682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382FA095">
                  <w:pPr>
                    <w:jc w:val="center"/>
                    <w:rPr>
                      <w:rFonts w:hint="eastAsia"/>
                      <w:sz w:val="21"/>
                      <w:szCs w:val="21"/>
                      <w:highlight w:val="none"/>
                      <w:lang w:val="en-US" w:eastAsia="zh-CN"/>
                    </w:rPr>
                  </w:pPr>
                  <w:r>
                    <w:rPr>
                      <w:rFonts w:hint="eastAsia"/>
                      <w:sz w:val="21"/>
                      <w:szCs w:val="21"/>
                      <w:highlight w:val="none"/>
                      <w:lang w:val="en-US" w:eastAsia="zh-CN"/>
                    </w:rPr>
                    <w:t>1</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CAA5486">
                  <w:pPr>
                    <w:spacing w:line="240" w:lineRule="auto"/>
                    <w:jc w:val="center"/>
                    <w:rPr>
                      <w:rFonts w:hint="eastAsia"/>
                      <w:sz w:val="21"/>
                      <w:szCs w:val="21"/>
                      <w:highlight w:val="none"/>
                      <w:lang w:val="en-US" w:eastAsia="zh-CN"/>
                    </w:rPr>
                  </w:pPr>
                  <w:r>
                    <w:rPr>
                      <w:rFonts w:hint="eastAsia"/>
                      <w:sz w:val="21"/>
                      <w:szCs w:val="21"/>
                      <w:highlight w:val="none"/>
                      <w:lang w:val="en-US" w:eastAsia="zh-CN"/>
                    </w:rPr>
                    <w:t>合成脱碳尾气</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B2F10AC">
                  <w:pPr>
                    <w:jc w:val="center"/>
                    <w:rPr>
                      <w:rFonts w:hint="eastAsia"/>
                      <w:sz w:val="21"/>
                      <w:szCs w:val="21"/>
                      <w:highlight w:val="none"/>
                      <w:lang w:val="en-US" w:eastAsia="zh-CN"/>
                    </w:rPr>
                  </w:pPr>
                  <w:r>
                    <w:rPr>
                      <w:rFonts w:hint="eastAsia"/>
                      <w:sz w:val="21"/>
                      <w:szCs w:val="21"/>
                      <w:highlight w:val="none"/>
                      <w:lang w:val="en-US" w:eastAsia="zh-CN"/>
                    </w:rPr>
                    <w:t>200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ECA9860">
                  <w:pPr>
                    <w:jc w:val="center"/>
                    <w:rPr>
                      <w:rFonts w:hint="eastAsia"/>
                      <w:sz w:val="21"/>
                      <w:szCs w:val="21"/>
                      <w:highlight w:val="none"/>
                      <w:lang w:val="en-US" w:eastAsia="zh-CN"/>
                    </w:rPr>
                  </w:pPr>
                  <w:r>
                    <w:rPr>
                      <w:rFonts w:hint="eastAsia"/>
                      <w:sz w:val="21"/>
                      <w:szCs w:val="21"/>
                      <w:highlight w:val="none"/>
                      <w:lang w:val="en-US" w:eastAsia="zh-CN"/>
                    </w:rPr>
                    <w:t>20#</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71720E9">
                  <w:pPr>
                    <w:jc w:val="center"/>
                    <w:rPr>
                      <w:rFonts w:hint="eastAsia"/>
                      <w:sz w:val="21"/>
                      <w:szCs w:val="21"/>
                      <w:highlight w:val="none"/>
                      <w:lang w:val="en-US" w:eastAsia="zh-CN"/>
                    </w:rPr>
                  </w:pPr>
                  <w:r>
                    <w:rPr>
                      <w:rFonts w:hint="eastAsia"/>
                      <w:sz w:val="21"/>
                      <w:szCs w:val="21"/>
                      <w:highlight w:val="none"/>
                      <w:lang w:val="en-US" w:eastAsia="zh-CN"/>
                    </w:rPr>
                    <w:t>50/3.2</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0A1D225">
                  <w:pPr>
                    <w:jc w:val="center"/>
                    <w:rPr>
                      <w:rFonts w:hint="eastAsia"/>
                      <w:sz w:val="21"/>
                      <w:szCs w:val="21"/>
                      <w:highlight w:val="none"/>
                      <w:lang w:val="en-US" w:eastAsia="zh-CN"/>
                    </w:rPr>
                  </w:pPr>
                  <w:r>
                    <w:rPr>
                      <w:rFonts w:cs="Times New Roman"/>
                      <w:sz w:val="21"/>
                      <w:szCs w:val="21"/>
                      <w:highlight w:val="none"/>
                    </w:rPr>
                    <w:t>精细化学品示范项目化学品合成装置</w:t>
                  </w:r>
                  <w:r>
                    <w:rPr>
                      <w:rFonts w:hint="eastAsia" w:cs="Times New Roman"/>
                      <w:sz w:val="21"/>
                      <w:szCs w:val="21"/>
                      <w:highlight w:val="none"/>
                      <w:lang w:val="en-US" w:eastAsia="zh-CN"/>
                    </w:rPr>
                    <w:t>至</w:t>
                  </w:r>
                  <w:r>
                    <w:rPr>
                      <w:rFonts w:hint="eastAsia"/>
                      <w:color w:val="auto"/>
                      <w:highlight w:val="none"/>
                      <w:lang w:val="en-US" w:eastAsia="zh-CN"/>
                    </w:rPr>
                    <w:t>鹏泰</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53A9C99">
                  <w:pPr>
                    <w:jc w:val="center"/>
                    <w:rPr>
                      <w:rFonts w:hint="eastAsia"/>
                      <w:sz w:val="21"/>
                      <w:szCs w:val="21"/>
                      <w:highlight w:val="none"/>
                      <w:lang w:val="en-US" w:eastAsia="zh-CN"/>
                    </w:rPr>
                  </w:pPr>
                  <w:r>
                    <w:rPr>
                      <w:rFonts w:hint="eastAsia"/>
                      <w:sz w:val="21"/>
                      <w:szCs w:val="21"/>
                      <w:highlight w:val="none"/>
                      <w:lang w:val="en-US" w:eastAsia="zh-CN"/>
                    </w:rPr>
                    <w:t>32365Nm</w:t>
                  </w:r>
                  <w:r>
                    <w:rPr>
                      <w:rFonts w:hint="eastAsia"/>
                      <w:sz w:val="21"/>
                      <w:szCs w:val="21"/>
                      <w:highlight w:val="none"/>
                      <w:vertAlign w:val="superscript"/>
                      <w:lang w:val="en-US" w:eastAsia="zh-CN"/>
                    </w:rPr>
                    <w:t>3</w:t>
                  </w:r>
                  <w:r>
                    <w:rPr>
                      <w:rFonts w:hint="eastAsia"/>
                      <w:sz w:val="21"/>
                      <w:szCs w:val="21"/>
                      <w:highlight w:val="none"/>
                      <w:lang w:val="en-US" w:eastAsia="zh-CN"/>
                    </w:rPr>
                    <w: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BC2583A">
                  <w:pPr>
                    <w:jc w:val="center"/>
                    <w:rPr>
                      <w:rFonts w:hint="eastAsia"/>
                      <w:sz w:val="21"/>
                      <w:szCs w:val="21"/>
                      <w:highlight w:val="none"/>
                      <w:lang w:val="en-US" w:eastAsia="zh-CN"/>
                    </w:rPr>
                  </w:pPr>
                  <w:r>
                    <w:rPr>
                      <w:rFonts w:hint="eastAsia"/>
                      <w:sz w:val="21"/>
                      <w:szCs w:val="21"/>
                      <w:highlight w:val="none"/>
                      <w:lang w:val="en-US" w:eastAsia="zh-CN"/>
                    </w:rPr>
                    <w:t>CL300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7FDFB971">
                  <w:pPr>
                    <w:snapToGrid w:val="0"/>
                    <w:jc w:val="center"/>
                    <w:rPr>
                      <w:rFonts w:hint="eastAsia"/>
                      <w:sz w:val="21"/>
                      <w:szCs w:val="21"/>
                      <w:highlight w:val="none"/>
                      <w:lang w:val="en-US" w:eastAsia="zh-CN"/>
                    </w:rPr>
                  </w:pPr>
                  <w:r>
                    <w:rPr>
                      <w:rFonts w:hint="eastAsia"/>
                      <w:sz w:val="21"/>
                      <w:szCs w:val="21"/>
                      <w:highlight w:val="none"/>
                    </w:rPr>
                    <w:t>288</w:t>
                  </w:r>
                </w:p>
              </w:tc>
            </w:tr>
            <w:tr w14:paraId="1614D7B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48EE9EE7">
                  <w:pPr>
                    <w:jc w:val="center"/>
                    <w:rPr>
                      <w:rFonts w:hint="eastAsia"/>
                      <w:sz w:val="21"/>
                      <w:szCs w:val="21"/>
                      <w:highlight w:val="none"/>
                      <w:lang w:val="en-US" w:eastAsia="zh-CN"/>
                    </w:rPr>
                  </w:pPr>
                  <w:r>
                    <w:rPr>
                      <w:rFonts w:hint="eastAsia"/>
                      <w:sz w:val="21"/>
                      <w:szCs w:val="21"/>
                      <w:highlight w:val="none"/>
                      <w:lang w:val="en-US" w:eastAsia="zh-CN"/>
                    </w:rPr>
                    <w:t>2</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7AA983C">
                  <w:pPr>
                    <w:spacing w:line="240" w:lineRule="auto"/>
                    <w:jc w:val="center"/>
                    <w:rPr>
                      <w:rFonts w:hint="eastAsia"/>
                      <w:sz w:val="21"/>
                      <w:szCs w:val="21"/>
                      <w:highlight w:val="none"/>
                      <w:lang w:val="en-US" w:eastAsia="zh-CN"/>
                    </w:rPr>
                  </w:pPr>
                  <w:r>
                    <w:rPr>
                      <w:rFonts w:hint="eastAsia"/>
                      <w:sz w:val="21"/>
                      <w:szCs w:val="21"/>
                      <w:highlight w:val="none"/>
                      <w:lang w:val="en-US" w:eastAsia="zh-CN"/>
                    </w:rPr>
                    <w:t>未变换净化气</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00E82ED">
                  <w:pPr>
                    <w:jc w:val="center"/>
                    <w:rPr>
                      <w:rFonts w:hint="eastAsia"/>
                      <w:sz w:val="21"/>
                      <w:szCs w:val="21"/>
                      <w:highlight w:val="none"/>
                      <w:lang w:val="en-US" w:eastAsia="zh-CN"/>
                    </w:rPr>
                  </w:pPr>
                  <w:r>
                    <w:rPr>
                      <w:rFonts w:hint="eastAsia"/>
                      <w:sz w:val="21"/>
                      <w:szCs w:val="21"/>
                      <w:highlight w:val="none"/>
                      <w:lang w:val="en-US" w:eastAsia="zh-CN"/>
                    </w:rPr>
                    <w:t>200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0047297">
                  <w:pPr>
                    <w:jc w:val="center"/>
                    <w:rPr>
                      <w:rFonts w:hint="eastAsia"/>
                      <w:sz w:val="21"/>
                      <w:szCs w:val="21"/>
                      <w:highlight w:val="none"/>
                      <w:lang w:val="en-US" w:eastAsia="zh-CN"/>
                    </w:rPr>
                  </w:pPr>
                  <w:r>
                    <w:rPr>
                      <w:rFonts w:hint="eastAsia"/>
                      <w:sz w:val="21"/>
                      <w:szCs w:val="21"/>
                      <w:highlight w:val="none"/>
                      <w:lang w:val="en-US" w:eastAsia="zh-CN"/>
                    </w:rPr>
                    <w:t>A333-6</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56BC149">
                  <w:pPr>
                    <w:jc w:val="center"/>
                    <w:rPr>
                      <w:rFonts w:hint="eastAsia"/>
                      <w:sz w:val="21"/>
                      <w:szCs w:val="21"/>
                      <w:highlight w:val="none"/>
                      <w:lang w:val="en-US" w:eastAsia="zh-CN"/>
                    </w:rPr>
                  </w:pPr>
                  <w:r>
                    <w:rPr>
                      <w:rFonts w:hint="eastAsia"/>
                      <w:sz w:val="21"/>
                      <w:szCs w:val="21"/>
                      <w:highlight w:val="none"/>
                      <w:lang w:val="en-US" w:eastAsia="zh-CN"/>
                    </w:rPr>
                    <w:t>40/3.3</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17739BD">
                  <w:pPr>
                    <w:jc w:val="center"/>
                    <w:rPr>
                      <w:rFonts w:hint="eastAsia"/>
                      <w:sz w:val="21"/>
                      <w:szCs w:val="21"/>
                      <w:highlight w:val="none"/>
                      <w:lang w:val="en-US" w:eastAsia="zh-CN"/>
                    </w:rPr>
                  </w:pPr>
                  <w:r>
                    <w:rPr>
                      <w:rFonts w:cs="Times New Roman"/>
                      <w:sz w:val="21"/>
                      <w:szCs w:val="21"/>
                      <w:highlight w:val="none"/>
                    </w:rPr>
                    <w:t>精细化学品示范项目净化装置</w:t>
                  </w:r>
                  <w:r>
                    <w:rPr>
                      <w:rFonts w:hint="eastAsia" w:cs="Times New Roman"/>
                      <w:sz w:val="21"/>
                      <w:szCs w:val="21"/>
                      <w:highlight w:val="none"/>
                      <w:lang w:val="en-US" w:eastAsia="zh-CN"/>
                    </w:rPr>
                    <w:t>送至鹏泰</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6A210BD">
                  <w:pPr>
                    <w:jc w:val="center"/>
                    <w:rPr>
                      <w:rFonts w:hint="eastAsia"/>
                      <w:sz w:val="21"/>
                      <w:szCs w:val="21"/>
                      <w:highlight w:val="none"/>
                      <w:lang w:val="en-US" w:eastAsia="zh-CN"/>
                    </w:rPr>
                  </w:pPr>
                  <w:r>
                    <w:rPr>
                      <w:rFonts w:hint="eastAsia"/>
                      <w:sz w:val="21"/>
                      <w:szCs w:val="21"/>
                      <w:highlight w:val="none"/>
                      <w:lang w:val="en-US" w:eastAsia="zh-CN"/>
                    </w:rPr>
                    <w:t>59897Nm</w:t>
                  </w:r>
                  <w:r>
                    <w:rPr>
                      <w:rFonts w:hint="eastAsia"/>
                      <w:sz w:val="21"/>
                      <w:szCs w:val="21"/>
                      <w:highlight w:val="none"/>
                      <w:vertAlign w:val="superscript"/>
                      <w:lang w:val="en-US" w:eastAsia="zh-CN"/>
                    </w:rPr>
                    <w:t>3</w:t>
                  </w:r>
                  <w:r>
                    <w:rPr>
                      <w:rFonts w:hint="eastAsia"/>
                      <w:sz w:val="21"/>
                      <w:szCs w:val="21"/>
                      <w:highlight w:val="none"/>
                      <w:lang w:val="en-US" w:eastAsia="zh-CN"/>
                    </w:rPr>
                    <w: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36DB056">
                  <w:pPr>
                    <w:jc w:val="center"/>
                    <w:rPr>
                      <w:rFonts w:hint="eastAsia"/>
                      <w:sz w:val="21"/>
                      <w:szCs w:val="21"/>
                      <w:highlight w:val="none"/>
                      <w:lang w:val="en-US" w:eastAsia="zh-CN"/>
                    </w:rPr>
                  </w:pPr>
                  <w:r>
                    <w:rPr>
                      <w:rFonts w:hint="eastAsia"/>
                      <w:sz w:val="21"/>
                      <w:szCs w:val="21"/>
                      <w:highlight w:val="none"/>
                      <w:lang w:val="en-US" w:eastAsia="zh-CN"/>
                    </w:rPr>
                    <w:t>CL300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55B484E5">
                  <w:pPr>
                    <w:snapToGrid w:val="0"/>
                    <w:jc w:val="center"/>
                    <w:rPr>
                      <w:rFonts w:hint="eastAsia"/>
                      <w:sz w:val="21"/>
                      <w:szCs w:val="21"/>
                      <w:highlight w:val="none"/>
                      <w:lang w:val="en-US" w:eastAsia="zh-CN"/>
                    </w:rPr>
                  </w:pPr>
                  <w:r>
                    <w:rPr>
                      <w:rFonts w:hint="eastAsia"/>
                      <w:sz w:val="21"/>
                      <w:szCs w:val="21"/>
                      <w:highlight w:val="none"/>
                    </w:rPr>
                    <w:t>597</w:t>
                  </w:r>
                </w:p>
              </w:tc>
            </w:tr>
            <w:tr w14:paraId="5D79D94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1A98217F">
                  <w:pPr>
                    <w:jc w:val="center"/>
                    <w:rPr>
                      <w:rFonts w:hint="eastAsia"/>
                      <w:sz w:val="21"/>
                      <w:szCs w:val="21"/>
                      <w:highlight w:val="none"/>
                      <w:lang w:val="en-US" w:eastAsia="zh-CN"/>
                    </w:rPr>
                  </w:pPr>
                  <w:r>
                    <w:rPr>
                      <w:rFonts w:hint="eastAsia"/>
                      <w:sz w:val="21"/>
                      <w:szCs w:val="21"/>
                      <w:highlight w:val="none"/>
                      <w:lang w:val="en-US" w:eastAsia="zh-CN"/>
                    </w:rPr>
                    <w:t>3</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CED9944">
                  <w:pPr>
                    <w:spacing w:line="240" w:lineRule="auto"/>
                    <w:jc w:val="center"/>
                    <w:rPr>
                      <w:rFonts w:hint="eastAsia"/>
                      <w:sz w:val="21"/>
                      <w:szCs w:val="21"/>
                      <w:highlight w:val="none"/>
                      <w:lang w:val="en-US" w:eastAsia="zh-CN"/>
                    </w:rPr>
                  </w:pPr>
                  <w:r>
                    <w:rPr>
                      <w:rFonts w:hint="eastAsia"/>
                      <w:sz w:val="21"/>
                      <w:szCs w:val="21"/>
                      <w:highlight w:val="none"/>
                      <w:lang w:val="en-US" w:eastAsia="zh-CN"/>
                    </w:rPr>
                    <w:t>尾气</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2D72938">
                  <w:pPr>
                    <w:jc w:val="center"/>
                    <w:rPr>
                      <w:rFonts w:hint="eastAsia"/>
                      <w:sz w:val="21"/>
                      <w:szCs w:val="21"/>
                      <w:highlight w:val="none"/>
                      <w:lang w:val="en-US" w:eastAsia="zh-CN"/>
                    </w:rPr>
                  </w:pPr>
                  <w:r>
                    <w:rPr>
                      <w:rFonts w:hint="eastAsia"/>
                      <w:sz w:val="21"/>
                      <w:szCs w:val="21"/>
                      <w:highlight w:val="none"/>
                      <w:lang w:val="en-US" w:eastAsia="zh-CN"/>
                    </w:rPr>
                    <w:t>250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04A6216">
                  <w:pPr>
                    <w:jc w:val="center"/>
                    <w:rPr>
                      <w:rFonts w:hint="eastAsia"/>
                      <w:sz w:val="21"/>
                      <w:szCs w:val="21"/>
                      <w:highlight w:val="none"/>
                      <w:lang w:val="en-US" w:eastAsia="zh-CN"/>
                    </w:rPr>
                  </w:pPr>
                  <w:r>
                    <w:rPr>
                      <w:rFonts w:hint="eastAsia"/>
                      <w:sz w:val="21"/>
                      <w:szCs w:val="21"/>
                      <w:highlight w:val="none"/>
                      <w:lang w:val="en-US" w:eastAsia="zh-CN"/>
                    </w:rPr>
                    <w:t>304L</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EC3257B">
                  <w:pPr>
                    <w:jc w:val="center"/>
                    <w:rPr>
                      <w:rFonts w:hint="default"/>
                      <w:sz w:val="21"/>
                      <w:szCs w:val="21"/>
                      <w:highlight w:val="none"/>
                      <w:lang w:val="en-US" w:eastAsia="zh-CN"/>
                    </w:rPr>
                  </w:pPr>
                  <w:r>
                    <w:rPr>
                      <w:rFonts w:hint="eastAsia"/>
                      <w:sz w:val="21"/>
                      <w:szCs w:val="21"/>
                      <w:highlight w:val="none"/>
                      <w:lang w:val="en-US" w:eastAsia="zh-CN"/>
                    </w:rPr>
                    <w:t>33/0.5</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CCBF32E">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鹏泰至伊泰低温甲醇洗单元</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4C5BA45">
                  <w:pPr>
                    <w:jc w:val="center"/>
                    <w:rPr>
                      <w:rFonts w:hint="eastAsia"/>
                      <w:sz w:val="21"/>
                      <w:szCs w:val="21"/>
                      <w:highlight w:val="none"/>
                      <w:lang w:val="en-US" w:eastAsia="zh-CN"/>
                    </w:rPr>
                  </w:pPr>
                  <w:r>
                    <w:rPr>
                      <w:rFonts w:hint="eastAsia"/>
                      <w:sz w:val="21"/>
                      <w:szCs w:val="21"/>
                      <w:highlight w:val="none"/>
                      <w:lang w:val="en-US" w:eastAsia="zh-CN"/>
                    </w:rPr>
                    <w:t>14324Nm</w:t>
                  </w:r>
                  <w:r>
                    <w:rPr>
                      <w:rFonts w:hint="eastAsia"/>
                      <w:sz w:val="21"/>
                      <w:szCs w:val="21"/>
                      <w:highlight w:val="none"/>
                      <w:vertAlign w:val="superscript"/>
                      <w:lang w:val="en-US" w:eastAsia="zh-CN"/>
                    </w:rPr>
                    <w:t>3</w:t>
                  </w:r>
                  <w:r>
                    <w:rPr>
                      <w:rFonts w:hint="eastAsia"/>
                      <w:sz w:val="21"/>
                      <w:szCs w:val="21"/>
                      <w:highlight w:val="none"/>
                      <w:lang w:val="en-US" w:eastAsia="zh-CN"/>
                    </w:rPr>
                    <w: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E8C0910">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66916E2B">
                  <w:pPr>
                    <w:snapToGrid w:val="0"/>
                    <w:jc w:val="center"/>
                    <w:rPr>
                      <w:rFonts w:hint="eastAsia"/>
                      <w:sz w:val="21"/>
                      <w:szCs w:val="21"/>
                      <w:highlight w:val="none"/>
                      <w:lang w:val="en-US" w:eastAsia="zh-CN"/>
                    </w:rPr>
                  </w:pPr>
                  <w:r>
                    <w:rPr>
                      <w:rFonts w:hint="eastAsia"/>
                      <w:sz w:val="21"/>
                      <w:szCs w:val="21"/>
                      <w:highlight w:val="none"/>
                    </w:rPr>
                    <w:t>417</w:t>
                  </w:r>
                </w:p>
              </w:tc>
            </w:tr>
            <w:tr w14:paraId="1C5F022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21"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5DEA0782">
                  <w:pPr>
                    <w:jc w:val="center"/>
                    <w:rPr>
                      <w:rFonts w:hint="eastAsia"/>
                      <w:sz w:val="21"/>
                      <w:szCs w:val="21"/>
                      <w:highlight w:val="none"/>
                      <w:lang w:val="en-US" w:eastAsia="zh-CN"/>
                    </w:rPr>
                  </w:pPr>
                  <w:r>
                    <w:rPr>
                      <w:rFonts w:hint="eastAsia"/>
                      <w:sz w:val="21"/>
                      <w:szCs w:val="21"/>
                      <w:highlight w:val="none"/>
                      <w:lang w:val="en-US" w:eastAsia="zh-CN"/>
                    </w:rPr>
                    <w:t>4</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BBE8195">
                  <w:pPr>
                    <w:spacing w:line="240" w:lineRule="auto"/>
                    <w:jc w:val="center"/>
                    <w:rPr>
                      <w:rFonts w:hint="eastAsia"/>
                      <w:sz w:val="21"/>
                      <w:szCs w:val="21"/>
                      <w:highlight w:val="none"/>
                      <w:lang w:val="en-US" w:eastAsia="zh-CN"/>
                    </w:rPr>
                  </w:pPr>
                  <w:r>
                    <w:rPr>
                      <w:rFonts w:hint="eastAsia"/>
                      <w:sz w:val="21"/>
                      <w:szCs w:val="21"/>
                      <w:highlight w:val="none"/>
                      <w:lang w:val="en-US" w:eastAsia="zh-CN"/>
                    </w:rPr>
                    <w:t>WTR甲烷气</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0E0639B">
                  <w:pPr>
                    <w:jc w:val="center"/>
                    <w:rPr>
                      <w:rFonts w:hint="eastAsia"/>
                      <w:sz w:val="21"/>
                      <w:szCs w:val="21"/>
                      <w:highlight w:val="none"/>
                      <w:lang w:val="en-US" w:eastAsia="zh-CN"/>
                    </w:rPr>
                  </w:pPr>
                  <w:r>
                    <w:rPr>
                      <w:rFonts w:hint="eastAsia"/>
                      <w:sz w:val="21"/>
                      <w:szCs w:val="21"/>
                      <w:highlight w:val="none"/>
                      <w:lang w:val="en-US" w:eastAsia="zh-CN"/>
                    </w:rPr>
                    <w:t>150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1DEDE0E">
                  <w:pPr>
                    <w:jc w:val="center"/>
                    <w:rPr>
                      <w:rFonts w:hint="eastAsia"/>
                      <w:sz w:val="21"/>
                      <w:szCs w:val="21"/>
                      <w:highlight w:val="none"/>
                      <w:lang w:val="en-US" w:eastAsia="zh-CN"/>
                    </w:rPr>
                  </w:pPr>
                  <w:r>
                    <w:rPr>
                      <w:rFonts w:hint="eastAsia"/>
                      <w:sz w:val="21"/>
                      <w:szCs w:val="21"/>
                      <w:highlight w:val="none"/>
                      <w:lang w:val="en-US" w:eastAsia="zh-CN"/>
                    </w:rPr>
                    <w:t>20#</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CBC7F87">
                  <w:pPr>
                    <w:jc w:val="center"/>
                    <w:rPr>
                      <w:rFonts w:hint="eastAsia"/>
                      <w:sz w:val="21"/>
                      <w:szCs w:val="21"/>
                      <w:highlight w:val="none"/>
                      <w:lang w:val="en-US" w:eastAsia="zh-CN"/>
                    </w:rPr>
                  </w:pPr>
                  <w:r>
                    <w:rPr>
                      <w:rFonts w:hint="eastAsia"/>
                      <w:sz w:val="21"/>
                      <w:szCs w:val="21"/>
                      <w:highlight w:val="none"/>
                      <w:lang w:val="en-US" w:eastAsia="zh-CN"/>
                    </w:rPr>
                    <w:t>AMB/0.4</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A1F93CD">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鹏泰至烷烃分离车间</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4D2BEC9">
                  <w:pPr>
                    <w:jc w:val="center"/>
                    <w:rPr>
                      <w:rFonts w:hint="eastAsia"/>
                      <w:sz w:val="21"/>
                      <w:szCs w:val="21"/>
                      <w:highlight w:val="none"/>
                      <w:lang w:val="en-US" w:eastAsia="zh-CN"/>
                    </w:rPr>
                  </w:pPr>
                  <w:r>
                    <w:rPr>
                      <w:rFonts w:hint="eastAsia"/>
                      <w:sz w:val="21"/>
                      <w:szCs w:val="21"/>
                      <w:highlight w:val="none"/>
                      <w:lang w:val="en-US" w:eastAsia="zh-CN"/>
                    </w:rPr>
                    <w:t>1650Nm</w:t>
                  </w:r>
                  <w:r>
                    <w:rPr>
                      <w:rFonts w:hint="eastAsia"/>
                      <w:sz w:val="21"/>
                      <w:szCs w:val="21"/>
                      <w:highlight w:val="none"/>
                      <w:vertAlign w:val="superscript"/>
                      <w:lang w:val="en-US" w:eastAsia="zh-CN"/>
                    </w:rPr>
                    <w:t>3</w:t>
                  </w:r>
                  <w:r>
                    <w:rPr>
                      <w:rFonts w:hint="eastAsia"/>
                      <w:sz w:val="21"/>
                      <w:szCs w:val="21"/>
                      <w:highlight w:val="none"/>
                      <w:lang w:val="en-US" w:eastAsia="zh-CN"/>
                    </w:rPr>
                    <w: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A49F787">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4D7E0F8B">
                  <w:pPr>
                    <w:snapToGrid w:val="0"/>
                    <w:jc w:val="center"/>
                    <w:rPr>
                      <w:rFonts w:hint="eastAsia"/>
                      <w:sz w:val="21"/>
                      <w:szCs w:val="21"/>
                      <w:highlight w:val="none"/>
                      <w:lang w:val="en-US" w:eastAsia="zh-CN"/>
                    </w:rPr>
                  </w:pPr>
                  <w:r>
                    <w:rPr>
                      <w:rFonts w:hint="eastAsia"/>
                      <w:sz w:val="21"/>
                      <w:szCs w:val="21"/>
                      <w:highlight w:val="none"/>
                    </w:rPr>
                    <w:t>961</w:t>
                  </w:r>
                </w:p>
              </w:tc>
            </w:tr>
            <w:tr w14:paraId="512E291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574259BE">
                  <w:pPr>
                    <w:jc w:val="center"/>
                    <w:rPr>
                      <w:rFonts w:hint="eastAsia"/>
                      <w:sz w:val="21"/>
                      <w:szCs w:val="21"/>
                      <w:highlight w:val="none"/>
                      <w:lang w:val="en-US" w:eastAsia="zh-CN"/>
                    </w:rPr>
                  </w:pPr>
                  <w:r>
                    <w:rPr>
                      <w:rFonts w:hint="eastAsia"/>
                      <w:sz w:val="21"/>
                      <w:szCs w:val="21"/>
                      <w:highlight w:val="none"/>
                      <w:lang w:val="en-US" w:eastAsia="zh-CN"/>
                    </w:rPr>
                    <w:t>5</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1AB6DBA">
                  <w:pPr>
                    <w:spacing w:line="240" w:lineRule="auto"/>
                    <w:jc w:val="center"/>
                    <w:rPr>
                      <w:rFonts w:hint="eastAsia"/>
                      <w:sz w:val="21"/>
                      <w:szCs w:val="21"/>
                      <w:highlight w:val="none"/>
                      <w:lang w:val="en-US" w:eastAsia="zh-CN"/>
                    </w:rPr>
                  </w:pPr>
                  <w:r>
                    <w:rPr>
                      <w:rFonts w:hint="eastAsia"/>
                      <w:sz w:val="21"/>
                      <w:szCs w:val="21"/>
                      <w:highlight w:val="none"/>
                      <w:lang w:val="en-US" w:eastAsia="zh-CN"/>
                    </w:rPr>
                    <w:t>甲烷</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BE8F02C">
                  <w:pPr>
                    <w:jc w:val="center"/>
                    <w:rPr>
                      <w:rFonts w:hint="eastAsia"/>
                      <w:sz w:val="21"/>
                      <w:szCs w:val="21"/>
                      <w:highlight w:val="none"/>
                      <w:lang w:val="en-US" w:eastAsia="zh-CN"/>
                    </w:rPr>
                  </w:pPr>
                  <w:r>
                    <w:rPr>
                      <w:rFonts w:hint="eastAsia"/>
                      <w:sz w:val="21"/>
                      <w:szCs w:val="21"/>
                      <w:highlight w:val="none"/>
                      <w:lang w:val="en-US" w:eastAsia="zh-CN"/>
                    </w:rPr>
                    <w:t>150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A1A5F34">
                  <w:pPr>
                    <w:jc w:val="center"/>
                    <w:rPr>
                      <w:rFonts w:hint="eastAsia"/>
                      <w:sz w:val="21"/>
                      <w:szCs w:val="21"/>
                      <w:highlight w:val="none"/>
                      <w:lang w:val="en-US" w:eastAsia="zh-CN"/>
                    </w:rPr>
                  </w:pPr>
                  <w:r>
                    <w:rPr>
                      <w:rFonts w:hint="eastAsia"/>
                      <w:sz w:val="21"/>
                      <w:szCs w:val="21"/>
                      <w:highlight w:val="none"/>
                      <w:lang w:val="en-US" w:eastAsia="zh-CN"/>
                    </w:rPr>
                    <w:t>304</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037F6FF">
                  <w:pPr>
                    <w:jc w:val="center"/>
                    <w:rPr>
                      <w:rFonts w:hint="eastAsia"/>
                      <w:sz w:val="21"/>
                      <w:szCs w:val="21"/>
                      <w:highlight w:val="none"/>
                      <w:lang w:val="en-US" w:eastAsia="zh-CN"/>
                    </w:rPr>
                  </w:pPr>
                  <w:r>
                    <w:rPr>
                      <w:rFonts w:hint="eastAsia"/>
                      <w:sz w:val="21"/>
                      <w:szCs w:val="21"/>
                      <w:highlight w:val="none"/>
                      <w:lang w:val="en-US" w:eastAsia="zh-CN"/>
                    </w:rPr>
                    <w:t>AMB/0.8</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ED9B097">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伊泰至鹏泰甲烷气管网系统</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AB4B9DD">
                  <w:pPr>
                    <w:jc w:val="center"/>
                    <w:rPr>
                      <w:rFonts w:hint="eastAsia"/>
                      <w:sz w:val="21"/>
                      <w:szCs w:val="21"/>
                      <w:highlight w:val="none"/>
                      <w:lang w:val="en-US" w:eastAsia="zh-CN"/>
                    </w:rPr>
                  </w:pPr>
                  <w:r>
                    <w:rPr>
                      <w:rFonts w:hint="eastAsia"/>
                      <w:sz w:val="21"/>
                      <w:szCs w:val="21"/>
                      <w:highlight w:val="none"/>
                      <w:lang w:val="en-US" w:eastAsia="zh-CN"/>
                    </w:rPr>
                    <w:t>1000Nm</w:t>
                  </w:r>
                  <w:r>
                    <w:rPr>
                      <w:rFonts w:hint="eastAsia"/>
                      <w:sz w:val="21"/>
                      <w:szCs w:val="21"/>
                      <w:highlight w:val="none"/>
                      <w:vertAlign w:val="superscript"/>
                      <w:lang w:val="en-US" w:eastAsia="zh-CN"/>
                    </w:rPr>
                    <w:t>3</w:t>
                  </w:r>
                  <w:r>
                    <w:rPr>
                      <w:rFonts w:hint="eastAsia"/>
                      <w:sz w:val="21"/>
                      <w:szCs w:val="21"/>
                      <w:highlight w:val="none"/>
                      <w:lang w:val="en-US" w:eastAsia="zh-CN"/>
                    </w:rPr>
                    <w: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46C7D05">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2C9F7615">
                  <w:pPr>
                    <w:snapToGrid w:val="0"/>
                    <w:jc w:val="center"/>
                    <w:rPr>
                      <w:rFonts w:hint="eastAsia"/>
                      <w:sz w:val="21"/>
                      <w:szCs w:val="21"/>
                      <w:highlight w:val="none"/>
                      <w:lang w:val="en-US" w:eastAsia="zh-CN"/>
                    </w:rPr>
                  </w:pPr>
                  <w:r>
                    <w:rPr>
                      <w:rFonts w:hint="eastAsia"/>
                      <w:sz w:val="21"/>
                      <w:szCs w:val="21"/>
                      <w:highlight w:val="none"/>
                    </w:rPr>
                    <w:t>904</w:t>
                  </w:r>
                </w:p>
              </w:tc>
            </w:tr>
            <w:tr w14:paraId="6E14D77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352231E7">
                  <w:pPr>
                    <w:jc w:val="center"/>
                    <w:rPr>
                      <w:rFonts w:hint="eastAsia"/>
                      <w:sz w:val="21"/>
                      <w:szCs w:val="21"/>
                      <w:highlight w:val="none"/>
                      <w:lang w:val="en-US" w:eastAsia="zh-CN"/>
                    </w:rPr>
                  </w:pPr>
                  <w:r>
                    <w:rPr>
                      <w:rFonts w:hint="eastAsia"/>
                      <w:sz w:val="21"/>
                      <w:szCs w:val="21"/>
                      <w:highlight w:val="none"/>
                      <w:lang w:val="en-US" w:eastAsia="zh-CN"/>
                    </w:rPr>
                    <w:t>6</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17447A6">
                  <w:pPr>
                    <w:spacing w:line="240" w:lineRule="auto"/>
                    <w:jc w:val="center"/>
                    <w:rPr>
                      <w:rFonts w:hint="eastAsia"/>
                      <w:sz w:val="21"/>
                      <w:szCs w:val="21"/>
                      <w:highlight w:val="none"/>
                      <w:lang w:val="en-US" w:eastAsia="zh-CN"/>
                    </w:rPr>
                  </w:pPr>
                  <w:r>
                    <w:rPr>
                      <w:rFonts w:hint="eastAsia"/>
                      <w:sz w:val="21"/>
                      <w:szCs w:val="21"/>
                      <w:highlight w:val="none"/>
                      <w:lang w:val="en-US" w:eastAsia="zh-CN"/>
                    </w:rPr>
                    <w:t>低压含烃火炬气</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CDD3CAA">
                  <w:pPr>
                    <w:jc w:val="center"/>
                    <w:rPr>
                      <w:rFonts w:hint="eastAsia"/>
                      <w:sz w:val="21"/>
                      <w:szCs w:val="21"/>
                      <w:highlight w:val="none"/>
                      <w:lang w:val="en-US" w:eastAsia="zh-CN"/>
                    </w:rPr>
                  </w:pPr>
                  <w:r>
                    <w:rPr>
                      <w:rFonts w:hint="eastAsia"/>
                      <w:sz w:val="21"/>
                      <w:szCs w:val="21"/>
                      <w:highlight w:val="none"/>
                      <w:lang w:val="en-US" w:eastAsia="zh-CN"/>
                    </w:rPr>
                    <w:t>450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295F12A">
                  <w:pPr>
                    <w:jc w:val="center"/>
                    <w:rPr>
                      <w:rFonts w:hint="eastAsia"/>
                      <w:sz w:val="21"/>
                      <w:szCs w:val="21"/>
                      <w:highlight w:val="none"/>
                      <w:lang w:val="en-US" w:eastAsia="zh-CN"/>
                    </w:rPr>
                  </w:pPr>
                  <w:r>
                    <w:rPr>
                      <w:rFonts w:hint="eastAsia"/>
                      <w:sz w:val="21"/>
                      <w:szCs w:val="21"/>
                      <w:highlight w:val="none"/>
                      <w:lang w:val="en-US" w:eastAsia="zh-CN"/>
                    </w:rPr>
                    <w:t>L245</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FBAB146">
                  <w:pPr>
                    <w:jc w:val="center"/>
                    <w:rPr>
                      <w:rFonts w:hint="eastAsia"/>
                      <w:sz w:val="21"/>
                      <w:szCs w:val="21"/>
                      <w:highlight w:val="none"/>
                      <w:lang w:val="en-US" w:eastAsia="zh-CN"/>
                    </w:rPr>
                  </w:pPr>
                  <w:r>
                    <w:rPr>
                      <w:rFonts w:hint="eastAsia"/>
                      <w:sz w:val="21"/>
                      <w:szCs w:val="21"/>
                      <w:highlight w:val="none"/>
                      <w:lang w:val="en-US" w:eastAsia="zh-CN"/>
                    </w:rPr>
                    <w:t>40/0.15</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A395CDB">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cs="Times New Roman"/>
                      <w:color w:val="000000" w:themeColor="text1"/>
                      <w:sz w:val="21"/>
                      <w:szCs w:val="21"/>
                      <w:highlight w:val="none"/>
                      <w14:textFill>
                        <w14:solidFill>
                          <w14:schemeClr w14:val="tx1"/>
                        </w14:solidFill>
                      </w14:textFill>
                    </w:rPr>
                    <w:t>事故时精馏单元排放气</w:t>
                  </w:r>
                  <w:r>
                    <w:rPr>
                      <w:rFonts w:hint="eastAsia" w:cs="Times New Roman"/>
                      <w:color w:val="000000" w:themeColor="text1"/>
                      <w:sz w:val="21"/>
                      <w:szCs w:val="21"/>
                      <w:highlight w:val="none"/>
                      <w:lang w:val="en-US" w:eastAsia="zh-CN"/>
                      <w14:textFill>
                        <w14:solidFill>
                          <w14:schemeClr w14:val="tx1"/>
                        </w14:solidFill>
                      </w14:textFill>
                    </w:rPr>
                    <w:t>至</w:t>
                  </w:r>
                  <w:r>
                    <w:rPr>
                      <w:rFonts w:hint="eastAsia" w:cs="Times New Roman"/>
                      <w:color w:val="000000" w:themeColor="text1"/>
                      <w:highlight w:val="none"/>
                      <w:lang w:val="en-US" w:eastAsia="zh-CN"/>
                      <w14:textFill>
                        <w14:solidFill>
                          <w14:schemeClr w14:val="tx1"/>
                        </w14:solidFill>
                      </w14:textFill>
                    </w:rPr>
                    <w:t>伊泰</w:t>
                  </w:r>
                  <w:r>
                    <w:rPr>
                      <w:rFonts w:cs="Times New Roman"/>
                      <w:color w:val="000000" w:themeColor="text1"/>
                      <w:highlight w:val="none"/>
                      <w14:textFill>
                        <w14:solidFill>
                          <w14:schemeClr w14:val="tx1"/>
                        </w14:solidFill>
                      </w14:textFill>
                    </w:rPr>
                    <w:t>火炬系统</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AE1D562">
                  <w:pPr>
                    <w:jc w:val="center"/>
                    <w:rPr>
                      <w:rFonts w:hint="eastAsia"/>
                      <w:sz w:val="21"/>
                      <w:szCs w:val="21"/>
                      <w:highlight w:val="none"/>
                      <w:lang w:val="en-US" w:eastAsia="zh-CN"/>
                    </w:rPr>
                  </w:pPr>
                  <w:r>
                    <w:rPr>
                      <w:rFonts w:hint="eastAsia"/>
                      <w:sz w:val="21"/>
                      <w:szCs w:val="21"/>
                      <w:highlight w:val="none"/>
                      <w:lang w:val="en-US" w:eastAsia="zh-CN"/>
                    </w:rPr>
                    <w:t>36237Nm</w:t>
                  </w:r>
                  <w:r>
                    <w:rPr>
                      <w:rFonts w:hint="eastAsia"/>
                      <w:sz w:val="21"/>
                      <w:szCs w:val="21"/>
                      <w:highlight w:val="none"/>
                      <w:vertAlign w:val="superscript"/>
                      <w:lang w:val="en-US" w:eastAsia="zh-CN"/>
                    </w:rPr>
                    <w:t>3</w:t>
                  </w:r>
                  <w:r>
                    <w:rPr>
                      <w:rFonts w:hint="eastAsia"/>
                      <w:sz w:val="21"/>
                      <w:szCs w:val="21"/>
                      <w:highlight w:val="none"/>
                      <w:lang w:val="en-US" w:eastAsia="zh-CN"/>
                    </w:rPr>
                    <w: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A8BC695">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5381B2C3">
                  <w:pPr>
                    <w:snapToGrid w:val="0"/>
                    <w:jc w:val="center"/>
                    <w:rPr>
                      <w:rFonts w:hint="eastAsia"/>
                      <w:sz w:val="21"/>
                      <w:szCs w:val="21"/>
                      <w:highlight w:val="none"/>
                      <w:lang w:val="en-US" w:eastAsia="zh-CN"/>
                    </w:rPr>
                  </w:pPr>
                  <w:r>
                    <w:rPr>
                      <w:rFonts w:hint="eastAsia"/>
                      <w:sz w:val="21"/>
                      <w:szCs w:val="21"/>
                      <w:highlight w:val="none"/>
                    </w:rPr>
                    <w:t>1229</w:t>
                  </w:r>
                </w:p>
              </w:tc>
            </w:tr>
            <w:tr w14:paraId="5FFF31B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0199EDA8">
                  <w:pPr>
                    <w:jc w:val="center"/>
                    <w:rPr>
                      <w:rFonts w:hint="eastAsia"/>
                      <w:sz w:val="21"/>
                      <w:szCs w:val="21"/>
                      <w:highlight w:val="none"/>
                      <w:lang w:val="en-US" w:eastAsia="zh-CN"/>
                    </w:rPr>
                  </w:pPr>
                  <w:r>
                    <w:rPr>
                      <w:rFonts w:hint="eastAsia"/>
                      <w:sz w:val="21"/>
                      <w:szCs w:val="21"/>
                      <w:highlight w:val="none"/>
                      <w:lang w:val="en-US" w:eastAsia="zh-CN"/>
                    </w:rPr>
                    <w:t>7</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0BD7128">
                  <w:pPr>
                    <w:spacing w:line="240" w:lineRule="auto"/>
                    <w:jc w:val="center"/>
                    <w:rPr>
                      <w:rFonts w:hint="eastAsia"/>
                      <w:sz w:val="21"/>
                      <w:szCs w:val="21"/>
                      <w:highlight w:val="none"/>
                      <w:lang w:val="en-US" w:eastAsia="zh-CN"/>
                    </w:rPr>
                  </w:pPr>
                  <w:r>
                    <w:rPr>
                      <w:rFonts w:hint="eastAsia"/>
                      <w:sz w:val="21"/>
                      <w:szCs w:val="21"/>
                      <w:highlight w:val="none"/>
                      <w:lang w:val="en-US" w:eastAsia="zh-CN"/>
                    </w:rPr>
                    <w:t>湿酸火炬气</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27CE234">
                  <w:pPr>
                    <w:jc w:val="center"/>
                    <w:rPr>
                      <w:rFonts w:hint="eastAsia"/>
                      <w:sz w:val="21"/>
                      <w:szCs w:val="21"/>
                      <w:highlight w:val="none"/>
                      <w:lang w:val="en-US" w:eastAsia="zh-CN"/>
                    </w:rPr>
                  </w:pPr>
                  <w:r>
                    <w:rPr>
                      <w:rFonts w:hint="eastAsia"/>
                      <w:sz w:val="21"/>
                      <w:szCs w:val="21"/>
                      <w:highlight w:val="none"/>
                      <w:lang w:val="en-US" w:eastAsia="zh-CN"/>
                    </w:rPr>
                    <w:t>400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B2FE8BF">
                  <w:pPr>
                    <w:jc w:val="center"/>
                    <w:rPr>
                      <w:rFonts w:hint="eastAsia"/>
                      <w:sz w:val="21"/>
                      <w:szCs w:val="21"/>
                      <w:highlight w:val="none"/>
                      <w:lang w:val="en-US" w:eastAsia="zh-CN"/>
                    </w:rPr>
                  </w:pPr>
                  <w:r>
                    <w:rPr>
                      <w:rFonts w:hint="eastAsia"/>
                      <w:sz w:val="21"/>
                      <w:szCs w:val="21"/>
                      <w:highlight w:val="none"/>
                      <w:lang w:val="en-US" w:eastAsia="zh-CN"/>
                    </w:rPr>
                    <w:t>L245</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E0A471D">
                  <w:pPr>
                    <w:jc w:val="center"/>
                    <w:rPr>
                      <w:rFonts w:hint="eastAsia"/>
                      <w:sz w:val="21"/>
                      <w:szCs w:val="21"/>
                      <w:highlight w:val="none"/>
                      <w:lang w:val="en-US" w:eastAsia="zh-CN"/>
                    </w:rPr>
                  </w:pPr>
                  <w:r>
                    <w:rPr>
                      <w:rFonts w:hint="eastAsia"/>
                      <w:sz w:val="21"/>
                      <w:szCs w:val="21"/>
                      <w:highlight w:val="none"/>
                      <w:lang w:val="en-US" w:eastAsia="zh-CN"/>
                    </w:rPr>
                    <w:t>40/0.4</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65C2E08">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cs="Times New Roman"/>
                      <w:color w:val="000000" w:themeColor="text1"/>
                      <w:sz w:val="21"/>
                      <w:szCs w:val="21"/>
                      <w:highlight w:val="none"/>
                      <w14:textFill>
                        <w14:solidFill>
                          <w14:schemeClr w14:val="tx1"/>
                        </w14:solidFill>
                      </w14:textFill>
                    </w:rPr>
                    <w:t>事故时发酵单元排放气；工艺气排放单元脱硫系统故障排放气</w:t>
                  </w:r>
                  <w:r>
                    <w:rPr>
                      <w:rFonts w:hint="eastAsia" w:cs="Times New Roman"/>
                      <w:color w:val="000000" w:themeColor="text1"/>
                      <w:sz w:val="21"/>
                      <w:szCs w:val="21"/>
                      <w:highlight w:val="none"/>
                      <w:lang w:val="en-US" w:eastAsia="zh-CN"/>
                      <w14:textFill>
                        <w14:solidFill>
                          <w14:schemeClr w14:val="tx1"/>
                        </w14:solidFill>
                      </w14:textFill>
                    </w:rPr>
                    <w:t>至</w:t>
                  </w:r>
                  <w:r>
                    <w:rPr>
                      <w:rFonts w:hint="eastAsia" w:cs="Times New Roman"/>
                      <w:color w:val="000000" w:themeColor="text1"/>
                      <w:highlight w:val="none"/>
                      <w:lang w:val="en-US" w:eastAsia="zh-CN"/>
                      <w14:textFill>
                        <w14:solidFill>
                          <w14:schemeClr w14:val="tx1"/>
                        </w14:solidFill>
                      </w14:textFill>
                    </w:rPr>
                    <w:t>伊泰</w:t>
                  </w:r>
                  <w:r>
                    <w:rPr>
                      <w:rFonts w:cs="Times New Roman"/>
                      <w:color w:val="000000" w:themeColor="text1"/>
                      <w:highlight w:val="none"/>
                      <w14:textFill>
                        <w14:solidFill>
                          <w14:schemeClr w14:val="tx1"/>
                        </w14:solidFill>
                      </w14:textFill>
                    </w:rPr>
                    <w:t>火炬系统</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4ACD8A6">
                  <w:pPr>
                    <w:jc w:val="center"/>
                    <w:rPr>
                      <w:rFonts w:hint="eastAsia"/>
                      <w:sz w:val="21"/>
                      <w:szCs w:val="21"/>
                      <w:highlight w:val="none"/>
                      <w:lang w:val="en-US" w:eastAsia="zh-CN"/>
                    </w:rPr>
                  </w:pPr>
                  <w:r>
                    <w:rPr>
                      <w:rFonts w:hint="eastAsia"/>
                      <w:sz w:val="21"/>
                      <w:szCs w:val="21"/>
                      <w:highlight w:val="none"/>
                      <w:lang w:val="en-US" w:eastAsia="zh-CN"/>
                    </w:rPr>
                    <w:t>25000Nm</w:t>
                  </w:r>
                  <w:r>
                    <w:rPr>
                      <w:rFonts w:hint="eastAsia"/>
                      <w:sz w:val="21"/>
                      <w:szCs w:val="21"/>
                      <w:highlight w:val="none"/>
                      <w:vertAlign w:val="superscript"/>
                      <w:lang w:val="en-US" w:eastAsia="zh-CN"/>
                    </w:rPr>
                    <w:t>3</w:t>
                  </w:r>
                  <w:r>
                    <w:rPr>
                      <w:rFonts w:hint="eastAsia"/>
                      <w:sz w:val="21"/>
                      <w:szCs w:val="21"/>
                      <w:highlight w:val="none"/>
                      <w:lang w:val="en-US" w:eastAsia="zh-CN"/>
                    </w:rPr>
                    <w: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F49FD33">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32B0E662">
                  <w:pPr>
                    <w:snapToGrid w:val="0"/>
                    <w:jc w:val="center"/>
                    <w:rPr>
                      <w:rFonts w:hint="eastAsia"/>
                      <w:sz w:val="21"/>
                      <w:szCs w:val="21"/>
                      <w:highlight w:val="none"/>
                      <w:lang w:val="en-US" w:eastAsia="zh-CN"/>
                    </w:rPr>
                  </w:pPr>
                  <w:r>
                    <w:rPr>
                      <w:rFonts w:hint="eastAsia"/>
                      <w:sz w:val="21"/>
                      <w:szCs w:val="21"/>
                      <w:highlight w:val="none"/>
                    </w:rPr>
                    <w:t>707</w:t>
                  </w:r>
                </w:p>
              </w:tc>
            </w:tr>
            <w:tr w14:paraId="067369E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336AC05E">
                  <w:pPr>
                    <w:jc w:val="center"/>
                    <w:rPr>
                      <w:rFonts w:hint="eastAsia"/>
                      <w:sz w:val="21"/>
                      <w:szCs w:val="21"/>
                      <w:highlight w:val="none"/>
                      <w:lang w:val="en-US" w:eastAsia="zh-CN"/>
                    </w:rPr>
                  </w:pPr>
                  <w:r>
                    <w:rPr>
                      <w:rFonts w:hint="eastAsia"/>
                      <w:sz w:val="21"/>
                      <w:szCs w:val="21"/>
                      <w:highlight w:val="none"/>
                      <w:lang w:val="en-US" w:eastAsia="zh-CN"/>
                    </w:rPr>
                    <w:t>8</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18E7E5F">
                  <w:pPr>
                    <w:spacing w:line="240" w:lineRule="auto"/>
                    <w:jc w:val="center"/>
                    <w:rPr>
                      <w:rFonts w:hint="eastAsia"/>
                      <w:sz w:val="21"/>
                      <w:szCs w:val="21"/>
                      <w:highlight w:val="none"/>
                      <w:lang w:val="en-US" w:eastAsia="zh-CN"/>
                    </w:rPr>
                  </w:pPr>
                  <w:r>
                    <w:rPr>
                      <w:rFonts w:hint="eastAsia"/>
                      <w:sz w:val="21"/>
                      <w:szCs w:val="21"/>
                      <w:highlight w:val="none"/>
                      <w:lang w:val="en-US" w:eastAsia="zh-CN"/>
                    </w:rPr>
                    <w:t>中压蒸汽</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4F7BACA">
                  <w:pPr>
                    <w:jc w:val="center"/>
                    <w:rPr>
                      <w:rFonts w:hint="eastAsia"/>
                      <w:sz w:val="21"/>
                      <w:szCs w:val="21"/>
                      <w:highlight w:val="none"/>
                      <w:lang w:val="en-US" w:eastAsia="zh-CN"/>
                    </w:rPr>
                  </w:pPr>
                  <w:r>
                    <w:rPr>
                      <w:rFonts w:hint="eastAsia"/>
                      <w:sz w:val="21"/>
                      <w:szCs w:val="21"/>
                      <w:highlight w:val="none"/>
                      <w:lang w:val="en-US" w:eastAsia="zh-CN"/>
                    </w:rPr>
                    <w:t>350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0F8B495">
                  <w:pPr>
                    <w:jc w:val="center"/>
                    <w:rPr>
                      <w:rFonts w:hint="eastAsia"/>
                      <w:sz w:val="21"/>
                      <w:szCs w:val="21"/>
                      <w:highlight w:val="none"/>
                      <w:lang w:val="en-US" w:eastAsia="zh-CN"/>
                    </w:rPr>
                  </w:pPr>
                  <w:r>
                    <w:rPr>
                      <w:rFonts w:hint="eastAsia"/>
                      <w:sz w:val="21"/>
                      <w:szCs w:val="21"/>
                      <w:highlight w:val="none"/>
                      <w:lang w:val="en-US" w:eastAsia="zh-CN"/>
                    </w:rPr>
                    <w:t>L245</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F167E44">
                  <w:pPr>
                    <w:jc w:val="center"/>
                    <w:rPr>
                      <w:rFonts w:hint="default"/>
                      <w:sz w:val="21"/>
                      <w:szCs w:val="21"/>
                      <w:highlight w:val="none"/>
                      <w:lang w:val="en-US" w:eastAsia="zh-CN"/>
                    </w:rPr>
                  </w:pPr>
                  <w:r>
                    <w:rPr>
                      <w:rFonts w:hint="eastAsia"/>
                      <w:sz w:val="21"/>
                      <w:szCs w:val="21"/>
                      <w:highlight w:val="none"/>
                      <w:lang w:val="en-US" w:eastAsia="zh-CN"/>
                    </w:rPr>
                    <w:t>232/2.8</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E1C278C">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伊泰</w:t>
                  </w:r>
                  <w:r>
                    <w:rPr>
                      <w:rFonts w:cs="Times New Roman"/>
                      <w:color w:val="000000" w:themeColor="text1"/>
                      <w:sz w:val="21"/>
                      <w:szCs w:val="21"/>
                      <w:highlight w:val="none"/>
                      <w14:textFill>
                        <w14:solidFill>
                          <w14:schemeClr w14:val="tx1"/>
                        </w14:solidFill>
                      </w14:textFill>
                    </w:rPr>
                    <w:t>合成装置副产蒸汽</w:t>
                  </w:r>
                  <w:r>
                    <w:rPr>
                      <w:rFonts w:hint="eastAsia" w:cs="Times New Roman"/>
                      <w:color w:val="000000" w:themeColor="text1"/>
                      <w:sz w:val="21"/>
                      <w:szCs w:val="21"/>
                      <w:highlight w:val="none"/>
                      <w:lang w:val="en-US" w:eastAsia="zh-CN"/>
                      <w14:textFill>
                        <w14:solidFill>
                          <w14:schemeClr w14:val="tx1"/>
                        </w14:solidFill>
                      </w14:textFill>
                    </w:rPr>
                    <w:t>至鹏泰蒸汽管网</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4FA5770">
                  <w:pPr>
                    <w:jc w:val="center"/>
                    <w:rPr>
                      <w:rFonts w:hint="eastAsia"/>
                      <w:sz w:val="21"/>
                      <w:szCs w:val="21"/>
                      <w:highlight w:val="none"/>
                      <w:lang w:val="en-US" w:eastAsia="zh-CN"/>
                    </w:rPr>
                  </w:pPr>
                  <w:r>
                    <w:rPr>
                      <w:rFonts w:hint="eastAsia"/>
                      <w:sz w:val="21"/>
                      <w:szCs w:val="21"/>
                      <w:highlight w:val="none"/>
                      <w:lang w:val="en-US" w:eastAsia="zh-CN"/>
                    </w:rPr>
                    <w:t>150t/h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843B8AA">
                  <w:pPr>
                    <w:jc w:val="center"/>
                    <w:rPr>
                      <w:rFonts w:hint="eastAsia"/>
                      <w:sz w:val="21"/>
                      <w:szCs w:val="21"/>
                      <w:highlight w:val="none"/>
                      <w:lang w:val="en-US" w:eastAsia="zh-CN"/>
                    </w:rPr>
                  </w:pPr>
                  <w:r>
                    <w:rPr>
                      <w:rFonts w:hint="eastAsia"/>
                      <w:sz w:val="21"/>
                      <w:szCs w:val="21"/>
                      <w:highlight w:val="none"/>
                      <w:lang w:val="en-US" w:eastAsia="zh-CN"/>
                    </w:rPr>
                    <w:t>CL300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230AE32E">
                  <w:pPr>
                    <w:snapToGrid w:val="0"/>
                    <w:jc w:val="center"/>
                    <w:rPr>
                      <w:rFonts w:hint="eastAsia"/>
                      <w:sz w:val="21"/>
                      <w:szCs w:val="21"/>
                      <w:highlight w:val="none"/>
                      <w:lang w:val="en-US" w:eastAsia="zh-CN"/>
                    </w:rPr>
                  </w:pPr>
                  <w:r>
                    <w:rPr>
                      <w:rFonts w:hint="eastAsia"/>
                      <w:sz w:val="21"/>
                      <w:szCs w:val="21"/>
                      <w:highlight w:val="none"/>
                    </w:rPr>
                    <w:t>521</w:t>
                  </w:r>
                </w:p>
              </w:tc>
            </w:tr>
            <w:tr w14:paraId="4BC9DEA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3D9AFCAB">
                  <w:pPr>
                    <w:jc w:val="center"/>
                    <w:rPr>
                      <w:rFonts w:hint="eastAsia"/>
                      <w:sz w:val="21"/>
                      <w:szCs w:val="21"/>
                      <w:highlight w:val="none"/>
                      <w:lang w:val="en-US" w:eastAsia="zh-CN"/>
                    </w:rPr>
                  </w:pPr>
                  <w:r>
                    <w:rPr>
                      <w:rFonts w:hint="eastAsia"/>
                      <w:sz w:val="21"/>
                      <w:szCs w:val="21"/>
                      <w:highlight w:val="none"/>
                      <w:lang w:val="en-US" w:eastAsia="zh-CN"/>
                    </w:rPr>
                    <w:t>9</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D847047">
                  <w:pPr>
                    <w:spacing w:line="240" w:lineRule="auto"/>
                    <w:jc w:val="center"/>
                    <w:rPr>
                      <w:rFonts w:hint="eastAsia"/>
                      <w:sz w:val="21"/>
                      <w:szCs w:val="21"/>
                      <w:highlight w:val="none"/>
                      <w:lang w:val="en-US" w:eastAsia="zh-CN"/>
                    </w:rPr>
                  </w:pPr>
                  <w:r>
                    <w:rPr>
                      <w:rFonts w:hint="eastAsia"/>
                      <w:sz w:val="21"/>
                      <w:szCs w:val="21"/>
                      <w:highlight w:val="none"/>
                      <w:lang w:val="en-US" w:eastAsia="zh-CN"/>
                    </w:rPr>
                    <w:t>凝结水</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B599E4D">
                  <w:pPr>
                    <w:jc w:val="center"/>
                    <w:rPr>
                      <w:rFonts w:hint="eastAsia"/>
                      <w:sz w:val="21"/>
                      <w:szCs w:val="21"/>
                      <w:highlight w:val="none"/>
                      <w:lang w:val="en-US" w:eastAsia="zh-CN"/>
                    </w:rPr>
                  </w:pPr>
                  <w:r>
                    <w:rPr>
                      <w:rFonts w:hint="eastAsia"/>
                      <w:sz w:val="21"/>
                      <w:szCs w:val="21"/>
                      <w:highlight w:val="none"/>
                      <w:lang w:val="en-US" w:eastAsia="zh-CN"/>
                    </w:rPr>
                    <w:t>200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10819AD">
                  <w:pPr>
                    <w:jc w:val="center"/>
                    <w:rPr>
                      <w:rFonts w:hint="eastAsia"/>
                      <w:sz w:val="21"/>
                      <w:szCs w:val="21"/>
                      <w:highlight w:val="none"/>
                      <w:lang w:val="en-US" w:eastAsia="zh-CN"/>
                    </w:rPr>
                  </w:pPr>
                  <w:r>
                    <w:rPr>
                      <w:rFonts w:hint="eastAsia"/>
                      <w:sz w:val="21"/>
                      <w:szCs w:val="21"/>
                      <w:highlight w:val="none"/>
                      <w:lang w:val="en-US" w:eastAsia="zh-CN"/>
                    </w:rPr>
                    <w:t>Q235B</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F368C05">
                  <w:pPr>
                    <w:jc w:val="center"/>
                    <w:rPr>
                      <w:rFonts w:hint="eastAsia"/>
                      <w:sz w:val="21"/>
                      <w:szCs w:val="21"/>
                      <w:highlight w:val="none"/>
                      <w:lang w:val="en-US" w:eastAsia="zh-CN"/>
                    </w:rPr>
                  </w:pPr>
                  <w:r>
                    <w:rPr>
                      <w:rFonts w:hint="eastAsia"/>
                      <w:sz w:val="21"/>
                      <w:szCs w:val="21"/>
                      <w:highlight w:val="none"/>
                      <w:lang w:val="en-US" w:eastAsia="zh-CN"/>
                    </w:rPr>
                    <w:t>95/0.5</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AE467B7">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鹏泰至伊泰冷凝水管网</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0B7213B">
                  <w:pPr>
                    <w:jc w:val="center"/>
                    <w:rPr>
                      <w:rFonts w:hint="eastAsia"/>
                      <w:sz w:val="21"/>
                      <w:szCs w:val="21"/>
                      <w:highlight w:val="none"/>
                      <w:lang w:val="en-US" w:eastAsia="zh-CN"/>
                    </w:rPr>
                  </w:pPr>
                  <w:r>
                    <w:rPr>
                      <w:rFonts w:hint="eastAsia"/>
                      <w:sz w:val="21"/>
                      <w:szCs w:val="21"/>
                      <w:highlight w:val="none"/>
                      <w:lang w:val="en-US" w:eastAsia="zh-CN"/>
                    </w:rPr>
                    <w:t>150t/h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6E01FF7">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0F3106D3">
                  <w:pPr>
                    <w:snapToGrid w:val="0"/>
                    <w:jc w:val="center"/>
                    <w:rPr>
                      <w:rFonts w:hint="eastAsia"/>
                      <w:sz w:val="21"/>
                      <w:szCs w:val="21"/>
                      <w:highlight w:val="none"/>
                      <w:lang w:val="en-US" w:eastAsia="zh-CN"/>
                    </w:rPr>
                  </w:pPr>
                  <w:r>
                    <w:rPr>
                      <w:rFonts w:hint="eastAsia"/>
                      <w:sz w:val="21"/>
                      <w:szCs w:val="21"/>
                      <w:highlight w:val="none"/>
                    </w:rPr>
                    <w:t>467</w:t>
                  </w:r>
                </w:p>
              </w:tc>
            </w:tr>
            <w:tr w14:paraId="39A52E3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1D7342B4">
                  <w:pPr>
                    <w:jc w:val="center"/>
                    <w:rPr>
                      <w:rFonts w:hint="eastAsia"/>
                      <w:sz w:val="21"/>
                      <w:szCs w:val="21"/>
                      <w:highlight w:val="none"/>
                      <w:lang w:val="en-US" w:eastAsia="zh-CN"/>
                    </w:rPr>
                  </w:pPr>
                  <w:r>
                    <w:rPr>
                      <w:rFonts w:hint="eastAsia"/>
                      <w:sz w:val="21"/>
                      <w:szCs w:val="21"/>
                      <w:highlight w:val="none"/>
                      <w:lang w:val="en-US" w:eastAsia="zh-CN"/>
                    </w:rPr>
                    <w:t>10</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7D5B099">
                  <w:pPr>
                    <w:spacing w:line="240" w:lineRule="auto"/>
                    <w:jc w:val="center"/>
                    <w:rPr>
                      <w:rFonts w:hint="eastAsia"/>
                      <w:sz w:val="21"/>
                      <w:szCs w:val="21"/>
                      <w:highlight w:val="none"/>
                      <w:lang w:val="en-US" w:eastAsia="zh-CN"/>
                    </w:rPr>
                  </w:pPr>
                  <w:r>
                    <w:rPr>
                      <w:rFonts w:hint="eastAsia"/>
                      <w:sz w:val="21"/>
                      <w:szCs w:val="21"/>
                      <w:highlight w:val="none"/>
                      <w:lang w:val="en-US" w:eastAsia="zh-CN"/>
                    </w:rPr>
                    <w:t>仪表风</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24A588C">
                  <w:pPr>
                    <w:jc w:val="center"/>
                    <w:rPr>
                      <w:rFonts w:hint="eastAsia"/>
                      <w:sz w:val="21"/>
                      <w:szCs w:val="21"/>
                      <w:highlight w:val="none"/>
                      <w:lang w:val="en-US" w:eastAsia="zh-CN"/>
                    </w:rPr>
                  </w:pPr>
                  <w:r>
                    <w:rPr>
                      <w:rFonts w:hint="eastAsia"/>
                      <w:sz w:val="21"/>
                      <w:szCs w:val="21"/>
                      <w:highlight w:val="none"/>
                      <w:lang w:val="en-US" w:eastAsia="zh-CN"/>
                    </w:rPr>
                    <w:t>100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6BED183">
                  <w:pPr>
                    <w:jc w:val="center"/>
                    <w:rPr>
                      <w:rFonts w:hint="eastAsia"/>
                      <w:sz w:val="21"/>
                      <w:szCs w:val="21"/>
                      <w:highlight w:val="none"/>
                      <w:lang w:val="en-US" w:eastAsia="zh-CN"/>
                    </w:rPr>
                  </w:pPr>
                  <w:r>
                    <w:rPr>
                      <w:rFonts w:hint="eastAsia"/>
                      <w:sz w:val="21"/>
                      <w:szCs w:val="21"/>
                      <w:highlight w:val="none"/>
                      <w:lang w:val="en-US" w:eastAsia="zh-CN"/>
                    </w:rPr>
                    <w:t>06Cr19Ni10</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1677F3E">
                  <w:pPr>
                    <w:jc w:val="center"/>
                    <w:rPr>
                      <w:rFonts w:hint="eastAsia"/>
                      <w:sz w:val="21"/>
                      <w:szCs w:val="21"/>
                      <w:highlight w:val="none"/>
                      <w:lang w:val="en-US" w:eastAsia="zh-CN"/>
                    </w:rPr>
                  </w:pPr>
                  <w:r>
                    <w:rPr>
                      <w:rFonts w:hint="eastAsia"/>
                      <w:sz w:val="21"/>
                      <w:szCs w:val="21"/>
                      <w:highlight w:val="none"/>
                      <w:lang w:val="en-US" w:eastAsia="zh-CN"/>
                    </w:rPr>
                    <w:t>AMB/0.74</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B42A3E8">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伊泰</w:t>
                  </w:r>
                  <w:r>
                    <w:rPr>
                      <w:rFonts w:cs="Times New Roman"/>
                      <w:color w:val="000000" w:themeColor="text1"/>
                      <w:sz w:val="21"/>
                      <w:szCs w:val="21"/>
                      <w:highlight w:val="none"/>
                      <w14:textFill>
                        <w14:solidFill>
                          <w14:schemeClr w14:val="tx1"/>
                        </w14:solidFill>
                      </w14:textFill>
                    </w:rPr>
                    <w:t>空分装置</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鹏泰管网</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B07AEE7">
                  <w:pPr>
                    <w:jc w:val="center"/>
                    <w:rPr>
                      <w:rFonts w:hint="eastAsia"/>
                      <w:sz w:val="21"/>
                      <w:szCs w:val="21"/>
                      <w:highlight w:val="none"/>
                      <w:lang w:val="en-US" w:eastAsia="zh-CN"/>
                    </w:rPr>
                  </w:pPr>
                  <w:r>
                    <w:rPr>
                      <w:rFonts w:hint="eastAsia"/>
                      <w:sz w:val="21"/>
                      <w:szCs w:val="21"/>
                      <w:highlight w:val="none"/>
                      <w:lang w:val="en-US" w:eastAsia="zh-CN"/>
                    </w:rPr>
                    <w:t>1600Nm</w:t>
                  </w:r>
                  <w:r>
                    <w:rPr>
                      <w:rFonts w:hint="eastAsia"/>
                      <w:sz w:val="21"/>
                      <w:szCs w:val="21"/>
                      <w:highlight w:val="none"/>
                      <w:vertAlign w:val="superscript"/>
                      <w:lang w:val="en-US" w:eastAsia="zh-CN"/>
                    </w:rPr>
                    <w:t>3</w:t>
                  </w:r>
                  <w:r>
                    <w:rPr>
                      <w:rFonts w:hint="eastAsia"/>
                      <w:sz w:val="21"/>
                      <w:szCs w:val="21"/>
                      <w:highlight w:val="none"/>
                      <w:lang w:val="en-US" w:eastAsia="zh-CN"/>
                    </w:rPr>
                    <w: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8BE7460">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09E9D58F">
                  <w:pPr>
                    <w:snapToGrid w:val="0"/>
                    <w:jc w:val="center"/>
                    <w:rPr>
                      <w:rFonts w:hint="eastAsia"/>
                      <w:sz w:val="21"/>
                      <w:szCs w:val="21"/>
                      <w:highlight w:val="none"/>
                      <w:lang w:val="en-US" w:eastAsia="zh-CN"/>
                    </w:rPr>
                  </w:pPr>
                  <w:r>
                    <w:rPr>
                      <w:rFonts w:hint="eastAsia"/>
                      <w:sz w:val="21"/>
                      <w:szCs w:val="21"/>
                      <w:highlight w:val="none"/>
                    </w:rPr>
                    <w:t>422</w:t>
                  </w:r>
                </w:p>
              </w:tc>
            </w:tr>
            <w:tr w14:paraId="1E2C94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2CEE0505">
                  <w:pPr>
                    <w:jc w:val="center"/>
                    <w:rPr>
                      <w:rFonts w:hint="eastAsia"/>
                      <w:sz w:val="21"/>
                      <w:szCs w:val="21"/>
                      <w:highlight w:val="none"/>
                      <w:lang w:val="en-US" w:eastAsia="zh-CN"/>
                    </w:rPr>
                  </w:pPr>
                  <w:r>
                    <w:rPr>
                      <w:rFonts w:hint="eastAsia"/>
                      <w:sz w:val="21"/>
                      <w:szCs w:val="21"/>
                      <w:highlight w:val="none"/>
                      <w:lang w:val="en-US" w:eastAsia="zh-CN"/>
                    </w:rPr>
                    <w:t>11</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3609451">
                  <w:pPr>
                    <w:spacing w:line="240" w:lineRule="auto"/>
                    <w:jc w:val="center"/>
                    <w:rPr>
                      <w:rFonts w:hint="eastAsia"/>
                      <w:sz w:val="21"/>
                      <w:szCs w:val="21"/>
                      <w:highlight w:val="none"/>
                      <w:lang w:val="en-US" w:eastAsia="zh-CN"/>
                    </w:rPr>
                  </w:pPr>
                  <w:r>
                    <w:rPr>
                      <w:rFonts w:hint="eastAsia"/>
                      <w:sz w:val="21"/>
                      <w:szCs w:val="21"/>
                      <w:highlight w:val="none"/>
                      <w:lang w:val="en-US" w:eastAsia="zh-CN"/>
                    </w:rPr>
                    <w:t>工厂风</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ADA9A30">
                  <w:pPr>
                    <w:jc w:val="center"/>
                    <w:rPr>
                      <w:rFonts w:hint="eastAsia"/>
                      <w:sz w:val="21"/>
                      <w:szCs w:val="21"/>
                      <w:highlight w:val="none"/>
                      <w:lang w:val="en-US" w:eastAsia="zh-CN"/>
                    </w:rPr>
                  </w:pPr>
                  <w:r>
                    <w:rPr>
                      <w:rFonts w:hint="eastAsia"/>
                      <w:sz w:val="21"/>
                      <w:szCs w:val="21"/>
                      <w:highlight w:val="none"/>
                      <w:lang w:val="en-US" w:eastAsia="zh-CN"/>
                    </w:rPr>
                    <w:t>100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0CB1F86">
                  <w:pPr>
                    <w:jc w:val="center"/>
                    <w:rPr>
                      <w:rFonts w:hint="eastAsia"/>
                      <w:sz w:val="21"/>
                      <w:szCs w:val="21"/>
                      <w:highlight w:val="none"/>
                      <w:lang w:val="en-US" w:eastAsia="zh-CN"/>
                    </w:rPr>
                  </w:pPr>
                  <w:r>
                    <w:rPr>
                      <w:rFonts w:hint="eastAsia"/>
                      <w:sz w:val="21"/>
                      <w:szCs w:val="21"/>
                      <w:highlight w:val="none"/>
                      <w:lang w:val="en-US" w:eastAsia="zh-CN"/>
                    </w:rPr>
                    <w:t>20#</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7FFCD3F">
                  <w:pPr>
                    <w:jc w:val="center"/>
                    <w:rPr>
                      <w:rFonts w:hint="default"/>
                      <w:sz w:val="21"/>
                      <w:szCs w:val="21"/>
                      <w:highlight w:val="none"/>
                      <w:lang w:val="en-US" w:eastAsia="zh-CN"/>
                    </w:rPr>
                  </w:pPr>
                  <w:r>
                    <w:rPr>
                      <w:rFonts w:hint="eastAsia"/>
                      <w:sz w:val="21"/>
                      <w:szCs w:val="21"/>
                      <w:highlight w:val="none"/>
                      <w:lang w:val="en-US" w:eastAsia="zh-CN"/>
                    </w:rPr>
                    <w:t>AMB/0.74</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CEBAB72">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伊泰</w:t>
                  </w:r>
                  <w:r>
                    <w:rPr>
                      <w:rFonts w:cs="Times New Roman"/>
                      <w:color w:val="000000" w:themeColor="text1"/>
                      <w:sz w:val="21"/>
                      <w:szCs w:val="21"/>
                      <w:highlight w:val="none"/>
                      <w14:textFill>
                        <w14:solidFill>
                          <w14:schemeClr w14:val="tx1"/>
                        </w14:solidFill>
                      </w14:textFill>
                    </w:rPr>
                    <w:t>空分装置</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鹏泰管网</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135A970">
                  <w:pPr>
                    <w:jc w:val="center"/>
                    <w:rPr>
                      <w:rFonts w:hint="eastAsia"/>
                      <w:sz w:val="21"/>
                      <w:szCs w:val="21"/>
                      <w:highlight w:val="none"/>
                      <w:lang w:val="en-US" w:eastAsia="zh-CN"/>
                    </w:rPr>
                  </w:pPr>
                  <w:r>
                    <w:rPr>
                      <w:rFonts w:hint="eastAsia"/>
                      <w:sz w:val="21"/>
                      <w:szCs w:val="21"/>
                      <w:highlight w:val="none"/>
                      <w:lang w:val="en-US" w:eastAsia="zh-CN"/>
                    </w:rPr>
                    <w:t>1000Nm</w:t>
                  </w:r>
                  <w:r>
                    <w:rPr>
                      <w:rFonts w:hint="eastAsia"/>
                      <w:sz w:val="21"/>
                      <w:szCs w:val="21"/>
                      <w:highlight w:val="none"/>
                      <w:vertAlign w:val="superscript"/>
                      <w:lang w:val="en-US" w:eastAsia="zh-CN"/>
                    </w:rPr>
                    <w:t>3</w:t>
                  </w:r>
                  <w:r>
                    <w:rPr>
                      <w:rFonts w:hint="eastAsia"/>
                      <w:sz w:val="21"/>
                      <w:szCs w:val="21"/>
                      <w:highlight w:val="none"/>
                      <w:lang w:val="en-US" w:eastAsia="zh-CN"/>
                    </w:rPr>
                    <w: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C9247EF">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50F7649A">
                  <w:pPr>
                    <w:snapToGrid w:val="0"/>
                    <w:jc w:val="center"/>
                    <w:rPr>
                      <w:rFonts w:hint="eastAsia"/>
                      <w:sz w:val="21"/>
                      <w:szCs w:val="21"/>
                      <w:highlight w:val="none"/>
                      <w:lang w:val="en-US" w:eastAsia="zh-CN"/>
                    </w:rPr>
                  </w:pPr>
                  <w:r>
                    <w:rPr>
                      <w:rFonts w:hint="eastAsia"/>
                      <w:sz w:val="21"/>
                      <w:szCs w:val="21"/>
                      <w:highlight w:val="none"/>
                    </w:rPr>
                    <w:t>422</w:t>
                  </w:r>
                </w:p>
              </w:tc>
            </w:tr>
            <w:tr w14:paraId="23C0614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4B14825B">
                  <w:pPr>
                    <w:jc w:val="center"/>
                    <w:rPr>
                      <w:rFonts w:hint="eastAsia"/>
                      <w:sz w:val="21"/>
                      <w:szCs w:val="21"/>
                      <w:highlight w:val="none"/>
                      <w:lang w:val="en-US" w:eastAsia="zh-CN"/>
                    </w:rPr>
                  </w:pPr>
                  <w:r>
                    <w:rPr>
                      <w:rFonts w:hint="eastAsia"/>
                      <w:sz w:val="21"/>
                      <w:szCs w:val="21"/>
                      <w:highlight w:val="none"/>
                      <w:lang w:val="en-US" w:eastAsia="zh-CN"/>
                    </w:rPr>
                    <w:t>12</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4C053BE">
                  <w:pPr>
                    <w:spacing w:line="240" w:lineRule="auto"/>
                    <w:jc w:val="center"/>
                    <w:rPr>
                      <w:rFonts w:hint="eastAsia"/>
                      <w:sz w:val="21"/>
                      <w:szCs w:val="21"/>
                      <w:highlight w:val="none"/>
                      <w:lang w:val="en-US" w:eastAsia="zh-CN"/>
                    </w:rPr>
                  </w:pPr>
                  <w:r>
                    <w:rPr>
                      <w:rFonts w:hint="eastAsia"/>
                      <w:sz w:val="21"/>
                      <w:szCs w:val="21"/>
                      <w:highlight w:val="none"/>
                      <w:lang w:val="en-US" w:eastAsia="zh-CN"/>
                    </w:rPr>
                    <w:t>氮气</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65A179F">
                  <w:pPr>
                    <w:jc w:val="center"/>
                    <w:rPr>
                      <w:rFonts w:hint="eastAsia"/>
                      <w:sz w:val="21"/>
                      <w:szCs w:val="21"/>
                      <w:highlight w:val="none"/>
                      <w:lang w:val="en-US" w:eastAsia="zh-CN"/>
                    </w:rPr>
                  </w:pPr>
                  <w:r>
                    <w:rPr>
                      <w:rFonts w:hint="eastAsia"/>
                      <w:sz w:val="21"/>
                      <w:szCs w:val="21"/>
                      <w:highlight w:val="none"/>
                      <w:lang w:val="en-US" w:eastAsia="zh-CN"/>
                    </w:rPr>
                    <w:t>100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569F526">
                  <w:pPr>
                    <w:jc w:val="center"/>
                    <w:rPr>
                      <w:rFonts w:hint="eastAsia"/>
                      <w:sz w:val="21"/>
                      <w:szCs w:val="21"/>
                      <w:highlight w:val="none"/>
                      <w:lang w:val="en-US" w:eastAsia="zh-CN"/>
                    </w:rPr>
                  </w:pPr>
                  <w:r>
                    <w:rPr>
                      <w:rFonts w:hint="eastAsia"/>
                      <w:sz w:val="21"/>
                      <w:szCs w:val="21"/>
                      <w:highlight w:val="none"/>
                      <w:lang w:val="en-US" w:eastAsia="zh-CN"/>
                    </w:rPr>
                    <w:t>20#</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D9391AF">
                  <w:pPr>
                    <w:jc w:val="center"/>
                    <w:rPr>
                      <w:rFonts w:hint="eastAsia"/>
                      <w:sz w:val="21"/>
                      <w:szCs w:val="21"/>
                      <w:highlight w:val="none"/>
                      <w:lang w:val="en-US" w:eastAsia="zh-CN"/>
                    </w:rPr>
                  </w:pPr>
                  <w:r>
                    <w:rPr>
                      <w:rFonts w:hint="eastAsia"/>
                      <w:sz w:val="21"/>
                      <w:szCs w:val="21"/>
                      <w:highlight w:val="none"/>
                      <w:lang w:val="en-US" w:eastAsia="zh-CN"/>
                    </w:rPr>
                    <w:t>AMB/1.2</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1BCAFE6">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伊泰</w:t>
                  </w:r>
                  <w:r>
                    <w:rPr>
                      <w:rFonts w:cs="Times New Roman"/>
                      <w:color w:val="000000" w:themeColor="text1"/>
                      <w:sz w:val="21"/>
                      <w:szCs w:val="21"/>
                      <w:highlight w:val="none"/>
                      <w14:textFill>
                        <w14:solidFill>
                          <w14:schemeClr w14:val="tx1"/>
                        </w14:solidFill>
                      </w14:textFill>
                    </w:rPr>
                    <w:t>空分装置</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鹏泰管网</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E7803A7">
                  <w:pPr>
                    <w:jc w:val="center"/>
                    <w:rPr>
                      <w:rFonts w:hint="eastAsia"/>
                      <w:sz w:val="21"/>
                      <w:szCs w:val="21"/>
                      <w:highlight w:val="none"/>
                      <w:lang w:val="en-US" w:eastAsia="zh-CN"/>
                    </w:rPr>
                  </w:pPr>
                  <w:r>
                    <w:rPr>
                      <w:rFonts w:hint="eastAsia"/>
                      <w:sz w:val="21"/>
                      <w:szCs w:val="21"/>
                      <w:highlight w:val="none"/>
                      <w:lang w:val="en-US" w:eastAsia="zh-CN"/>
                    </w:rPr>
                    <w:t>1000Nm</w:t>
                  </w:r>
                  <w:r>
                    <w:rPr>
                      <w:rFonts w:hint="eastAsia"/>
                      <w:sz w:val="21"/>
                      <w:szCs w:val="21"/>
                      <w:highlight w:val="none"/>
                      <w:vertAlign w:val="superscript"/>
                      <w:lang w:val="en-US" w:eastAsia="zh-CN"/>
                    </w:rPr>
                    <w:t>3</w:t>
                  </w:r>
                  <w:r>
                    <w:rPr>
                      <w:rFonts w:hint="eastAsia"/>
                      <w:sz w:val="21"/>
                      <w:szCs w:val="21"/>
                      <w:highlight w:val="none"/>
                      <w:lang w:val="en-US" w:eastAsia="zh-CN"/>
                    </w:rPr>
                    <w: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5216F74">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2E98C0BF">
                  <w:pPr>
                    <w:snapToGrid w:val="0"/>
                    <w:jc w:val="center"/>
                    <w:rPr>
                      <w:rFonts w:hint="eastAsia"/>
                      <w:sz w:val="21"/>
                      <w:szCs w:val="21"/>
                      <w:highlight w:val="none"/>
                      <w:lang w:val="en-US" w:eastAsia="zh-CN"/>
                    </w:rPr>
                  </w:pPr>
                  <w:r>
                    <w:rPr>
                      <w:rFonts w:hint="eastAsia"/>
                      <w:sz w:val="21"/>
                      <w:szCs w:val="21"/>
                      <w:highlight w:val="none"/>
                    </w:rPr>
                    <w:t>422</w:t>
                  </w:r>
                </w:p>
              </w:tc>
            </w:tr>
            <w:tr w14:paraId="1EB1133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239C30AB">
                  <w:pPr>
                    <w:jc w:val="center"/>
                    <w:rPr>
                      <w:rFonts w:hint="eastAsia"/>
                      <w:sz w:val="21"/>
                      <w:szCs w:val="21"/>
                      <w:highlight w:val="none"/>
                      <w:lang w:val="en-US" w:eastAsia="zh-CN"/>
                    </w:rPr>
                  </w:pPr>
                  <w:r>
                    <w:rPr>
                      <w:rFonts w:hint="eastAsia"/>
                      <w:sz w:val="21"/>
                      <w:szCs w:val="21"/>
                      <w:highlight w:val="none"/>
                      <w:lang w:val="en-US" w:eastAsia="zh-CN"/>
                    </w:rPr>
                    <w:t>13</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3AA888D">
                  <w:pPr>
                    <w:spacing w:line="240" w:lineRule="auto"/>
                    <w:jc w:val="center"/>
                    <w:rPr>
                      <w:rFonts w:hint="eastAsia"/>
                      <w:sz w:val="21"/>
                      <w:szCs w:val="21"/>
                      <w:highlight w:val="none"/>
                      <w:lang w:val="en-US" w:eastAsia="zh-CN"/>
                    </w:rPr>
                  </w:pPr>
                  <w:r>
                    <w:rPr>
                      <w:rFonts w:hint="eastAsia"/>
                      <w:sz w:val="21"/>
                      <w:szCs w:val="21"/>
                      <w:highlight w:val="none"/>
                      <w:lang w:val="en-US" w:eastAsia="zh-CN"/>
                    </w:rPr>
                    <w:t>黄河水</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827D842">
                  <w:pPr>
                    <w:jc w:val="center"/>
                    <w:rPr>
                      <w:rFonts w:hint="eastAsia"/>
                      <w:sz w:val="21"/>
                      <w:szCs w:val="21"/>
                      <w:highlight w:val="none"/>
                      <w:lang w:val="en-US" w:eastAsia="zh-CN"/>
                    </w:rPr>
                  </w:pPr>
                  <w:r>
                    <w:rPr>
                      <w:rFonts w:hint="eastAsia"/>
                      <w:sz w:val="21"/>
                      <w:szCs w:val="21"/>
                      <w:highlight w:val="none"/>
                      <w:lang w:val="en-US" w:eastAsia="zh-CN"/>
                    </w:rPr>
                    <w:t>200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8471792">
                  <w:pPr>
                    <w:jc w:val="center"/>
                    <w:rPr>
                      <w:rFonts w:hint="eastAsia"/>
                      <w:sz w:val="21"/>
                      <w:szCs w:val="21"/>
                      <w:highlight w:val="none"/>
                      <w:lang w:val="en-US" w:eastAsia="zh-CN"/>
                    </w:rPr>
                  </w:pPr>
                  <w:r>
                    <w:rPr>
                      <w:rFonts w:hint="eastAsia"/>
                      <w:sz w:val="21"/>
                      <w:szCs w:val="21"/>
                      <w:highlight w:val="none"/>
                      <w:lang w:val="en-US" w:eastAsia="zh-CN"/>
                    </w:rPr>
                    <w:t>球墨铸铁</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53C2575">
                  <w:pPr>
                    <w:jc w:val="center"/>
                    <w:rPr>
                      <w:rFonts w:hint="eastAsia"/>
                      <w:sz w:val="21"/>
                      <w:szCs w:val="21"/>
                      <w:highlight w:val="none"/>
                      <w:lang w:val="en-US" w:eastAsia="zh-CN"/>
                    </w:rPr>
                  </w:pPr>
                  <w:r>
                    <w:rPr>
                      <w:rFonts w:hint="eastAsia"/>
                      <w:sz w:val="21"/>
                      <w:szCs w:val="21"/>
                      <w:highlight w:val="none"/>
                      <w:lang w:val="en-US" w:eastAsia="zh-CN"/>
                    </w:rPr>
                    <w:t>AMB/0.4</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03BF781">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伊泰至鹏泰</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AEFBF50">
                  <w:pPr>
                    <w:jc w:val="center"/>
                    <w:rPr>
                      <w:rFonts w:hint="eastAsia"/>
                      <w:sz w:val="21"/>
                      <w:szCs w:val="21"/>
                      <w:highlight w:val="none"/>
                      <w:lang w:val="en-US" w:eastAsia="zh-CN"/>
                    </w:rPr>
                  </w:pPr>
                  <w:r>
                    <w:rPr>
                      <w:rFonts w:hint="eastAsia"/>
                      <w:sz w:val="21"/>
                      <w:szCs w:val="21"/>
                      <w:highlight w:val="none"/>
                      <w:lang w:val="en-US" w:eastAsia="zh-CN"/>
                    </w:rPr>
                    <w:t>165t/h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D8D43D1">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799603FD">
                  <w:pPr>
                    <w:snapToGrid w:val="0"/>
                    <w:jc w:val="center"/>
                    <w:rPr>
                      <w:rFonts w:hint="eastAsia"/>
                      <w:sz w:val="21"/>
                      <w:szCs w:val="21"/>
                      <w:highlight w:val="none"/>
                      <w:lang w:val="en-US" w:eastAsia="zh-CN"/>
                    </w:rPr>
                  </w:pPr>
                  <w:r>
                    <w:rPr>
                      <w:rFonts w:hint="eastAsia"/>
                      <w:sz w:val="21"/>
                      <w:szCs w:val="21"/>
                      <w:highlight w:val="none"/>
                    </w:rPr>
                    <w:t>1775</w:t>
                  </w:r>
                </w:p>
              </w:tc>
            </w:tr>
            <w:tr w14:paraId="55B6887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14622F7A">
                  <w:pPr>
                    <w:jc w:val="center"/>
                    <w:rPr>
                      <w:rFonts w:hint="eastAsia"/>
                      <w:sz w:val="21"/>
                      <w:szCs w:val="21"/>
                      <w:highlight w:val="none"/>
                      <w:lang w:val="en-US" w:eastAsia="zh-CN"/>
                    </w:rPr>
                  </w:pPr>
                  <w:r>
                    <w:rPr>
                      <w:rFonts w:hint="eastAsia"/>
                      <w:sz w:val="21"/>
                      <w:szCs w:val="21"/>
                      <w:highlight w:val="none"/>
                      <w:lang w:val="en-US" w:eastAsia="zh-CN"/>
                    </w:rPr>
                    <w:t>14</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6E5FF83">
                  <w:pPr>
                    <w:spacing w:line="240" w:lineRule="auto"/>
                    <w:jc w:val="center"/>
                    <w:rPr>
                      <w:rFonts w:hint="eastAsia"/>
                      <w:sz w:val="21"/>
                      <w:szCs w:val="21"/>
                      <w:highlight w:val="none"/>
                      <w:lang w:val="en-US" w:eastAsia="zh-CN"/>
                    </w:rPr>
                  </w:pPr>
                  <w:r>
                    <w:rPr>
                      <w:rFonts w:hint="eastAsia"/>
                      <w:sz w:val="21"/>
                      <w:szCs w:val="21"/>
                      <w:highlight w:val="none"/>
                      <w:lang w:val="en-US" w:eastAsia="zh-CN"/>
                    </w:rPr>
                    <w:t>回用水</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B4574E9">
                  <w:pPr>
                    <w:jc w:val="center"/>
                    <w:rPr>
                      <w:rFonts w:hint="eastAsia"/>
                      <w:sz w:val="21"/>
                      <w:szCs w:val="21"/>
                      <w:highlight w:val="none"/>
                      <w:lang w:val="en-US" w:eastAsia="zh-CN"/>
                    </w:rPr>
                  </w:pPr>
                  <w:r>
                    <w:rPr>
                      <w:rFonts w:hint="eastAsia"/>
                      <w:sz w:val="21"/>
                      <w:szCs w:val="21"/>
                      <w:highlight w:val="none"/>
                      <w:lang w:val="en-US" w:eastAsia="zh-CN"/>
                    </w:rPr>
                    <w:t>250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6B4A355">
                  <w:pPr>
                    <w:jc w:val="center"/>
                    <w:rPr>
                      <w:rFonts w:hint="eastAsia"/>
                      <w:sz w:val="21"/>
                      <w:szCs w:val="21"/>
                      <w:highlight w:val="none"/>
                      <w:lang w:val="en-US" w:eastAsia="zh-CN"/>
                    </w:rPr>
                  </w:pPr>
                  <w:r>
                    <w:rPr>
                      <w:rFonts w:hint="eastAsia"/>
                      <w:sz w:val="21"/>
                      <w:szCs w:val="21"/>
                      <w:highlight w:val="none"/>
                      <w:lang w:val="en-US" w:eastAsia="zh-CN"/>
                    </w:rPr>
                    <w:t>20#</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801E460">
                  <w:pPr>
                    <w:jc w:val="center"/>
                    <w:rPr>
                      <w:rFonts w:hint="eastAsia"/>
                      <w:sz w:val="21"/>
                      <w:szCs w:val="21"/>
                      <w:highlight w:val="none"/>
                      <w:lang w:val="en-US" w:eastAsia="zh-CN"/>
                    </w:rPr>
                  </w:pPr>
                  <w:r>
                    <w:rPr>
                      <w:rFonts w:hint="eastAsia"/>
                      <w:sz w:val="21"/>
                      <w:szCs w:val="21"/>
                      <w:highlight w:val="none"/>
                      <w:lang w:val="en-US" w:eastAsia="zh-CN"/>
                    </w:rPr>
                    <w:t>AMB/0.4</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F65C386">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鹏泰回用水送至伊泰污水调节池</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1DB535C">
                  <w:pPr>
                    <w:jc w:val="center"/>
                    <w:rPr>
                      <w:rFonts w:hint="eastAsia"/>
                      <w:sz w:val="21"/>
                      <w:szCs w:val="21"/>
                      <w:highlight w:val="none"/>
                      <w:lang w:val="en-US" w:eastAsia="zh-CN"/>
                    </w:rPr>
                  </w:pPr>
                  <w:r>
                    <w:rPr>
                      <w:rFonts w:hint="eastAsia"/>
                      <w:sz w:val="21"/>
                      <w:szCs w:val="21"/>
                      <w:highlight w:val="none"/>
                      <w:lang w:val="en-US" w:eastAsia="zh-CN"/>
                    </w:rPr>
                    <w:t>270t/h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587B703">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13141603">
                  <w:pPr>
                    <w:snapToGrid w:val="0"/>
                    <w:jc w:val="center"/>
                    <w:rPr>
                      <w:rFonts w:hint="eastAsia"/>
                      <w:sz w:val="21"/>
                      <w:szCs w:val="21"/>
                      <w:highlight w:val="none"/>
                      <w:lang w:val="en-US" w:eastAsia="zh-CN"/>
                    </w:rPr>
                  </w:pPr>
                  <w:r>
                    <w:rPr>
                      <w:rFonts w:hint="eastAsia"/>
                      <w:sz w:val="21"/>
                      <w:szCs w:val="21"/>
                      <w:highlight w:val="none"/>
                    </w:rPr>
                    <w:t>479</w:t>
                  </w:r>
                </w:p>
              </w:tc>
            </w:tr>
            <w:tr w14:paraId="1749B31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261851C7">
                  <w:pPr>
                    <w:jc w:val="center"/>
                    <w:rPr>
                      <w:rFonts w:hint="eastAsia"/>
                      <w:sz w:val="21"/>
                      <w:szCs w:val="21"/>
                      <w:highlight w:val="none"/>
                      <w:lang w:val="en-US" w:eastAsia="zh-CN"/>
                    </w:rPr>
                  </w:pPr>
                  <w:r>
                    <w:rPr>
                      <w:rFonts w:hint="eastAsia"/>
                      <w:sz w:val="21"/>
                      <w:szCs w:val="21"/>
                      <w:highlight w:val="none"/>
                      <w:lang w:val="en-US" w:eastAsia="zh-CN"/>
                    </w:rPr>
                    <w:t>15</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3D5E30A">
                  <w:pPr>
                    <w:spacing w:line="240" w:lineRule="auto"/>
                    <w:jc w:val="center"/>
                    <w:rPr>
                      <w:rFonts w:hint="eastAsia"/>
                      <w:sz w:val="21"/>
                      <w:szCs w:val="21"/>
                      <w:highlight w:val="none"/>
                      <w:lang w:val="en-US" w:eastAsia="zh-CN"/>
                    </w:rPr>
                  </w:pPr>
                  <w:r>
                    <w:rPr>
                      <w:rFonts w:hint="eastAsia"/>
                      <w:sz w:val="21"/>
                      <w:szCs w:val="21"/>
                      <w:highlight w:val="none"/>
                      <w:lang w:val="en-US" w:eastAsia="zh-CN"/>
                    </w:rPr>
                    <w:t>污水1</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0E3A301">
                  <w:pPr>
                    <w:jc w:val="center"/>
                    <w:rPr>
                      <w:rFonts w:hint="eastAsia"/>
                      <w:sz w:val="21"/>
                      <w:szCs w:val="21"/>
                      <w:highlight w:val="none"/>
                      <w:lang w:val="en-US" w:eastAsia="zh-CN"/>
                    </w:rPr>
                  </w:pPr>
                  <w:r>
                    <w:rPr>
                      <w:rFonts w:hint="eastAsia"/>
                      <w:sz w:val="21"/>
                      <w:szCs w:val="21"/>
                      <w:highlight w:val="none"/>
                      <w:lang w:val="en-US" w:eastAsia="zh-CN"/>
                    </w:rPr>
                    <w:t>200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A3C5766">
                  <w:pPr>
                    <w:jc w:val="center"/>
                    <w:rPr>
                      <w:rFonts w:hint="eastAsia"/>
                      <w:sz w:val="21"/>
                      <w:szCs w:val="21"/>
                      <w:highlight w:val="none"/>
                      <w:lang w:val="en-US" w:eastAsia="zh-CN"/>
                    </w:rPr>
                  </w:pPr>
                  <w:r>
                    <w:rPr>
                      <w:rFonts w:hint="eastAsia"/>
                      <w:sz w:val="21"/>
                      <w:szCs w:val="21"/>
                      <w:highlight w:val="none"/>
                      <w:lang w:val="en-US" w:eastAsia="zh-CN"/>
                    </w:rPr>
                    <w:t>20#</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53A4B94">
                  <w:pPr>
                    <w:jc w:val="center"/>
                    <w:rPr>
                      <w:rFonts w:hint="eastAsia"/>
                      <w:sz w:val="21"/>
                      <w:szCs w:val="21"/>
                      <w:highlight w:val="none"/>
                      <w:lang w:val="en-US" w:eastAsia="zh-CN"/>
                    </w:rPr>
                  </w:pPr>
                  <w:r>
                    <w:rPr>
                      <w:rFonts w:hint="eastAsia"/>
                      <w:sz w:val="21"/>
                      <w:szCs w:val="21"/>
                      <w:highlight w:val="none"/>
                      <w:lang w:val="en-US" w:eastAsia="zh-CN"/>
                    </w:rPr>
                    <w:t>30/0.4</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225613E">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鹏泰污水1送至伊泰污水调节池</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8C45140">
                  <w:pPr>
                    <w:jc w:val="center"/>
                    <w:rPr>
                      <w:rFonts w:hint="eastAsia"/>
                      <w:sz w:val="21"/>
                      <w:szCs w:val="21"/>
                      <w:highlight w:val="none"/>
                      <w:lang w:val="en-US" w:eastAsia="zh-CN"/>
                    </w:rPr>
                  </w:pPr>
                  <w:r>
                    <w:rPr>
                      <w:rFonts w:hint="eastAsia"/>
                      <w:sz w:val="21"/>
                      <w:szCs w:val="21"/>
                      <w:highlight w:val="none"/>
                      <w:lang w:val="en-US" w:eastAsia="zh-CN"/>
                    </w:rPr>
                    <w:t>150t/h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EA858C6">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0CEA549F">
                  <w:pPr>
                    <w:snapToGrid w:val="0"/>
                    <w:jc w:val="center"/>
                    <w:rPr>
                      <w:rFonts w:hint="eastAsia"/>
                      <w:sz w:val="21"/>
                      <w:szCs w:val="21"/>
                      <w:highlight w:val="none"/>
                      <w:lang w:val="en-US" w:eastAsia="zh-CN"/>
                    </w:rPr>
                  </w:pPr>
                  <w:r>
                    <w:rPr>
                      <w:rFonts w:hint="eastAsia"/>
                      <w:sz w:val="21"/>
                      <w:szCs w:val="21"/>
                      <w:highlight w:val="none"/>
                    </w:rPr>
                    <w:t>1051</w:t>
                  </w:r>
                </w:p>
              </w:tc>
            </w:tr>
            <w:tr w14:paraId="750E33E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2EB070C1">
                  <w:pPr>
                    <w:jc w:val="center"/>
                    <w:rPr>
                      <w:rFonts w:hint="eastAsia"/>
                      <w:sz w:val="21"/>
                      <w:szCs w:val="21"/>
                      <w:highlight w:val="none"/>
                      <w:lang w:val="en-US" w:eastAsia="zh-CN"/>
                    </w:rPr>
                  </w:pPr>
                  <w:r>
                    <w:rPr>
                      <w:rFonts w:hint="eastAsia"/>
                      <w:sz w:val="21"/>
                      <w:szCs w:val="21"/>
                      <w:highlight w:val="none"/>
                      <w:lang w:val="en-US" w:eastAsia="zh-CN"/>
                    </w:rPr>
                    <w:t>16</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B36F5D6">
                  <w:pPr>
                    <w:spacing w:line="240" w:lineRule="auto"/>
                    <w:jc w:val="center"/>
                    <w:rPr>
                      <w:rFonts w:hint="eastAsia"/>
                      <w:sz w:val="21"/>
                      <w:szCs w:val="21"/>
                      <w:highlight w:val="none"/>
                      <w:lang w:val="en-US" w:eastAsia="zh-CN"/>
                    </w:rPr>
                  </w:pPr>
                  <w:r>
                    <w:rPr>
                      <w:rFonts w:hint="eastAsia"/>
                      <w:sz w:val="21"/>
                      <w:szCs w:val="21"/>
                      <w:highlight w:val="none"/>
                      <w:lang w:val="en-US" w:eastAsia="zh-CN"/>
                    </w:rPr>
                    <w:t>污水2</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72CA9CF">
                  <w:pPr>
                    <w:jc w:val="center"/>
                    <w:rPr>
                      <w:rFonts w:hint="default"/>
                      <w:sz w:val="21"/>
                      <w:szCs w:val="21"/>
                      <w:highlight w:val="none"/>
                      <w:lang w:val="en-US" w:eastAsia="zh-CN"/>
                    </w:rPr>
                  </w:pPr>
                  <w:r>
                    <w:rPr>
                      <w:rFonts w:hint="eastAsia"/>
                      <w:sz w:val="21"/>
                      <w:szCs w:val="21"/>
                      <w:highlight w:val="none"/>
                      <w:lang w:val="en-US" w:eastAsia="zh-CN"/>
                    </w:rPr>
                    <w:t>125</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56203DF">
                  <w:pPr>
                    <w:jc w:val="center"/>
                    <w:rPr>
                      <w:rFonts w:hint="eastAsia"/>
                      <w:sz w:val="21"/>
                      <w:szCs w:val="21"/>
                      <w:highlight w:val="none"/>
                      <w:lang w:val="en-US" w:eastAsia="zh-CN"/>
                    </w:rPr>
                  </w:pPr>
                  <w:r>
                    <w:rPr>
                      <w:rFonts w:hint="eastAsia"/>
                      <w:sz w:val="21"/>
                      <w:szCs w:val="21"/>
                      <w:highlight w:val="none"/>
                      <w:lang w:val="en-US" w:eastAsia="zh-CN"/>
                    </w:rPr>
                    <w:t>20#</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2A6B9BE">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30/0.4</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697E234">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鹏泰污水2送至伊泰煤浆提浓装置</w:t>
                  </w:r>
                  <w:r>
                    <w:rPr>
                      <w:rFonts w:hint="default" w:ascii="Times New Roman" w:hAnsi="Times New Roman" w:eastAsia="宋体" w:cs="Times New Roman"/>
                      <w:sz w:val="21"/>
                      <w:szCs w:val="21"/>
                      <w:highlight w:val="none"/>
                      <w:lang w:val="en-US" w:eastAsia="zh-CN"/>
                    </w:rPr>
                    <w:t>粗浆槽搅拌器</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1165479">
                  <w:pPr>
                    <w:jc w:val="center"/>
                    <w:rPr>
                      <w:rFonts w:hint="eastAsia"/>
                      <w:sz w:val="21"/>
                      <w:szCs w:val="21"/>
                      <w:highlight w:val="none"/>
                      <w:lang w:val="en-US" w:eastAsia="zh-CN"/>
                    </w:rPr>
                  </w:pPr>
                  <w:r>
                    <w:rPr>
                      <w:rFonts w:hint="eastAsia"/>
                      <w:sz w:val="21"/>
                      <w:szCs w:val="21"/>
                      <w:highlight w:val="none"/>
                      <w:lang w:val="en-US" w:eastAsia="zh-CN"/>
                    </w:rPr>
                    <w:t>40t/h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EA90A31">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0B792AAF">
                  <w:pPr>
                    <w:snapToGrid w:val="0"/>
                    <w:jc w:val="center"/>
                    <w:rPr>
                      <w:rFonts w:hint="eastAsia"/>
                      <w:sz w:val="21"/>
                      <w:szCs w:val="21"/>
                      <w:highlight w:val="none"/>
                      <w:lang w:val="en-US" w:eastAsia="zh-CN"/>
                    </w:rPr>
                  </w:pPr>
                  <w:r>
                    <w:rPr>
                      <w:rFonts w:hint="eastAsia"/>
                      <w:sz w:val="21"/>
                      <w:szCs w:val="21"/>
                      <w:highlight w:val="none"/>
                    </w:rPr>
                    <w:t>1082</w:t>
                  </w:r>
                </w:p>
              </w:tc>
            </w:tr>
            <w:tr w14:paraId="2C14A2B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008AF075">
                  <w:pPr>
                    <w:jc w:val="center"/>
                    <w:rPr>
                      <w:rFonts w:hint="eastAsia"/>
                      <w:sz w:val="21"/>
                      <w:szCs w:val="21"/>
                      <w:highlight w:val="none"/>
                      <w:lang w:val="en-US" w:eastAsia="zh-CN"/>
                    </w:rPr>
                  </w:pPr>
                  <w:r>
                    <w:rPr>
                      <w:rFonts w:hint="eastAsia"/>
                      <w:sz w:val="21"/>
                      <w:szCs w:val="21"/>
                      <w:highlight w:val="none"/>
                      <w:lang w:val="en-US" w:eastAsia="zh-CN"/>
                    </w:rPr>
                    <w:t>17</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FBBAB06">
                  <w:pPr>
                    <w:spacing w:line="240" w:lineRule="auto"/>
                    <w:jc w:val="center"/>
                    <w:rPr>
                      <w:rFonts w:hint="eastAsia"/>
                      <w:sz w:val="21"/>
                      <w:szCs w:val="21"/>
                      <w:highlight w:val="none"/>
                      <w:lang w:val="en-US" w:eastAsia="zh-CN"/>
                    </w:rPr>
                  </w:pPr>
                  <w:r>
                    <w:rPr>
                      <w:rFonts w:hint="eastAsia"/>
                      <w:sz w:val="21"/>
                      <w:szCs w:val="21"/>
                      <w:highlight w:val="none"/>
                      <w:lang w:val="en-US" w:eastAsia="zh-CN"/>
                    </w:rPr>
                    <w:t>清净废水</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1E2BE34">
                  <w:pPr>
                    <w:jc w:val="center"/>
                    <w:rPr>
                      <w:rFonts w:hint="eastAsia"/>
                      <w:sz w:val="21"/>
                      <w:szCs w:val="21"/>
                      <w:highlight w:val="none"/>
                      <w:lang w:val="en-US" w:eastAsia="zh-CN"/>
                    </w:rPr>
                  </w:pPr>
                  <w:r>
                    <w:rPr>
                      <w:rFonts w:hint="eastAsia"/>
                      <w:sz w:val="21"/>
                      <w:szCs w:val="21"/>
                      <w:highlight w:val="none"/>
                      <w:lang w:val="en-US" w:eastAsia="zh-CN"/>
                    </w:rPr>
                    <w:t>200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3515C21">
                  <w:pPr>
                    <w:jc w:val="center"/>
                    <w:rPr>
                      <w:rFonts w:hint="eastAsia"/>
                      <w:sz w:val="21"/>
                      <w:szCs w:val="21"/>
                      <w:highlight w:val="none"/>
                      <w:lang w:val="en-US" w:eastAsia="zh-CN"/>
                    </w:rPr>
                  </w:pPr>
                  <w:r>
                    <w:rPr>
                      <w:rFonts w:hint="eastAsia"/>
                      <w:sz w:val="21"/>
                      <w:szCs w:val="21"/>
                      <w:highlight w:val="none"/>
                      <w:lang w:val="en-US" w:eastAsia="zh-CN"/>
                    </w:rPr>
                    <w:t>20#</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C0072AA">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AMB/0.15</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88B3348">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鹏泰循环冷却水站</w:t>
                  </w:r>
                  <w:r>
                    <w:rPr>
                      <w:rFonts w:hint="eastAsia"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伊泰清净废水处理单元</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9CD6712">
                  <w:pPr>
                    <w:jc w:val="center"/>
                    <w:rPr>
                      <w:rFonts w:hint="eastAsia"/>
                      <w:sz w:val="21"/>
                      <w:szCs w:val="21"/>
                      <w:highlight w:val="none"/>
                      <w:lang w:val="en-US" w:eastAsia="zh-CN"/>
                    </w:rPr>
                  </w:pPr>
                  <w:r>
                    <w:rPr>
                      <w:rFonts w:hint="eastAsia"/>
                      <w:sz w:val="21"/>
                      <w:szCs w:val="21"/>
                      <w:highlight w:val="none"/>
                      <w:lang w:val="en-US" w:eastAsia="zh-CN"/>
                    </w:rPr>
                    <w:t>120t/h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FA97DBA">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69D1658C">
                  <w:pPr>
                    <w:snapToGrid w:val="0"/>
                    <w:jc w:val="center"/>
                    <w:rPr>
                      <w:rFonts w:hint="eastAsia"/>
                      <w:sz w:val="21"/>
                      <w:szCs w:val="21"/>
                      <w:highlight w:val="none"/>
                      <w:lang w:val="en-US" w:eastAsia="zh-CN"/>
                    </w:rPr>
                  </w:pPr>
                  <w:r>
                    <w:rPr>
                      <w:rFonts w:hint="eastAsia"/>
                      <w:sz w:val="21"/>
                      <w:szCs w:val="21"/>
                      <w:highlight w:val="none"/>
                    </w:rPr>
                    <w:t>907</w:t>
                  </w:r>
                </w:p>
              </w:tc>
            </w:tr>
            <w:tr w14:paraId="2AD0D1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090652AA">
                  <w:pPr>
                    <w:jc w:val="center"/>
                    <w:rPr>
                      <w:rFonts w:hint="eastAsia"/>
                      <w:sz w:val="21"/>
                      <w:szCs w:val="21"/>
                      <w:highlight w:val="none"/>
                      <w:lang w:val="en-US" w:eastAsia="zh-CN"/>
                    </w:rPr>
                  </w:pPr>
                  <w:r>
                    <w:rPr>
                      <w:rFonts w:hint="eastAsia"/>
                      <w:sz w:val="21"/>
                      <w:szCs w:val="21"/>
                      <w:highlight w:val="none"/>
                      <w:lang w:val="en-US" w:eastAsia="zh-CN"/>
                    </w:rPr>
                    <w:t>18</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466DC9D">
                  <w:pPr>
                    <w:spacing w:line="240" w:lineRule="auto"/>
                    <w:jc w:val="center"/>
                    <w:rPr>
                      <w:rFonts w:hint="eastAsia"/>
                      <w:sz w:val="21"/>
                      <w:szCs w:val="21"/>
                      <w:highlight w:val="none"/>
                      <w:lang w:val="en-US" w:eastAsia="zh-CN"/>
                    </w:rPr>
                  </w:pPr>
                  <w:r>
                    <w:rPr>
                      <w:rFonts w:hint="eastAsia"/>
                      <w:sz w:val="21"/>
                      <w:szCs w:val="21"/>
                      <w:highlight w:val="none"/>
                      <w:lang w:val="en-US" w:eastAsia="zh-CN"/>
                    </w:rPr>
                    <w:t>酸性气</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D75EC35">
                  <w:pPr>
                    <w:jc w:val="center"/>
                    <w:rPr>
                      <w:rFonts w:hint="eastAsia"/>
                      <w:sz w:val="21"/>
                      <w:szCs w:val="21"/>
                      <w:highlight w:val="none"/>
                      <w:lang w:val="en-US" w:eastAsia="zh-CN"/>
                    </w:rPr>
                  </w:pPr>
                  <w:r>
                    <w:rPr>
                      <w:rFonts w:hint="eastAsia"/>
                      <w:sz w:val="21"/>
                      <w:szCs w:val="21"/>
                      <w:highlight w:val="none"/>
                      <w:lang w:val="en-US" w:eastAsia="zh-CN"/>
                    </w:rPr>
                    <w:t>150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C40BAFE">
                  <w:pPr>
                    <w:jc w:val="center"/>
                    <w:rPr>
                      <w:rFonts w:hint="eastAsia"/>
                      <w:sz w:val="21"/>
                      <w:szCs w:val="21"/>
                      <w:highlight w:val="none"/>
                      <w:lang w:val="en-US" w:eastAsia="zh-CN"/>
                    </w:rPr>
                  </w:pPr>
                  <w:r>
                    <w:rPr>
                      <w:rFonts w:hint="eastAsia"/>
                      <w:sz w:val="21"/>
                      <w:szCs w:val="21"/>
                      <w:highlight w:val="none"/>
                      <w:lang w:val="en-US" w:eastAsia="zh-CN"/>
                    </w:rPr>
                    <w:t>304</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82B273D">
                  <w:pPr>
                    <w:jc w:val="center"/>
                    <w:rPr>
                      <w:rFonts w:hint="eastAsia"/>
                      <w:sz w:val="21"/>
                      <w:szCs w:val="21"/>
                      <w:highlight w:val="none"/>
                      <w:lang w:val="en-US" w:eastAsia="zh-CN"/>
                    </w:rPr>
                  </w:pPr>
                  <w:r>
                    <w:rPr>
                      <w:rFonts w:hint="eastAsia"/>
                      <w:sz w:val="21"/>
                      <w:szCs w:val="21"/>
                      <w:highlight w:val="none"/>
                      <w:lang w:val="en-US" w:eastAsia="zh-CN"/>
                    </w:rPr>
                    <w:t>AMB/0.15</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FEB5411">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cs="Times New Roman"/>
                      <w:color w:val="000000" w:themeColor="text1"/>
                      <w:highlight w:val="none"/>
                      <w14:textFill>
                        <w14:solidFill>
                          <w14:schemeClr w14:val="tx1"/>
                        </w14:solidFill>
                      </w14:textFill>
                    </w:rPr>
                    <w:t>尾气脱硫再生塔</w:t>
                  </w:r>
                  <w:r>
                    <w:rPr>
                      <w:rFonts w:hint="eastAsia" w:cs="Times New Roman"/>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去伊泰硫回收装置</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4B3E0C2">
                  <w:pPr>
                    <w:jc w:val="center"/>
                    <w:rPr>
                      <w:rFonts w:hint="eastAsia"/>
                      <w:sz w:val="21"/>
                      <w:szCs w:val="21"/>
                      <w:highlight w:val="none"/>
                      <w:lang w:val="en-US" w:eastAsia="zh-CN"/>
                    </w:rPr>
                  </w:pPr>
                  <w:r>
                    <w:rPr>
                      <w:rFonts w:hint="eastAsia"/>
                      <w:sz w:val="21"/>
                      <w:szCs w:val="21"/>
                      <w:highlight w:val="none"/>
                      <w:lang w:val="en-US" w:eastAsia="zh-CN"/>
                    </w:rPr>
                    <w:t>1500Nm</w:t>
                  </w:r>
                  <w:r>
                    <w:rPr>
                      <w:rFonts w:hint="eastAsia"/>
                      <w:sz w:val="21"/>
                      <w:szCs w:val="21"/>
                      <w:highlight w:val="none"/>
                      <w:vertAlign w:val="superscript"/>
                      <w:lang w:val="en-US" w:eastAsia="zh-CN"/>
                    </w:rPr>
                    <w:t>3</w:t>
                  </w:r>
                  <w:r>
                    <w:rPr>
                      <w:rFonts w:hint="eastAsia"/>
                      <w:sz w:val="21"/>
                      <w:szCs w:val="21"/>
                      <w:highlight w:val="none"/>
                      <w:lang w:val="en-US" w:eastAsia="zh-CN"/>
                    </w:rPr>
                    <w: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0F3F5FE">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677E73C5">
                  <w:pPr>
                    <w:snapToGrid w:val="0"/>
                    <w:jc w:val="center"/>
                    <w:rPr>
                      <w:rFonts w:hint="eastAsia"/>
                      <w:sz w:val="21"/>
                      <w:szCs w:val="21"/>
                      <w:highlight w:val="none"/>
                      <w:lang w:val="en-US" w:eastAsia="zh-CN"/>
                    </w:rPr>
                  </w:pPr>
                  <w:r>
                    <w:rPr>
                      <w:rFonts w:hint="eastAsia"/>
                      <w:sz w:val="21"/>
                      <w:szCs w:val="21"/>
                      <w:highlight w:val="none"/>
                    </w:rPr>
                    <w:t>907</w:t>
                  </w:r>
                </w:p>
              </w:tc>
            </w:tr>
            <w:tr w14:paraId="700BCEB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4AC27243">
                  <w:pPr>
                    <w:jc w:val="center"/>
                    <w:rPr>
                      <w:rFonts w:hint="eastAsia"/>
                      <w:sz w:val="21"/>
                      <w:szCs w:val="21"/>
                      <w:highlight w:val="none"/>
                      <w:lang w:val="en-US" w:eastAsia="zh-CN"/>
                    </w:rPr>
                  </w:pPr>
                  <w:r>
                    <w:rPr>
                      <w:rFonts w:hint="eastAsia"/>
                      <w:sz w:val="21"/>
                      <w:szCs w:val="21"/>
                      <w:highlight w:val="none"/>
                      <w:lang w:val="en-US" w:eastAsia="zh-CN"/>
                    </w:rPr>
                    <w:t>19</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1C46C6F">
                  <w:pPr>
                    <w:spacing w:line="240" w:lineRule="auto"/>
                    <w:jc w:val="center"/>
                    <w:rPr>
                      <w:rFonts w:hint="eastAsia"/>
                      <w:sz w:val="21"/>
                      <w:szCs w:val="21"/>
                      <w:highlight w:val="none"/>
                      <w:lang w:val="en-US" w:eastAsia="zh-CN"/>
                    </w:rPr>
                  </w:pPr>
                  <w:r>
                    <w:rPr>
                      <w:rFonts w:hint="eastAsia"/>
                      <w:sz w:val="21"/>
                      <w:szCs w:val="21"/>
                      <w:highlight w:val="none"/>
                      <w:lang w:val="en-US" w:eastAsia="zh-CN"/>
                    </w:rPr>
                    <w:t>冷冻水来</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9C55D29">
                  <w:pPr>
                    <w:jc w:val="center"/>
                    <w:rPr>
                      <w:rFonts w:hint="eastAsia"/>
                      <w:sz w:val="21"/>
                      <w:szCs w:val="21"/>
                      <w:highlight w:val="none"/>
                      <w:lang w:val="en-US" w:eastAsia="zh-CN"/>
                    </w:rPr>
                  </w:pPr>
                  <w:r>
                    <w:rPr>
                      <w:rFonts w:hint="eastAsia"/>
                      <w:sz w:val="21"/>
                      <w:szCs w:val="21"/>
                      <w:highlight w:val="none"/>
                      <w:lang w:val="en-US" w:eastAsia="zh-CN"/>
                    </w:rPr>
                    <w:t>500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673E41D">
                  <w:pPr>
                    <w:jc w:val="center"/>
                    <w:rPr>
                      <w:rFonts w:hint="eastAsia"/>
                      <w:sz w:val="21"/>
                      <w:szCs w:val="21"/>
                      <w:highlight w:val="none"/>
                      <w:lang w:val="en-US" w:eastAsia="zh-CN"/>
                    </w:rPr>
                  </w:pPr>
                  <w:r>
                    <w:rPr>
                      <w:rFonts w:hint="eastAsia"/>
                      <w:sz w:val="21"/>
                      <w:szCs w:val="21"/>
                      <w:highlight w:val="none"/>
                      <w:lang w:val="en-US" w:eastAsia="zh-CN"/>
                    </w:rPr>
                    <w:t>20#</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E03226F">
                  <w:pPr>
                    <w:jc w:val="center"/>
                    <w:rPr>
                      <w:rFonts w:hint="eastAsia"/>
                      <w:sz w:val="21"/>
                      <w:szCs w:val="21"/>
                      <w:highlight w:val="none"/>
                      <w:lang w:val="en-US" w:eastAsia="zh-CN"/>
                    </w:rPr>
                  </w:pPr>
                  <w:r>
                    <w:rPr>
                      <w:rFonts w:hint="eastAsia"/>
                      <w:sz w:val="21"/>
                      <w:szCs w:val="21"/>
                      <w:highlight w:val="none"/>
                      <w:lang w:val="en-US" w:eastAsia="zh-CN"/>
                    </w:rPr>
                    <w:t>10/0.4</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2CD41AA">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伊泰冷冻机组至鹏泰冷冻水主管</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E9064F2">
                  <w:pPr>
                    <w:jc w:val="center"/>
                    <w:rPr>
                      <w:rFonts w:hint="eastAsia"/>
                      <w:sz w:val="21"/>
                      <w:szCs w:val="21"/>
                      <w:highlight w:val="none"/>
                      <w:lang w:val="en-US" w:eastAsia="zh-CN"/>
                    </w:rPr>
                  </w:pPr>
                  <w:r>
                    <w:rPr>
                      <w:rFonts w:hint="eastAsia"/>
                      <w:sz w:val="21"/>
                      <w:szCs w:val="21"/>
                      <w:highlight w:val="none"/>
                      <w:lang w:val="en-US" w:eastAsia="zh-CN"/>
                    </w:rPr>
                    <w:t>1800m</w:t>
                  </w:r>
                  <w:r>
                    <w:rPr>
                      <w:rFonts w:hint="eastAsia"/>
                      <w:sz w:val="21"/>
                      <w:szCs w:val="21"/>
                      <w:highlight w:val="none"/>
                      <w:vertAlign w:val="superscript"/>
                      <w:lang w:val="en-US" w:eastAsia="zh-CN"/>
                    </w:rPr>
                    <w:t>3</w:t>
                  </w:r>
                  <w:r>
                    <w:rPr>
                      <w:rFonts w:hint="eastAsia"/>
                      <w:sz w:val="21"/>
                      <w:szCs w:val="21"/>
                      <w:highlight w:val="none"/>
                      <w:lang w:val="en-US" w:eastAsia="zh-CN"/>
                    </w:rPr>
                    <w: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19DA051">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3E6A713C">
                  <w:pPr>
                    <w:snapToGrid w:val="0"/>
                    <w:jc w:val="center"/>
                    <w:rPr>
                      <w:rFonts w:hint="eastAsia"/>
                      <w:sz w:val="21"/>
                      <w:szCs w:val="21"/>
                      <w:highlight w:val="none"/>
                      <w:lang w:val="en-US" w:eastAsia="zh-CN"/>
                    </w:rPr>
                  </w:pPr>
                  <w:r>
                    <w:rPr>
                      <w:rFonts w:hint="eastAsia"/>
                      <w:sz w:val="21"/>
                      <w:szCs w:val="21"/>
                      <w:highlight w:val="none"/>
                    </w:rPr>
                    <w:t>455</w:t>
                  </w:r>
                </w:p>
              </w:tc>
            </w:tr>
            <w:tr w14:paraId="1A98851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1D7B89EE">
                  <w:pPr>
                    <w:jc w:val="center"/>
                    <w:rPr>
                      <w:rFonts w:hint="eastAsia"/>
                      <w:sz w:val="21"/>
                      <w:szCs w:val="21"/>
                      <w:highlight w:val="none"/>
                      <w:lang w:val="en-US" w:eastAsia="zh-CN"/>
                    </w:rPr>
                  </w:pPr>
                  <w:r>
                    <w:rPr>
                      <w:rFonts w:hint="eastAsia"/>
                      <w:sz w:val="21"/>
                      <w:szCs w:val="21"/>
                      <w:highlight w:val="none"/>
                      <w:lang w:val="en-US" w:eastAsia="zh-CN"/>
                    </w:rPr>
                    <w:t>20</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961BB23">
                  <w:pPr>
                    <w:spacing w:line="240" w:lineRule="auto"/>
                    <w:jc w:val="center"/>
                    <w:rPr>
                      <w:rFonts w:hint="eastAsia"/>
                      <w:sz w:val="21"/>
                      <w:szCs w:val="21"/>
                      <w:highlight w:val="none"/>
                      <w:lang w:val="en-US" w:eastAsia="zh-CN"/>
                    </w:rPr>
                  </w:pPr>
                  <w:r>
                    <w:rPr>
                      <w:rFonts w:hint="eastAsia"/>
                      <w:sz w:val="21"/>
                      <w:szCs w:val="21"/>
                      <w:highlight w:val="none"/>
                      <w:lang w:val="en-US" w:eastAsia="zh-CN"/>
                    </w:rPr>
                    <w:t>冷冻水回</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21F41DA">
                  <w:pPr>
                    <w:jc w:val="center"/>
                    <w:rPr>
                      <w:rFonts w:hint="eastAsia"/>
                      <w:sz w:val="21"/>
                      <w:szCs w:val="21"/>
                      <w:highlight w:val="none"/>
                      <w:lang w:val="en-US" w:eastAsia="zh-CN"/>
                    </w:rPr>
                  </w:pPr>
                  <w:r>
                    <w:rPr>
                      <w:rFonts w:hint="eastAsia"/>
                      <w:sz w:val="21"/>
                      <w:szCs w:val="21"/>
                      <w:highlight w:val="none"/>
                      <w:lang w:val="en-US" w:eastAsia="zh-CN"/>
                    </w:rPr>
                    <w:t>500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2DE56DC">
                  <w:pPr>
                    <w:jc w:val="center"/>
                    <w:rPr>
                      <w:rFonts w:hint="eastAsia"/>
                      <w:sz w:val="21"/>
                      <w:szCs w:val="21"/>
                      <w:highlight w:val="none"/>
                      <w:lang w:val="en-US" w:eastAsia="zh-CN"/>
                    </w:rPr>
                  </w:pPr>
                  <w:r>
                    <w:rPr>
                      <w:rFonts w:hint="eastAsia"/>
                      <w:sz w:val="21"/>
                      <w:szCs w:val="21"/>
                      <w:highlight w:val="none"/>
                      <w:lang w:val="en-US" w:eastAsia="zh-CN"/>
                    </w:rPr>
                    <w:t>20#</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FA7F551">
                  <w:pPr>
                    <w:jc w:val="center"/>
                    <w:rPr>
                      <w:rFonts w:hint="eastAsia"/>
                      <w:sz w:val="21"/>
                      <w:szCs w:val="21"/>
                      <w:highlight w:val="none"/>
                      <w:lang w:val="en-US" w:eastAsia="zh-CN"/>
                    </w:rPr>
                  </w:pPr>
                  <w:r>
                    <w:rPr>
                      <w:rFonts w:hint="eastAsia"/>
                      <w:sz w:val="21"/>
                      <w:szCs w:val="21"/>
                      <w:highlight w:val="none"/>
                      <w:lang w:val="en-US" w:eastAsia="zh-CN"/>
                    </w:rPr>
                    <w:t>10/0.4</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DFE8AAA">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鹏泰冷冻水主管至伊泰冷冻机组</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5356207">
                  <w:pPr>
                    <w:jc w:val="center"/>
                    <w:rPr>
                      <w:rFonts w:hint="eastAsia"/>
                      <w:sz w:val="21"/>
                      <w:szCs w:val="21"/>
                      <w:highlight w:val="none"/>
                      <w:lang w:val="en-US" w:eastAsia="zh-CN"/>
                    </w:rPr>
                  </w:pPr>
                  <w:r>
                    <w:rPr>
                      <w:rFonts w:hint="eastAsia"/>
                      <w:sz w:val="21"/>
                      <w:szCs w:val="21"/>
                      <w:highlight w:val="none"/>
                      <w:lang w:val="en-US" w:eastAsia="zh-CN"/>
                    </w:rPr>
                    <w:t>1800m</w:t>
                  </w:r>
                  <w:r>
                    <w:rPr>
                      <w:rFonts w:hint="eastAsia"/>
                      <w:sz w:val="21"/>
                      <w:szCs w:val="21"/>
                      <w:highlight w:val="none"/>
                      <w:vertAlign w:val="superscript"/>
                      <w:lang w:val="en-US" w:eastAsia="zh-CN"/>
                    </w:rPr>
                    <w:t>3</w:t>
                  </w:r>
                  <w:r>
                    <w:rPr>
                      <w:rFonts w:hint="eastAsia"/>
                      <w:sz w:val="21"/>
                      <w:szCs w:val="21"/>
                      <w:highlight w:val="none"/>
                      <w:lang w:val="en-US" w:eastAsia="zh-CN"/>
                    </w:rPr>
                    <w: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06572B2">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7EF3D57F">
                  <w:pPr>
                    <w:snapToGrid w:val="0"/>
                    <w:jc w:val="center"/>
                    <w:rPr>
                      <w:rFonts w:hint="eastAsia"/>
                      <w:sz w:val="21"/>
                      <w:szCs w:val="21"/>
                      <w:highlight w:val="none"/>
                      <w:lang w:val="en-US" w:eastAsia="zh-CN"/>
                    </w:rPr>
                  </w:pPr>
                  <w:r>
                    <w:rPr>
                      <w:rFonts w:hint="eastAsia"/>
                      <w:sz w:val="21"/>
                      <w:szCs w:val="21"/>
                      <w:highlight w:val="none"/>
                    </w:rPr>
                    <w:t>445</w:t>
                  </w:r>
                </w:p>
              </w:tc>
            </w:tr>
            <w:tr w14:paraId="7F1695F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4DCEE130">
                  <w:pPr>
                    <w:jc w:val="center"/>
                    <w:rPr>
                      <w:rFonts w:hint="eastAsia"/>
                      <w:sz w:val="21"/>
                      <w:szCs w:val="21"/>
                      <w:highlight w:val="none"/>
                      <w:lang w:val="en-US" w:eastAsia="zh-CN"/>
                    </w:rPr>
                  </w:pPr>
                  <w:r>
                    <w:rPr>
                      <w:rFonts w:hint="eastAsia"/>
                      <w:sz w:val="21"/>
                      <w:szCs w:val="21"/>
                      <w:highlight w:val="none"/>
                      <w:lang w:val="en-US" w:eastAsia="zh-CN"/>
                    </w:rPr>
                    <w:t>21</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13FEF2D">
                  <w:pPr>
                    <w:spacing w:line="240" w:lineRule="auto"/>
                    <w:jc w:val="center"/>
                    <w:rPr>
                      <w:rFonts w:hint="eastAsia"/>
                      <w:sz w:val="21"/>
                      <w:szCs w:val="21"/>
                      <w:highlight w:val="none"/>
                      <w:lang w:val="en-US" w:eastAsia="zh-CN"/>
                    </w:rPr>
                  </w:pPr>
                  <w:r>
                    <w:rPr>
                      <w:rFonts w:hint="eastAsia"/>
                      <w:sz w:val="21"/>
                      <w:szCs w:val="21"/>
                      <w:highlight w:val="none"/>
                      <w:lang w:val="en-US" w:eastAsia="zh-CN"/>
                    </w:rPr>
                    <w:t>富甲烷气</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3EFCD35">
                  <w:pPr>
                    <w:jc w:val="center"/>
                    <w:rPr>
                      <w:rFonts w:hint="eastAsia"/>
                      <w:sz w:val="21"/>
                      <w:szCs w:val="21"/>
                      <w:highlight w:val="none"/>
                      <w:lang w:val="en-US" w:eastAsia="zh-CN"/>
                    </w:rPr>
                  </w:pPr>
                  <w:r>
                    <w:rPr>
                      <w:rFonts w:hint="eastAsia"/>
                      <w:sz w:val="21"/>
                      <w:szCs w:val="21"/>
                      <w:highlight w:val="none"/>
                      <w:lang w:val="en-US" w:eastAsia="zh-CN"/>
                    </w:rPr>
                    <w:t>200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DD5EEF0">
                  <w:pPr>
                    <w:jc w:val="center"/>
                    <w:rPr>
                      <w:rFonts w:hint="eastAsia"/>
                      <w:sz w:val="21"/>
                      <w:szCs w:val="21"/>
                      <w:highlight w:val="none"/>
                      <w:lang w:val="en-US" w:eastAsia="zh-CN"/>
                    </w:rPr>
                  </w:pPr>
                  <w:r>
                    <w:rPr>
                      <w:rFonts w:hint="eastAsia"/>
                      <w:sz w:val="21"/>
                      <w:szCs w:val="21"/>
                      <w:highlight w:val="none"/>
                      <w:lang w:val="en-US" w:eastAsia="zh-CN"/>
                    </w:rPr>
                    <w:t>304L</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234FBEE">
                  <w:pPr>
                    <w:jc w:val="center"/>
                    <w:rPr>
                      <w:rFonts w:hint="eastAsia"/>
                      <w:sz w:val="21"/>
                      <w:szCs w:val="21"/>
                      <w:highlight w:val="none"/>
                      <w:lang w:val="en-US" w:eastAsia="zh-CN"/>
                    </w:rPr>
                  </w:pPr>
                  <w:r>
                    <w:rPr>
                      <w:rFonts w:hint="eastAsia"/>
                      <w:sz w:val="21"/>
                      <w:szCs w:val="21"/>
                      <w:highlight w:val="none"/>
                      <w:lang w:val="en-US" w:eastAsia="zh-CN"/>
                    </w:rPr>
                    <w:t>40/4.5</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05777B6">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鹏泰至伊泰低温甲醇洗装置</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42AE22F">
                  <w:pPr>
                    <w:jc w:val="center"/>
                    <w:rPr>
                      <w:rFonts w:hint="eastAsia"/>
                      <w:sz w:val="21"/>
                      <w:szCs w:val="21"/>
                      <w:highlight w:val="none"/>
                      <w:lang w:val="en-US" w:eastAsia="zh-CN"/>
                    </w:rPr>
                  </w:pPr>
                  <w:r>
                    <w:rPr>
                      <w:rFonts w:hint="eastAsia"/>
                      <w:sz w:val="21"/>
                      <w:szCs w:val="21"/>
                      <w:highlight w:val="none"/>
                      <w:lang w:val="en-US" w:eastAsia="zh-CN"/>
                    </w:rPr>
                    <w:t>30000Nm</w:t>
                  </w:r>
                  <w:r>
                    <w:rPr>
                      <w:rFonts w:hint="eastAsia"/>
                      <w:sz w:val="21"/>
                      <w:szCs w:val="21"/>
                      <w:highlight w:val="none"/>
                      <w:vertAlign w:val="superscript"/>
                      <w:lang w:val="en-US" w:eastAsia="zh-CN"/>
                    </w:rPr>
                    <w:t>3</w:t>
                  </w:r>
                  <w:r>
                    <w:rPr>
                      <w:rFonts w:hint="eastAsia"/>
                      <w:sz w:val="21"/>
                      <w:szCs w:val="21"/>
                      <w:highlight w:val="none"/>
                      <w:lang w:val="en-US" w:eastAsia="zh-CN"/>
                    </w:rPr>
                    <w: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5327FFA">
                  <w:pPr>
                    <w:jc w:val="center"/>
                    <w:rPr>
                      <w:rFonts w:hint="default"/>
                      <w:sz w:val="21"/>
                      <w:szCs w:val="21"/>
                      <w:highlight w:val="none"/>
                      <w:lang w:val="en-US" w:eastAsia="zh-CN"/>
                    </w:rPr>
                  </w:pPr>
                  <w:r>
                    <w:rPr>
                      <w:rFonts w:hint="eastAsia"/>
                      <w:sz w:val="21"/>
                      <w:szCs w:val="21"/>
                      <w:highlight w:val="none"/>
                      <w:lang w:val="en-US" w:eastAsia="zh-CN"/>
                    </w:rPr>
                    <w:t>CL600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2B979581">
                  <w:pPr>
                    <w:snapToGrid w:val="0"/>
                    <w:jc w:val="center"/>
                    <w:rPr>
                      <w:rFonts w:hint="eastAsia"/>
                      <w:sz w:val="21"/>
                      <w:szCs w:val="21"/>
                      <w:highlight w:val="none"/>
                      <w:lang w:val="en-US" w:eastAsia="zh-CN"/>
                    </w:rPr>
                  </w:pPr>
                  <w:r>
                    <w:rPr>
                      <w:rFonts w:hint="eastAsia"/>
                      <w:sz w:val="21"/>
                      <w:szCs w:val="21"/>
                      <w:highlight w:val="none"/>
                    </w:rPr>
                    <w:t>637</w:t>
                  </w:r>
                </w:p>
              </w:tc>
            </w:tr>
            <w:tr w14:paraId="3EDDB48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0" w:hRule="atLeast"/>
                <w:jc w:val="center"/>
              </w:trPr>
              <w:tc>
                <w:tcPr>
                  <w:tcW w:w="284" w:type="pct"/>
                  <w:tcBorders>
                    <w:top w:val="single" w:color="000000" w:sz="4" w:space="0"/>
                    <w:bottom w:val="single" w:color="000000" w:sz="4" w:space="0"/>
                    <w:right w:val="single" w:color="000000" w:sz="4" w:space="0"/>
                  </w:tcBorders>
                  <w:tcMar>
                    <w:left w:w="108" w:type="dxa"/>
                    <w:right w:w="108" w:type="dxa"/>
                  </w:tcMar>
                  <w:vAlign w:val="center"/>
                </w:tcPr>
                <w:p w14:paraId="6CEE87A5">
                  <w:pPr>
                    <w:jc w:val="center"/>
                    <w:rPr>
                      <w:rFonts w:hint="eastAsia"/>
                      <w:sz w:val="21"/>
                      <w:szCs w:val="21"/>
                      <w:highlight w:val="none"/>
                      <w:lang w:val="en-US" w:eastAsia="zh-CN"/>
                    </w:rPr>
                  </w:pPr>
                  <w:r>
                    <w:rPr>
                      <w:rFonts w:hint="eastAsia"/>
                      <w:sz w:val="21"/>
                      <w:szCs w:val="21"/>
                      <w:highlight w:val="none"/>
                      <w:lang w:val="en-US" w:eastAsia="zh-CN"/>
                    </w:rPr>
                    <w:t>22</w:t>
                  </w:r>
                </w:p>
              </w:tc>
              <w:tc>
                <w:tcPr>
                  <w:tcW w:w="456"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03C4415">
                  <w:pPr>
                    <w:spacing w:line="240" w:lineRule="auto"/>
                    <w:jc w:val="center"/>
                    <w:rPr>
                      <w:rFonts w:hint="eastAsia"/>
                      <w:sz w:val="21"/>
                      <w:szCs w:val="21"/>
                      <w:highlight w:val="none"/>
                      <w:lang w:val="en-US" w:eastAsia="zh-CN"/>
                    </w:rPr>
                  </w:pPr>
                  <w:r>
                    <w:rPr>
                      <w:rFonts w:hint="eastAsia"/>
                      <w:sz w:val="21"/>
                      <w:szCs w:val="21"/>
                      <w:highlight w:val="none"/>
                      <w:lang w:val="en-US" w:eastAsia="zh-CN"/>
                    </w:rPr>
                    <w:t>真空泵尾气</w:t>
                  </w:r>
                </w:p>
              </w:tc>
              <w:tc>
                <w:tcPr>
                  <w:tcW w:w="361"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AF570AF">
                  <w:pPr>
                    <w:jc w:val="center"/>
                    <w:rPr>
                      <w:rFonts w:hint="eastAsia"/>
                      <w:sz w:val="21"/>
                      <w:szCs w:val="21"/>
                      <w:highlight w:val="none"/>
                      <w:lang w:val="en-US" w:eastAsia="zh-CN"/>
                    </w:rPr>
                  </w:pPr>
                  <w:r>
                    <w:rPr>
                      <w:rFonts w:hint="eastAsia"/>
                      <w:sz w:val="21"/>
                      <w:szCs w:val="21"/>
                      <w:highlight w:val="none"/>
                      <w:lang w:val="en-US" w:eastAsia="zh-CN"/>
                    </w:rPr>
                    <w:t>200</w:t>
                  </w:r>
                </w:p>
              </w:tc>
              <w:tc>
                <w:tcPr>
                  <w:tcW w:w="495"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EDC5AA0">
                  <w:pPr>
                    <w:jc w:val="center"/>
                    <w:rPr>
                      <w:rFonts w:hint="eastAsia"/>
                      <w:sz w:val="21"/>
                      <w:szCs w:val="21"/>
                      <w:highlight w:val="none"/>
                      <w:lang w:val="en-US" w:eastAsia="zh-CN"/>
                    </w:rPr>
                  </w:pPr>
                  <w:r>
                    <w:rPr>
                      <w:rFonts w:hint="eastAsia"/>
                      <w:sz w:val="21"/>
                      <w:szCs w:val="21"/>
                      <w:highlight w:val="none"/>
                      <w:lang w:val="en-US" w:eastAsia="zh-CN"/>
                    </w:rPr>
                    <w:t>20#</w:t>
                  </w:r>
                </w:p>
              </w:tc>
              <w:tc>
                <w:tcPr>
                  <w:tcW w:w="6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08610A39">
                  <w:pPr>
                    <w:jc w:val="center"/>
                    <w:rPr>
                      <w:rFonts w:hint="default"/>
                      <w:sz w:val="21"/>
                      <w:szCs w:val="21"/>
                      <w:highlight w:val="none"/>
                      <w:lang w:val="en-US" w:eastAsia="zh-CN"/>
                    </w:rPr>
                  </w:pPr>
                  <w:r>
                    <w:rPr>
                      <w:rFonts w:hint="eastAsia"/>
                      <w:sz w:val="21"/>
                      <w:szCs w:val="21"/>
                      <w:highlight w:val="none"/>
                      <w:lang w:val="en-US" w:eastAsia="zh-CN"/>
                    </w:rPr>
                    <w:t>40/-0.01</w:t>
                  </w:r>
                </w:p>
              </w:tc>
              <w:tc>
                <w:tcPr>
                  <w:tcW w:w="82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6BBD85C">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鹏泰真空尾气至伊泰焚烧炉装置</w:t>
                  </w:r>
                </w:p>
              </w:tc>
              <w:tc>
                <w:tcPr>
                  <w:tcW w:w="85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6927218A">
                  <w:pPr>
                    <w:jc w:val="center"/>
                    <w:rPr>
                      <w:rFonts w:hint="eastAsia"/>
                      <w:sz w:val="21"/>
                      <w:szCs w:val="21"/>
                      <w:highlight w:val="none"/>
                      <w:lang w:val="en-US" w:eastAsia="zh-CN"/>
                    </w:rPr>
                  </w:pPr>
                  <w:r>
                    <w:rPr>
                      <w:rFonts w:hint="eastAsia"/>
                      <w:sz w:val="21"/>
                      <w:szCs w:val="21"/>
                      <w:highlight w:val="none"/>
                      <w:lang w:val="en-US" w:eastAsia="zh-CN"/>
                    </w:rPr>
                    <w:t>660Nm</w:t>
                  </w:r>
                  <w:r>
                    <w:rPr>
                      <w:rFonts w:hint="eastAsia"/>
                      <w:sz w:val="21"/>
                      <w:szCs w:val="21"/>
                      <w:highlight w:val="none"/>
                      <w:vertAlign w:val="superscript"/>
                      <w:lang w:val="en-US" w:eastAsia="zh-CN"/>
                    </w:rPr>
                    <w:t>3</w:t>
                  </w:r>
                  <w:r>
                    <w:rPr>
                      <w:rFonts w:hint="eastAsia"/>
                      <w:sz w:val="21"/>
                      <w:szCs w:val="21"/>
                      <w:highlight w:val="none"/>
                      <w:lang w:val="en-US" w:eastAsia="zh-CN"/>
                    </w:rPr>
                    <w:t>/h</w:t>
                  </w:r>
                </w:p>
              </w:tc>
              <w:tc>
                <w:tcPr>
                  <w:tcW w:w="533"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105DF8E7">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bottom w:val="single" w:color="000000" w:sz="4" w:space="0"/>
                  </w:tcBorders>
                  <w:tcMar>
                    <w:left w:w="108" w:type="dxa"/>
                    <w:right w:w="108" w:type="dxa"/>
                  </w:tcMar>
                  <w:vAlign w:val="center"/>
                </w:tcPr>
                <w:p w14:paraId="2B0837FD">
                  <w:pPr>
                    <w:snapToGrid w:val="0"/>
                    <w:jc w:val="center"/>
                    <w:rPr>
                      <w:rFonts w:hint="eastAsia"/>
                      <w:sz w:val="21"/>
                      <w:szCs w:val="21"/>
                      <w:highlight w:val="none"/>
                      <w:lang w:val="en-US" w:eastAsia="zh-CN"/>
                    </w:rPr>
                  </w:pPr>
                  <w:r>
                    <w:rPr>
                      <w:rFonts w:hint="eastAsia"/>
                      <w:sz w:val="21"/>
                      <w:szCs w:val="21"/>
                      <w:highlight w:val="none"/>
                    </w:rPr>
                    <w:t>930</w:t>
                  </w:r>
                </w:p>
              </w:tc>
            </w:tr>
            <w:tr w14:paraId="0598EFE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60" w:hRule="atLeast"/>
                <w:jc w:val="center"/>
              </w:trPr>
              <w:tc>
                <w:tcPr>
                  <w:tcW w:w="284" w:type="pct"/>
                  <w:tcBorders>
                    <w:top w:val="single" w:color="000000" w:sz="4" w:space="0"/>
                    <w:right w:val="single" w:color="000000" w:sz="4" w:space="0"/>
                  </w:tcBorders>
                  <w:tcMar>
                    <w:left w:w="108" w:type="dxa"/>
                    <w:right w:w="108" w:type="dxa"/>
                  </w:tcMar>
                  <w:vAlign w:val="center"/>
                </w:tcPr>
                <w:p w14:paraId="1DDCBF8B">
                  <w:pPr>
                    <w:jc w:val="center"/>
                    <w:rPr>
                      <w:rFonts w:hint="eastAsia"/>
                      <w:sz w:val="21"/>
                      <w:szCs w:val="21"/>
                      <w:highlight w:val="none"/>
                      <w:lang w:val="en-US" w:eastAsia="zh-CN"/>
                    </w:rPr>
                  </w:pPr>
                  <w:r>
                    <w:rPr>
                      <w:rFonts w:hint="eastAsia"/>
                      <w:sz w:val="21"/>
                      <w:szCs w:val="21"/>
                      <w:highlight w:val="none"/>
                      <w:lang w:val="en-US" w:eastAsia="zh-CN"/>
                    </w:rPr>
                    <w:t>23</w:t>
                  </w:r>
                </w:p>
              </w:tc>
              <w:tc>
                <w:tcPr>
                  <w:tcW w:w="456" w:type="pct"/>
                  <w:tcBorders>
                    <w:top w:val="single" w:color="000000" w:sz="4" w:space="0"/>
                    <w:left w:val="single" w:color="000000" w:sz="4" w:space="0"/>
                    <w:right w:val="single" w:color="000000" w:sz="4" w:space="0"/>
                  </w:tcBorders>
                  <w:tcMar>
                    <w:left w:w="108" w:type="dxa"/>
                    <w:right w:w="108" w:type="dxa"/>
                  </w:tcMar>
                  <w:vAlign w:val="center"/>
                </w:tcPr>
                <w:p w14:paraId="5AA3FA86">
                  <w:pPr>
                    <w:spacing w:line="240" w:lineRule="auto"/>
                    <w:jc w:val="center"/>
                    <w:rPr>
                      <w:rFonts w:hint="eastAsia"/>
                      <w:sz w:val="21"/>
                      <w:szCs w:val="21"/>
                      <w:highlight w:val="none"/>
                      <w:lang w:val="en-US" w:eastAsia="zh-CN"/>
                    </w:rPr>
                  </w:pPr>
                  <w:r>
                    <w:rPr>
                      <w:rFonts w:hint="eastAsia"/>
                      <w:sz w:val="21"/>
                      <w:szCs w:val="21"/>
                      <w:highlight w:val="none"/>
                      <w:lang w:val="en-US" w:eastAsia="zh-CN"/>
                    </w:rPr>
                    <w:t>CO</w:t>
                  </w:r>
                  <w:r>
                    <w:rPr>
                      <w:rFonts w:hint="eastAsia"/>
                      <w:sz w:val="21"/>
                      <w:szCs w:val="21"/>
                      <w:highlight w:val="none"/>
                      <w:vertAlign w:val="subscript"/>
                      <w:lang w:val="en-US" w:eastAsia="zh-CN"/>
                    </w:rPr>
                    <w:t>2</w:t>
                  </w:r>
                  <w:r>
                    <w:rPr>
                      <w:rFonts w:hint="eastAsia"/>
                      <w:sz w:val="21"/>
                      <w:szCs w:val="21"/>
                      <w:highlight w:val="none"/>
                      <w:lang w:val="en-US" w:eastAsia="zh-CN"/>
                    </w:rPr>
                    <w:t>气</w:t>
                  </w:r>
                </w:p>
              </w:tc>
              <w:tc>
                <w:tcPr>
                  <w:tcW w:w="361" w:type="pct"/>
                  <w:tcBorders>
                    <w:top w:val="single" w:color="000000" w:sz="4" w:space="0"/>
                    <w:left w:val="single" w:color="000000" w:sz="4" w:space="0"/>
                    <w:right w:val="single" w:color="000000" w:sz="4" w:space="0"/>
                  </w:tcBorders>
                  <w:tcMar>
                    <w:left w:w="108" w:type="dxa"/>
                    <w:right w:w="108" w:type="dxa"/>
                  </w:tcMar>
                  <w:vAlign w:val="center"/>
                </w:tcPr>
                <w:p w14:paraId="22E43768">
                  <w:pPr>
                    <w:jc w:val="center"/>
                    <w:rPr>
                      <w:rFonts w:hint="eastAsia"/>
                      <w:sz w:val="21"/>
                      <w:szCs w:val="21"/>
                      <w:highlight w:val="none"/>
                      <w:lang w:val="en-US" w:eastAsia="zh-CN"/>
                    </w:rPr>
                  </w:pPr>
                  <w:r>
                    <w:rPr>
                      <w:rFonts w:hint="eastAsia"/>
                      <w:sz w:val="21"/>
                      <w:szCs w:val="21"/>
                      <w:highlight w:val="none"/>
                      <w:lang w:val="en-US" w:eastAsia="zh-CN"/>
                    </w:rPr>
                    <w:t>150</w:t>
                  </w:r>
                </w:p>
              </w:tc>
              <w:tc>
                <w:tcPr>
                  <w:tcW w:w="495" w:type="pct"/>
                  <w:tcBorders>
                    <w:top w:val="single" w:color="000000" w:sz="4" w:space="0"/>
                    <w:left w:val="single" w:color="000000" w:sz="4" w:space="0"/>
                    <w:right w:val="single" w:color="000000" w:sz="4" w:space="0"/>
                  </w:tcBorders>
                  <w:tcMar>
                    <w:left w:w="108" w:type="dxa"/>
                    <w:right w:w="108" w:type="dxa"/>
                  </w:tcMar>
                  <w:vAlign w:val="center"/>
                </w:tcPr>
                <w:p w14:paraId="0F9EE39E">
                  <w:pPr>
                    <w:jc w:val="center"/>
                    <w:rPr>
                      <w:rFonts w:hint="eastAsia"/>
                      <w:sz w:val="21"/>
                      <w:szCs w:val="21"/>
                      <w:highlight w:val="none"/>
                      <w:lang w:val="en-US" w:eastAsia="zh-CN"/>
                    </w:rPr>
                  </w:pPr>
                  <w:r>
                    <w:rPr>
                      <w:rFonts w:hint="eastAsia"/>
                      <w:sz w:val="21"/>
                      <w:szCs w:val="21"/>
                      <w:highlight w:val="none"/>
                      <w:lang w:val="en-US" w:eastAsia="zh-CN"/>
                    </w:rPr>
                    <w:t>304L</w:t>
                  </w:r>
                </w:p>
              </w:tc>
              <w:tc>
                <w:tcPr>
                  <w:tcW w:w="649" w:type="pct"/>
                  <w:tcBorders>
                    <w:top w:val="single" w:color="000000" w:sz="4" w:space="0"/>
                    <w:left w:val="single" w:color="000000" w:sz="4" w:space="0"/>
                    <w:right w:val="single" w:color="000000" w:sz="4" w:space="0"/>
                  </w:tcBorders>
                  <w:tcMar>
                    <w:left w:w="108" w:type="dxa"/>
                    <w:right w:w="108" w:type="dxa"/>
                  </w:tcMar>
                  <w:vAlign w:val="center"/>
                </w:tcPr>
                <w:p w14:paraId="4457A5F6">
                  <w:pPr>
                    <w:jc w:val="center"/>
                    <w:rPr>
                      <w:rFonts w:hint="eastAsia"/>
                      <w:sz w:val="21"/>
                      <w:szCs w:val="21"/>
                      <w:highlight w:val="none"/>
                      <w:lang w:val="en-US" w:eastAsia="zh-CN"/>
                    </w:rPr>
                  </w:pPr>
                  <w:r>
                    <w:rPr>
                      <w:rFonts w:hint="eastAsia"/>
                      <w:sz w:val="21"/>
                      <w:szCs w:val="21"/>
                      <w:highlight w:val="none"/>
                      <w:lang w:val="en-US" w:eastAsia="zh-CN"/>
                    </w:rPr>
                    <w:t>40/1</w:t>
                  </w:r>
                </w:p>
              </w:tc>
              <w:tc>
                <w:tcPr>
                  <w:tcW w:w="823" w:type="pct"/>
                  <w:tcBorders>
                    <w:top w:val="single" w:color="000000" w:sz="4" w:space="0"/>
                    <w:left w:val="single" w:color="000000" w:sz="4" w:space="0"/>
                    <w:right w:val="single" w:color="000000" w:sz="4" w:space="0"/>
                  </w:tcBorders>
                  <w:tcMar>
                    <w:left w:w="108" w:type="dxa"/>
                    <w:right w:w="108" w:type="dxa"/>
                  </w:tcMar>
                  <w:vAlign w:val="center"/>
                </w:tcPr>
                <w:p w14:paraId="6176A042">
                  <w:pPr>
                    <w:pStyle w:val="38"/>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伊泰CO</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管线至鹏泰CO</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管网</w:t>
                  </w:r>
                </w:p>
              </w:tc>
              <w:tc>
                <w:tcPr>
                  <w:tcW w:w="859" w:type="pct"/>
                  <w:tcBorders>
                    <w:top w:val="single" w:color="000000" w:sz="4" w:space="0"/>
                    <w:left w:val="single" w:color="000000" w:sz="4" w:space="0"/>
                    <w:right w:val="single" w:color="000000" w:sz="4" w:space="0"/>
                  </w:tcBorders>
                  <w:tcMar>
                    <w:left w:w="108" w:type="dxa"/>
                    <w:right w:w="108" w:type="dxa"/>
                  </w:tcMar>
                  <w:vAlign w:val="center"/>
                </w:tcPr>
                <w:p w14:paraId="059D7712">
                  <w:pPr>
                    <w:jc w:val="center"/>
                    <w:rPr>
                      <w:rFonts w:hint="eastAsia"/>
                      <w:sz w:val="21"/>
                      <w:szCs w:val="21"/>
                      <w:highlight w:val="none"/>
                      <w:lang w:val="en-US" w:eastAsia="zh-CN"/>
                    </w:rPr>
                  </w:pPr>
                  <w:r>
                    <w:rPr>
                      <w:rFonts w:hint="eastAsia"/>
                      <w:sz w:val="21"/>
                      <w:szCs w:val="21"/>
                      <w:highlight w:val="none"/>
                      <w:lang w:val="en-US" w:eastAsia="zh-CN"/>
                    </w:rPr>
                    <w:t>5000m</w:t>
                  </w:r>
                  <w:r>
                    <w:rPr>
                      <w:rFonts w:hint="eastAsia"/>
                      <w:sz w:val="21"/>
                      <w:szCs w:val="21"/>
                      <w:highlight w:val="none"/>
                      <w:vertAlign w:val="superscript"/>
                      <w:lang w:val="en-US" w:eastAsia="zh-CN"/>
                    </w:rPr>
                    <w:t>3</w:t>
                  </w:r>
                  <w:r>
                    <w:rPr>
                      <w:rFonts w:hint="eastAsia"/>
                      <w:sz w:val="21"/>
                      <w:szCs w:val="21"/>
                      <w:highlight w:val="none"/>
                      <w:lang w:val="en-US" w:eastAsia="zh-CN"/>
                    </w:rPr>
                    <w:t>/h</w:t>
                  </w:r>
                </w:p>
              </w:tc>
              <w:tc>
                <w:tcPr>
                  <w:tcW w:w="533" w:type="pct"/>
                  <w:tcBorders>
                    <w:top w:val="single" w:color="000000" w:sz="4" w:space="0"/>
                    <w:left w:val="single" w:color="000000" w:sz="4" w:space="0"/>
                    <w:right w:val="single" w:color="000000" w:sz="4" w:space="0"/>
                  </w:tcBorders>
                  <w:tcMar>
                    <w:left w:w="108" w:type="dxa"/>
                    <w:right w:w="108" w:type="dxa"/>
                  </w:tcMar>
                  <w:vAlign w:val="center"/>
                </w:tcPr>
                <w:p w14:paraId="6A47758C">
                  <w:pPr>
                    <w:jc w:val="center"/>
                    <w:rPr>
                      <w:rFonts w:hint="eastAsia"/>
                      <w:sz w:val="21"/>
                      <w:szCs w:val="21"/>
                      <w:highlight w:val="none"/>
                      <w:lang w:val="en-US" w:eastAsia="zh-CN"/>
                    </w:rPr>
                  </w:pPr>
                  <w:r>
                    <w:rPr>
                      <w:rFonts w:hint="eastAsia"/>
                      <w:sz w:val="21"/>
                      <w:szCs w:val="21"/>
                      <w:highlight w:val="none"/>
                      <w:lang w:val="en-US" w:eastAsia="zh-CN"/>
                    </w:rPr>
                    <w:t>CL150</w:t>
                  </w:r>
                </w:p>
              </w:tc>
              <w:tc>
                <w:tcPr>
                  <w:tcW w:w="535" w:type="pct"/>
                  <w:tcBorders>
                    <w:top w:val="single" w:color="000000" w:sz="4" w:space="0"/>
                    <w:left w:val="single" w:color="000000" w:sz="4" w:space="0"/>
                  </w:tcBorders>
                  <w:tcMar>
                    <w:left w:w="108" w:type="dxa"/>
                    <w:right w:w="108" w:type="dxa"/>
                  </w:tcMar>
                  <w:vAlign w:val="center"/>
                </w:tcPr>
                <w:p w14:paraId="67B442C1">
                  <w:pPr>
                    <w:snapToGrid w:val="0"/>
                    <w:jc w:val="center"/>
                    <w:rPr>
                      <w:rFonts w:hint="eastAsia"/>
                      <w:sz w:val="21"/>
                      <w:szCs w:val="21"/>
                      <w:highlight w:val="none"/>
                      <w:lang w:val="en-US" w:eastAsia="zh-CN"/>
                    </w:rPr>
                  </w:pPr>
                  <w:r>
                    <w:rPr>
                      <w:rFonts w:hint="eastAsia"/>
                      <w:sz w:val="21"/>
                      <w:szCs w:val="21"/>
                      <w:highlight w:val="none"/>
                    </w:rPr>
                    <w:t>308</w:t>
                  </w:r>
                </w:p>
              </w:tc>
            </w:tr>
          </w:tbl>
          <w:p w14:paraId="5C49E56C">
            <w:pPr>
              <w:adjustRightInd w:val="0"/>
              <w:snapToGrid w:val="0"/>
              <w:spacing w:line="360" w:lineRule="auto"/>
              <w:jc w:val="center"/>
              <w:outlineLvl w:val="9"/>
              <w:rPr>
                <w:rFonts w:hint="eastAsia" w:ascii="Times New Roman" w:hAnsi="Times New Roman" w:eastAsia="宋体" w:cs="Times New Roman"/>
                <w:b/>
                <w:bCs/>
                <w:spacing w:val="0"/>
                <w:sz w:val="21"/>
                <w:szCs w:val="21"/>
                <w:highlight w:val="none"/>
                <w:lang w:val="en-US" w:eastAsia="zh-CN"/>
              </w:rPr>
            </w:pPr>
            <w:r>
              <w:rPr>
                <w:rFonts w:hint="eastAsia" w:cs="Times New Roman"/>
                <w:b/>
                <w:bCs/>
                <w:spacing w:val="0"/>
                <w:sz w:val="21"/>
                <w:szCs w:val="21"/>
                <w:highlight w:val="none"/>
                <w:lang w:val="en-US" w:eastAsia="zh-CN"/>
              </w:rPr>
              <w:t xml:space="preserve">表2.4   </w:t>
            </w:r>
            <w:r>
              <w:rPr>
                <w:rFonts w:hint="eastAsia" w:ascii="Times New Roman" w:hAnsi="Times New Roman" w:eastAsia="宋体" w:cs="Times New Roman"/>
                <w:b/>
                <w:bCs/>
                <w:spacing w:val="0"/>
                <w:sz w:val="21"/>
                <w:szCs w:val="21"/>
                <w:highlight w:val="none"/>
                <w:lang w:val="en-US" w:eastAsia="zh-CN"/>
              </w:rPr>
              <w:t>本项目新增设备</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215"/>
              <w:gridCol w:w="1215"/>
              <w:gridCol w:w="1215"/>
              <w:gridCol w:w="1215"/>
              <w:gridCol w:w="1216"/>
              <w:gridCol w:w="1216"/>
            </w:tblGrid>
            <w:tr w14:paraId="0A2F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14" w:type="pct"/>
                  <w:vAlign w:val="center"/>
                </w:tcPr>
                <w:p w14:paraId="29129F23">
                  <w:pPr>
                    <w:jc w:val="center"/>
                    <w:rPr>
                      <w:rFonts w:hint="default"/>
                      <w:highlight w:val="none"/>
                      <w:lang w:val="en-US" w:eastAsia="zh-CN"/>
                    </w:rPr>
                  </w:pPr>
                  <w:r>
                    <w:rPr>
                      <w:rFonts w:hint="eastAsia"/>
                      <w:highlight w:val="none"/>
                      <w:lang w:val="en-US" w:eastAsia="zh-CN"/>
                    </w:rPr>
                    <w:t>名称</w:t>
                  </w:r>
                </w:p>
              </w:tc>
              <w:tc>
                <w:tcPr>
                  <w:tcW w:w="714" w:type="pct"/>
                  <w:vAlign w:val="center"/>
                </w:tcPr>
                <w:p w14:paraId="28A83AEB">
                  <w:pPr>
                    <w:jc w:val="center"/>
                    <w:rPr>
                      <w:rFonts w:hint="default"/>
                      <w:highlight w:val="none"/>
                      <w:lang w:val="en-US" w:eastAsia="zh-CN"/>
                    </w:rPr>
                  </w:pPr>
                  <w:r>
                    <w:rPr>
                      <w:rFonts w:hint="eastAsia"/>
                      <w:highlight w:val="none"/>
                      <w:lang w:val="en-US" w:eastAsia="zh-CN"/>
                    </w:rPr>
                    <w:t>数量</w:t>
                  </w:r>
                </w:p>
              </w:tc>
              <w:tc>
                <w:tcPr>
                  <w:tcW w:w="714" w:type="pct"/>
                  <w:vAlign w:val="center"/>
                </w:tcPr>
                <w:p w14:paraId="32C75F00">
                  <w:pPr>
                    <w:jc w:val="center"/>
                    <w:rPr>
                      <w:rFonts w:hint="default"/>
                      <w:highlight w:val="none"/>
                      <w:lang w:val="en-US" w:eastAsia="zh-CN"/>
                    </w:rPr>
                  </w:pPr>
                  <w:r>
                    <w:rPr>
                      <w:rFonts w:hint="eastAsia"/>
                      <w:highlight w:val="none"/>
                      <w:lang w:val="en-US" w:eastAsia="zh-CN"/>
                    </w:rPr>
                    <w:t>处理能力</w:t>
                  </w:r>
                </w:p>
              </w:tc>
              <w:tc>
                <w:tcPr>
                  <w:tcW w:w="714" w:type="pct"/>
                  <w:vAlign w:val="center"/>
                </w:tcPr>
                <w:p w14:paraId="1395E2D6">
                  <w:pPr>
                    <w:jc w:val="center"/>
                    <w:rPr>
                      <w:rFonts w:hint="default"/>
                      <w:highlight w:val="none"/>
                      <w:lang w:val="en-US" w:eastAsia="zh-CN"/>
                    </w:rPr>
                  </w:pPr>
                  <w:r>
                    <w:rPr>
                      <w:rFonts w:hint="eastAsia"/>
                      <w:highlight w:val="none"/>
                      <w:lang w:val="en-US" w:eastAsia="zh-CN"/>
                    </w:rPr>
                    <w:t>出口压力</w:t>
                  </w:r>
                </w:p>
              </w:tc>
              <w:tc>
                <w:tcPr>
                  <w:tcW w:w="714" w:type="pct"/>
                  <w:vAlign w:val="center"/>
                </w:tcPr>
                <w:p w14:paraId="2A926E7B">
                  <w:pPr>
                    <w:jc w:val="center"/>
                    <w:rPr>
                      <w:rFonts w:hint="default"/>
                      <w:highlight w:val="none"/>
                      <w:lang w:val="en-US" w:eastAsia="zh-CN"/>
                    </w:rPr>
                  </w:pPr>
                  <w:r>
                    <w:rPr>
                      <w:rFonts w:hint="eastAsia"/>
                      <w:highlight w:val="none"/>
                      <w:lang w:val="en-US" w:eastAsia="zh-CN"/>
                    </w:rPr>
                    <w:t>操作温度</w:t>
                  </w:r>
                </w:p>
              </w:tc>
              <w:tc>
                <w:tcPr>
                  <w:tcW w:w="714" w:type="pct"/>
                  <w:vAlign w:val="center"/>
                </w:tcPr>
                <w:p w14:paraId="2D386390">
                  <w:pPr>
                    <w:jc w:val="center"/>
                    <w:rPr>
                      <w:rFonts w:hint="default"/>
                      <w:highlight w:val="none"/>
                      <w:lang w:val="en-US" w:eastAsia="zh-CN"/>
                    </w:rPr>
                  </w:pPr>
                  <w:r>
                    <w:rPr>
                      <w:rFonts w:hint="eastAsia"/>
                      <w:highlight w:val="none"/>
                      <w:lang w:val="en-US" w:eastAsia="zh-CN"/>
                    </w:rPr>
                    <w:t>功率</w:t>
                  </w:r>
                </w:p>
              </w:tc>
              <w:tc>
                <w:tcPr>
                  <w:tcW w:w="714" w:type="pct"/>
                  <w:vAlign w:val="center"/>
                </w:tcPr>
                <w:p w14:paraId="343A7F61">
                  <w:pPr>
                    <w:jc w:val="center"/>
                    <w:rPr>
                      <w:rFonts w:hint="default"/>
                      <w:highlight w:val="none"/>
                      <w:lang w:val="en-US" w:eastAsia="zh-CN"/>
                    </w:rPr>
                  </w:pPr>
                  <w:r>
                    <w:rPr>
                      <w:rFonts w:hint="eastAsia"/>
                      <w:highlight w:val="none"/>
                      <w:lang w:val="en-US" w:eastAsia="zh-CN"/>
                    </w:rPr>
                    <w:t>防爆等级</w:t>
                  </w:r>
                </w:p>
              </w:tc>
            </w:tr>
            <w:tr w14:paraId="7858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4" w:type="pct"/>
                  <w:vAlign w:val="center"/>
                </w:tcPr>
                <w:p w14:paraId="3DBED61A">
                  <w:pPr>
                    <w:jc w:val="center"/>
                    <w:rPr>
                      <w:rFonts w:hint="default"/>
                      <w:highlight w:val="none"/>
                      <w:lang w:val="en-US" w:eastAsia="zh-CN"/>
                    </w:rPr>
                  </w:pPr>
                  <w:r>
                    <w:rPr>
                      <w:rFonts w:hint="eastAsia"/>
                      <w:highlight w:val="none"/>
                      <w:lang w:val="en-US" w:eastAsia="zh-CN"/>
                    </w:rPr>
                    <w:t>甲烷气压缩机</w:t>
                  </w:r>
                </w:p>
              </w:tc>
              <w:tc>
                <w:tcPr>
                  <w:tcW w:w="714" w:type="pct"/>
                  <w:vAlign w:val="center"/>
                </w:tcPr>
                <w:p w14:paraId="17D57403">
                  <w:pPr>
                    <w:jc w:val="center"/>
                    <w:rPr>
                      <w:rFonts w:hint="default"/>
                      <w:highlight w:val="none"/>
                      <w:lang w:val="en-US" w:eastAsia="zh-CN"/>
                    </w:rPr>
                  </w:pPr>
                  <w:r>
                    <w:rPr>
                      <w:rFonts w:hint="eastAsia"/>
                      <w:highlight w:val="none"/>
                      <w:lang w:val="en-US" w:eastAsia="zh-CN"/>
                    </w:rPr>
                    <w:t>1</w:t>
                  </w:r>
                </w:p>
              </w:tc>
              <w:tc>
                <w:tcPr>
                  <w:tcW w:w="714" w:type="pct"/>
                  <w:vAlign w:val="center"/>
                </w:tcPr>
                <w:p w14:paraId="588EB853">
                  <w:pPr>
                    <w:jc w:val="center"/>
                    <w:rPr>
                      <w:rFonts w:hint="default"/>
                      <w:highlight w:val="none"/>
                      <w:lang w:val="en-US" w:eastAsia="zh-CN"/>
                    </w:rPr>
                  </w:pPr>
                  <w:r>
                    <w:rPr>
                      <w:rFonts w:hint="eastAsia"/>
                      <w:highlight w:val="none"/>
                      <w:lang w:val="en-US" w:eastAsia="zh-CN"/>
                    </w:rPr>
                    <w:t>1000Nm</w:t>
                  </w:r>
                  <w:r>
                    <w:rPr>
                      <w:rFonts w:hint="eastAsia"/>
                      <w:highlight w:val="none"/>
                      <w:vertAlign w:val="superscript"/>
                      <w:lang w:val="en-US" w:eastAsia="zh-CN"/>
                    </w:rPr>
                    <w:t>3</w:t>
                  </w:r>
                  <w:r>
                    <w:rPr>
                      <w:rFonts w:hint="eastAsia"/>
                      <w:highlight w:val="none"/>
                      <w:lang w:val="en-US" w:eastAsia="zh-CN"/>
                    </w:rPr>
                    <w:t>/h</w:t>
                  </w:r>
                </w:p>
              </w:tc>
              <w:tc>
                <w:tcPr>
                  <w:tcW w:w="714" w:type="pct"/>
                  <w:vAlign w:val="center"/>
                </w:tcPr>
                <w:p w14:paraId="3BF0325B">
                  <w:pPr>
                    <w:jc w:val="center"/>
                    <w:rPr>
                      <w:rFonts w:hint="default"/>
                      <w:highlight w:val="none"/>
                      <w:lang w:val="en-US" w:eastAsia="zh-CN"/>
                    </w:rPr>
                  </w:pPr>
                  <w:r>
                    <w:rPr>
                      <w:rFonts w:hint="eastAsia"/>
                      <w:highlight w:val="none"/>
                      <w:lang w:val="en-US" w:eastAsia="zh-CN"/>
                    </w:rPr>
                    <w:t>0.8MPaG</w:t>
                  </w:r>
                </w:p>
              </w:tc>
              <w:tc>
                <w:tcPr>
                  <w:tcW w:w="714" w:type="pct"/>
                  <w:vAlign w:val="center"/>
                </w:tcPr>
                <w:p w14:paraId="3CA1F0B9">
                  <w:pPr>
                    <w:jc w:val="center"/>
                    <w:rPr>
                      <w:rFonts w:hint="default"/>
                      <w:highlight w:val="none"/>
                      <w:lang w:val="en-US" w:eastAsia="zh-CN"/>
                    </w:rPr>
                  </w:pPr>
                  <w:r>
                    <w:rPr>
                      <w:rFonts w:hint="eastAsia"/>
                      <w:highlight w:val="none"/>
                      <w:lang w:val="en-US" w:eastAsia="zh-CN"/>
                    </w:rPr>
                    <w:t>常温</w:t>
                  </w:r>
                </w:p>
              </w:tc>
              <w:tc>
                <w:tcPr>
                  <w:tcW w:w="714" w:type="pct"/>
                  <w:vAlign w:val="center"/>
                </w:tcPr>
                <w:p w14:paraId="0B530CC2">
                  <w:pPr>
                    <w:jc w:val="center"/>
                    <w:rPr>
                      <w:rFonts w:hint="default"/>
                      <w:highlight w:val="none"/>
                      <w:lang w:val="en-US" w:eastAsia="zh-CN"/>
                    </w:rPr>
                  </w:pPr>
                  <w:r>
                    <w:rPr>
                      <w:rFonts w:hint="eastAsia"/>
                      <w:highlight w:val="none"/>
                      <w:lang w:val="en-US" w:eastAsia="zh-CN"/>
                    </w:rPr>
                    <w:t>55kW</w:t>
                  </w:r>
                </w:p>
              </w:tc>
              <w:tc>
                <w:tcPr>
                  <w:tcW w:w="714" w:type="pct"/>
                  <w:vAlign w:val="center"/>
                </w:tcPr>
                <w:p w14:paraId="4CF1CC99">
                  <w:pPr>
                    <w:jc w:val="center"/>
                    <w:rPr>
                      <w:rFonts w:hint="default"/>
                      <w:highlight w:val="none"/>
                      <w:lang w:val="en-US" w:eastAsia="zh-CN"/>
                    </w:rPr>
                  </w:pPr>
                  <w:r>
                    <w:rPr>
                      <w:rFonts w:hint="eastAsia"/>
                      <w:highlight w:val="none"/>
                      <w:lang w:val="en-US" w:eastAsia="zh-CN"/>
                    </w:rPr>
                    <w:t>IIA1</w:t>
                  </w:r>
                </w:p>
              </w:tc>
            </w:tr>
          </w:tbl>
          <w:p w14:paraId="49BCA373">
            <w:pPr>
              <w:spacing w:line="360" w:lineRule="auto"/>
              <w:rPr>
                <w:rFonts w:hint="eastAsia" w:cs="宋体"/>
                <w:b/>
                <w:bCs/>
                <w:sz w:val="24"/>
                <w:highlight w:val="none"/>
              </w:rPr>
            </w:pPr>
            <w:r>
              <w:rPr>
                <w:rFonts w:hint="eastAsia" w:cs="宋体"/>
                <w:b/>
                <w:bCs/>
                <w:sz w:val="24"/>
                <w:highlight w:val="none"/>
              </w:rPr>
              <w:t>3</w:t>
            </w:r>
            <w:r>
              <w:rPr>
                <w:rFonts w:hint="eastAsia" w:cs="宋体"/>
                <w:b/>
                <w:bCs/>
                <w:sz w:val="24"/>
                <w:highlight w:val="none"/>
                <w:lang w:val="en-US" w:eastAsia="zh-CN"/>
              </w:rPr>
              <w:t>.</w:t>
            </w:r>
            <w:r>
              <w:rPr>
                <w:rFonts w:hint="eastAsia" w:cs="宋体"/>
                <w:b/>
                <w:bCs/>
                <w:sz w:val="24"/>
                <w:highlight w:val="none"/>
              </w:rPr>
              <w:t>劳动定员及工作制度</w:t>
            </w:r>
          </w:p>
          <w:p w14:paraId="54F3BA48">
            <w:pPr>
              <w:spacing w:line="360" w:lineRule="auto"/>
              <w:ind w:firstLine="480" w:firstLineChars="200"/>
              <w:rPr>
                <w:rFonts w:hint="eastAsia" w:cs="宋体"/>
                <w:sz w:val="24"/>
                <w:highlight w:val="none"/>
              </w:rPr>
            </w:pPr>
            <w:r>
              <w:rPr>
                <w:rFonts w:hint="eastAsia" w:cs="宋体"/>
                <w:sz w:val="24"/>
                <w:highlight w:val="none"/>
              </w:rPr>
              <w:t>本项目无新增职工，依托现有职工兼任。</w:t>
            </w:r>
          </w:p>
          <w:p w14:paraId="5DFEC165">
            <w:pPr>
              <w:spacing w:line="360" w:lineRule="auto"/>
              <w:rPr>
                <w:rFonts w:hint="default" w:eastAsia="宋体" w:cs="宋体"/>
                <w:b/>
                <w:bCs/>
                <w:sz w:val="24"/>
                <w:highlight w:val="none"/>
                <w:lang w:val="en-US" w:eastAsia="zh-CN"/>
              </w:rPr>
            </w:pPr>
            <w:r>
              <w:rPr>
                <w:rFonts w:hint="eastAsia" w:cs="宋体"/>
                <w:b/>
                <w:bCs/>
                <w:sz w:val="24"/>
                <w:highlight w:val="none"/>
              </w:rPr>
              <w:t>4</w:t>
            </w:r>
            <w:r>
              <w:rPr>
                <w:rFonts w:hint="eastAsia" w:cs="宋体"/>
                <w:b/>
                <w:bCs/>
                <w:sz w:val="24"/>
                <w:highlight w:val="none"/>
                <w:lang w:val="en-US" w:eastAsia="zh-CN"/>
              </w:rPr>
              <w:t>.输送物质</w:t>
            </w:r>
          </w:p>
          <w:p w14:paraId="567B46DB">
            <w:pPr>
              <w:spacing w:line="360" w:lineRule="auto"/>
              <w:ind w:firstLine="480" w:firstLineChars="200"/>
              <w:rPr>
                <w:rFonts w:hint="default" w:eastAsia="宋体" w:cs="宋体"/>
                <w:sz w:val="24"/>
                <w:highlight w:val="none"/>
                <w:lang w:val="en-US" w:eastAsia="zh-CN"/>
              </w:rPr>
            </w:pPr>
            <w:r>
              <w:rPr>
                <w:rFonts w:hint="eastAsia" w:cs="宋体"/>
                <w:sz w:val="24"/>
                <w:highlight w:val="none"/>
                <w:lang w:val="en-US" w:eastAsia="zh-CN"/>
              </w:rPr>
              <w:t>本项目输送的物质包括伊泰至鹏泰的合成脱碳尾气、未变换净化气、甲烷气、中压蒸汽、仪表风、工厂风、氮气、黄河水、回用水、冷冻水来、CO</w:t>
            </w:r>
            <w:r>
              <w:rPr>
                <w:rFonts w:hint="eastAsia" w:cs="宋体"/>
                <w:sz w:val="24"/>
                <w:highlight w:val="none"/>
                <w:vertAlign w:val="subscript"/>
                <w:lang w:val="en-US" w:eastAsia="zh-CN"/>
              </w:rPr>
              <w:t>2</w:t>
            </w:r>
            <w:r>
              <w:rPr>
                <w:rFonts w:hint="eastAsia" w:cs="宋体"/>
                <w:sz w:val="24"/>
                <w:highlight w:val="none"/>
                <w:lang w:val="en-US" w:eastAsia="zh-CN"/>
              </w:rPr>
              <w:t>气和鹏泰至伊泰的尾气、WTR甲烷气、低压含烃火炬气、湿酸火炬气、凝结水、污水1、污水2、清净废水、酸性气、冷冻水回、富甲烷气、真空泵尾气。</w:t>
            </w:r>
          </w:p>
          <w:p w14:paraId="663DED80">
            <w:pPr>
              <w:spacing w:line="360" w:lineRule="auto"/>
              <w:ind w:firstLine="422" w:firstLineChars="200"/>
              <w:jc w:val="center"/>
              <w:rPr>
                <w:rFonts w:hint="eastAsia" w:cs="Times New Roman"/>
                <w:b/>
                <w:bCs/>
                <w:spacing w:val="0"/>
                <w:sz w:val="21"/>
                <w:szCs w:val="21"/>
                <w:highlight w:val="none"/>
                <w:lang w:val="en-US" w:eastAsia="zh-CN"/>
              </w:rPr>
            </w:pPr>
            <w:r>
              <w:rPr>
                <w:rFonts w:hint="eastAsia" w:cs="Times New Roman"/>
                <w:b/>
                <w:bCs/>
                <w:spacing w:val="0"/>
                <w:sz w:val="21"/>
                <w:szCs w:val="21"/>
                <w:highlight w:val="none"/>
                <w:lang w:val="en-US" w:eastAsia="zh-CN"/>
              </w:rPr>
              <w:t>表2.5   各组气体主要成分表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9"/>
              <w:gridCol w:w="2100"/>
              <w:gridCol w:w="2099"/>
              <w:gridCol w:w="2100"/>
            </w:tblGrid>
            <w:tr w14:paraId="1336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099" w:type="dxa"/>
                  <w:vAlign w:val="center"/>
                </w:tcPr>
                <w:p w14:paraId="2FB3FF8E">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default" w:ascii="Times New Roman" w:hAnsi="Times New Roman" w:cs="Times New Roman"/>
                      <w:b w:val="0"/>
                      <w:bCs w:val="0"/>
                      <w:spacing w:val="0"/>
                      <w:sz w:val="21"/>
                      <w:szCs w:val="21"/>
                      <w:highlight w:val="none"/>
                      <w:vertAlign w:val="baseline"/>
                      <w:lang w:val="en-US" w:eastAsia="zh-CN"/>
                    </w:rPr>
                    <w:t>名称</w:t>
                  </w:r>
                </w:p>
              </w:tc>
              <w:tc>
                <w:tcPr>
                  <w:tcW w:w="2100" w:type="dxa"/>
                  <w:vAlign w:val="center"/>
                </w:tcPr>
                <w:p w14:paraId="13333510">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default" w:ascii="Times New Roman" w:hAnsi="Times New Roman" w:cs="Times New Roman"/>
                      <w:b w:val="0"/>
                      <w:bCs w:val="0"/>
                      <w:spacing w:val="0"/>
                      <w:sz w:val="21"/>
                      <w:szCs w:val="21"/>
                      <w:highlight w:val="none"/>
                      <w:vertAlign w:val="baseline"/>
                      <w:lang w:val="en-US" w:eastAsia="zh-CN"/>
                    </w:rPr>
                    <w:t>气量Nm³/h</w:t>
                  </w:r>
                </w:p>
              </w:tc>
              <w:tc>
                <w:tcPr>
                  <w:tcW w:w="2099" w:type="dxa"/>
                  <w:vAlign w:val="center"/>
                </w:tcPr>
                <w:p w14:paraId="6297E964">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default" w:ascii="Times New Roman" w:hAnsi="Times New Roman" w:cs="Times New Roman"/>
                      <w:b w:val="0"/>
                      <w:bCs w:val="0"/>
                      <w:spacing w:val="0"/>
                      <w:sz w:val="21"/>
                      <w:szCs w:val="21"/>
                      <w:highlight w:val="none"/>
                      <w:vertAlign w:val="baseline"/>
                      <w:lang w:val="en-US" w:eastAsia="zh-CN"/>
                    </w:rPr>
                    <w:t>组分</w:t>
                  </w:r>
                </w:p>
              </w:tc>
              <w:tc>
                <w:tcPr>
                  <w:tcW w:w="2100" w:type="dxa"/>
                  <w:vAlign w:val="center"/>
                </w:tcPr>
                <w:p w14:paraId="6782C480">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default" w:ascii="Times New Roman" w:hAnsi="Times New Roman" w:cs="Times New Roman"/>
                      <w:b w:val="0"/>
                      <w:bCs w:val="0"/>
                      <w:spacing w:val="0"/>
                      <w:sz w:val="21"/>
                      <w:szCs w:val="21"/>
                      <w:highlight w:val="none"/>
                      <w:vertAlign w:val="baseline"/>
                      <w:lang w:val="en-US" w:eastAsia="zh-CN"/>
                    </w:rPr>
                    <w:t>占比（mol%）</w:t>
                  </w:r>
                </w:p>
              </w:tc>
            </w:tr>
            <w:tr w14:paraId="3688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099" w:type="dxa"/>
                  <w:vMerge w:val="restart"/>
                  <w:vAlign w:val="center"/>
                </w:tcPr>
                <w:p w14:paraId="00CD3872">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合成脱碳尾气</w:t>
                  </w:r>
                </w:p>
              </w:tc>
              <w:tc>
                <w:tcPr>
                  <w:tcW w:w="2100" w:type="dxa"/>
                  <w:vMerge w:val="restart"/>
                  <w:vAlign w:val="center"/>
                </w:tcPr>
                <w:p w14:paraId="33E74A43">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32365</w:t>
                  </w:r>
                </w:p>
              </w:tc>
              <w:tc>
                <w:tcPr>
                  <w:tcW w:w="2099" w:type="dxa"/>
                  <w:vAlign w:val="center"/>
                </w:tcPr>
                <w:p w14:paraId="622A6EBE">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CO</w:t>
                  </w:r>
                </w:p>
              </w:tc>
              <w:tc>
                <w:tcPr>
                  <w:tcW w:w="2100" w:type="dxa"/>
                  <w:vAlign w:val="center"/>
                </w:tcPr>
                <w:p w14:paraId="1E2FBCB1">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9±2</w:t>
                  </w:r>
                </w:p>
              </w:tc>
            </w:tr>
            <w:tr w14:paraId="6DD2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099" w:type="dxa"/>
                  <w:vMerge w:val="continue"/>
                  <w:vAlign w:val="center"/>
                </w:tcPr>
                <w:p w14:paraId="2DA2C787">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2C7807CE">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6E1EA7B2">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H</w:t>
                  </w:r>
                  <w:r>
                    <w:rPr>
                      <w:rFonts w:hint="default" w:ascii="Times New Roman" w:hAnsi="Times New Roman" w:eastAsia="宋体" w:cs="Times New Roman"/>
                      <w:b w:val="0"/>
                      <w:bCs w:val="0"/>
                      <w:i w:val="0"/>
                      <w:iCs w:val="0"/>
                      <w:color w:val="000000"/>
                      <w:kern w:val="0"/>
                      <w:sz w:val="21"/>
                      <w:szCs w:val="21"/>
                      <w:highlight w:val="none"/>
                      <w:u w:val="none"/>
                      <w:vertAlign w:val="subscript"/>
                      <w:lang w:val="en-US" w:eastAsia="zh-CN" w:bidi="ar"/>
                    </w:rPr>
                    <w:t>2</w:t>
                  </w:r>
                </w:p>
              </w:tc>
              <w:tc>
                <w:tcPr>
                  <w:tcW w:w="2100" w:type="dxa"/>
                  <w:vAlign w:val="center"/>
                </w:tcPr>
                <w:p w14:paraId="0D73F83C">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65±5</w:t>
                  </w:r>
                </w:p>
              </w:tc>
            </w:tr>
            <w:tr w14:paraId="1AF7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099" w:type="dxa"/>
                  <w:vMerge w:val="continue"/>
                  <w:vAlign w:val="center"/>
                </w:tcPr>
                <w:p w14:paraId="11C5ED4A">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2416491B">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1A83839F">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CO</w:t>
                  </w:r>
                  <w:r>
                    <w:rPr>
                      <w:rFonts w:hint="default" w:ascii="Times New Roman" w:hAnsi="Times New Roman" w:eastAsia="宋体" w:cs="Times New Roman"/>
                      <w:b w:val="0"/>
                      <w:bCs w:val="0"/>
                      <w:i w:val="0"/>
                      <w:iCs w:val="0"/>
                      <w:color w:val="000000"/>
                      <w:kern w:val="0"/>
                      <w:sz w:val="21"/>
                      <w:szCs w:val="21"/>
                      <w:highlight w:val="none"/>
                      <w:u w:val="none"/>
                      <w:vertAlign w:val="subscript"/>
                      <w:lang w:val="en-US" w:eastAsia="zh-CN" w:bidi="ar"/>
                    </w:rPr>
                    <w:t>2</w:t>
                  </w:r>
                </w:p>
              </w:tc>
              <w:tc>
                <w:tcPr>
                  <w:tcW w:w="2100" w:type="dxa"/>
                  <w:vAlign w:val="center"/>
                </w:tcPr>
                <w:p w14:paraId="0245E313">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&lt;2%</w:t>
                  </w:r>
                </w:p>
              </w:tc>
            </w:tr>
            <w:tr w14:paraId="6D18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099" w:type="dxa"/>
                  <w:vMerge w:val="continue"/>
                  <w:vAlign w:val="center"/>
                </w:tcPr>
                <w:p w14:paraId="79E282C4">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004E5C0C">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640F7A5A">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CH</w:t>
                  </w:r>
                  <w:r>
                    <w:rPr>
                      <w:rFonts w:hint="default" w:ascii="Times New Roman" w:hAnsi="Times New Roman" w:eastAsia="宋体" w:cs="Times New Roman"/>
                      <w:b w:val="0"/>
                      <w:bCs w:val="0"/>
                      <w:i w:val="0"/>
                      <w:iCs w:val="0"/>
                      <w:color w:val="000000"/>
                      <w:kern w:val="0"/>
                      <w:sz w:val="21"/>
                      <w:szCs w:val="21"/>
                      <w:highlight w:val="none"/>
                      <w:u w:val="none"/>
                      <w:vertAlign w:val="subscript"/>
                      <w:lang w:val="en-US" w:eastAsia="zh-CN" w:bidi="ar"/>
                    </w:rPr>
                    <w:t>4</w:t>
                  </w:r>
                </w:p>
              </w:tc>
              <w:tc>
                <w:tcPr>
                  <w:tcW w:w="2100" w:type="dxa"/>
                  <w:vAlign w:val="center"/>
                </w:tcPr>
                <w:p w14:paraId="4E8BCA40">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10±2</w:t>
                  </w:r>
                </w:p>
              </w:tc>
            </w:tr>
            <w:tr w14:paraId="36DD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099" w:type="dxa"/>
                  <w:vMerge w:val="continue"/>
                  <w:vAlign w:val="center"/>
                </w:tcPr>
                <w:p w14:paraId="6654BD40">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0C00BEF0">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1462C8D6">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N</w:t>
                  </w:r>
                  <w:r>
                    <w:rPr>
                      <w:rFonts w:hint="default" w:ascii="Times New Roman" w:hAnsi="Times New Roman" w:eastAsia="宋体" w:cs="Times New Roman"/>
                      <w:b w:val="0"/>
                      <w:bCs w:val="0"/>
                      <w:i w:val="0"/>
                      <w:iCs w:val="0"/>
                      <w:color w:val="000000"/>
                      <w:kern w:val="0"/>
                      <w:sz w:val="21"/>
                      <w:szCs w:val="21"/>
                      <w:highlight w:val="none"/>
                      <w:u w:val="none"/>
                      <w:vertAlign w:val="subscript"/>
                      <w:lang w:val="en-US" w:eastAsia="zh-CN" w:bidi="ar"/>
                    </w:rPr>
                    <w:t>2</w:t>
                  </w:r>
                </w:p>
              </w:tc>
              <w:tc>
                <w:tcPr>
                  <w:tcW w:w="2100" w:type="dxa"/>
                  <w:vAlign w:val="center"/>
                </w:tcPr>
                <w:p w14:paraId="3AEADABC">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7±2</w:t>
                  </w:r>
                </w:p>
              </w:tc>
            </w:tr>
            <w:tr w14:paraId="67E44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099" w:type="dxa"/>
                  <w:vMerge w:val="continue"/>
                  <w:vAlign w:val="center"/>
                </w:tcPr>
                <w:p w14:paraId="0769D58F">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434314A5">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0AB97613">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H</w:t>
                  </w:r>
                  <w:r>
                    <w:rPr>
                      <w:rFonts w:hint="default" w:ascii="Times New Roman" w:hAnsi="Times New Roman" w:eastAsia="宋体" w:cs="Times New Roman"/>
                      <w:b w:val="0"/>
                      <w:bCs w:val="0"/>
                      <w:i w:val="0"/>
                      <w:iCs w:val="0"/>
                      <w:color w:val="000000"/>
                      <w:kern w:val="0"/>
                      <w:sz w:val="21"/>
                      <w:szCs w:val="21"/>
                      <w:highlight w:val="none"/>
                      <w:u w:val="none"/>
                      <w:vertAlign w:val="subscript"/>
                      <w:lang w:val="en-US" w:eastAsia="zh-CN" w:bidi="ar"/>
                    </w:rPr>
                    <w:t>2</w:t>
                  </w: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S</w:t>
                  </w:r>
                </w:p>
              </w:tc>
              <w:tc>
                <w:tcPr>
                  <w:tcW w:w="2100" w:type="dxa"/>
                  <w:vAlign w:val="center"/>
                </w:tcPr>
                <w:p w14:paraId="11751311">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w:t>
                  </w:r>
                </w:p>
              </w:tc>
            </w:tr>
            <w:tr w14:paraId="1A50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099" w:type="dxa"/>
                  <w:vMerge w:val="continue"/>
                  <w:vAlign w:val="center"/>
                </w:tcPr>
                <w:p w14:paraId="4D6EDADB">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0E28969A">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28347C09">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Ar+O</w:t>
                  </w:r>
                  <w:r>
                    <w:rPr>
                      <w:rFonts w:hint="default" w:ascii="Times New Roman" w:hAnsi="Times New Roman" w:eastAsia="宋体" w:cs="Times New Roman"/>
                      <w:b w:val="0"/>
                      <w:bCs w:val="0"/>
                      <w:i w:val="0"/>
                      <w:iCs w:val="0"/>
                      <w:color w:val="000000"/>
                      <w:kern w:val="0"/>
                      <w:sz w:val="21"/>
                      <w:szCs w:val="21"/>
                      <w:highlight w:val="none"/>
                      <w:u w:val="none"/>
                      <w:vertAlign w:val="subscript"/>
                      <w:lang w:val="en-US" w:eastAsia="zh-CN" w:bidi="ar"/>
                    </w:rPr>
                    <w:t>2</w:t>
                  </w:r>
                </w:p>
              </w:tc>
              <w:tc>
                <w:tcPr>
                  <w:tcW w:w="2100" w:type="dxa"/>
                  <w:vAlign w:val="center"/>
                </w:tcPr>
                <w:p w14:paraId="3E875E21">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1.5±0.5</w:t>
                  </w:r>
                </w:p>
              </w:tc>
            </w:tr>
            <w:tr w14:paraId="1086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099" w:type="dxa"/>
                  <w:vMerge w:val="continue"/>
                  <w:vAlign w:val="center"/>
                </w:tcPr>
                <w:p w14:paraId="58A7941A">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55170FAD">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6AA641A1">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C</w:t>
                  </w:r>
                  <w:r>
                    <w:rPr>
                      <w:rFonts w:hint="default" w:ascii="Times New Roman" w:hAnsi="Times New Roman" w:eastAsia="宋体" w:cs="Times New Roman"/>
                      <w:b w:val="0"/>
                      <w:bCs w:val="0"/>
                      <w:i w:val="0"/>
                      <w:iCs w:val="0"/>
                      <w:color w:val="000000"/>
                      <w:kern w:val="0"/>
                      <w:sz w:val="21"/>
                      <w:szCs w:val="21"/>
                      <w:highlight w:val="none"/>
                      <w:u w:val="none"/>
                      <w:vertAlign w:val="subscript"/>
                      <w:lang w:val="en-US" w:eastAsia="zh-CN" w:bidi="ar"/>
                    </w:rPr>
                    <w:t>2</w:t>
                  </w: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H</w:t>
                  </w:r>
                  <w:r>
                    <w:rPr>
                      <w:rFonts w:hint="default" w:ascii="Times New Roman" w:hAnsi="Times New Roman" w:eastAsia="宋体" w:cs="Times New Roman"/>
                      <w:b w:val="0"/>
                      <w:bCs w:val="0"/>
                      <w:i w:val="0"/>
                      <w:iCs w:val="0"/>
                      <w:color w:val="000000"/>
                      <w:kern w:val="0"/>
                      <w:sz w:val="21"/>
                      <w:szCs w:val="21"/>
                      <w:highlight w:val="none"/>
                      <w:u w:val="none"/>
                      <w:vertAlign w:val="subscript"/>
                      <w:lang w:val="en-US" w:eastAsia="zh-CN" w:bidi="ar"/>
                    </w:rPr>
                    <w:t>6</w:t>
                  </w:r>
                </w:p>
              </w:tc>
              <w:tc>
                <w:tcPr>
                  <w:tcW w:w="2100" w:type="dxa"/>
                  <w:vAlign w:val="center"/>
                </w:tcPr>
                <w:p w14:paraId="38966B87">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6±1</w:t>
                  </w:r>
                </w:p>
              </w:tc>
            </w:tr>
            <w:tr w14:paraId="59E0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restart"/>
                  <w:vAlign w:val="center"/>
                </w:tcPr>
                <w:p w14:paraId="6CA6A572">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default" w:ascii="Times New Roman" w:hAnsi="Times New Roman" w:cs="Times New Roman"/>
                      <w:b w:val="0"/>
                      <w:bCs w:val="0"/>
                      <w:spacing w:val="0"/>
                      <w:sz w:val="21"/>
                      <w:szCs w:val="21"/>
                      <w:highlight w:val="none"/>
                      <w:vertAlign w:val="baseline"/>
                      <w:lang w:val="en-US" w:eastAsia="zh-CN"/>
                    </w:rPr>
                    <w:t>未变换净化气</w:t>
                  </w:r>
                </w:p>
              </w:tc>
              <w:tc>
                <w:tcPr>
                  <w:tcW w:w="2100" w:type="dxa"/>
                  <w:vMerge w:val="restart"/>
                  <w:vAlign w:val="center"/>
                </w:tcPr>
                <w:p w14:paraId="697CD405">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default" w:ascii="Times New Roman" w:hAnsi="Times New Roman" w:cs="Times New Roman"/>
                      <w:b w:val="0"/>
                      <w:bCs w:val="0"/>
                      <w:spacing w:val="0"/>
                      <w:sz w:val="21"/>
                      <w:szCs w:val="21"/>
                      <w:highlight w:val="none"/>
                      <w:vertAlign w:val="baseline"/>
                      <w:lang w:val="en-US" w:eastAsia="zh-CN"/>
                    </w:rPr>
                    <w:t>59897</w:t>
                  </w:r>
                </w:p>
              </w:tc>
              <w:tc>
                <w:tcPr>
                  <w:tcW w:w="2099" w:type="dxa"/>
                  <w:vAlign w:val="center"/>
                </w:tcPr>
                <w:p w14:paraId="1662937E">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CO</w:t>
                  </w:r>
                </w:p>
              </w:tc>
              <w:tc>
                <w:tcPr>
                  <w:tcW w:w="2100" w:type="dxa"/>
                  <w:vAlign w:val="center"/>
                </w:tcPr>
                <w:p w14:paraId="28B03ACA">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70.93%</w:t>
                  </w:r>
                </w:p>
              </w:tc>
            </w:tr>
            <w:tr w14:paraId="02EB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7071F9E9">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4B8B6931">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4AAD9E7A">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CO</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p>
              </w:tc>
              <w:tc>
                <w:tcPr>
                  <w:tcW w:w="2100" w:type="dxa"/>
                  <w:vAlign w:val="center"/>
                </w:tcPr>
                <w:p w14:paraId="27CB6DAD">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0.04%</w:t>
                  </w:r>
                </w:p>
              </w:tc>
            </w:tr>
            <w:tr w14:paraId="379E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2031EDB2">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2D801A2E">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127113E6">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N</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r>
                    <w:rPr>
                      <w:rFonts w:hint="default" w:ascii="Times New Roman" w:hAnsi="Times New Roman" w:eastAsia="宋体" w:cs="Times New Roman"/>
                      <w:i w:val="0"/>
                      <w:iCs w:val="0"/>
                      <w:color w:val="000000"/>
                      <w:kern w:val="0"/>
                      <w:sz w:val="20"/>
                      <w:szCs w:val="20"/>
                      <w:highlight w:val="none"/>
                      <w:u w:val="none"/>
                      <w:lang w:val="en-US" w:eastAsia="zh-CN" w:bidi="ar"/>
                    </w:rPr>
                    <w:t>+AR</w:t>
                  </w:r>
                </w:p>
              </w:tc>
              <w:tc>
                <w:tcPr>
                  <w:tcW w:w="2100" w:type="dxa"/>
                  <w:vAlign w:val="center"/>
                </w:tcPr>
                <w:p w14:paraId="77AE4933">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0.79%</w:t>
                  </w:r>
                </w:p>
              </w:tc>
            </w:tr>
            <w:tr w14:paraId="1247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4521A9D0">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6E4937B2">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59DDBB19">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p>
              </w:tc>
              <w:tc>
                <w:tcPr>
                  <w:tcW w:w="2100" w:type="dxa"/>
                  <w:vAlign w:val="center"/>
                </w:tcPr>
                <w:p w14:paraId="15D0281C">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28.18%</w:t>
                  </w:r>
                </w:p>
              </w:tc>
            </w:tr>
            <w:tr w14:paraId="16ED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7C73A080">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21188744">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3B18464E">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4</w:t>
                  </w:r>
                </w:p>
              </w:tc>
              <w:tc>
                <w:tcPr>
                  <w:tcW w:w="2100" w:type="dxa"/>
                  <w:vAlign w:val="center"/>
                </w:tcPr>
                <w:p w14:paraId="55AAA5B8">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0.05%</w:t>
                  </w:r>
                </w:p>
              </w:tc>
            </w:tr>
            <w:tr w14:paraId="1EC6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restart"/>
                  <w:vAlign w:val="center"/>
                </w:tcPr>
                <w:p w14:paraId="7AF0541F">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default" w:ascii="Times New Roman" w:hAnsi="Times New Roman" w:cs="Times New Roman"/>
                      <w:b w:val="0"/>
                      <w:bCs w:val="0"/>
                      <w:spacing w:val="0"/>
                      <w:sz w:val="21"/>
                      <w:szCs w:val="21"/>
                      <w:highlight w:val="none"/>
                      <w:vertAlign w:val="baseline"/>
                      <w:lang w:val="en-US" w:eastAsia="zh-CN"/>
                    </w:rPr>
                    <w:t>WRT甲烷气</w:t>
                  </w:r>
                </w:p>
              </w:tc>
              <w:tc>
                <w:tcPr>
                  <w:tcW w:w="2100" w:type="dxa"/>
                  <w:vMerge w:val="restart"/>
                  <w:vAlign w:val="center"/>
                </w:tcPr>
                <w:p w14:paraId="6A3E1364">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default" w:ascii="Times New Roman" w:hAnsi="Times New Roman" w:cs="Times New Roman"/>
                      <w:b w:val="0"/>
                      <w:bCs w:val="0"/>
                      <w:spacing w:val="0"/>
                      <w:sz w:val="21"/>
                      <w:szCs w:val="21"/>
                      <w:highlight w:val="none"/>
                      <w:vertAlign w:val="baseline"/>
                      <w:lang w:val="en-US" w:eastAsia="zh-CN"/>
                    </w:rPr>
                    <w:t>1650</w:t>
                  </w:r>
                </w:p>
              </w:tc>
              <w:tc>
                <w:tcPr>
                  <w:tcW w:w="2099" w:type="dxa"/>
                  <w:vAlign w:val="center"/>
                </w:tcPr>
                <w:p w14:paraId="3BB69589">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甲烷</w:t>
                  </w:r>
                </w:p>
              </w:tc>
              <w:tc>
                <w:tcPr>
                  <w:tcW w:w="2100" w:type="dxa"/>
                  <w:vAlign w:val="center"/>
                </w:tcPr>
                <w:p w14:paraId="246512FD">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65</w:t>
                  </w:r>
                  <w:r>
                    <w:rPr>
                      <w:rFonts w:hint="eastAsia"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-75%</w:t>
                  </w:r>
                </w:p>
              </w:tc>
            </w:tr>
            <w:tr w14:paraId="07D2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2099" w:type="dxa"/>
                  <w:vMerge w:val="continue"/>
                  <w:vAlign w:val="center"/>
                </w:tcPr>
                <w:p w14:paraId="33737EE7">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4A34B32A">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6A9501D5">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二氧化碳</w:t>
                  </w:r>
                </w:p>
              </w:tc>
              <w:tc>
                <w:tcPr>
                  <w:tcW w:w="2100" w:type="dxa"/>
                  <w:vAlign w:val="center"/>
                </w:tcPr>
                <w:p w14:paraId="38CD6E82">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24</w:t>
                  </w:r>
                  <w:r>
                    <w:rPr>
                      <w:rFonts w:hint="eastAsia"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-34%</w:t>
                  </w:r>
                </w:p>
              </w:tc>
            </w:tr>
            <w:tr w14:paraId="75DC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continue"/>
                  <w:vAlign w:val="center"/>
                </w:tcPr>
                <w:p w14:paraId="0F2A2421">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6D24408D">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44800F60">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硫化氢</w:t>
                  </w:r>
                </w:p>
              </w:tc>
              <w:tc>
                <w:tcPr>
                  <w:tcW w:w="2100" w:type="dxa"/>
                  <w:vAlign w:val="center"/>
                </w:tcPr>
                <w:p w14:paraId="584CAB3E">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&lt;200ppm</w:t>
                  </w:r>
                </w:p>
              </w:tc>
            </w:tr>
            <w:tr w14:paraId="48D0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restart"/>
                  <w:vAlign w:val="center"/>
                </w:tcPr>
                <w:p w14:paraId="2D6F3E1B">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eastAsia" w:cs="Times New Roman"/>
                      <w:b w:val="0"/>
                      <w:bCs w:val="0"/>
                      <w:spacing w:val="0"/>
                      <w:sz w:val="21"/>
                      <w:szCs w:val="21"/>
                      <w:highlight w:val="none"/>
                      <w:vertAlign w:val="baseline"/>
                      <w:lang w:val="en-US" w:eastAsia="zh-CN"/>
                    </w:rPr>
                    <w:t>甲烷气</w:t>
                  </w:r>
                </w:p>
              </w:tc>
              <w:tc>
                <w:tcPr>
                  <w:tcW w:w="2100" w:type="dxa"/>
                  <w:vMerge w:val="restart"/>
                  <w:vAlign w:val="center"/>
                </w:tcPr>
                <w:p w14:paraId="32744C10">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eastAsia" w:ascii="Times New Roman" w:hAnsi="Times New Roman" w:cs="Times New Roman"/>
                      <w:b w:val="0"/>
                      <w:bCs w:val="0"/>
                      <w:spacing w:val="0"/>
                      <w:sz w:val="21"/>
                      <w:szCs w:val="21"/>
                      <w:highlight w:val="none"/>
                      <w:vertAlign w:val="baseline"/>
                      <w:lang w:val="en-US" w:eastAsia="zh-CN"/>
                    </w:rPr>
                    <w:t>1000</w:t>
                  </w:r>
                </w:p>
              </w:tc>
              <w:tc>
                <w:tcPr>
                  <w:tcW w:w="2099" w:type="dxa"/>
                  <w:vAlign w:val="center"/>
                </w:tcPr>
                <w:p w14:paraId="2DF04CA2">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r>
                    <w:rPr>
                      <w:rFonts w:hint="eastAsia"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w:t>
                  </w:r>
                  <w:r>
                    <w:rPr>
                      <w:rFonts w:hint="eastAsia" w:cs="Times New Roman"/>
                      <w:i w:val="0"/>
                      <w:iCs w:val="0"/>
                      <w:color w:val="000000"/>
                      <w:kern w:val="0"/>
                      <w:sz w:val="20"/>
                      <w:szCs w:val="20"/>
                      <w:highlight w:val="none"/>
                      <w:u w:val="none"/>
                      <w:lang w:val="en-US" w:eastAsia="zh-CN" w:bidi="ar"/>
                    </w:rPr>
                    <w:t>）</w:t>
                  </w:r>
                </w:p>
              </w:tc>
              <w:tc>
                <w:tcPr>
                  <w:tcW w:w="2100" w:type="dxa"/>
                  <w:vAlign w:val="center"/>
                </w:tcPr>
                <w:p w14:paraId="5CF08E76">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0.01</w:t>
                  </w:r>
                </w:p>
              </w:tc>
            </w:tr>
            <w:tr w14:paraId="48B5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56E97A3B">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63691EEB">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38E91DD8">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N</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r>
                    <w:rPr>
                      <w:rFonts w:hint="eastAsia"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w:t>
                  </w:r>
                  <w:r>
                    <w:rPr>
                      <w:rFonts w:hint="eastAsia" w:cs="Times New Roman"/>
                      <w:i w:val="0"/>
                      <w:iCs w:val="0"/>
                      <w:color w:val="000000"/>
                      <w:kern w:val="0"/>
                      <w:sz w:val="20"/>
                      <w:szCs w:val="20"/>
                      <w:highlight w:val="none"/>
                      <w:u w:val="none"/>
                      <w:lang w:val="en-US" w:eastAsia="zh-CN" w:bidi="ar"/>
                    </w:rPr>
                    <w:t>）</w:t>
                  </w:r>
                </w:p>
              </w:tc>
              <w:tc>
                <w:tcPr>
                  <w:tcW w:w="2100" w:type="dxa"/>
                  <w:vAlign w:val="center"/>
                </w:tcPr>
                <w:p w14:paraId="40CAC82B">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0.21-0.36</w:t>
                  </w:r>
                </w:p>
              </w:tc>
            </w:tr>
            <w:tr w14:paraId="3921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2DD936B4">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4346DB65">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35D4CAAC">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O</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r>
                    <w:rPr>
                      <w:rFonts w:hint="eastAsia"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w:t>
                  </w:r>
                  <w:r>
                    <w:rPr>
                      <w:rFonts w:hint="eastAsia" w:cs="Times New Roman"/>
                      <w:i w:val="0"/>
                      <w:iCs w:val="0"/>
                      <w:color w:val="000000"/>
                      <w:kern w:val="0"/>
                      <w:sz w:val="20"/>
                      <w:szCs w:val="20"/>
                      <w:highlight w:val="none"/>
                      <w:u w:val="none"/>
                      <w:lang w:val="en-US" w:eastAsia="zh-CN" w:bidi="ar"/>
                    </w:rPr>
                    <w:t>）</w:t>
                  </w:r>
                </w:p>
              </w:tc>
              <w:tc>
                <w:tcPr>
                  <w:tcW w:w="2100" w:type="dxa"/>
                  <w:vAlign w:val="center"/>
                </w:tcPr>
                <w:p w14:paraId="2E5494B1">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0.03-0.13</w:t>
                  </w:r>
                </w:p>
              </w:tc>
            </w:tr>
            <w:tr w14:paraId="758A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511B656B">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51D88185">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3176CE61">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CO</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r>
                    <w:rPr>
                      <w:rFonts w:hint="eastAsia"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w:t>
                  </w:r>
                  <w:r>
                    <w:rPr>
                      <w:rFonts w:hint="eastAsia" w:cs="Times New Roman"/>
                      <w:i w:val="0"/>
                      <w:iCs w:val="0"/>
                      <w:color w:val="000000"/>
                      <w:kern w:val="0"/>
                      <w:sz w:val="20"/>
                      <w:szCs w:val="20"/>
                      <w:highlight w:val="none"/>
                      <w:u w:val="none"/>
                      <w:lang w:val="en-US" w:eastAsia="zh-CN" w:bidi="ar"/>
                    </w:rPr>
                    <w:t>）</w:t>
                  </w:r>
                </w:p>
              </w:tc>
              <w:tc>
                <w:tcPr>
                  <w:tcW w:w="2100" w:type="dxa"/>
                  <w:vAlign w:val="center"/>
                </w:tcPr>
                <w:p w14:paraId="6FD7A68F">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28.34-32.85</w:t>
                  </w:r>
                </w:p>
              </w:tc>
            </w:tr>
            <w:tr w14:paraId="0B91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1E14EC97">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6441E873">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0A94F69C">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4</w:t>
                  </w:r>
                  <w:r>
                    <w:rPr>
                      <w:rFonts w:hint="eastAsia"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w:t>
                  </w:r>
                  <w:r>
                    <w:rPr>
                      <w:rFonts w:hint="eastAsia" w:cs="Times New Roman"/>
                      <w:i w:val="0"/>
                      <w:iCs w:val="0"/>
                      <w:color w:val="000000"/>
                      <w:kern w:val="0"/>
                      <w:sz w:val="20"/>
                      <w:szCs w:val="20"/>
                      <w:highlight w:val="none"/>
                      <w:u w:val="none"/>
                      <w:lang w:val="en-US" w:eastAsia="zh-CN" w:bidi="ar"/>
                    </w:rPr>
                    <w:t>）</w:t>
                  </w:r>
                </w:p>
              </w:tc>
              <w:tc>
                <w:tcPr>
                  <w:tcW w:w="2100" w:type="dxa"/>
                  <w:vAlign w:val="center"/>
                </w:tcPr>
                <w:p w14:paraId="55EEEB16">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67.51-71.41</w:t>
                  </w:r>
                </w:p>
              </w:tc>
            </w:tr>
            <w:tr w14:paraId="543A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2C7A8FAF">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6CC5BCD3">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25976023">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r>
                    <w:rPr>
                      <w:rFonts w:hint="default" w:ascii="Times New Roman" w:hAnsi="Times New Roman" w:eastAsia="宋体" w:cs="Times New Roman"/>
                      <w:i w:val="0"/>
                      <w:iCs w:val="0"/>
                      <w:color w:val="000000"/>
                      <w:kern w:val="0"/>
                      <w:sz w:val="20"/>
                      <w:szCs w:val="20"/>
                      <w:highlight w:val="none"/>
                      <w:u w:val="none"/>
                      <w:lang w:val="en-US" w:eastAsia="zh-CN" w:bidi="ar"/>
                    </w:rPr>
                    <w:t>S</w:t>
                  </w:r>
                  <w:r>
                    <w:rPr>
                      <w:rFonts w:hint="eastAsia"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w:t>
                  </w:r>
                  <w:r>
                    <w:rPr>
                      <w:rFonts w:hint="eastAsia" w:cs="Times New Roman"/>
                      <w:i w:val="0"/>
                      <w:iCs w:val="0"/>
                      <w:color w:val="000000"/>
                      <w:kern w:val="0"/>
                      <w:sz w:val="20"/>
                      <w:szCs w:val="20"/>
                      <w:highlight w:val="none"/>
                      <w:u w:val="none"/>
                      <w:lang w:val="en-US" w:eastAsia="zh-CN" w:bidi="ar"/>
                    </w:rPr>
                    <w:t>）</w:t>
                  </w:r>
                </w:p>
              </w:tc>
              <w:tc>
                <w:tcPr>
                  <w:tcW w:w="2100" w:type="dxa"/>
                  <w:vAlign w:val="center"/>
                </w:tcPr>
                <w:p w14:paraId="3718A759">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0.01-0.2</w:t>
                  </w:r>
                </w:p>
              </w:tc>
            </w:tr>
            <w:tr w14:paraId="5311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restart"/>
                  <w:vAlign w:val="center"/>
                </w:tcPr>
                <w:p w14:paraId="27C75A4E">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default" w:ascii="Times New Roman" w:hAnsi="Times New Roman" w:cs="Times New Roman"/>
                      <w:b w:val="0"/>
                      <w:bCs w:val="0"/>
                      <w:spacing w:val="0"/>
                      <w:sz w:val="21"/>
                      <w:szCs w:val="21"/>
                      <w:highlight w:val="none"/>
                      <w:vertAlign w:val="baseline"/>
                      <w:lang w:val="en-US" w:eastAsia="zh-CN"/>
                    </w:rPr>
                    <w:t>低压含烃火炬气工况</w:t>
                  </w:r>
                </w:p>
              </w:tc>
              <w:tc>
                <w:tcPr>
                  <w:tcW w:w="2100" w:type="dxa"/>
                  <w:vMerge w:val="restart"/>
                  <w:vAlign w:val="center"/>
                </w:tcPr>
                <w:p w14:paraId="69215DAE">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eastAsia" w:ascii="Times New Roman" w:hAnsi="Times New Roman" w:cs="Times New Roman"/>
                      <w:b w:val="0"/>
                      <w:bCs w:val="0"/>
                      <w:spacing w:val="0"/>
                      <w:sz w:val="21"/>
                      <w:szCs w:val="21"/>
                      <w:highlight w:val="none"/>
                      <w:vertAlign w:val="baseline"/>
                      <w:lang w:val="en-US" w:eastAsia="zh-CN"/>
                    </w:rPr>
                    <w:t>36237</w:t>
                  </w:r>
                </w:p>
              </w:tc>
              <w:tc>
                <w:tcPr>
                  <w:tcW w:w="2099" w:type="dxa"/>
                  <w:vAlign w:val="center"/>
                </w:tcPr>
                <w:p w14:paraId="01F78BC9">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乙醇</w:t>
                  </w:r>
                </w:p>
              </w:tc>
              <w:tc>
                <w:tcPr>
                  <w:tcW w:w="2100" w:type="dxa"/>
                  <w:vAlign w:val="center"/>
                </w:tcPr>
                <w:p w14:paraId="5D1D7343">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9.34</w:t>
                  </w:r>
                </w:p>
              </w:tc>
            </w:tr>
            <w:tr w14:paraId="5595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continue"/>
                  <w:vAlign w:val="center"/>
                </w:tcPr>
                <w:p w14:paraId="70745F53">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6F0C072C">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262DC805">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丁醇</w:t>
                  </w:r>
                </w:p>
              </w:tc>
              <w:tc>
                <w:tcPr>
                  <w:tcW w:w="2100" w:type="dxa"/>
                  <w:vAlign w:val="center"/>
                </w:tcPr>
                <w:p w14:paraId="450B2E6D">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0.1</w:t>
                  </w:r>
                </w:p>
              </w:tc>
            </w:tr>
            <w:tr w14:paraId="60E9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continue"/>
                  <w:vAlign w:val="center"/>
                </w:tcPr>
                <w:p w14:paraId="57B9741B">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463D061E">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1C2A65EF">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二氧化碳</w:t>
                  </w:r>
                </w:p>
              </w:tc>
              <w:tc>
                <w:tcPr>
                  <w:tcW w:w="2100" w:type="dxa"/>
                  <w:vAlign w:val="center"/>
                </w:tcPr>
                <w:p w14:paraId="4345DBCF">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8.55</w:t>
                  </w:r>
                </w:p>
              </w:tc>
            </w:tr>
            <w:tr w14:paraId="596B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continue"/>
                  <w:vAlign w:val="center"/>
                </w:tcPr>
                <w:p w14:paraId="40E42FB8">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182FA778">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00F42E3F">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乙酸乙酯</w:t>
                  </w:r>
                </w:p>
              </w:tc>
              <w:tc>
                <w:tcPr>
                  <w:tcW w:w="2100" w:type="dxa"/>
                  <w:vAlign w:val="center"/>
                </w:tcPr>
                <w:p w14:paraId="56F3EC75">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0.82</w:t>
                  </w:r>
                </w:p>
              </w:tc>
            </w:tr>
            <w:tr w14:paraId="023F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continue"/>
                  <w:vAlign w:val="center"/>
                </w:tcPr>
                <w:p w14:paraId="5D58410F">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270855A8">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0ED60889">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w:t>
                  </w:r>
                </w:p>
              </w:tc>
              <w:tc>
                <w:tcPr>
                  <w:tcW w:w="2100" w:type="dxa"/>
                  <w:vAlign w:val="center"/>
                </w:tcPr>
                <w:p w14:paraId="614A0DCF">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81.19</w:t>
                  </w:r>
                </w:p>
              </w:tc>
            </w:tr>
            <w:tr w14:paraId="2C0D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restart"/>
                  <w:vAlign w:val="center"/>
                </w:tcPr>
                <w:p w14:paraId="5C940393">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default" w:ascii="Times New Roman" w:hAnsi="Times New Roman" w:cs="Times New Roman"/>
                      <w:b w:val="0"/>
                      <w:bCs w:val="0"/>
                      <w:spacing w:val="0"/>
                      <w:sz w:val="21"/>
                      <w:szCs w:val="21"/>
                      <w:highlight w:val="none"/>
                      <w:vertAlign w:val="baseline"/>
                      <w:lang w:val="en-US" w:eastAsia="zh-CN"/>
                    </w:rPr>
                    <w:t>湿酸火炬气1</w:t>
                  </w:r>
                </w:p>
              </w:tc>
              <w:tc>
                <w:tcPr>
                  <w:tcW w:w="2100" w:type="dxa"/>
                  <w:vMerge w:val="restart"/>
                  <w:vAlign w:val="center"/>
                </w:tcPr>
                <w:p w14:paraId="31D754DB">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eastAsia" w:ascii="Times New Roman" w:hAnsi="Times New Roman" w:cs="Times New Roman"/>
                      <w:b w:val="0"/>
                      <w:bCs w:val="0"/>
                      <w:spacing w:val="0"/>
                      <w:sz w:val="21"/>
                      <w:szCs w:val="21"/>
                      <w:highlight w:val="none"/>
                      <w:vertAlign w:val="baseline"/>
                      <w:lang w:val="en-US" w:eastAsia="zh-CN"/>
                    </w:rPr>
                    <w:t>2500</w:t>
                  </w:r>
                  <w:r>
                    <w:rPr>
                      <w:rFonts w:hint="eastAsia" w:cs="Times New Roman"/>
                      <w:b w:val="0"/>
                      <w:bCs w:val="0"/>
                      <w:spacing w:val="0"/>
                      <w:sz w:val="21"/>
                      <w:szCs w:val="21"/>
                      <w:highlight w:val="none"/>
                      <w:vertAlign w:val="baseline"/>
                      <w:lang w:val="en-US" w:eastAsia="zh-CN"/>
                    </w:rPr>
                    <w:t>0</w:t>
                  </w:r>
                </w:p>
              </w:tc>
              <w:tc>
                <w:tcPr>
                  <w:tcW w:w="2099" w:type="dxa"/>
                  <w:vAlign w:val="center"/>
                </w:tcPr>
                <w:p w14:paraId="7BB6FC45">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CO</w:t>
                  </w:r>
                </w:p>
              </w:tc>
              <w:tc>
                <w:tcPr>
                  <w:tcW w:w="2100" w:type="dxa"/>
                  <w:vAlign w:val="center"/>
                </w:tcPr>
                <w:p w14:paraId="4A467BF1">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70.93%</w:t>
                  </w:r>
                </w:p>
              </w:tc>
            </w:tr>
            <w:tr w14:paraId="59AC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713CA847">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2556E2BB">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64F63509">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CO</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p>
              </w:tc>
              <w:tc>
                <w:tcPr>
                  <w:tcW w:w="2100" w:type="dxa"/>
                  <w:vAlign w:val="center"/>
                </w:tcPr>
                <w:p w14:paraId="7D351A93">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0.04%</w:t>
                  </w:r>
                </w:p>
              </w:tc>
            </w:tr>
            <w:tr w14:paraId="7B63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0BA03B4B">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4B948D67">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05DA3FD3">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N</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r>
                    <w:rPr>
                      <w:rFonts w:hint="default" w:ascii="Times New Roman" w:hAnsi="Times New Roman" w:eastAsia="宋体" w:cs="Times New Roman"/>
                      <w:i w:val="0"/>
                      <w:iCs w:val="0"/>
                      <w:color w:val="000000"/>
                      <w:kern w:val="0"/>
                      <w:sz w:val="20"/>
                      <w:szCs w:val="20"/>
                      <w:highlight w:val="none"/>
                      <w:u w:val="none"/>
                      <w:lang w:val="en-US" w:eastAsia="zh-CN" w:bidi="ar"/>
                    </w:rPr>
                    <w:t>+AR</w:t>
                  </w:r>
                </w:p>
              </w:tc>
              <w:tc>
                <w:tcPr>
                  <w:tcW w:w="2100" w:type="dxa"/>
                  <w:vAlign w:val="center"/>
                </w:tcPr>
                <w:p w14:paraId="3C168FC2">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0.79%</w:t>
                  </w:r>
                </w:p>
              </w:tc>
            </w:tr>
            <w:tr w14:paraId="4415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56F4B50D">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30BCEFE6">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647230A1">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p>
              </w:tc>
              <w:tc>
                <w:tcPr>
                  <w:tcW w:w="2100" w:type="dxa"/>
                  <w:vAlign w:val="center"/>
                </w:tcPr>
                <w:p w14:paraId="415C5667">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28.18%</w:t>
                  </w:r>
                </w:p>
              </w:tc>
            </w:tr>
            <w:tr w14:paraId="291A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7635FC74">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5DBA56DF">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73982383">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4</w:t>
                  </w:r>
                </w:p>
              </w:tc>
              <w:tc>
                <w:tcPr>
                  <w:tcW w:w="2100" w:type="dxa"/>
                  <w:vAlign w:val="center"/>
                </w:tcPr>
                <w:p w14:paraId="704049B7">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0.05%</w:t>
                  </w:r>
                </w:p>
              </w:tc>
            </w:tr>
            <w:tr w14:paraId="6ECF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0E34C0F1">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6B78B741">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0F243A96">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r>
                    <w:rPr>
                      <w:rFonts w:hint="default" w:ascii="Times New Roman" w:hAnsi="Times New Roman" w:eastAsia="宋体" w:cs="Times New Roman"/>
                      <w:i w:val="0"/>
                      <w:iCs w:val="0"/>
                      <w:color w:val="000000"/>
                      <w:kern w:val="0"/>
                      <w:sz w:val="20"/>
                      <w:szCs w:val="20"/>
                      <w:highlight w:val="none"/>
                      <w:u w:val="none"/>
                      <w:lang w:val="en-US" w:eastAsia="zh-CN" w:bidi="ar"/>
                    </w:rPr>
                    <w:t>S</w:t>
                  </w:r>
                </w:p>
              </w:tc>
              <w:tc>
                <w:tcPr>
                  <w:tcW w:w="2100" w:type="dxa"/>
                  <w:vAlign w:val="center"/>
                </w:tcPr>
                <w:p w14:paraId="7498606F">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1500ppm</w:t>
                  </w:r>
                </w:p>
              </w:tc>
            </w:tr>
            <w:tr w14:paraId="7B3B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restart"/>
                  <w:vAlign w:val="center"/>
                </w:tcPr>
                <w:p w14:paraId="00B94649">
                  <w:pPr>
                    <w:keepNext w:val="0"/>
                    <w:keepLines w:val="0"/>
                    <w:pageBreakBefore w:val="0"/>
                    <w:kinsoku/>
                    <w:wordWrap w:val="0"/>
                    <w:overflowPunct/>
                    <w:topLinePunct w:val="0"/>
                    <w:autoSpaceDE/>
                    <w:autoSpaceDN/>
                    <w:bidi w:val="0"/>
                    <w:adjustRightInd/>
                    <w:snapToGrid/>
                    <w:spacing w:line="360" w:lineRule="auto"/>
                    <w:jc w:val="center"/>
                    <w:rPr>
                      <w:rFonts w:hint="eastAsia" w:ascii="Times New Roman" w:hAnsi="Times New Roman" w:eastAsia="宋体" w:cs="Times New Roman"/>
                      <w:b w:val="0"/>
                      <w:bCs w:val="0"/>
                      <w:spacing w:val="0"/>
                      <w:sz w:val="21"/>
                      <w:szCs w:val="21"/>
                      <w:highlight w:val="none"/>
                      <w:vertAlign w:val="baseline"/>
                      <w:lang w:val="en-US" w:eastAsia="zh-CN"/>
                    </w:rPr>
                  </w:pPr>
                  <w:r>
                    <w:rPr>
                      <w:rFonts w:hint="default" w:ascii="Times New Roman" w:hAnsi="Times New Roman" w:cs="Times New Roman"/>
                      <w:b w:val="0"/>
                      <w:bCs w:val="0"/>
                      <w:spacing w:val="0"/>
                      <w:sz w:val="21"/>
                      <w:szCs w:val="21"/>
                      <w:highlight w:val="none"/>
                      <w:vertAlign w:val="baseline"/>
                      <w:lang w:val="en-US" w:eastAsia="zh-CN"/>
                    </w:rPr>
                    <w:t>酸性气</w:t>
                  </w:r>
                  <w:r>
                    <w:rPr>
                      <w:rFonts w:hint="eastAsia" w:cs="Times New Roman"/>
                      <w:b w:val="0"/>
                      <w:bCs w:val="0"/>
                      <w:spacing w:val="0"/>
                      <w:sz w:val="21"/>
                      <w:szCs w:val="21"/>
                      <w:highlight w:val="none"/>
                      <w:vertAlign w:val="baseline"/>
                      <w:lang w:val="en-US" w:eastAsia="zh-CN"/>
                    </w:rPr>
                    <w:t>体</w:t>
                  </w:r>
                </w:p>
              </w:tc>
              <w:tc>
                <w:tcPr>
                  <w:tcW w:w="2100" w:type="dxa"/>
                  <w:vMerge w:val="restart"/>
                  <w:vAlign w:val="center"/>
                </w:tcPr>
                <w:p w14:paraId="1DB3CA06">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eastAsia" w:ascii="Times New Roman" w:hAnsi="Times New Roman" w:cs="Times New Roman"/>
                      <w:b w:val="0"/>
                      <w:bCs w:val="0"/>
                      <w:spacing w:val="0"/>
                      <w:sz w:val="21"/>
                      <w:szCs w:val="21"/>
                      <w:highlight w:val="none"/>
                      <w:vertAlign w:val="baseline"/>
                      <w:lang w:val="en-US" w:eastAsia="zh-CN"/>
                    </w:rPr>
                    <w:t>1500</w:t>
                  </w:r>
                </w:p>
              </w:tc>
              <w:tc>
                <w:tcPr>
                  <w:tcW w:w="2099" w:type="dxa"/>
                  <w:vAlign w:val="center"/>
                </w:tcPr>
                <w:p w14:paraId="156D4AEF">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w:t>
                  </w:r>
                </w:p>
              </w:tc>
              <w:tc>
                <w:tcPr>
                  <w:tcW w:w="2100" w:type="dxa"/>
                  <w:vAlign w:val="center"/>
                </w:tcPr>
                <w:p w14:paraId="6AC54E5F">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3.43</w:t>
                  </w:r>
                </w:p>
              </w:tc>
            </w:tr>
            <w:tr w14:paraId="02B4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65024BA8">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01664E54">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4E73C180">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CO</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p>
              </w:tc>
              <w:tc>
                <w:tcPr>
                  <w:tcW w:w="2100" w:type="dxa"/>
                  <w:vAlign w:val="center"/>
                </w:tcPr>
                <w:p w14:paraId="0EF5DB68">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95</w:t>
                  </w:r>
                </w:p>
              </w:tc>
            </w:tr>
            <w:tr w14:paraId="27FB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193E50B4">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7E413B28">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2FDC0057">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r>
                    <w:rPr>
                      <w:rFonts w:hint="default" w:ascii="Times New Roman" w:hAnsi="Times New Roman" w:eastAsia="宋体" w:cs="Times New Roman"/>
                      <w:i w:val="0"/>
                      <w:iCs w:val="0"/>
                      <w:color w:val="000000"/>
                      <w:kern w:val="0"/>
                      <w:sz w:val="20"/>
                      <w:szCs w:val="20"/>
                      <w:highlight w:val="none"/>
                      <w:u w:val="none"/>
                      <w:lang w:val="en-US" w:eastAsia="zh-CN" w:bidi="ar"/>
                    </w:rPr>
                    <w:t>S</w:t>
                  </w:r>
                </w:p>
              </w:tc>
              <w:tc>
                <w:tcPr>
                  <w:tcW w:w="2100" w:type="dxa"/>
                  <w:vAlign w:val="center"/>
                </w:tcPr>
                <w:p w14:paraId="3A1C133C">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1.36</w:t>
                  </w:r>
                </w:p>
              </w:tc>
            </w:tr>
            <w:tr w14:paraId="4A0C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54B7A843">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02708D0E">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3E7CE3D5">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p>
              </w:tc>
              <w:tc>
                <w:tcPr>
                  <w:tcW w:w="2100" w:type="dxa"/>
                  <w:vAlign w:val="center"/>
                </w:tcPr>
                <w:p w14:paraId="75682279">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0.08</w:t>
                  </w:r>
                </w:p>
              </w:tc>
            </w:tr>
            <w:tr w14:paraId="709F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14946012">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7DCC8FB0">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312165FC">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4</w:t>
                  </w:r>
                </w:p>
              </w:tc>
              <w:tc>
                <w:tcPr>
                  <w:tcW w:w="2100" w:type="dxa"/>
                  <w:vAlign w:val="center"/>
                </w:tcPr>
                <w:p w14:paraId="7F61FA19">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0.1</w:t>
                  </w:r>
                </w:p>
              </w:tc>
            </w:tr>
            <w:tr w14:paraId="1D8A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7B9E5FC0">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10F6D25E">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00C2CA45">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N</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p>
              </w:tc>
              <w:tc>
                <w:tcPr>
                  <w:tcW w:w="2100" w:type="dxa"/>
                  <w:vAlign w:val="center"/>
                </w:tcPr>
                <w:p w14:paraId="02C8CF4C">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0.03</w:t>
                  </w:r>
                </w:p>
              </w:tc>
            </w:tr>
            <w:tr w14:paraId="0665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restart"/>
                  <w:vAlign w:val="center"/>
                </w:tcPr>
                <w:p w14:paraId="19160801">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eastAsia" w:ascii="Times New Roman" w:hAnsi="Times New Roman" w:cs="Times New Roman"/>
                      <w:b w:val="0"/>
                      <w:bCs w:val="0"/>
                      <w:spacing w:val="0"/>
                      <w:sz w:val="21"/>
                      <w:szCs w:val="21"/>
                      <w:highlight w:val="none"/>
                      <w:vertAlign w:val="baseline"/>
                      <w:lang w:val="en-US" w:eastAsia="zh-CN"/>
                    </w:rPr>
                    <w:t>尾气</w:t>
                  </w:r>
                </w:p>
              </w:tc>
              <w:tc>
                <w:tcPr>
                  <w:tcW w:w="2100" w:type="dxa"/>
                  <w:vMerge w:val="restart"/>
                  <w:vAlign w:val="center"/>
                </w:tcPr>
                <w:p w14:paraId="31ABBED7">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eastAsia" w:ascii="Times New Roman" w:hAnsi="Times New Roman" w:cs="Times New Roman"/>
                      <w:b w:val="0"/>
                      <w:bCs w:val="0"/>
                      <w:spacing w:val="0"/>
                      <w:sz w:val="21"/>
                      <w:szCs w:val="21"/>
                      <w:highlight w:val="none"/>
                      <w:vertAlign w:val="baseline"/>
                      <w:lang w:val="en-US" w:eastAsia="zh-CN"/>
                    </w:rPr>
                    <w:t>14324</w:t>
                  </w:r>
                </w:p>
              </w:tc>
              <w:tc>
                <w:tcPr>
                  <w:tcW w:w="2099" w:type="dxa"/>
                  <w:vAlign w:val="center"/>
                </w:tcPr>
                <w:p w14:paraId="130A975E">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CO</w:t>
                  </w:r>
                </w:p>
              </w:tc>
              <w:tc>
                <w:tcPr>
                  <w:tcW w:w="2100" w:type="dxa"/>
                  <w:vAlign w:val="center"/>
                </w:tcPr>
                <w:p w14:paraId="7CB6F027">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0.00%</w:t>
                  </w:r>
                </w:p>
              </w:tc>
            </w:tr>
            <w:tr w14:paraId="309C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16788E18">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2E774393">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4A20F57F">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CO</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p>
              </w:tc>
              <w:tc>
                <w:tcPr>
                  <w:tcW w:w="2100" w:type="dxa"/>
                  <w:vAlign w:val="center"/>
                </w:tcPr>
                <w:p w14:paraId="4F2E8887">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20.83%</w:t>
                  </w:r>
                </w:p>
              </w:tc>
            </w:tr>
            <w:tr w14:paraId="0E1C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20211FFE">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4069EA81">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7354AE4D">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N2</w:t>
                  </w:r>
                </w:p>
              </w:tc>
              <w:tc>
                <w:tcPr>
                  <w:tcW w:w="2100" w:type="dxa"/>
                  <w:vAlign w:val="center"/>
                </w:tcPr>
                <w:p w14:paraId="763C67FE">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17.34%</w:t>
                  </w:r>
                </w:p>
              </w:tc>
            </w:tr>
            <w:tr w14:paraId="1BEA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31DF1CE2">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378F27B9">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5D83FF80">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AR</w:t>
                  </w:r>
                </w:p>
              </w:tc>
              <w:tc>
                <w:tcPr>
                  <w:tcW w:w="2100" w:type="dxa"/>
                  <w:vAlign w:val="center"/>
                </w:tcPr>
                <w:p w14:paraId="048A0DEE">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2.62%</w:t>
                  </w:r>
                </w:p>
              </w:tc>
            </w:tr>
            <w:tr w14:paraId="7FE6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60432146">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4B2928A0">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42988809">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WATER</w:t>
                  </w:r>
                </w:p>
              </w:tc>
              <w:tc>
                <w:tcPr>
                  <w:tcW w:w="2100" w:type="dxa"/>
                  <w:vAlign w:val="center"/>
                </w:tcPr>
                <w:p w14:paraId="7AF10521">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0.00%</w:t>
                  </w:r>
                </w:p>
              </w:tc>
            </w:tr>
            <w:tr w14:paraId="5E7C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54FC7C77">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72E2604D">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71B94628">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p>
              </w:tc>
              <w:tc>
                <w:tcPr>
                  <w:tcW w:w="2100" w:type="dxa"/>
                  <w:vAlign w:val="center"/>
                </w:tcPr>
                <w:p w14:paraId="27A6BD86">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35.52%</w:t>
                  </w:r>
                </w:p>
              </w:tc>
            </w:tr>
            <w:tr w14:paraId="3DC4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3A0D7ABB">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2F584652">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15818DD6">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ETHANOL</w:t>
                  </w:r>
                </w:p>
              </w:tc>
              <w:tc>
                <w:tcPr>
                  <w:tcW w:w="2100" w:type="dxa"/>
                  <w:vAlign w:val="center"/>
                </w:tcPr>
                <w:p w14:paraId="0BB6FF6C">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0.00%</w:t>
                  </w:r>
                </w:p>
              </w:tc>
            </w:tr>
            <w:tr w14:paraId="510D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1678C1A8">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76D976D6">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02141AEE">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4</w:t>
                  </w:r>
                </w:p>
              </w:tc>
              <w:tc>
                <w:tcPr>
                  <w:tcW w:w="2100" w:type="dxa"/>
                  <w:vAlign w:val="center"/>
                </w:tcPr>
                <w:p w14:paraId="0EA0BC71">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23.69%</w:t>
                  </w:r>
                </w:p>
              </w:tc>
            </w:tr>
            <w:tr w14:paraId="6ABB4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restart"/>
                  <w:vAlign w:val="center"/>
                </w:tcPr>
                <w:p w14:paraId="0C81B881">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eastAsia" w:ascii="Times New Roman" w:hAnsi="Times New Roman" w:cs="Times New Roman"/>
                      <w:b w:val="0"/>
                      <w:bCs w:val="0"/>
                      <w:spacing w:val="0"/>
                      <w:sz w:val="21"/>
                      <w:szCs w:val="21"/>
                      <w:highlight w:val="none"/>
                      <w:vertAlign w:val="baseline"/>
                      <w:lang w:val="en-US" w:eastAsia="zh-CN"/>
                    </w:rPr>
                    <w:t>富甲烷气</w:t>
                  </w:r>
                </w:p>
              </w:tc>
              <w:tc>
                <w:tcPr>
                  <w:tcW w:w="2100" w:type="dxa"/>
                  <w:vMerge w:val="restart"/>
                  <w:vAlign w:val="center"/>
                </w:tcPr>
                <w:p w14:paraId="435BC925">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eastAsia" w:ascii="Times New Roman" w:hAnsi="Times New Roman" w:cs="Times New Roman"/>
                      <w:b w:val="0"/>
                      <w:bCs w:val="0"/>
                      <w:spacing w:val="0"/>
                      <w:sz w:val="21"/>
                      <w:szCs w:val="21"/>
                      <w:highlight w:val="none"/>
                      <w:vertAlign w:val="baseline"/>
                      <w:lang w:val="en-US" w:eastAsia="zh-CN"/>
                    </w:rPr>
                    <w:t>3000</w:t>
                  </w:r>
                  <w:r>
                    <w:rPr>
                      <w:rFonts w:hint="eastAsia" w:cs="Times New Roman"/>
                      <w:b w:val="0"/>
                      <w:bCs w:val="0"/>
                      <w:spacing w:val="0"/>
                      <w:sz w:val="21"/>
                      <w:szCs w:val="21"/>
                      <w:highlight w:val="none"/>
                      <w:vertAlign w:val="baseline"/>
                      <w:lang w:val="en-US" w:eastAsia="zh-CN"/>
                    </w:rPr>
                    <w:t>0</w:t>
                  </w:r>
                </w:p>
              </w:tc>
              <w:tc>
                <w:tcPr>
                  <w:tcW w:w="2099" w:type="dxa"/>
                  <w:vAlign w:val="center"/>
                </w:tcPr>
                <w:p w14:paraId="5A78319D">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r>
                    <w:rPr>
                      <w:rFonts w:hint="default" w:ascii="Times New Roman" w:hAnsi="Times New Roman" w:eastAsia="宋体" w:cs="Times New Roman"/>
                      <w:i w:val="0"/>
                      <w:iCs w:val="0"/>
                      <w:color w:val="000000"/>
                      <w:kern w:val="0"/>
                      <w:sz w:val="20"/>
                      <w:szCs w:val="20"/>
                      <w:highlight w:val="none"/>
                      <w:u w:val="none"/>
                      <w:lang w:val="en-US" w:eastAsia="zh-CN" w:bidi="ar"/>
                    </w:rPr>
                    <w:t>O</w:t>
                  </w:r>
                </w:p>
              </w:tc>
              <w:tc>
                <w:tcPr>
                  <w:tcW w:w="2100" w:type="dxa"/>
                  <w:vAlign w:val="center"/>
                </w:tcPr>
                <w:p w14:paraId="231EC43D">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0.5</w:t>
                  </w:r>
                </w:p>
              </w:tc>
            </w:tr>
            <w:tr w14:paraId="1CEB5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39399760">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62B98A74">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262C65BA">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CO</w:t>
                  </w:r>
                </w:p>
              </w:tc>
              <w:tc>
                <w:tcPr>
                  <w:tcW w:w="2100" w:type="dxa"/>
                  <w:vAlign w:val="center"/>
                </w:tcPr>
                <w:p w14:paraId="4AC56174">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6.04</w:t>
                  </w:r>
                </w:p>
              </w:tc>
            </w:tr>
            <w:tr w14:paraId="5EF6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3444D48C">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6664D00A">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6BF6B0FF">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p>
              </w:tc>
              <w:tc>
                <w:tcPr>
                  <w:tcW w:w="2100" w:type="dxa"/>
                  <w:vAlign w:val="center"/>
                </w:tcPr>
                <w:p w14:paraId="1B91EEFB">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25.05</w:t>
                  </w:r>
                </w:p>
              </w:tc>
            </w:tr>
            <w:tr w14:paraId="5336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17677850">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4BD120B8">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0FE01D4D">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CO</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p>
              </w:tc>
              <w:tc>
                <w:tcPr>
                  <w:tcW w:w="2100" w:type="dxa"/>
                  <w:vAlign w:val="center"/>
                </w:tcPr>
                <w:p w14:paraId="533EFCA4">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67.48</w:t>
                  </w:r>
                </w:p>
              </w:tc>
            </w:tr>
            <w:tr w14:paraId="7C2C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4A7164E5">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448C94C5">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7BD80701">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4</w:t>
                  </w:r>
                </w:p>
              </w:tc>
              <w:tc>
                <w:tcPr>
                  <w:tcW w:w="2100" w:type="dxa"/>
                  <w:vAlign w:val="center"/>
                </w:tcPr>
                <w:p w14:paraId="482A0270">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0.09</w:t>
                  </w:r>
                </w:p>
              </w:tc>
            </w:tr>
            <w:tr w14:paraId="7842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51335E63">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0CE6D0AE">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7C5751C3">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N</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p>
              </w:tc>
              <w:tc>
                <w:tcPr>
                  <w:tcW w:w="2100" w:type="dxa"/>
                  <w:vAlign w:val="center"/>
                </w:tcPr>
                <w:p w14:paraId="450502B8">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1.325</w:t>
                  </w:r>
                </w:p>
              </w:tc>
            </w:tr>
            <w:tr w14:paraId="288C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258D912D">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142041C4">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398280AE">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r>
                    <w:rPr>
                      <w:rFonts w:hint="default" w:ascii="Times New Roman" w:hAnsi="Times New Roman" w:eastAsia="宋体" w:cs="Times New Roman"/>
                      <w:i w:val="0"/>
                      <w:iCs w:val="0"/>
                      <w:color w:val="000000"/>
                      <w:kern w:val="0"/>
                      <w:sz w:val="20"/>
                      <w:szCs w:val="20"/>
                      <w:highlight w:val="none"/>
                      <w:u w:val="none"/>
                      <w:lang w:val="en-US" w:eastAsia="zh-CN" w:bidi="ar"/>
                    </w:rPr>
                    <w:t>S</w:t>
                  </w:r>
                </w:p>
              </w:tc>
              <w:tc>
                <w:tcPr>
                  <w:tcW w:w="2100" w:type="dxa"/>
                  <w:vAlign w:val="center"/>
                </w:tcPr>
                <w:p w14:paraId="32BDB9F2">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0.015</w:t>
                  </w:r>
                </w:p>
              </w:tc>
            </w:tr>
            <w:tr w14:paraId="1EF7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2040CB1A">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587133C3">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231E0C32">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3</w:t>
                  </w:r>
                  <w:r>
                    <w:rPr>
                      <w:rFonts w:hint="default" w:ascii="Times New Roman" w:hAnsi="Times New Roman" w:eastAsia="宋体" w:cs="Times New Roman"/>
                      <w:i w:val="0"/>
                      <w:iCs w:val="0"/>
                      <w:color w:val="000000"/>
                      <w:kern w:val="0"/>
                      <w:sz w:val="20"/>
                      <w:szCs w:val="20"/>
                      <w:highlight w:val="none"/>
                      <w:u w:val="none"/>
                      <w:lang w:val="en-US" w:eastAsia="zh-CN" w:bidi="ar"/>
                    </w:rPr>
                    <w:t>CH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r>
                    <w:rPr>
                      <w:rFonts w:hint="eastAsia" w:cs="Times New Roman"/>
                      <w:i w:val="0"/>
                      <w:iCs w:val="0"/>
                      <w:color w:val="000000"/>
                      <w:kern w:val="0"/>
                      <w:sz w:val="20"/>
                      <w:szCs w:val="20"/>
                      <w:highlight w:val="none"/>
                      <w:u w:val="none"/>
                      <w:lang w:val="en-US" w:eastAsia="zh-CN" w:bidi="ar"/>
                    </w:rPr>
                    <w:t>O</w:t>
                  </w:r>
                  <w:r>
                    <w:rPr>
                      <w:rFonts w:hint="default" w:ascii="Times New Roman" w:hAnsi="Times New Roman" w:eastAsia="宋体" w:cs="Times New Roman"/>
                      <w:i w:val="0"/>
                      <w:iCs w:val="0"/>
                      <w:color w:val="000000"/>
                      <w:kern w:val="0"/>
                      <w:sz w:val="20"/>
                      <w:szCs w:val="20"/>
                      <w:highlight w:val="none"/>
                      <w:u w:val="none"/>
                      <w:lang w:val="en-US" w:eastAsia="zh-CN" w:bidi="ar"/>
                    </w:rPr>
                    <w:t>H</w:t>
                  </w:r>
                </w:p>
              </w:tc>
              <w:tc>
                <w:tcPr>
                  <w:tcW w:w="2100" w:type="dxa"/>
                  <w:vAlign w:val="center"/>
                </w:tcPr>
                <w:p w14:paraId="3BD1E2D8">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0.1</w:t>
                  </w:r>
                </w:p>
              </w:tc>
            </w:tr>
            <w:tr w14:paraId="6092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restart"/>
                  <w:vAlign w:val="center"/>
                </w:tcPr>
                <w:p w14:paraId="7682B949">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eastAsia" w:ascii="Times New Roman" w:hAnsi="Times New Roman" w:cs="Times New Roman"/>
                      <w:b w:val="0"/>
                      <w:bCs w:val="0"/>
                      <w:spacing w:val="0"/>
                      <w:sz w:val="21"/>
                      <w:szCs w:val="21"/>
                      <w:highlight w:val="none"/>
                      <w:vertAlign w:val="baseline"/>
                      <w:lang w:val="en-US" w:eastAsia="zh-CN"/>
                    </w:rPr>
                    <w:t>真空尾气</w:t>
                  </w:r>
                </w:p>
              </w:tc>
              <w:tc>
                <w:tcPr>
                  <w:tcW w:w="2100" w:type="dxa"/>
                  <w:vMerge w:val="restart"/>
                  <w:vAlign w:val="center"/>
                </w:tcPr>
                <w:p w14:paraId="6C0B0467">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r>
                    <w:rPr>
                      <w:rFonts w:hint="eastAsia" w:ascii="Times New Roman" w:hAnsi="Times New Roman" w:cs="Times New Roman"/>
                      <w:b w:val="0"/>
                      <w:bCs w:val="0"/>
                      <w:spacing w:val="0"/>
                      <w:sz w:val="21"/>
                      <w:szCs w:val="21"/>
                      <w:highlight w:val="none"/>
                      <w:vertAlign w:val="baseline"/>
                      <w:lang w:val="en-US" w:eastAsia="zh-CN"/>
                    </w:rPr>
                    <w:t>660</w:t>
                  </w:r>
                </w:p>
              </w:tc>
              <w:tc>
                <w:tcPr>
                  <w:tcW w:w="2099" w:type="dxa"/>
                  <w:vAlign w:val="center"/>
                </w:tcPr>
                <w:p w14:paraId="5DCA5A84">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乙醇</w:t>
                  </w:r>
                </w:p>
              </w:tc>
              <w:tc>
                <w:tcPr>
                  <w:tcW w:w="2100" w:type="dxa"/>
                  <w:vAlign w:val="center"/>
                </w:tcPr>
                <w:p w14:paraId="212A8836">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6.41</w:t>
                  </w:r>
                </w:p>
              </w:tc>
            </w:tr>
            <w:tr w14:paraId="17C3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continue"/>
                  <w:vAlign w:val="center"/>
                </w:tcPr>
                <w:p w14:paraId="2D7E033E">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5DBBD1F1">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661C82EB">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丁醇</w:t>
                  </w:r>
                </w:p>
              </w:tc>
              <w:tc>
                <w:tcPr>
                  <w:tcW w:w="2100" w:type="dxa"/>
                  <w:vAlign w:val="center"/>
                </w:tcPr>
                <w:p w14:paraId="69C5C62B">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0.0062</w:t>
                  </w:r>
                </w:p>
              </w:tc>
            </w:tr>
            <w:tr w14:paraId="0EADF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continue"/>
                  <w:vAlign w:val="center"/>
                </w:tcPr>
                <w:p w14:paraId="5B47A71C">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54B2CD2E">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7C028620">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甲醇</w:t>
                  </w:r>
                </w:p>
              </w:tc>
              <w:tc>
                <w:tcPr>
                  <w:tcW w:w="2100" w:type="dxa"/>
                  <w:vAlign w:val="center"/>
                </w:tcPr>
                <w:p w14:paraId="2800115B">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0.0008</w:t>
                  </w:r>
                </w:p>
              </w:tc>
            </w:tr>
            <w:tr w14:paraId="7106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continue"/>
                  <w:vAlign w:val="center"/>
                </w:tcPr>
                <w:p w14:paraId="4C1015CE">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018621E6">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5F77506C">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正丙醇</w:t>
                  </w:r>
                </w:p>
              </w:tc>
              <w:tc>
                <w:tcPr>
                  <w:tcW w:w="2100" w:type="dxa"/>
                  <w:vAlign w:val="center"/>
                </w:tcPr>
                <w:p w14:paraId="74DD6D82">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0.0001</w:t>
                  </w:r>
                </w:p>
              </w:tc>
            </w:tr>
            <w:tr w14:paraId="0999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continue"/>
                  <w:vAlign w:val="center"/>
                </w:tcPr>
                <w:p w14:paraId="58C38706">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7953FC7B">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6889611C">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异丙醇</w:t>
                  </w:r>
                </w:p>
              </w:tc>
              <w:tc>
                <w:tcPr>
                  <w:tcW w:w="2100" w:type="dxa"/>
                  <w:vAlign w:val="center"/>
                </w:tcPr>
                <w:p w14:paraId="1B2B1D44">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0.0008</w:t>
                  </w:r>
                </w:p>
              </w:tc>
            </w:tr>
            <w:tr w14:paraId="771F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continue"/>
                  <w:vAlign w:val="center"/>
                </w:tcPr>
                <w:p w14:paraId="2FEB3261">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57683CEC">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7ECBAD39">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乙酸</w:t>
                  </w:r>
                </w:p>
              </w:tc>
              <w:tc>
                <w:tcPr>
                  <w:tcW w:w="2100" w:type="dxa"/>
                  <w:vAlign w:val="center"/>
                </w:tcPr>
                <w:p w14:paraId="07D3146F">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0.0005</w:t>
                  </w:r>
                </w:p>
              </w:tc>
            </w:tr>
            <w:tr w14:paraId="2ACD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continue"/>
                  <w:vAlign w:val="center"/>
                </w:tcPr>
                <w:p w14:paraId="50DE66CC">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5FAF01FC">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2E0E16EA">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乙酸乙酯</w:t>
                  </w:r>
                </w:p>
              </w:tc>
              <w:tc>
                <w:tcPr>
                  <w:tcW w:w="2100" w:type="dxa"/>
                  <w:vAlign w:val="center"/>
                </w:tcPr>
                <w:p w14:paraId="5B5C8B16">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8.46</w:t>
                  </w:r>
                </w:p>
              </w:tc>
            </w:tr>
            <w:tr w14:paraId="1612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continue"/>
                  <w:vAlign w:val="center"/>
                </w:tcPr>
                <w:p w14:paraId="3F6D6713">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710614E6">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77CBFD47">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乙醛</w:t>
                  </w:r>
                </w:p>
              </w:tc>
              <w:tc>
                <w:tcPr>
                  <w:tcW w:w="2100" w:type="dxa"/>
                  <w:vAlign w:val="center"/>
                </w:tcPr>
                <w:p w14:paraId="4769C378">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0.204</w:t>
                  </w:r>
                </w:p>
              </w:tc>
            </w:tr>
            <w:tr w14:paraId="2AA5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4FFBFFAA">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06615414">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6D73423E">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CO</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p>
              </w:tc>
              <w:tc>
                <w:tcPr>
                  <w:tcW w:w="2100" w:type="dxa"/>
                  <w:vAlign w:val="center"/>
                </w:tcPr>
                <w:p w14:paraId="6D3BDDAE">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78.14</w:t>
                  </w:r>
                </w:p>
              </w:tc>
            </w:tr>
            <w:tr w14:paraId="7F7A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04E26FE0">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38C00E40">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60EDE0E1">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CO</w:t>
                  </w:r>
                </w:p>
              </w:tc>
              <w:tc>
                <w:tcPr>
                  <w:tcW w:w="2100" w:type="dxa"/>
                  <w:vAlign w:val="center"/>
                </w:tcPr>
                <w:p w14:paraId="7B6DAE6D">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0.1158</w:t>
                  </w:r>
                </w:p>
              </w:tc>
            </w:tr>
            <w:tr w14:paraId="076B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714134ED">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4843224F">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20C0F196">
                  <w:pPr>
                    <w:keepNext w:val="0"/>
                    <w:keepLines w:val="0"/>
                    <w:pageBreakBefore w:val="0"/>
                    <w:widowControl/>
                    <w:suppressLineNumbers w:val="0"/>
                    <w:kinsoku/>
                    <w:wordWrap w:val="0"/>
                    <w:overflowPunct/>
                    <w:topLinePunct w:val="0"/>
                    <w:autoSpaceDE/>
                    <w:autoSpaceDN/>
                    <w:bidi w:val="0"/>
                    <w:adjustRightInd/>
                    <w:snapToGrid/>
                    <w:jc w:val="center"/>
                    <w:textAlignment w:val="bottom"/>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p>
              </w:tc>
              <w:tc>
                <w:tcPr>
                  <w:tcW w:w="2100" w:type="dxa"/>
                  <w:vAlign w:val="center"/>
                </w:tcPr>
                <w:p w14:paraId="50A9064F">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0.839</w:t>
                  </w:r>
                </w:p>
              </w:tc>
            </w:tr>
            <w:tr w14:paraId="75FC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39EE521E">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05684EE2">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37D5F8A3">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N</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p>
              </w:tc>
              <w:tc>
                <w:tcPr>
                  <w:tcW w:w="2100" w:type="dxa"/>
                  <w:vAlign w:val="center"/>
                </w:tcPr>
                <w:p w14:paraId="1B092C87">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0.0358</w:t>
                  </w:r>
                </w:p>
              </w:tc>
            </w:tr>
            <w:tr w14:paraId="178C5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2099" w:type="dxa"/>
                  <w:vMerge w:val="continue"/>
                  <w:vAlign w:val="center"/>
                </w:tcPr>
                <w:p w14:paraId="7CA95B99">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3C854858">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77CDD5C2">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Ar</w:t>
                  </w:r>
                </w:p>
              </w:tc>
              <w:tc>
                <w:tcPr>
                  <w:tcW w:w="2100" w:type="dxa"/>
                  <w:vAlign w:val="center"/>
                </w:tcPr>
                <w:p w14:paraId="14CD1248">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0.0884</w:t>
                  </w:r>
                </w:p>
              </w:tc>
            </w:tr>
            <w:tr w14:paraId="4ADE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11651F96">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23998053">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0586AD50">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4</w:t>
                  </w:r>
                </w:p>
              </w:tc>
              <w:tc>
                <w:tcPr>
                  <w:tcW w:w="2100" w:type="dxa"/>
                  <w:vAlign w:val="center"/>
                </w:tcPr>
                <w:p w14:paraId="5596C241">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0.2158</w:t>
                  </w:r>
                </w:p>
              </w:tc>
            </w:tr>
            <w:tr w14:paraId="4D33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4F7A5DC1">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3DBD2442">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34D5A290">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r>
                    <w:rPr>
                      <w:rFonts w:hint="default" w:ascii="Times New Roman" w:hAnsi="Times New Roman" w:eastAsia="宋体" w:cs="Times New Roman"/>
                      <w:i w:val="0"/>
                      <w:iCs w:val="0"/>
                      <w:color w:val="000000"/>
                      <w:kern w:val="0"/>
                      <w:sz w:val="20"/>
                      <w:szCs w:val="20"/>
                      <w:highlight w:val="none"/>
                      <w:u w:val="none"/>
                      <w:lang w:val="en-US" w:eastAsia="zh-CN" w:bidi="ar"/>
                    </w:rPr>
                    <w:t>O</w:t>
                  </w:r>
                </w:p>
              </w:tc>
              <w:tc>
                <w:tcPr>
                  <w:tcW w:w="2100" w:type="dxa"/>
                  <w:vAlign w:val="center"/>
                </w:tcPr>
                <w:p w14:paraId="3251E4A9">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r>
            <w:tr w14:paraId="131A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24EA5670">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4329E4A3">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1DA00508">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r>
                    <w:rPr>
                      <w:rFonts w:hint="default" w:ascii="Times New Roman" w:hAnsi="Times New Roman" w:eastAsia="宋体" w:cs="Times New Roman"/>
                      <w:i w:val="0"/>
                      <w:iCs w:val="0"/>
                      <w:color w:val="000000"/>
                      <w:kern w:val="0"/>
                      <w:sz w:val="20"/>
                      <w:szCs w:val="20"/>
                      <w:highlight w:val="none"/>
                      <w:u w:val="none"/>
                      <w:lang w:val="en-US" w:eastAsia="zh-CN" w:bidi="ar"/>
                    </w:rPr>
                    <w:t>S</w:t>
                  </w:r>
                </w:p>
              </w:tc>
              <w:tc>
                <w:tcPr>
                  <w:tcW w:w="2100" w:type="dxa"/>
                  <w:vAlign w:val="center"/>
                </w:tcPr>
                <w:p w14:paraId="05507FE2">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r>
            <w:tr w14:paraId="02A7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099" w:type="dxa"/>
                  <w:vMerge w:val="continue"/>
                  <w:vAlign w:val="center"/>
                </w:tcPr>
                <w:p w14:paraId="2864E543">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3D8A87DF">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2105CBA3">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NH</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3</w:t>
                  </w:r>
                </w:p>
              </w:tc>
              <w:tc>
                <w:tcPr>
                  <w:tcW w:w="2100" w:type="dxa"/>
                  <w:vAlign w:val="center"/>
                </w:tcPr>
                <w:p w14:paraId="7FC95CA5">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0.2779</w:t>
                  </w:r>
                </w:p>
              </w:tc>
            </w:tr>
            <w:tr w14:paraId="2690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99" w:type="dxa"/>
                  <w:vMerge w:val="continue"/>
                  <w:vAlign w:val="center"/>
                </w:tcPr>
                <w:p w14:paraId="213121E4">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100" w:type="dxa"/>
                  <w:vMerge w:val="continue"/>
                  <w:vAlign w:val="center"/>
                </w:tcPr>
                <w:p w14:paraId="3383CF3E">
                  <w:pPr>
                    <w:keepNext w:val="0"/>
                    <w:keepLines w:val="0"/>
                    <w:pageBreakBefore w:val="0"/>
                    <w:kinsoku/>
                    <w:wordWrap w:val="0"/>
                    <w:overflowPunct/>
                    <w:topLinePunct w:val="0"/>
                    <w:autoSpaceDE/>
                    <w:autoSpaceDN/>
                    <w:bidi w:val="0"/>
                    <w:adjustRightInd/>
                    <w:snapToGrid/>
                    <w:spacing w:line="360" w:lineRule="auto"/>
                    <w:jc w:val="center"/>
                    <w:rPr>
                      <w:rFonts w:hint="default" w:ascii="Times New Roman" w:hAnsi="Times New Roman" w:cs="Times New Roman"/>
                      <w:b w:val="0"/>
                      <w:bCs w:val="0"/>
                      <w:spacing w:val="0"/>
                      <w:sz w:val="21"/>
                      <w:szCs w:val="21"/>
                      <w:highlight w:val="none"/>
                      <w:vertAlign w:val="baseline"/>
                      <w:lang w:val="en-US" w:eastAsia="zh-CN"/>
                    </w:rPr>
                  </w:pPr>
                </w:p>
              </w:tc>
              <w:tc>
                <w:tcPr>
                  <w:tcW w:w="2099" w:type="dxa"/>
                  <w:vAlign w:val="center"/>
                </w:tcPr>
                <w:p w14:paraId="4D9D359A">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O</w:t>
                  </w:r>
                  <w:r>
                    <w:rPr>
                      <w:rFonts w:hint="default" w:ascii="Times New Roman" w:hAnsi="Times New Roman" w:eastAsia="宋体" w:cs="Times New Roman"/>
                      <w:i w:val="0"/>
                      <w:iCs w:val="0"/>
                      <w:color w:val="000000"/>
                      <w:kern w:val="0"/>
                      <w:sz w:val="20"/>
                      <w:szCs w:val="20"/>
                      <w:highlight w:val="none"/>
                      <w:u w:val="none"/>
                      <w:vertAlign w:val="subscript"/>
                      <w:lang w:val="en-US" w:eastAsia="zh-CN" w:bidi="ar"/>
                    </w:rPr>
                    <w:t>2</w:t>
                  </w:r>
                </w:p>
              </w:tc>
              <w:tc>
                <w:tcPr>
                  <w:tcW w:w="2100" w:type="dxa"/>
                  <w:vAlign w:val="center"/>
                </w:tcPr>
                <w:p w14:paraId="59EAC8B6">
                  <w:pPr>
                    <w:keepNext w:val="0"/>
                    <w:keepLines w:val="0"/>
                    <w:pageBreakBefore w:val="0"/>
                    <w:widowControl/>
                    <w:suppressLineNumbers w:val="0"/>
                    <w:kinsoku/>
                    <w:wordWrap w:val="0"/>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w:t>
                  </w:r>
                </w:p>
              </w:tc>
            </w:tr>
          </w:tbl>
          <w:p w14:paraId="4AB43195">
            <w:pPr>
              <w:spacing w:line="360" w:lineRule="auto"/>
              <w:rPr>
                <w:rFonts w:hint="eastAsia" w:cs="宋体"/>
                <w:b/>
                <w:bCs/>
                <w:sz w:val="24"/>
                <w:highlight w:val="none"/>
              </w:rPr>
            </w:pPr>
            <w:r>
              <w:rPr>
                <w:rFonts w:hint="eastAsia" w:cs="宋体"/>
                <w:b/>
                <w:bCs/>
                <w:sz w:val="24"/>
                <w:highlight w:val="none"/>
                <w:lang w:val="en-US" w:eastAsia="zh-CN"/>
              </w:rPr>
              <w:t>5.</w:t>
            </w:r>
            <w:r>
              <w:rPr>
                <w:rFonts w:hint="eastAsia" w:cs="宋体"/>
                <w:b/>
                <w:bCs/>
                <w:sz w:val="24"/>
                <w:highlight w:val="none"/>
              </w:rPr>
              <w:t>能源消耗</w:t>
            </w:r>
          </w:p>
          <w:p w14:paraId="7FB69B31">
            <w:pPr>
              <w:pStyle w:val="28"/>
              <w:ind w:firstLine="480" w:firstLineChars="200"/>
              <w:rPr>
                <w:rFonts w:ascii="Times New Roman"/>
                <w:color w:val="auto"/>
                <w:highlight w:val="none"/>
              </w:rPr>
            </w:pPr>
            <w:r>
              <w:rPr>
                <w:rFonts w:hint="eastAsia" w:ascii="Times New Roman"/>
                <w:color w:val="auto"/>
                <w:kern w:val="2"/>
                <w:highlight w:val="none"/>
              </w:rPr>
              <w:t>能源消耗见表2-</w:t>
            </w:r>
            <w:r>
              <w:rPr>
                <w:rFonts w:hint="eastAsia" w:ascii="Times New Roman"/>
                <w:color w:val="auto"/>
                <w:kern w:val="2"/>
                <w:highlight w:val="none"/>
                <w:lang w:val="en-US" w:eastAsia="zh-CN"/>
              </w:rPr>
              <w:t>6</w:t>
            </w:r>
            <w:r>
              <w:rPr>
                <w:rFonts w:hint="eastAsia" w:ascii="Times New Roman"/>
                <w:color w:val="auto"/>
                <w:kern w:val="2"/>
                <w:highlight w:val="none"/>
              </w:rPr>
              <w:t>。</w:t>
            </w:r>
          </w:p>
          <w:p w14:paraId="40378B91">
            <w:pPr>
              <w:adjustRightInd w:val="0"/>
              <w:snapToGrid w:val="0"/>
              <w:spacing w:line="360" w:lineRule="auto"/>
              <w:ind w:firstLine="0" w:firstLineChars="0"/>
              <w:jc w:val="center"/>
              <w:outlineLvl w:val="9"/>
              <w:rPr>
                <w:rFonts w:hint="eastAsia" w:ascii="Times New Roman" w:hAnsi="Times New Roman" w:eastAsia="宋体" w:cs="Times New Roman"/>
                <w:b/>
                <w:bCs/>
                <w:sz w:val="21"/>
                <w:szCs w:val="21"/>
                <w:highlight w:val="none"/>
              </w:rPr>
            </w:pPr>
            <w:r>
              <w:rPr>
                <w:rFonts w:hint="eastAsia" w:ascii="Times New Roman" w:hAnsi="Times New Roman" w:eastAsia="宋体" w:cs="Times New Roman"/>
                <w:b/>
                <w:bCs/>
                <w:sz w:val="21"/>
                <w:szCs w:val="21"/>
                <w:highlight w:val="none"/>
              </w:rPr>
              <w:t>表2-</w:t>
            </w:r>
            <w:r>
              <w:rPr>
                <w:rFonts w:hint="eastAsia" w:cs="Times New Roman"/>
                <w:b/>
                <w:bCs/>
                <w:sz w:val="21"/>
                <w:szCs w:val="21"/>
                <w:highlight w:val="none"/>
                <w:lang w:val="en-US" w:eastAsia="zh-CN"/>
              </w:rPr>
              <w:t>6</w:t>
            </w:r>
            <w:r>
              <w:rPr>
                <w:rFonts w:hint="eastAsia" w:ascii="Times New Roman" w:hAnsi="Times New Roman" w:eastAsia="宋体" w:cs="Times New Roman"/>
                <w:b/>
                <w:bCs/>
                <w:sz w:val="21"/>
                <w:szCs w:val="21"/>
                <w:highlight w:val="none"/>
              </w:rPr>
              <w:t xml:space="preserve">   能源消耗一览表</w:t>
            </w:r>
          </w:p>
          <w:tbl>
            <w:tblPr>
              <w:tblStyle w:val="19"/>
              <w:tblW w:w="4996" w:type="pct"/>
              <w:jc w:val="center"/>
              <w:tblBorders>
                <w:top w:val="single" w:color="auto" w:sz="4" w:space="0"/>
                <w:left w:val="single" w:color="auto" w:sz="4" w:space="0"/>
                <w:bottom w:val="single" w:color="auto" w:sz="4" w:space="0"/>
                <w:right w:val="single" w:color="auto" w:sz="4" w:space="0"/>
                <w:insideH w:val="dotted" w:color="auto" w:sz="8" w:space="0"/>
                <w:insideV w:val="dotted" w:color="auto" w:sz="8" w:space="0"/>
              </w:tblBorders>
              <w:tblLayout w:type="fixed"/>
              <w:tblCellMar>
                <w:top w:w="0" w:type="dxa"/>
                <w:left w:w="0" w:type="dxa"/>
                <w:bottom w:w="0" w:type="dxa"/>
                <w:right w:w="0" w:type="dxa"/>
              </w:tblCellMar>
            </w:tblPr>
            <w:tblGrid>
              <w:gridCol w:w="814"/>
              <w:gridCol w:w="1673"/>
              <w:gridCol w:w="1762"/>
              <w:gridCol w:w="2034"/>
              <w:gridCol w:w="2216"/>
            </w:tblGrid>
            <w:tr w14:paraId="6A39283A">
              <w:tblPrEx>
                <w:tblBorders>
                  <w:top w:val="single" w:color="auto" w:sz="4" w:space="0"/>
                  <w:left w:val="single" w:color="auto" w:sz="4" w:space="0"/>
                  <w:bottom w:val="single" w:color="auto" w:sz="4" w:space="0"/>
                  <w:right w:val="single" w:color="auto" w:sz="4" w:space="0"/>
                  <w:insideH w:val="dotted" w:color="auto" w:sz="8" w:space="0"/>
                  <w:insideV w:val="dotted" w:color="auto" w:sz="8" w:space="0"/>
                </w:tblBorders>
                <w:tblCellMar>
                  <w:top w:w="0" w:type="dxa"/>
                  <w:left w:w="0" w:type="dxa"/>
                  <w:bottom w:w="0" w:type="dxa"/>
                  <w:right w:w="0" w:type="dxa"/>
                </w:tblCellMar>
              </w:tblPrEx>
              <w:trPr>
                <w:trHeight w:val="20" w:hRule="atLeast"/>
                <w:jc w:val="center"/>
              </w:trPr>
              <w:tc>
                <w:tcPr>
                  <w:tcW w:w="479" w:type="pct"/>
                  <w:tcBorders>
                    <w:bottom w:val="single" w:color="auto" w:sz="12" w:space="0"/>
                  </w:tcBorders>
                  <w:noWrap w:val="0"/>
                  <w:vAlign w:val="center"/>
                </w:tcPr>
                <w:p w14:paraId="28CCA092">
                  <w:pPr>
                    <w:jc w:val="center"/>
                    <w:rPr>
                      <w:rFonts w:cs="宋体"/>
                      <w:b w:val="0"/>
                      <w:bCs/>
                      <w:szCs w:val="21"/>
                      <w:highlight w:val="none"/>
                    </w:rPr>
                  </w:pPr>
                  <w:r>
                    <w:rPr>
                      <w:rFonts w:hint="eastAsia" w:cs="宋体"/>
                      <w:b w:val="0"/>
                      <w:bCs/>
                      <w:szCs w:val="21"/>
                      <w:highlight w:val="none"/>
                    </w:rPr>
                    <w:t>序号</w:t>
                  </w:r>
                </w:p>
              </w:tc>
              <w:tc>
                <w:tcPr>
                  <w:tcW w:w="984" w:type="pct"/>
                  <w:tcBorders>
                    <w:bottom w:val="single" w:color="auto" w:sz="12" w:space="0"/>
                  </w:tcBorders>
                  <w:noWrap w:val="0"/>
                  <w:vAlign w:val="center"/>
                </w:tcPr>
                <w:p w14:paraId="3FF4E2E4">
                  <w:pPr>
                    <w:jc w:val="center"/>
                    <w:rPr>
                      <w:rFonts w:cs="宋体"/>
                      <w:b w:val="0"/>
                      <w:bCs/>
                      <w:szCs w:val="21"/>
                      <w:highlight w:val="none"/>
                    </w:rPr>
                  </w:pPr>
                  <w:r>
                    <w:rPr>
                      <w:rFonts w:hint="eastAsia" w:cs="宋体"/>
                      <w:b w:val="0"/>
                      <w:bCs/>
                      <w:szCs w:val="21"/>
                      <w:highlight w:val="none"/>
                    </w:rPr>
                    <w:t>主要能源</w:t>
                  </w:r>
                </w:p>
              </w:tc>
              <w:tc>
                <w:tcPr>
                  <w:tcW w:w="1036" w:type="pct"/>
                  <w:tcBorders>
                    <w:bottom w:val="single" w:color="auto" w:sz="12" w:space="0"/>
                  </w:tcBorders>
                  <w:noWrap w:val="0"/>
                  <w:vAlign w:val="center"/>
                </w:tcPr>
                <w:p w14:paraId="5829134B">
                  <w:pPr>
                    <w:jc w:val="center"/>
                    <w:rPr>
                      <w:rFonts w:cs="宋体"/>
                      <w:b w:val="0"/>
                      <w:bCs/>
                      <w:szCs w:val="21"/>
                      <w:highlight w:val="none"/>
                    </w:rPr>
                  </w:pPr>
                  <w:r>
                    <w:rPr>
                      <w:rFonts w:hint="eastAsia" w:cs="宋体"/>
                      <w:b w:val="0"/>
                      <w:bCs/>
                      <w:szCs w:val="21"/>
                      <w:highlight w:val="none"/>
                    </w:rPr>
                    <w:t>单位</w:t>
                  </w:r>
                </w:p>
              </w:tc>
              <w:tc>
                <w:tcPr>
                  <w:tcW w:w="1196" w:type="pct"/>
                  <w:tcBorders>
                    <w:bottom w:val="single" w:color="auto" w:sz="12" w:space="0"/>
                  </w:tcBorders>
                  <w:noWrap w:val="0"/>
                  <w:vAlign w:val="center"/>
                </w:tcPr>
                <w:p w14:paraId="6B8B6D1D">
                  <w:pPr>
                    <w:jc w:val="center"/>
                    <w:rPr>
                      <w:rFonts w:cs="宋体"/>
                      <w:b w:val="0"/>
                      <w:bCs/>
                      <w:szCs w:val="21"/>
                      <w:highlight w:val="none"/>
                    </w:rPr>
                  </w:pPr>
                  <w:r>
                    <w:rPr>
                      <w:rFonts w:hint="eastAsia" w:cs="宋体"/>
                      <w:b w:val="0"/>
                      <w:bCs/>
                      <w:szCs w:val="21"/>
                      <w:highlight w:val="none"/>
                    </w:rPr>
                    <w:t>消耗量</w:t>
                  </w:r>
                </w:p>
              </w:tc>
              <w:tc>
                <w:tcPr>
                  <w:tcW w:w="1303" w:type="pct"/>
                  <w:tcBorders>
                    <w:bottom w:val="single" w:color="auto" w:sz="12" w:space="0"/>
                  </w:tcBorders>
                  <w:noWrap w:val="0"/>
                  <w:vAlign w:val="center"/>
                </w:tcPr>
                <w:p w14:paraId="5A73F3A2">
                  <w:pPr>
                    <w:jc w:val="center"/>
                    <w:rPr>
                      <w:rFonts w:cs="宋体"/>
                      <w:b w:val="0"/>
                      <w:bCs/>
                      <w:szCs w:val="21"/>
                      <w:highlight w:val="none"/>
                    </w:rPr>
                  </w:pPr>
                  <w:r>
                    <w:rPr>
                      <w:rFonts w:hint="eastAsia" w:cs="宋体"/>
                      <w:b w:val="0"/>
                      <w:bCs/>
                      <w:szCs w:val="21"/>
                      <w:highlight w:val="none"/>
                    </w:rPr>
                    <w:t>来源</w:t>
                  </w:r>
                </w:p>
              </w:tc>
            </w:tr>
            <w:tr w14:paraId="1F979835">
              <w:tblPrEx>
                <w:tblBorders>
                  <w:top w:val="single" w:color="auto" w:sz="4" w:space="0"/>
                  <w:left w:val="single" w:color="auto" w:sz="4" w:space="0"/>
                  <w:bottom w:val="single" w:color="auto" w:sz="4" w:space="0"/>
                  <w:right w:val="single" w:color="auto" w:sz="4" w:space="0"/>
                  <w:insideH w:val="dotted" w:color="auto" w:sz="8" w:space="0"/>
                  <w:insideV w:val="dotted" w:color="auto" w:sz="8" w:space="0"/>
                </w:tblBorders>
                <w:tblCellMar>
                  <w:top w:w="0" w:type="dxa"/>
                  <w:left w:w="0" w:type="dxa"/>
                  <w:bottom w:w="0" w:type="dxa"/>
                  <w:right w:w="0" w:type="dxa"/>
                </w:tblCellMar>
              </w:tblPrEx>
              <w:trPr>
                <w:trHeight w:val="20" w:hRule="atLeast"/>
                <w:jc w:val="center"/>
              </w:trPr>
              <w:tc>
                <w:tcPr>
                  <w:tcW w:w="479" w:type="pct"/>
                  <w:noWrap w:val="0"/>
                  <w:vAlign w:val="center"/>
                </w:tcPr>
                <w:p w14:paraId="75DAFBB9">
                  <w:pPr>
                    <w:jc w:val="center"/>
                    <w:rPr>
                      <w:rFonts w:hint="eastAsia" w:eastAsia="宋体"/>
                      <w:szCs w:val="21"/>
                      <w:highlight w:val="none"/>
                      <w:lang w:eastAsia="zh-CN"/>
                    </w:rPr>
                  </w:pPr>
                  <w:r>
                    <w:rPr>
                      <w:rFonts w:hint="eastAsia"/>
                      <w:szCs w:val="21"/>
                      <w:highlight w:val="none"/>
                      <w:lang w:val="en-US" w:eastAsia="zh-CN"/>
                    </w:rPr>
                    <w:t>1</w:t>
                  </w:r>
                </w:p>
              </w:tc>
              <w:tc>
                <w:tcPr>
                  <w:tcW w:w="984" w:type="pct"/>
                  <w:noWrap w:val="0"/>
                  <w:vAlign w:val="center"/>
                </w:tcPr>
                <w:p w14:paraId="0F194BC4">
                  <w:pPr>
                    <w:jc w:val="center"/>
                    <w:rPr>
                      <w:rFonts w:hint="eastAsia" w:eastAsia="宋体" w:cs="宋体"/>
                      <w:szCs w:val="21"/>
                      <w:highlight w:val="none"/>
                      <w:lang w:eastAsia="zh-CN"/>
                    </w:rPr>
                  </w:pPr>
                  <w:r>
                    <w:rPr>
                      <w:rFonts w:hint="eastAsia" w:cs="宋体"/>
                      <w:szCs w:val="21"/>
                      <w:highlight w:val="none"/>
                    </w:rPr>
                    <w:t>水</w:t>
                  </w:r>
                  <w:r>
                    <w:rPr>
                      <w:rFonts w:hint="eastAsia" w:cs="宋体"/>
                      <w:szCs w:val="21"/>
                      <w:highlight w:val="none"/>
                      <w:lang w:eastAsia="zh-CN"/>
                    </w:rPr>
                    <w:t>（</w:t>
                  </w:r>
                  <w:r>
                    <w:rPr>
                      <w:rFonts w:hint="eastAsia" w:cs="宋体"/>
                      <w:szCs w:val="21"/>
                      <w:highlight w:val="none"/>
                      <w:lang w:val="en-US" w:eastAsia="zh-CN"/>
                    </w:rPr>
                    <w:t>施工期</w:t>
                  </w:r>
                  <w:r>
                    <w:rPr>
                      <w:rFonts w:hint="eastAsia" w:cs="宋体"/>
                      <w:szCs w:val="21"/>
                      <w:highlight w:val="none"/>
                      <w:lang w:eastAsia="zh-CN"/>
                    </w:rPr>
                    <w:t>）</w:t>
                  </w:r>
                </w:p>
              </w:tc>
              <w:tc>
                <w:tcPr>
                  <w:tcW w:w="1036" w:type="pct"/>
                  <w:noWrap w:val="0"/>
                  <w:vAlign w:val="center"/>
                </w:tcPr>
                <w:p w14:paraId="7927A2F1">
                  <w:pPr>
                    <w:jc w:val="center"/>
                    <w:rPr>
                      <w:rFonts w:hint="eastAsia"/>
                      <w:szCs w:val="21"/>
                      <w:highlight w:val="none"/>
                    </w:rPr>
                  </w:pPr>
                  <w:r>
                    <w:rPr>
                      <w:rFonts w:hint="eastAsia"/>
                      <w:szCs w:val="21"/>
                      <w:highlight w:val="none"/>
                    </w:rPr>
                    <w:t>t</w:t>
                  </w:r>
                </w:p>
              </w:tc>
              <w:tc>
                <w:tcPr>
                  <w:tcW w:w="1196" w:type="pct"/>
                  <w:noWrap w:val="0"/>
                  <w:vAlign w:val="center"/>
                </w:tcPr>
                <w:p w14:paraId="05F170BB">
                  <w:pPr>
                    <w:jc w:val="center"/>
                    <w:rPr>
                      <w:rFonts w:hint="default" w:eastAsia="宋体"/>
                      <w:szCs w:val="21"/>
                      <w:highlight w:val="none"/>
                      <w:lang w:val="en-US" w:eastAsia="zh-CN"/>
                    </w:rPr>
                  </w:pPr>
                  <w:r>
                    <w:rPr>
                      <w:rFonts w:hint="eastAsia"/>
                      <w:szCs w:val="21"/>
                      <w:highlight w:val="none"/>
                      <w:lang w:val="en-US" w:eastAsia="zh-CN"/>
                    </w:rPr>
                    <w:t>236</w:t>
                  </w:r>
                </w:p>
              </w:tc>
              <w:tc>
                <w:tcPr>
                  <w:tcW w:w="1303" w:type="pct"/>
                  <w:noWrap w:val="0"/>
                  <w:vAlign w:val="center"/>
                </w:tcPr>
                <w:p w14:paraId="3C1B6D5D">
                  <w:pPr>
                    <w:jc w:val="center"/>
                    <w:rPr>
                      <w:rFonts w:cs="宋体"/>
                      <w:szCs w:val="21"/>
                      <w:highlight w:val="none"/>
                    </w:rPr>
                  </w:pPr>
                  <w:r>
                    <w:rPr>
                      <w:rFonts w:hint="eastAsia" w:cs="宋体"/>
                      <w:szCs w:val="21"/>
                      <w:highlight w:val="none"/>
                    </w:rPr>
                    <w:t>厂内现有供水管网</w:t>
                  </w:r>
                </w:p>
              </w:tc>
            </w:tr>
            <w:tr w14:paraId="13C813BC">
              <w:tblPrEx>
                <w:tblBorders>
                  <w:top w:val="single" w:color="auto" w:sz="4" w:space="0"/>
                  <w:left w:val="single" w:color="auto" w:sz="4" w:space="0"/>
                  <w:bottom w:val="single" w:color="auto" w:sz="4" w:space="0"/>
                  <w:right w:val="single" w:color="auto" w:sz="4" w:space="0"/>
                  <w:insideH w:val="dotted" w:color="auto" w:sz="8" w:space="0"/>
                  <w:insideV w:val="dotted" w:color="auto" w:sz="8" w:space="0"/>
                </w:tblBorders>
                <w:tblCellMar>
                  <w:top w:w="0" w:type="dxa"/>
                  <w:left w:w="0" w:type="dxa"/>
                  <w:bottom w:w="0" w:type="dxa"/>
                  <w:right w:w="0" w:type="dxa"/>
                </w:tblCellMar>
              </w:tblPrEx>
              <w:trPr>
                <w:trHeight w:val="20" w:hRule="atLeast"/>
                <w:jc w:val="center"/>
              </w:trPr>
              <w:tc>
                <w:tcPr>
                  <w:tcW w:w="479" w:type="pct"/>
                  <w:noWrap w:val="0"/>
                  <w:vAlign w:val="center"/>
                </w:tcPr>
                <w:p w14:paraId="28D4A2F9">
                  <w:pPr>
                    <w:jc w:val="center"/>
                    <w:rPr>
                      <w:rFonts w:hint="default"/>
                      <w:szCs w:val="21"/>
                      <w:highlight w:val="none"/>
                      <w:lang w:val="en-US" w:eastAsia="zh-CN"/>
                    </w:rPr>
                  </w:pPr>
                  <w:r>
                    <w:rPr>
                      <w:rFonts w:hint="eastAsia"/>
                      <w:szCs w:val="21"/>
                      <w:highlight w:val="none"/>
                      <w:lang w:val="en-US" w:eastAsia="zh-CN"/>
                    </w:rPr>
                    <w:t>2</w:t>
                  </w:r>
                </w:p>
              </w:tc>
              <w:tc>
                <w:tcPr>
                  <w:tcW w:w="984" w:type="pct"/>
                  <w:noWrap w:val="0"/>
                  <w:vAlign w:val="center"/>
                </w:tcPr>
                <w:p w14:paraId="415154D9">
                  <w:pPr>
                    <w:jc w:val="center"/>
                    <w:rPr>
                      <w:rFonts w:hint="default" w:eastAsia="宋体" w:cs="宋体"/>
                      <w:szCs w:val="21"/>
                      <w:highlight w:val="none"/>
                      <w:lang w:val="en-US" w:eastAsia="zh-CN"/>
                    </w:rPr>
                  </w:pPr>
                  <w:r>
                    <w:rPr>
                      <w:rFonts w:hint="eastAsia" w:cs="宋体"/>
                      <w:szCs w:val="21"/>
                      <w:highlight w:val="none"/>
                      <w:lang w:val="en-US" w:eastAsia="zh-CN"/>
                    </w:rPr>
                    <w:t>电</w:t>
                  </w:r>
                </w:p>
              </w:tc>
              <w:tc>
                <w:tcPr>
                  <w:tcW w:w="1036" w:type="pct"/>
                  <w:noWrap w:val="0"/>
                  <w:vAlign w:val="center"/>
                </w:tcPr>
                <w:p w14:paraId="695F5541">
                  <w:pPr>
                    <w:jc w:val="center"/>
                    <w:rPr>
                      <w:rFonts w:hint="default" w:eastAsia="宋体"/>
                      <w:szCs w:val="21"/>
                      <w:highlight w:val="none"/>
                      <w:lang w:val="en-US" w:eastAsia="zh-CN"/>
                    </w:rPr>
                  </w:pPr>
                  <w:r>
                    <w:rPr>
                      <w:rFonts w:hint="eastAsia"/>
                      <w:szCs w:val="21"/>
                      <w:highlight w:val="none"/>
                      <w:lang w:val="en-US" w:eastAsia="zh-CN"/>
                    </w:rPr>
                    <w:t>kW.h</w:t>
                  </w:r>
                </w:p>
              </w:tc>
              <w:tc>
                <w:tcPr>
                  <w:tcW w:w="1196" w:type="pct"/>
                  <w:noWrap w:val="0"/>
                  <w:vAlign w:val="center"/>
                </w:tcPr>
                <w:p w14:paraId="72269DE3">
                  <w:pPr>
                    <w:jc w:val="center"/>
                    <w:rPr>
                      <w:rFonts w:hint="default" w:eastAsia="宋体"/>
                      <w:szCs w:val="21"/>
                      <w:highlight w:val="none"/>
                      <w:lang w:val="en-US" w:eastAsia="zh-CN"/>
                    </w:rPr>
                  </w:pPr>
                  <w:r>
                    <w:rPr>
                      <w:rFonts w:hint="eastAsia"/>
                      <w:highlight w:val="none"/>
                      <w:lang w:val="en-US" w:eastAsia="zh-CN"/>
                    </w:rPr>
                    <w:t>80</w:t>
                  </w:r>
                </w:p>
              </w:tc>
              <w:tc>
                <w:tcPr>
                  <w:tcW w:w="1303" w:type="pct"/>
                  <w:noWrap w:val="0"/>
                  <w:vAlign w:val="center"/>
                </w:tcPr>
                <w:p w14:paraId="33E6F90A">
                  <w:pPr>
                    <w:jc w:val="center"/>
                    <w:rPr>
                      <w:rFonts w:hint="default" w:eastAsia="宋体" w:cs="宋体"/>
                      <w:szCs w:val="21"/>
                      <w:highlight w:val="none"/>
                      <w:lang w:val="en-US" w:eastAsia="zh-CN"/>
                    </w:rPr>
                  </w:pPr>
                  <w:r>
                    <w:rPr>
                      <w:rFonts w:hint="eastAsia" w:cs="宋体"/>
                      <w:szCs w:val="21"/>
                      <w:highlight w:val="none"/>
                      <w:lang w:val="en-US" w:eastAsia="zh-CN"/>
                    </w:rPr>
                    <w:t>依托厂区供电</w:t>
                  </w:r>
                </w:p>
              </w:tc>
            </w:tr>
          </w:tbl>
          <w:p w14:paraId="72DDCF56">
            <w:pPr>
              <w:spacing w:line="360" w:lineRule="auto"/>
              <w:jc w:val="left"/>
              <w:rPr>
                <w:rFonts w:hint="eastAsia" w:cs="宋体"/>
                <w:b/>
                <w:bCs/>
                <w:sz w:val="24"/>
                <w:highlight w:val="none"/>
              </w:rPr>
            </w:pPr>
            <w:r>
              <w:rPr>
                <w:rFonts w:hint="eastAsia" w:cs="宋体"/>
                <w:b/>
                <w:bCs/>
                <w:sz w:val="24"/>
                <w:highlight w:val="none"/>
                <w:lang w:val="en-US" w:eastAsia="zh-CN"/>
              </w:rPr>
              <w:t>6.</w:t>
            </w:r>
            <w:r>
              <w:rPr>
                <w:rFonts w:hint="eastAsia" w:cs="宋体"/>
                <w:b/>
                <w:bCs/>
                <w:sz w:val="24"/>
                <w:highlight w:val="none"/>
              </w:rPr>
              <w:t>公用工程</w:t>
            </w:r>
          </w:p>
          <w:p w14:paraId="35A10109">
            <w:pPr>
              <w:spacing w:line="360" w:lineRule="auto"/>
              <w:ind w:firstLine="480" w:firstLineChars="200"/>
              <w:rPr>
                <w:rFonts w:cs="宋体"/>
                <w:sz w:val="24"/>
                <w:highlight w:val="none"/>
              </w:rPr>
            </w:pPr>
            <w:r>
              <w:rPr>
                <w:rFonts w:hint="eastAsia" w:cs="宋体"/>
                <w:sz w:val="24"/>
                <w:highlight w:val="none"/>
                <w:lang w:val="en-US" w:eastAsia="zh-CN"/>
              </w:rPr>
              <w:t>6.1</w:t>
            </w:r>
            <w:r>
              <w:rPr>
                <w:rFonts w:hint="eastAsia" w:cs="宋体"/>
                <w:sz w:val="24"/>
                <w:highlight w:val="none"/>
              </w:rPr>
              <w:t>给排水</w:t>
            </w:r>
          </w:p>
          <w:p w14:paraId="56FFA013">
            <w:pPr>
              <w:spacing w:line="360" w:lineRule="auto"/>
              <w:ind w:firstLine="480" w:firstLineChars="200"/>
              <w:rPr>
                <w:rFonts w:hint="eastAsia" w:ascii="Times New Roman" w:hAnsi="Times New Roman" w:cs="宋体"/>
                <w:sz w:val="24"/>
                <w:highlight w:val="none"/>
                <w:rPrChange w:id="0" w:author="马马虎虎" w:date="2025-12-22T17:29:17Z">
                  <w:rPr>
                    <w:rFonts w:hint="default" w:ascii="Times New Roman" w:hAnsi="Times New Roman" w:cs="Times New Roman"/>
                    <w:sz w:val="24"/>
                    <w:highlight w:val="none"/>
                  </w:rPr>
                </w:rPrChange>
              </w:rPr>
            </w:pPr>
            <w:r>
              <w:rPr>
                <w:rFonts w:hint="eastAsia" w:ascii="Times New Roman" w:hAnsi="Times New Roman" w:cs="宋体"/>
                <w:sz w:val="24"/>
                <w:highlight w:val="none"/>
                <w:rPrChange w:id="1" w:author="马马虎虎" w:date="2025-12-22T17:29:17Z">
                  <w:rPr>
                    <w:rFonts w:hint="default" w:ascii="Times New Roman" w:hAnsi="Times New Roman" w:cs="Times New Roman"/>
                    <w:sz w:val="24"/>
                    <w:highlight w:val="none"/>
                  </w:rPr>
                </w:rPrChange>
              </w:rPr>
              <w:t>（1）施工期</w:t>
            </w:r>
          </w:p>
          <w:p w14:paraId="530003B3">
            <w:pPr>
              <w:spacing w:line="360" w:lineRule="auto"/>
              <w:ind w:firstLine="480" w:firstLineChars="200"/>
              <w:rPr>
                <w:rFonts w:hint="eastAsia" w:ascii="Times New Roman" w:hAnsi="Times New Roman" w:cs="宋体"/>
                <w:sz w:val="24"/>
                <w:szCs w:val="24"/>
                <w:highlight w:val="none"/>
              </w:rPr>
            </w:pPr>
            <w:r>
              <w:rPr>
                <w:rFonts w:hint="eastAsia" w:ascii="Times New Roman" w:hAnsi="Times New Roman" w:cs="宋体"/>
                <w:sz w:val="24"/>
                <w:szCs w:val="24"/>
                <w:highlight w:val="none"/>
                <w:rPrChange w:id="2" w:author="马马虎虎" w:date="2025-12-22T17:29:17Z">
                  <w:rPr>
                    <w:rFonts w:hint="default" w:ascii="Times New Roman" w:hAnsi="Times New Roman" w:cs="Times New Roman"/>
                    <w:sz w:val="24"/>
                    <w:szCs w:val="24"/>
                    <w:highlight w:val="none"/>
                  </w:rPr>
                </w:rPrChange>
              </w:rPr>
              <w:t>本项目施工期水源依托厂区内现有</w:t>
            </w:r>
            <w:r>
              <w:rPr>
                <w:rFonts w:hint="eastAsia" w:ascii="Times New Roman" w:hAnsi="Times New Roman" w:cs="宋体"/>
                <w:sz w:val="24"/>
                <w:szCs w:val="24"/>
                <w:highlight w:val="none"/>
                <w:lang w:val="en-US" w:eastAsia="zh-CN"/>
                <w:rPrChange w:id="3" w:author="马马虎虎" w:date="2025-12-22T17:29:17Z">
                  <w:rPr>
                    <w:rFonts w:hint="eastAsia" w:ascii="Times New Roman" w:hAnsi="Times New Roman" w:cs="Times New Roman"/>
                    <w:sz w:val="24"/>
                    <w:szCs w:val="24"/>
                    <w:highlight w:val="none"/>
                    <w:lang w:val="en-US" w:eastAsia="zh-CN"/>
                  </w:rPr>
                </w:rPrChange>
              </w:rPr>
              <w:t>用水管网</w:t>
            </w:r>
            <w:r>
              <w:rPr>
                <w:rFonts w:hint="eastAsia" w:ascii="Times New Roman" w:hAnsi="Times New Roman" w:cs="宋体"/>
                <w:sz w:val="24"/>
                <w:szCs w:val="24"/>
                <w:highlight w:val="none"/>
                <w:rPrChange w:id="4" w:author="马马虎虎" w:date="2025-12-22T17:29:17Z">
                  <w:rPr>
                    <w:rFonts w:hint="default" w:ascii="Times New Roman" w:hAnsi="Times New Roman" w:cs="Times New Roman"/>
                    <w:sz w:val="24"/>
                    <w:szCs w:val="24"/>
                    <w:highlight w:val="none"/>
                  </w:rPr>
                </w:rPrChange>
              </w:rPr>
              <w:t>提供</w:t>
            </w:r>
            <w:r>
              <w:rPr>
                <w:rFonts w:hint="eastAsia" w:ascii="Times New Roman" w:hAnsi="Times New Roman" w:cs="宋体"/>
                <w:sz w:val="24"/>
                <w:szCs w:val="24"/>
                <w:highlight w:val="none"/>
                <w:lang w:eastAsia="zh-CN"/>
                <w:rPrChange w:id="5" w:author="马马虎虎" w:date="2025-12-22T17:29:17Z">
                  <w:rPr>
                    <w:rFonts w:hint="eastAsia" w:ascii="Times New Roman" w:hAnsi="Times New Roman" w:cs="Times New Roman"/>
                    <w:sz w:val="24"/>
                    <w:szCs w:val="24"/>
                    <w:highlight w:val="none"/>
                    <w:lang w:eastAsia="zh-CN"/>
                  </w:rPr>
                </w:rPrChange>
              </w:rPr>
              <w:t>的</w:t>
            </w:r>
            <w:r>
              <w:rPr>
                <w:rFonts w:hint="eastAsia" w:ascii="Times New Roman" w:hAnsi="Times New Roman" w:cs="宋体"/>
                <w:sz w:val="24"/>
                <w:szCs w:val="24"/>
                <w:highlight w:val="none"/>
                <w:lang w:val="en-US" w:eastAsia="zh-CN"/>
                <w:rPrChange w:id="6" w:author="马马虎虎" w:date="2025-12-22T17:29:17Z">
                  <w:rPr>
                    <w:rFonts w:hint="eastAsia" w:ascii="Times New Roman" w:hAnsi="Times New Roman" w:cs="Times New Roman"/>
                    <w:sz w:val="24"/>
                    <w:szCs w:val="24"/>
                    <w:highlight w:val="none"/>
                    <w:lang w:val="en-US" w:eastAsia="zh-CN"/>
                  </w:rPr>
                </w:rPrChange>
              </w:rPr>
              <w:t>新鲜水</w:t>
            </w:r>
            <w:r>
              <w:rPr>
                <w:rFonts w:hint="eastAsia" w:ascii="Times New Roman" w:hAnsi="Times New Roman" w:cs="宋体"/>
                <w:sz w:val="24"/>
                <w:szCs w:val="24"/>
                <w:highlight w:val="none"/>
                <w:rPrChange w:id="7" w:author="马马虎虎" w:date="2025-12-22T17:29:17Z">
                  <w:rPr>
                    <w:rFonts w:hint="default" w:ascii="Times New Roman" w:hAnsi="Times New Roman" w:cs="Times New Roman"/>
                    <w:sz w:val="24"/>
                    <w:szCs w:val="24"/>
                    <w:highlight w:val="none"/>
                  </w:rPr>
                </w:rPrChange>
              </w:rPr>
              <w:t>。施工期用水主要包括试压用水、抑尘用水。施工期12个月，施工期总用水量为</w:t>
            </w:r>
            <w:r>
              <w:rPr>
                <w:rFonts w:hint="eastAsia" w:ascii="Times New Roman" w:hAnsi="Times New Roman" w:cs="宋体"/>
                <w:sz w:val="24"/>
                <w:szCs w:val="24"/>
                <w:highlight w:val="none"/>
                <w:lang w:val="en-US" w:eastAsia="zh-CN"/>
                <w:rPrChange w:id="8" w:author="马马虎虎" w:date="2025-12-22T17:29:17Z">
                  <w:rPr>
                    <w:rFonts w:hint="eastAsia" w:ascii="Times New Roman" w:hAnsi="Times New Roman" w:cs="Times New Roman"/>
                    <w:sz w:val="24"/>
                    <w:szCs w:val="24"/>
                    <w:highlight w:val="none"/>
                    <w:lang w:val="en-US" w:eastAsia="zh-CN"/>
                  </w:rPr>
                </w:rPrChange>
              </w:rPr>
              <w:t>236</w:t>
            </w:r>
            <w:r>
              <w:rPr>
                <w:rFonts w:hint="eastAsia" w:ascii="Times New Roman" w:hAnsi="Times New Roman" w:cs="宋体"/>
                <w:sz w:val="24"/>
                <w:szCs w:val="24"/>
                <w:highlight w:val="none"/>
                <w:rPrChange w:id="9" w:author="马马虎虎" w:date="2025-12-22T17:29:17Z">
                  <w:rPr>
                    <w:rFonts w:hint="default" w:ascii="Times New Roman" w:hAnsi="Times New Roman" w:cs="Times New Roman"/>
                    <w:sz w:val="24"/>
                    <w:szCs w:val="24"/>
                    <w:highlight w:val="none"/>
                  </w:rPr>
                </w:rPrChange>
              </w:rPr>
              <w:t>t，总废水排量为</w:t>
            </w:r>
            <w:r>
              <w:rPr>
                <w:rFonts w:hint="eastAsia" w:ascii="Times New Roman" w:hAnsi="Times New Roman" w:cs="宋体"/>
                <w:sz w:val="24"/>
                <w:szCs w:val="24"/>
                <w:highlight w:val="none"/>
                <w:lang w:val="en-US" w:eastAsia="zh-CN"/>
                <w:rPrChange w:id="10" w:author="马马虎虎" w:date="2025-12-22T17:29:17Z">
                  <w:rPr>
                    <w:rFonts w:hint="eastAsia" w:ascii="Times New Roman" w:hAnsi="Times New Roman" w:cs="Times New Roman"/>
                    <w:sz w:val="24"/>
                    <w:szCs w:val="24"/>
                    <w:highlight w:val="none"/>
                    <w:lang w:val="en-US" w:eastAsia="zh-CN"/>
                  </w:rPr>
                </w:rPrChange>
              </w:rPr>
              <w:t>200</w:t>
            </w:r>
            <w:r>
              <w:rPr>
                <w:rFonts w:hint="eastAsia" w:ascii="Times New Roman" w:hAnsi="Times New Roman" w:cs="宋体"/>
                <w:sz w:val="24"/>
                <w:szCs w:val="24"/>
                <w:highlight w:val="none"/>
                <w:rPrChange w:id="11" w:author="马马虎虎" w:date="2025-12-22T17:29:17Z">
                  <w:rPr>
                    <w:rFonts w:hint="default" w:ascii="Times New Roman" w:hAnsi="Times New Roman" w:cs="Times New Roman"/>
                    <w:sz w:val="24"/>
                    <w:szCs w:val="24"/>
                    <w:highlight w:val="none"/>
                  </w:rPr>
                </w:rPrChange>
              </w:rPr>
              <w:t>t</w:t>
            </w:r>
            <w:r>
              <w:rPr>
                <w:rFonts w:hint="eastAsia" w:ascii="Times New Roman" w:hAnsi="Times New Roman" w:cs="宋体"/>
                <w:sz w:val="24"/>
                <w:szCs w:val="24"/>
                <w:highlight w:val="none"/>
                <w:lang w:val="en-US" w:eastAsia="zh-CN"/>
                <w:rPrChange w:id="12" w:author="马马虎虎" w:date="2025-12-22T17:29:17Z">
                  <w:rPr>
                    <w:rFonts w:hint="default" w:ascii="Times New Roman" w:hAnsi="Times New Roman" w:cs="Times New Roman"/>
                    <w:sz w:val="24"/>
                    <w:szCs w:val="24"/>
                    <w:highlight w:val="none"/>
                    <w:lang w:val="en-US" w:eastAsia="zh-CN"/>
                  </w:rPr>
                </w:rPrChange>
              </w:rPr>
              <w:t>/</w:t>
            </w:r>
            <w:r>
              <w:rPr>
                <w:rFonts w:hint="eastAsia" w:ascii="Times New Roman" w:hAnsi="Times New Roman" w:cs="宋体"/>
                <w:sz w:val="24"/>
                <w:szCs w:val="24"/>
                <w:highlight w:val="none"/>
                <w:lang w:val="en-US" w:eastAsia="zh-CN"/>
              </w:rPr>
              <w:t>a</w:t>
            </w:r>
            <w:r>
              <w:rPr>
                <w:rFonts w:hint="eastAsia" w:ascii="Times New Roman" w:hAnsi="Times New Roman" w:cs="宋体"/>
                <w:sz w:val="24"/>
                <w:szCs w:val="24"/>
                <w:highlight w:val="none"/>
              </w:rPr>
              <w:t>，</w:t>
            </w:r>
            <w:r>
              <w:rPr>
                <w:rFonts w:hint="eastAsia" w:ascii="Times New Roman" w:hAnsi="Times New Roman" w:eastAsia="宋体" w:cs="宋体"/>
                <w:kern w:val="2"/>
                <w:sz w:val="24"/>
                <w:szCs w:val="24"/>
                <w:highlight w:val="none"/>
              </w:rPr>
              <w:t>施工期</w:t>
            </w:r>
            <w:r>
              <w:rPr>
                <w:rFonts w:hint="eastAsia" w:cs="宋体"/>
                <w:kern w:val="2"/>
                <w:sz w:val="24"/>
                <w:szCs w:val="24"/>
                <w:highlight w:val="none"/>
                <w:lang w:val="en-US" w:eastAsia="zh-CN"/>
              </w:rPr>
              <w:t>试压</w:t>
            </w:r>
            <w:r>
              <w:rPr>
                <w:rFonts w:hint="eastAsia" w:ascii="Times New Roman" w:hAnsi="Times New Roman" w:eastAsia="宋体" w:cs="宋体"/>
                <w:kern w:val="2"/>
                <w:sz w:val="24"/>
                <w:szCs w:val="24"/>
                <w:highlight w:val="none"/>
              </w:rPr>
              <w:t>废水</w:t>
            </w:r>
            <w:r>
              <w:rPr>
                <w:rFonts w:hint="eastAsia" w:cs="宋体"/>
                <w:kern w:val="2"/>
                <w:sz w:val="24"/>
                <w:szCs w:val="24"/>
                <w:highlight w:val="none"/>
                <w:lang w:val="en-US" w:eastAsia="zh-CN"/>
              </w:rPr>
              <w:t>产生后通过罐车运输至伊泰化工</w:t>
            </w:r>
            <w:r>
              <w:rPr>
                <w:rFonts w:hint="eastAsia" w:ascii="Times New Roman" w:hAnsi="Times New Roman" w:eastAsia="宋体" w:cs="宋体"/>
                <w:kern w:val="2"/>
                <w:sz w:val="24"/>
                <w:szCs w:val="24"/>
                <w:highlight w:val="none"/>
              </w:rPr>
              <w:t>厂区内现有</w:t>
            </w:r>
            <w:r>
              <w:rPr>
                <w:rFonts w:hint="eastAsia" w:cs="宋体"/>
                <w:sz w:val="24"/>
                <w:highlight w:val="none"/>
              </w:rPr>
              <w:t>污水处理站废水处理及回用清净废水处理单元</w:t>
            </w:r>
            <w:r>
              <w:rPr>
                <w:rFonts w:hint="eastAsia" w:ascii="Times New Roman" w:hAnsi="Times New Roman" w:eastAsia="宋体" w:cs="宋体"/>
                <w:kern w:val="2"/>
                <w:sz w:val="24"/>
                <w:szCs w:val="24"/>
                <w:highlight w:val="none"/>
              </w:rPr>
              <w:t>，处理后回用，不外排。</w:t>
            </w:r>
          </w:p>
          <w:p w14:paraId="531DA19E">
            <w:pPr>
              <w:spacing w:line="360" w:lineRule="auto"/>
              <w:ind w:firstLine="480" w:firstLineChars="200"/>
              <w:rPr>
                <w:rFonts w:hint="eastAsia" w:cs="宋体"/>
                <w:sz w:val="24"/>
                <w:highlight w:val="none"/>
              </w:rPr>
            </w:pPr>
            <w:r>
              <w:rPr>
                <w:rFonts w:hint="eastAsia" w:cs="宋体"/>
                <w:sz w:val="24"/>
                <w:highlight w:val="none"/>
              </w:rPr>
              <w:t>①试压用水</w:t>
            </w:r>
          </w:p>
          <w:p w14:paraId="3733A8B1">
            <w:pPr>
              <w:spacing w:line="360" w:lineRule="auto"/>
              <w:ind w:firstLine="480" w:firstLineChars="200"/>
              <w:rPr>
                <w:rFonts w:hint="eastAsia" w:ascii="Times New Roman" w:hAnsi="Times New Roman" w:eastAsia="宋体" w:cs="Times New Roman"/>
                <w:kern w:val="2"/>
                <w:sz w:val="24"/>
                <w:szCs w:val="24"/>
                <w:highlight w:val="none"/>
                <w:lang w:val="zh-CN" w:eastAsia="zh-CN" w:bidi="zh-CN"/>
              </w:rPr>
            </w:pPr>
            <w:r>
              <w:rPr>
                <w:rFonts w:hint="eastAsia" w:cs="宋体"/>
                <w:sz w:val="24"/>
                <w:highlight w:val="none"/>
              </w:rPr>
              <w:t>试压用水是</w:t>
            </w:r>
            <w:r>
              <w:rPr>
                <w:rFonts w:hint="eastAsia" w:cs="宋体"/>
                <w:sz w:val="24"/>
                <w:highlight w:val="none"/>
                <w:lang w:eastAsia="zh-CN"/>
              </w:rPr>
              <w:t>指</w:t>
            </w:r>
            <w:r>
              <w:rPr>
                <w:rFonts w:hint="eastAsia" w:cs="宋体"/>
                <w:sz w:val="24"/>
                <w:highlight w:val="none"/>
              </w:rPr>
              <w:t>管道在安装完毕和无损检测合格后进行的水压试验产生的废水。管道试压采用</w:t>
            </w:r>
            <w:r>
              <w:rPr>
                <w:rFonts w:hint="eastAsia" w:cs="宋体"/>
                <w:sz w:val="24"/>
                <w:highlight w:val="none"/>
                <w:lang w:val="en-US" w:eastAsia="zh-CN"/>
              </w:rPr>
              <w:t>新鲜水</w:t>
            </w:r>
            <w:r>
              <w:rPr>
                <w:rFonts w:hint="eastAsia" w:cs="宋体"/>
                <w:sz w:val="24"/>
                <w:highlight w:val="none"/>
              </w:rPr>
              <w:t>，试压后需把水排尽，</w:t>
            </w:r>
            <w:r>
              <w:rPr>
                <w:rFonts w:hint="eastAsia" w:cs="宋体"/>
                <w:sz w:val="24"/>
                <w:highlight w:val="none"/>
                <w:lang w:val="en-US" w:eastAsia="zh-CN"/>
              </w:rPr>
              <w:t>本项目采取循环利用水资源的方式。按照最大管道，本项目</w:t>
            </w:r>
            <w:r>
              <w:rPr>
                <w:rFonts w:hint="eastAsia" w:cs="宋体"/>
                <w:sz w:val="24"/>
                <w:highlight w:val="none"/>
              </w:rPr>
              <w:t>试压</w:t>
            </w:r>
            <w:r>
              <w:rPr>
                <w:rFonts w:hint="eastAsia" w:cs="宋体"/>
                <w:sz w:val="24"/>
                <w:highlight w:val="none"/>
                <w:lang w:val="en-US" w:eastAsia="zh-CN"/>
              </w:rPr>
              <w:t>用水为200</w:t>
            </w:r>
            <w:r>
              <w:rPr>
                <w:rFonts w:hint="eastAsia" w:cs="宋体"/>
                <w:sz w:val="24"/>
                <w:highlight w:val="none"/>
              </w:rPr>
              <w:t>t，</w:t>
            </w:r>
            <w:r>
              <w:rPr>
                <w:rFonts w:hint="eastAsia" w:cs="宋体"/>
                <w:sz w:val="24"/>
                <w:highlight w:val="none"/>
                <w:lang w:val="en-US" w:eastAsia="zh-CN"/>
              </w:rPr>
              <w:t>采取循环利用的方式。试压</w:t>
            </w:r>
            <w:r>
              <w:rPr>
                <w:rFonts w:hint="eastAsia" w:cs="宋体"/>
                <w:sz w:val="24"/>
                <w:highlight w:val="none"/>
              </w:rPr>
              <w:t>废水中含有少量SS，污染物来源为管道内部灰尘和杂质，</w:t>
            </w:r>
            <w:r>
              <w:rPr>
                <w:rFonts w:hint="eastAsia" w:cs="宋体"/>
                <w:sz w:val="24"/>
                <w:highlight w:val="none"/>
                <w:lang w:val="en-US" w:eastAsia="zh-CN"/>
              </w:rPr>
              <w:t>排入</w:t>
            </w:r>
            <w:r>
              <w:rPr>
                <w:rFonts w:hint="eastAsia" w:cs="宋体"/>
                <w:kern w:val="2"/>
                <w:sz w:val="24"/>
                <w:szCs w:val="24"/>
                <w:highlight w:val="none"/>
                <w:lang w:val="en-US" w:eastAsia="zh-CN"/>
              </w:rPr>
              <w:t>伊泰化工</w:t>
            </w:r>
            <w:r>
              <w:rPr>
                <w:rFonts w:hint="eastAsia" w:ascii="Times New Roman" w:hAnsi="Times New Roman" w:eastAsia="宋体" w:cs="宋体"/>
                <w:kern w:val="2"/>
                <w:sz w:val="24"/>
                <w:szCs w:val="24"/>
                <w:highlight w:val="none"/>
              </w:rPr>
              <w:t>厂区内现有</w:t>
            </w:r>
            <w:r>
              <w:rPr>
                <w:rFonts w:hint="eastAsia" w:cs="宋体"/>
                <w:sz w:val="24"/>
                <w:highlight w:val="none"/>
              </w:rPr>
              <w:t>污水处理站废水处理及回用清净废水处理单元</w:t>
            </w:r>
            <w:r>
              <w:rPr>
                <w:rFonts w:hint="eastAsia" w:ascii="Times New Roman" w:hAnsi="Times New Roman" w:eastAsia="宋体" w:cs="宋体"/>
                <w:kern w:val="2"/>
                <w:sz w:val="24"/>
                <w:szCs w:val="24"/>
                <w:highlight w:val="none"/>
              </w:rPr>
              <w:t>，处理后回用，不外排</w:t>
            </w:r>
            <w:r>
              <w:rPr>
                <w:rFonts w:hint="eastAsia" w:ascii="Times New Roman" w:hAnsi="Times New Roman" w:eastAsia="宋体" w:cs="Times New Roman"/>
                <w:kern w:val="2"/>
                <w:sz w:val="24"/>
                <w:szCs w:val="24"/>
                <w:highlight w:val="none"/>
                <w:lang w:val="zh-CN" w:eastAsia="zh-CN" w:bidi="zh-CN"/>
              </w:rPr>
              <w:t>。</w:t>
            </w:r>
          </w:p>
          <w:p w14:paraId="3F207076">
            <w:pPr>
              <w:spacing w:line="360" w:lineRule="auto"/>
              <w:ind w:firstLine="480" w:firstLineChars="200"/>
              <w:rPr>
                <w:rFonts w:cs="宋体"/>
                <w:sz w:val="24"/>
                <w:highlight w:val="none"/>
              </w:rPr>
            </w:pPr>
            <w:r>
              <w:rPr>
                <w:rFonts w:hint="eastAsia" w:cs="宋体"/>
                <w:sz w:val="24"/>
                <w:highlight w:val="none"/>
              </w:rPr>
              <w:t>②抑尘用水</w:t>
            </w:r>
          </w:p>
          <w:p w14:paraId="2CF9C637">
            <w:pPr>
              <w:spacing w:line="360" w:lineRule="auto"/>
              <w:ind w:firstLine="480" w:firstLineChars="200"/>
              <w:rPr>
                <w:rFonts w:hint="eastAsia" w:cs="宋体"/>
                <w:sz w:val="24"/>
                <w:highlight w:val="none"/>
              </w:rPr>
            </w:pPr>
            <w:r>
              <w:rPr>
                <w:rFonts w:hint="eastAsia" w:cs="宋体"/>
                <w:sz w:val="24"/>
                <w:highlight w:val="none"/>
              </w:rPr>
              <w:t>施工场地需定期洒水进行抑尘，洒水抑尘采用清洁水，</w:t>
            </w:r>
            <w:r>
              <w:rPr>
                <w:rFonts w:hint="eastAsia" w:cs="宋体"/>
                <w:sz w:val="24"/>
                <w:highlight w:val="none"/>
                <w:lang w:val="en-US" w:eastAsia="zh-CN"/>
              </w:rPr>
              <w:t>根据设计提供资料，</w:t>
            </w:r>
            <w:r>
              <w:rPr>
                <w:rFonts w:hint="eastAsia" w:cs="宋体"/>
                <w:sz w:val="24"/>
                <w:highlight w:val="none"/>
              </w:rPr>
              <w:t>用水量约为</w:t>
            </w:r>
            <w:r>
              <w:rPr>
                <w:rFonts w:hint="eastAsia" w:cs="宋体"/>
                <w:sz w:val="24"/>
                <w:highlight w:val="none"/>
                <w:lang w:val="en-US" w:eastAsia="zh-CN"/>
              </w:rPr>
              <w:t>36t/a</w:t>
            </w:r>
            <w:r>
              <w:rPr>
                <w:rFonts w:hint="eastAsia" w:cs="宋体"/>
                <w:sz w:val="24"/>
                <w:highlight w:val="none"/>
              </w:rPr>
              <w:t>，抑尘用水经地面渗透及蒸发，不会产生废水。</w:t>
            </w:r>
          </w:p>
          <w:p w14:paraId="1E5E9C18">
            <w:pPr>
              <w:spacing w:line="360" w:lineRule="auto"/>
              <w:ind w:firstLine="480" w:firstLineChars="200"/>
              <w:rPr>
                <w:rFonts w:hint="eastAsia" w:cs="宋体"/>
                <w:sz w:val="24"/>
                <w:highlight w:val="none"/>
              </w:rPr>
            </w:pPr>
            <w:r>
              <w:rPr>
                <w:rFonts w:hint="eastAsia" w:cs="宋体"/>
                <w:sz w:val="24"/>
                <w:highlight w:val="none"/>
              </w:rPr>
              <w:t>③施工人员生活用水</w:t>
            </w:r>
          </w:p>
          <w:p w14:paraId="0B0832DB">
            <w:pPr>
              <w:spacing w:line="360" w:lineRule="auto"/>
              <w:ind w:firstLine="480" w:firstLineChars="200"/>
              <w:rPr>
                <w:rFonts w:hint="eastAsia" w:cs="宋体"/>
                <w:color w:val="1900FF"/>
                <w:sz w:val="24"/>
                <w:highlight w:val="none"/>
              </w:rPr>
            </w:pPr>
            <w:r>
              <w:rPr>
                <w:rFonts w:hint="eastAsia" w:cs="宋体"/>
                <w:sz w:val="24"/>
                <w:highlight w:val="none"/>
              </w:rPr>
              <w:t>本项目</w:t>
            </w:r>
            <w:r>
              <w:rPr>
                <w:rFonts w:hint="eastAsia" w:cs="宋体"/>
                <w:sz w:val="24"/>
                <w:highlight w:val="none"/>
                <w:lang w:eastAsia="zh-CN"/>
              </w:rPr>
              <w:t>施工</w:t>
            </w:r>
            <w:r>
              <w:rPr>
                <w:rFonts w:hint="eastAsia" w:cs="宋体"/>
                <w:sz w:val="24"/>
                <w:highlight w:val="none"/>
              </w:rPr>
              <w:t>人员</w:t>
            </w:r>
            <w:r>
              <w:rPr>
                <w:rFonts w:hint="eastAsia" w:cs="宋体"/>
                <w:sz w:val="24"/>
                <w:highlight w:val="none"/>
                <w:lang w:val="en-US" w:eastAsia="zh-CN"/>
              </w:rPr>
              <w:t>依托内蒙古伊泰化工有限责任公司现有工作人员，生活污水</w:t>
            </w:r>
            <w:r>
              <w:rPr>
                <w:rFonts w:hint="eastAsia" w:cs="宋体"/>
                <w:sz w:val="24"/>
                <w:highlight w:val="none"/>
              </w:rPr>
              <w:t>依托现有公共卫生间集中收集</w:t>
            </w:r>
            <w:r>
              <w:rPr>
                <w:rFonts w:hint="eastAsia" w:cs="宋体"/>
                <w:sz w:val="24"/>
                <w:highlight w:val="none"/>
                <w:lang w:val="en-US" w:eastAsia="zh-CN"/>
              </w:rPr>
              <w:t>，最终排向厂区污水处理站，不新增排水量</w:t>
            </w:r>
            <w:r>
              <w:rPr>
                <w:rFonts w:hint="eastAsia" w:cs="宋体"/>
                <w:sz w:val="24"/>
                <w:highlight w:val="none"/>
              </w:rPr>
              <w:t>。</w:t>
            </w:r>
          </w:p>
          <w:p w14:paraId="3D030689">
            <w:pPr>
              <w:spacing w:line="360" w:lineRule="auto"/>
              <w:ind w:firstLine="480" w:firstLineChars="200"/>
              <w:rPr>
                <w:rFonts w:cs="宋体"/>
                <w:sz w:val="24"/>
                <w:highlight w:val="none"/>
              </w:rPr>
            </w:pPr>
            <w:r>
              <w:rPr>
                <w:rFonts w:hint="eastAsia" w:cs="宋体"/>
                <w:sz w:val="24"/>
                <w:highlight w:val="none"/>
              </w:rPr>
              <w:t>本项目施工期水平衡见图2-</w:t>
            </w:r>
            <w:r>
              <w:rPr>
                <w:rFonts w:hint="eastAsia" w:cs="宋体"/>
                <w:sz w:val="24"/>
                <w:highlight w:val="none"/>
                <w:lang w:val="en-US" w:eastAsia="zh-CN"/>
              </w:rPr>
              <w:t>3</w:t>
            </w:r>
            <w:r>
              <w:rPr>
                <w:rFonts w:hint="eastAsia" w:cs="宋体"/>
                <w:sz w:val="24"/>
                <w:highlight w:val="none"/>
              </w:rPr>
              <w:t>。</w:t>
            </w:r>
          </w:p>
          <w:p w14:paraId="608772B6">
            <w:pPr>
              <w:spacing w:line="360" w:lineRule="auto"/>
              <w:jc w:val="center"/>
              <w:rPr>
                <w:rFonts w:hint="eastAsia" w:cs="宋体"/>
                <w:color w:val="1900FF"/>
                <w:szCs w:val="21"/>
                <w:highlight w:val="none"/>
              </w:rPr>
            </w:pPr>
            <w:r>
              <w:rPr>
                <w:color w:val="1900FF"/>
                <w:highlight w:val="none"/>
              </w:rPr>
              <w:object>
                <v:shape id="_x0000_i1025" o:spt="75" type="#_x0000_t75" style="height:157.2pt;width:413.35pt;" o:ole="t" filled="f" o:preferrelative="t" stroked="f" coordsize="21600,21600">
                  <v:path/>
                  <v:fill on="f" focussize="0,0"/>
                  <v:stroke on="f"/>
                  <v:imagedata r:id="rId15" o:title=""/>
                  <o:lock v:ext="edit" aspectratio="t"/>
                  <w10:wrap type="none"/>
                  <w10:anchorlock/>
                </v:shape>
                <o:OLEObject Type="Embed" ProgID="Visio.Drawing.15" ShapeID="_x0000_i1025" DrawAspect="Content" ObjectID="_1468075725" r:id="rId14">
                  <o:LockedField>false</o:LockedField>
                </o:OLEObject>
              </w:object>
            </w:r>
          </w:p>
          <w:p w14:paraId="44EDE728">
            <w:pPr>
              <w:adjustRightInd w:val="0"/>
              <w:snapToGrid w:val="0"/>
              <w:spacing w:line="360" w:lineRule="auto"/>
              <w:ind w:firstLine="0" w:firstLineChars="0"/>
              <w:jc w:val="center"/>
              <w:outlineLvl w:val="9"/>
              <w:rPr>
                <w:rFonts w:hint="eastAsia" w:ascii="Times New Roman" w:hAnsi="Times New Roman" w:eastAsia="宋体" w:cs="Times New Roman"/>
                <w:b/>
                <w:bCs/>
                <w:sz w:val="21"/>
                <w:szCs w:val="21"/>
                <w:highlight w:val="none"/>
              </w:rPr>
            </w:pPr>
            <w:r>
              <w:rPr>
                <w:rFonts w:hint="eastAsia" w:ascii="Times New Roman" w:hAnsi="Times New Roman" w:eastAsia="宋体" w:cs="Times New Roman"/>
                <w:b/>
                <w:bCs/>
                <w:sz w:val="21"/>
                <w:szCs w:val="21"/>
                <w:highlight w:val="none"/>
              </w:rPr>
              <w:t>图2-</w:t>
            </w:r>
            <w:r>
              <w:rPr>
                <w:rFonts w:hint="eastAsia" w:cs="Times New Roman"/>
                <w:b/>
                <w:bCs/>
                <w:sz w:val="21"/>
                <w:szCs w:val="21"/>
                <w:highlight w:val="none"/>
                <w:lang w:val="en-US" w:eastAsia="zh-CN"/>
              </w:rPr>
              <w:t>3</w:t>
            </w:r>
            <w:r>
              <w:rPr>
                <w:rFonts w:hint="eastAsia" w:ascii="Times New Roman" w:hAnsi="Times New Roman" w:eastAsia="宋体" w:cs="Times New Roman"/>
                <w:b/>
                <w:bCs/>
                <w:sz w:val="21"/>
                <w:szCs w:val="21"/>
                <w:highlight w:val="none"/>
              </w:rPr>
              <w:t xml:space="preserve">   施工期水平衡图（t/a）</w:t>
            </w:r>
          </w:p>
          <w:p w14:paraId="35B99AB7">
            <w:pPr>
              <w:spacing w:line="360" w:lineRule="auto"/>
              <w:ind w:firstLine="480" w:firstLineChars="200"/>
              <w:rPr>
                <w:rFonts w:cs="宋体"/>
                <w:sz w:val="24"/>
                <w:highlight w:val="none"/>
              </w:rPr>
            </w:pPr>
            <w:r>
              <w:rPr>
                <w:rFonts w:hint="eastAsia" w:cs="宋体"/>
                <w:sz w:val="24"/>
                <w:highlight w:val="none"/>
              </w:rPr>
              <w:t>（2）运营期</w:t>
            </w:r>
          </w:p>
          <w:p w14:paraId="0ED280AB">
            <w:pPr>
              <w:spacing w:line="360" w:lineRule="auto"/>
              <w:ind w:firstLine="480" w:firstLineChars="200"/>
              <w:rPr>
                <w:rFonts w:cs="宋体"/>
                <w:sz w:val="24"/>
                <w:highlight w:val="none"/>
              </w:rPr>
            </w:pPr>
            <w:r>
              <w:rPr>
                <w:rFonts w:hint="eastAsia" w:cs="宋体"/>
                <w:sz w:val="24"/>
                <w:highlight w:val="none"/>
              </w:rPr>
              <w:t>本项目运营期无需工艺用水。</w:t>
            </w:r>
          </w:p>
          <w:p w14:paraId="2B299E61">
            <w:pPr>
              <w:spacing w:line="360" w:lineRule="auto"/>
              <w:ind w:firstLine="480" w:firstLineChars="200"/>
              <w:rPr>
                <w:sz w:val="24"/>
                <w:highlight w:val="none"/>
              </w:rPr>
            </w:pPr>
            <w:r>
              <w:rPr>
                <w:rFonts w:hint="eastAsia" w:cs="宋体"/>
                <w:sz w:val="24"/>
                <w:highlight w:val="none"/>
              </w:rPr>
              <w:t>本项目无新增员工，无新增生活用水。</w:t>
            </w:r>
          </w:p>
          <w:p w14:paraId="75D3A66B">
            <w:pPr>
              <w:spacing w:line="360" w:lineRule="auto"/>
              <w:ind w:firstLine="480" w:firstLineChars="200"/>
              <w:rPr>
                <w:rFonts w:hint="eastAsia" w:cs="宋体"/>
                <w:sz w:val="24"/>
                <w:highlight w:val="none"/>
              </w:rPr>
            </w:pPr>
            <w:r>
              <w:rPr>
                <w:rFonts w:hint="eastAsia" w:cs="宋体"/>
                <w:sz w:val="24"/>
                <w:highlight w:val="none"/>
                <w:lang w:val="en-US" w:eastAsia="zh-CN"/>
              </w:rPr>
              <w:t>6.2</w:t>
            </w:r>
            <w:r>
              <w:rPr>
                <w:rFonts w:hint="eastAsia" w:cs="宋体"/>
                <w:sz w:val="24"/>
                <w:highlight w:val="none"/>
              </w:rPr>
              <w:t>供电</w:t>
            </w:r>
          </w:p>
          <w:p w14:paraId="26494773">
            <w:pPr>
              <w:spacing w:line="360" w:lineRule="auto"/>
              <w:ind w:firstLine="480" w:firstLineChars="200"/>
              <w:rPr>
                <w:rFonts w:hint="eastAsia" w:cs="宋体"/>
                <w:sz w:val="24"/>
                <w:highlight w:val="none"/>
              </w:rPr>
            </w:pPr>
            <w:r>
              <w:rPr>
                <w:rFonts w:hint="eastAsia"/>
                <w:sz w:val="24"/>
                <w:highlight w:val="none"/>
              </w:rPr>
              <w:t>本项目主要是控制室及视频监控</w:t>
            </w:r>
            <w:r>
              <w:rPr>
                <w:rFonts w:hint="eastAsia"/>
                <w:sz w:val="24"/>
                <w:highlight w:val="none"/>
                <w:lang w:eastAsia="zh-CN"/>
              </w:rPr>
              <w:t>、</w:t>
            </w:r>
            <w:r>
              <w:rPr>
                <w:rFonts w:hint="eastAsia"/>
                <w:sz w:val="24"/>
                <w:highlight w:val="none"/>
                <w:lang w:val="en-US" w:eastAsia="zh-CN"/>
              </w:rPr>
              <w:t>甲烷压缩机等</w:t>
            </w:r>
            <w:r>
              <w:rPr>
                <w:rFonts w:hint="eastAsia"/>
                <w:sz w:val="24"/>
                <w:highlight w:val="none"/>
              </w:rPr>
              <w:t>需要用电，电源为场内现有设施</w:t>
            </w:r>
            <w:r>
              <w:rPr>
                <w:rFonts w:hint="eastAsia" w:cs="宋体"/>
                <w:sz w:val="24"/>
                <w:highlight w:val="none"/>
              </w:rPr>
              <w:t>。</w:t>
            </w:r>
          </w:p>
          <w:p w14:paraId="1B0AAB8A">
            <w:pPr>
              <w:spacing w:line="360" w:lineRule="auto"/>
              <w:ind w:firstLine="480" w:firstLineChars="200"/>
              <w:rPr>
                <w:rFonts w:hint="eastAsia" w:cs="宋体"/>
                <w:sz w:val="24"/>
                <w:highlight w:val="none"/>
              </w:rPr>
            </w:pPr>
            <w:r>
              <w:rPr>
                <w:rFonts w:hint="eastAsia" w:cs="宋体"/>
                <w:sz w:val="24"/>
                <w:highlight w:val="none"/>
                <w:lang w:val="en-US" w:eastAsia="zh-CN"/>
              </w:rPr>
              <w:t>6.3</w:t>
            </w:r>
            <w:r>
              <w:rPr>
                <w:rFonts w:hint="eastAsia" w:cs="宋体"/>
                <w:sz w:val="24"/>
                <w:highlight w:val="none"/>
              </w:rPr>
              <w:t>消防</w:t>
            </w:r>
          </w:p>
          <w:p w14:paraId="31DAF83A">
            <w:pPr>
              <w:adjustRightInd w:val="0"/>
              <w:snapToGrid w:val="0"/>
              <w:spacing w:line="360" w:lineRule="auto"/>
              <w:ind w:firstLine="480" w:firstLineChars="200"/>
              <w:rPr>
                <w:color w:val="000000"/>
                <w:sz w:val="24"/>
                <w:highlight w:val="none"/>
              </w:rPr>
            </w:pPr>
            <w:r>
              <w:rPr>
                <w:rFonts w:hint="eastAsia"/>
                <w:color w:val="000000"/>
                <w:sz w:val="24"/>
                <w:highlight w:val="none"/>
              </w:rPr>
              <w:t>本项目不新建消防站，依托</w:t>
            </w:r>
            <w:r>
              <w:rPr>
                <w:rFonts w:hint="eastAsia"/>
                <w:color w:val="000000"/>
                <w:sz w:val="24"/>
                <w:highlight w:val="none"/>
                <w:lang w:eastAsia="zh-CN"/>
              </w:rPr>
              <w:t>“</w:t>
            </w:r>
            <w:r>
              <w:rPr>
                <w:rFonts w:hint="eastAsia"/>
                <w:color w:val="000000"/>
                <w:sz w:val="24"/>
                <w:highlight w:val="none"/>
              </w:rPr>
              <w:t>内蒙古伊泰化工有限责任公司120万吨/年精细化学品示范项目</w:t>
            </w:r>
            <w:r>
              <w:rPr>
                <w:rFonts w:hint="eastAsia"/>
                <w:color w:val="000000"/>
                <w:sz w:val="24"/>
                <w:highlight w:val="none"/>
                <w:lang w:eastAsia="zh-CN"/>
              </w:rPr>
              <w:t>”</w:t>
            </w:r>
            <w:r>
              <w:rPr>
                <w:rFonts w:hint="eastAsia"/>
                <w:color w:val="000000"/>
                <w:sz w:val="24"/>
                <w:highlight w:val="none"/>
              </w:rPr>
              <w:t>厂区内建设的一座消防站作为机动消防力量。工艺装置周围设置环形稳高压消防水管道，管道上设置室外地上式消火栓，供消防车灭火及移动水炮使用。装置内沿消防通道亦设置消防水管道，并在管道上设置室外地上式消火栓</w:t>
            </w:r>
            <w:r>
              <w:rPr>
                <w:color w:val="000000"/>
                <w:sz w:val="24"/>
                <w:highlight w:val="none"/>
              </w:rPr>
              <w:t>。</w:t>
            </w:r>
          </w:p>
          <w:p w14:paraId="460C5619">
            <w:pPr>
              <w:spacing w:line="360" w:lineRule="auto"/>
              <w:jc w:val="both"/>
              <w:rPr>
                <w:rFonts w:hint="default" w:cs="宋体"/>
                <w:b/>
                <w:bCs/>
                <w:sz w:val="24"/>
                <w:highlight w:val="none"/>
                <w:lang w:val="en-US"/>
              </w:rPr>
            </w:pPr>
            <w:r>
              <w:rPr>
                <w:rFonts w:hint="eastAsia" w:cs="宋体"/>
                <w:b/>
                <w:bCs/>
                <w:sz w:val="24"/>
                <w:highlight w:val="none"/>
                <w:lang w:val="en-US" w:eastAsia="zh-CN"/>
              </w:rPr>
              <w:t>7.工程占地</w:t>
            </w:r>
          </w:p>
          <w:p w14:paraId="76B15005">
            <w:pPr>
              <w:spacing w:line="360" w:lineRule="auto"/>
              <w:ind w:firstLine="480" w:firstLineChars="200"/>
              <w:rPr>
                <w:rFonts w:hint="default" w:eastAsia="宋体"/>
                <w:color w:val="000000"/>
                <w:sz w:val="24"/>
                <w:highlight w:val="none"/>
                <w:lang w:val="en-US" w:eastAsia="zh-CN"/>
              </w:rPr>
            </w:pPr>
            <w:r>
              <w:rPr>
                <w:rFonts w:hint="eastAsia" w:cs="宋体"/>
                <w:sz w:val="24"/>
                <w:highlight w:val="none"/>
                <w:lang w:val="en-US" w:eastAsia="zh-CN"/>
              </w:rPr>
              <w:t>本项目施工期不设单独施工营地，项目管线长度共计</w:t>
            </w:r>
            <w:r>
              <w:rPr>
                <w:rFonts w:hint="eastAsia" w:ascii="Times New Roman" w:hAnsi="Times New Roman" w:cs="Times New Roman"/>
                <w:sz w:val="24"/>
                <w:highlight w:val="none"/>
                <w:lang w:val="en-US" w:eastAsia="zh-CN"/>
              </w:rPr>
              <w:t>16.333km</w:t>
            </w:r>
            <w:r>
              <w:rPr>
                <w:rFonts w:hint="eastAsia" w:cs="Times New Roman"/>
                <w:sz w:val="24"/>
                <w:highlight w:val="none"/>
                <w:lang w:val="en-US" w:eastAsia="zh-CN"/>
              </w:rPr>
              <w:t>，</w:t>
            </w:r>
            <w:r>
              <w:rPr>
                <w:rFonts w:hint="eastAsia"/>
                <w:color w:val="000000"/>
                <w:sz w:val="24"/>
                <w:highlight w:val="none"/>
                <w:lang w:val="en-US" w:eastAsia="zh-CN"/>
              </w:rPr>
              <w:t>运营期管线均架空布设，不新增占地。</w:t>
            </w:r>
          </w:p>
        </w:tc>
      </w:tr>
      <w:tr w14:paraId="06DB2B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noWrap w:val="0"/>
            <w:vAlign w:val="center"/>
          </w:tcPr>
          <w:p w14:paraId="481E4D55">
            <w:pPr>
              <w:adjustRightInd w:val="0"/>
              <w:snapToGrid w:val="0"/>
              <w:jc w:val="center"/>
              <w:rPr>
                <w:rFonts w:ascii="宋体" w:hAnsi="宋体" w:cs="宋体"/>
                <w:kern w:val="0"/>
                <w:sz w:val="24"/>
                <w:highlight w:val="none"/>
              </w:rPr>
            </w:pPr>
            <w:r>
              <w:rPr>
                <w:rFonts w:hint="eastAsia" w:ascii="宋体" w:hAnsi="宋体" w:cs="宋体"/>
                <w:kern w:val="0"/>
                <w:sz w:val="24"/>
                <w:highlight w:val="none"/>
              </w:rPr>
              <w:t>总平面及现场布置</w:t>
            </w:r>
          </w:p>
        </w:tc>
        <w:tc>
          <w:tcPr>
            <w:tcW w:w="8732" w:type="dxa"/>
            <w:noWrap w:val="0"/>
            <w:vAlign w:val="center"/>
          </w:tcPr>
          <w:p w14:paraId="42D4CA83">
            <w:pPr>
              <w:numPr>
                <w:ilvl w:val="0"/>
                <w:numId w:val="0"/>
              </w:numPr>
              <w:adjustRightInd w:val="0"/>
              <w:snapToGrid w:val="0"/>
              <w:spacing w:line="360" w:lineRule="auto"/>
              <w:ind w:firstLine="480" w:firstLineChars="200"/>
              <w:rPr>
                <w:rFonts w:hint="eastAsia"/>
                <w:sz w:val="24"/>
                <w:highlight w:val="none"/>
              </w:rPr>
            </w:pPr>
            <w:r>
              <w:rPr>
                <w:rFonts w:hint="eastAsia" w:ascii="Times New Roman" w:hAnsi="Times New Roman" w:eastAsia="宋体" w:cs="Times New Roman"/>
                <w:kern w:val="2"/>
                <w:sz w:val="24"/>
                <w:szCs w:val="24"/>
                <w:highlight w:val="none"/>
                <w:lang w:val="en-US" w:eastAsia="zh-CN" w:bidi="ar-SA"/>
              </w:rPr>
              <w:t>1</w:t>
            </w:r>
            <w:r>
              <w:rPr>
                <w:rFonts w:hint="eastAsia" w:cs="Times New Roman"/>
                <w:kern w:val="2"/>
                <w:sz w:val="24"/>
                <w:szCs w:val="24"/>
                <w:highlight w:val="none"/>
                <w:lang w:val="en-US" w:eastAsia="zh-CN" w:bidi="ar-SA"/>
              </w:rPr>
              <w:t>.</w:t>
            </w:r>
            <w:r>
              <w:rPr>
                <w:rFonts w:hint="eastAsia" w:cs="宋体"/>
                <w:kern w:val="0"/>
                <w:sz w:val="24"/>
                <w:highlight w:val="none"/>
                <w:lang w:val="en-US" w:eastAsia="zh-CN"/>
              </w:rPr>
              <w:t>伊泰化工管廊</w:t>
            </w:r>
            <w:r>
              <w:rPr>
                <w:rFonts w:hint="eastAsia" w:cs="宋体"/>
                <w:kern w:val="0"/>
                <w:sz w:val="24"/>
                <w:highlight w:val="none"/>
              </w:rPr>
              <w:t>：</w:t>
            </w:r>
            <w:r>
              <w:rPr>
                <w:rFonts w:hint="eastAsia" w:cs="宋体"/>
                <w:kern w:val="0"/>
                <w:sz w:val="24"/>
                <w:highlight w:val="none"/>
                <w:lang w:val="en-US" w:eastAsia="zh-CN"/>
              </w:rPr>
              <w:t>利用现有</w:t>
            </w:r>
            <w:r>
              <w:rPr>
                <w:rFonts w:hint="eastAsia"/>
                <w:sz w:val="24"/>
                <w:highlight w:val="none"/>
                <w:lang w:val="en-US" w:eastAsia="zh-CN"/>
              </w:rPr>
              <w:t>内蒙古伊泰化工有限责任公司</w:t>
            </w:r>
            <w:r>
              <w:rPr>
                <w:rFonts w:hint="eastAsia" w:cs="宋体"/>
                <w:kern w:val="0"/>
                <w:sz w:val="24"/>
                <w:highlight w:val="none"/>
                <w:lang w:val="en-US" w:eastAsia="zh-CN"/>
              </w:rPr>
              <w:t>联博管廊</w:t>
            </w:r>
            <w:r>
              <w:rPr>
                <w:rFonts w:hint="eastAsia"/>
                <w:sz w:val="24"/>
                <w:highlight w:val="none"/>
                <w:lang w:val="en-US" w:eastAsia="zh-CN"/>
              </w:rPr>
              <w:t>在此基础上新建两层（采用架空敷设）</w:t>
            </w:r>
            <w:r>
              <w:rPr>
                <w:rFonts w:hint="eastAsia"/>
                <w:sz w:val="24"/>
                <w:highlight w:val="none"/>
              </w:rPr>
              <w:t>；</w:t>
            </w:r>
          </w:p>
          <w:p w14:paraId="7DC0920D">
            <w:pPr>
              <w:numPr>
                <w:ilvl w:val="0"/>
                <w:numId w:val="0"/>
              </w:numPr>
              <w:adjustRightInd w:val="0"/>
              <w:snapToGrid w:val="0"/>
              <w:spacing w:line="360" w:lineRule="auto"/>
              <w:ind w:firstLine="480" w:firstLineChars="200"/>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kern w:val="2"/>
                <w:sz w:val="24"/>
                <w:szCs w:val="24"/>
                <w:highlight w:val="none"/>
                <w:lang w:val="en-US" w:eastAsia="zh-CN" w:bidi="ar-SA"/>
              </w:rPr>
              <w:t>2</w:t>
            </w:r>
            <w:r>
              <w:rPr>
                <w:rFonts w:hint="eastAsia" w:cs="Times New Roman"/>
                <w:bCs/>
                <w:kern w:val="2"/>
                <w:sz w:val="24"/>
                <w:szCs w:val="24"/>
                <w:highlight w:val="none"/>
                <w:lang w:val="en-US" w:eastAsia="zh-CN" w:bidi="ar-SA"/>
              </w:rPr>
              <w:t>.</w:t>
            </w:r>
            <w:r>
              <w:rPr>
                <w:rFonts w:ascii="CIDFont" w:hAnsi="CIDFont" w:eastAsia="CIDFont" w:cs="CIDFont"/>
                <w:color w:val="000000"/>
                <w:kern w:val="0"/>
                <w:sz w:val="24"/>
                <w:szCs w:val="24"/>
                <w:highlight w:val="none"/>
                <w:lang w:val="en-US" w:eastAsia="zh-CN" w:bidi="ar"/>
              </w:rPr>
              <w:t>本</w:t>
            </w:r>
            <w:r>
              <w:rPr>
                <w:rFonts w:hint="default" w:ascii="Times New Roman" w:hAnsi="Times New Roman" w:eastAsia="宋体" w:cs="Times New Roman"/>
                <w:bCs/>
                <w:sz w:val="24"/>
                <w:highlight w:val="none"/>
                <w:lang w:val="en-US" w:eastAsia="zh-CN"/>
              </w:rPr>
              <w:t>项目所需新建管道共2</w:t>
            </w:r>
            <w:r>
              <w:rPr>
                <w:rFonts w:hint="eastAsia" w:cs="Times New Roman"/>
                <w:bCs/>
                <w:sz w:val="24"/>
                <w:highlight w:val="none"/>
                <w:lang w:val="en-US" w:eastAsia="zh-CN"/>
              </w:rPr>
              <w:t>3根：</w:t>
            </w:r>
          </w:p>
          <w:p w14:paraId="156680D5">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管道1</w:t>
            </w:r>
            <w:r>
              <w:rPr>
                <w:rFonts w:hint="eastAsia" w:cs="Times New Roman"/>
                <w:bCs/>
                <w:sz w:val="24"/>
                <w:highlight w:val="none"/>
                <w:lang w:val="en-US" w:eastAsia="zh-CN"/>
              </w:rPr>
              <w:t>来自</w:t>
            </w:r>
            <w:r>
              <w:rPr>
                <w:rFonts w:hint="default" w:ascii="Times New Roman" w:hAnsi="Times New Roman" w:eastAsia="宋体" w:cs="Times New Roman"/>
                <w:bCs/>
                <w:sz w:val="24"/>
                <w:highlight w:val="none"/>
                <w:lang w:val="en-US" w:eastAsia="zh-CN"/>
              </w:rPr>
              <w:t>尾气脱碳单元，该管道现在已经做好抽头，抽头位于尾气脱碳车间，通过该抽头沿着现有管廊新建管道至鹏泰生物公司管廊处。</w:t>
            </w:r>
          </w:p>
          <w:p w14:paraId="20A79A62">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管道2来为未变换净化气，现有管道抽头已经位于利旧管廊处，需要沿着该抽头处新建管道至鹏泰生物公司管廊。</w:t>
            </w:r>
          </w:p>
          <w:p w14:paraId="2D838E39">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管道3为鹏泰生物公司尾气</w:t>
            </w:r>
            <w:r>
              <w:rPr>
                <w:rFonts w:hint="eastAsia" w:cs="Times New Roman"/>
                <w:bCs/>
                <w:sz w:val="24"/>
                <w:highlight w:val="none"/>
                <w:lang w:val="en-US" w:eastAsia="zh-CN"/>
              </w:rPr>
              <w:t>管道</w:t>
            </w:r>
            <w:r>
              <w:rPr>
                <w:rFonts w:hint="default" w:ascii="Times New Roman" w:hAnsi="Times New Roman" w:eastAsia="宋体" w:cs="Times New Roman"/>
                <w:bCs/>
                <w:sz w:val="24"/>
                <w:highlight w:val="none"/>
                <w:lang w:val="en-US" w:eastAsia="zh-CN"/>
              </w:rPr>
              <w:t>，该处接点位于鹏泰生物管廊处，需要沿着该抽头新建管道至伊泰化工管廊抽头处。</w:t>
            </w:r>
          </w:p>
          <w:p w14:paraId="45EBCF11">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管道4为WRT甲烷尾气，该管道暂未抽头，为鹏泰生物公司输送至伊泰化工管道</w:t>
            </w:r>
            <w:r>
              <w:rPr>
                <w:rFonts w:hint="eastAsia" w:cs="Times New Roman"/>
                <w:bCs/>
                <w:sz w:val="24"/>
                <w:highlight w:val="none"/>
                <w:lang w:val="en-US" w:eastAsia="zh-CN"/>
              </w:rPr>
              <w:t>。</w:t>
            </w:r>
          </w:p>
          <w:p w14:paraId="16C55344">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w:t>
            </w:r>
            <w:r>
              <w:rPr>
                <w:rFonts w:hint="eastAsia" w:cs="Times New Roman"/>
                <w:bCs/>
                <w:sz w:val="24"/>
                <w:highlight w:val="none"/>
                <w:lang w:val="en-US" w:eastAsia="zh-CN"/>
              </w:rPr>
              <w:t>5</w:t>
            </w:r>
            <w:r>
              <w:rPr>
                <w:rFonts w:hint="default" w:ascii="Times New Roman" w:hAnsi="Times New Roman" w:eastAsia="宋体" w:cs="Times New Roman"/>
                <w:bCs/>
                <w:sz w:val="24"/>
                <w:highlight w:val="none"/>
                <w:lang w:val="en-US" w:eastAsia="zh-CN"/>
              </w:rPr>
              <w:t>为</w:t>
            </w:r>
            <w:r>
              <w:rPr>
                <w:rFonts w:hint="eastAsia" w:cs="Times New Roman"/>
                <w:bCs/>
                <w:sz w:val="24"/>
                <w:highlight w:val="none"/>
                <w:lang w:val="en-US" w:eastAsia="zh-CN"/>
              </w:rPr>
              <w:t>甲烷</w:t>
            </w:r>
            <w:r>
              <w:rPr>
                <w:rFonts w:hint="default" w:ascii="Times New Roman" w:hAnsi="Times New Roman" w:eastAsia="宋体" w:cs="Times New Roman"/>
                <w:bCs/>
                <w:sz w:val="24"/>
                <w:highlight w:val="none"/>
                <w:lang w:val="en-US" w:eastAsia="zh-CN"/>
              </w:rPr>
              <w:t>管道，暂未抽头，需要由伊泰化工新建管道至鹏泰生物公司的管廊处。</w:t>
            </w:r>
          </w:p>
          <w:p w14:paraId="7AF189F3">
            <w:pPr>
              <w:adjustRightInd w:val="0"/>
              <w:snapToGrid w:val="0"/>
              <w:spacing w:line="360" w:lineRule="auto"/>
              <w:ind w:firstLine="480" w:firstLineChars="200"/>
              <w:jc w:val="left"/>
              <w:rPr>
                <w:rFonts w:hint="eastAsia"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w:t>
            </w:r>
            <w:r>
              <w:rPr>
                <w:rFonts w:hint="eastAsia" w:cs="Times New Roman"/>
                <w:bCs/>
                <w:sz w:val="24"/>
                <w:highlight w:val="none"/>
                <w:lang w:val="en-US" w:eastAsia="zh-CN"/>
              </w:rPr>
              <w:t>6</w:t>
            </w:r>
            <w:r>
              <w:rPr>
                <w:rFonts w:hint="default" w:ascii="Times New Roman" w:hAnsi="Times New Roman" w:eastAsia="宋体" w:cs="Times New Roman"/>
                <w:bCs/>
                <w:sz w:val="24"/>
                <w:highlight w:val="none"/>
                <w:lang w:val="en-US" w:eastAsia="zh-CN"/>
              </w:rPr>
              <w:t>为低压含烃火炬，未抽头，需要在就近的含烃火炬总管处抽头后新建管道至鹏泰生物公司管廊处</w:t>
            </w:r>
            <w:r>
              <w:rPr>
                <w:rFonts w:hint="eastAsia" w:cs="Times New Roman"/>
                <w:bCs/>
                <w:sz w:val="24"/>
                <w:highlight w:val="none"/>
                <w:lang w:val="en-US" w:eastAsia="zh-CN"/>
              </w:rPr>
              <w:t>。</w:t>
            </w:r>
          </w:p>
          <w:p w14:paraId="7656E222">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w:t>
            </w:r>
            <w:r>
              <w:rPr>
                <w:rFonts w:hint="eastAsia" w:cs="Times New Roman"/>
                <w:bCs/>
                <w:sz w:val="24"/>
                <w:highlight w:val="none"/>
                <w:lang w:val="en-US" w:eastAsia="zh-CN"/>
              </w:rPr>
              <w:t>7</w:t>
            </w:r>
            <w:r>
              <w:rPr>
                <w:rFonts w:hint="default" w:ascii="Times New Roman" w:hAnsi="Times New Roman" w:eastAsia="宋体" w:cs="Times New Roman"/>
                <w:bCs/>
                <w:sz w:val="24"/>
                <w:highlight w:val="none"/>
                <w:lang w:val="en-US" w:eastAsia="zh-CN"/>
              </w:rPr>
              <w:t>为酸湿火炬，需要</w:t>
            </w:r>
            <w:r>
              <w:rPr>
                <w:rFonts w:hint="eastAsia" w:cs="Times New Roman"/>
                <w:bCs/>
                <w:sz w:val="24"/>
                <w:highlight w:val="none"/>
                <w:lang w:val="en-US" w:eastAsia="zh-CN"/>
              </w:rPr>
              <w:t>在</w:t>
            </w:r>
            <w:r>
              <w:rPr>
                <w:rFonts w:hint="default" w:ascii="Times New Roman" w:hAnsi="Times New Roman" w:eastAsia="宋体" w:cs="Times New Roman"/>
                <w:bCs/>
                <w:sz w:val="24"/>
                <w:highlight w:val="none"/>
                <w:lang w:val="en-US" w:eastAsia="zh-CN"/>
              </w:rPr>
              <w:t>就近的酸湿火炬总管处抽头，新建管道至鹏泰生物公司管廊处。</w:t>
            </w:r>
          </w:p>
          <w:p w14:paraId="29F8F77D">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w:t>
            </w:r>
            <w:r>
              <w:rPr>
                <w:rFonts w:hint="eastAsia" w:cs="Times New Roman"/>
                <w:bCs/>
                <w:sz w:val="24"/>
                <w:highlight w:val="none"/>
                <w:lang w:val="en-US" w:eastAsia="zh-CN"/>
              </w:rPr>
              <w:t>8</w:t>
            </w:r>
            <w:r>
              <w:rPr>
                <w:rFonts w:hint="default" w:ascii="Times New Roman" w:hAnsi="Times New Roman" w:eastAsia="宋体" w:cs="Times New Roman"/>
                <w:bCs/>
                <w:sz w:val="24"/>
                <w:highlight w:val="none"/>
                <w:lang w:val="en-US" w:eastAsia="zh-CN"/>
              </w:rPr>
              <w:t>为中压蒸汽管道，已在现有伊泰化工管廊处抽头，需要在抽头处新增管道至鹏泰生物公司管廊。</w:t>
            </w:r>
          </w:p>
          <w:p w14:paraId="1A5DCE76">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w:t>
            </w:r>
            <w:r>
              <w:rPr>
                <w:rFonts w:hint="eastAsia" w:cs="Times New Roman"/>
                <w:bCs/>
                <w:sz w:val="24"/>
                <w:highlight w:val="none"/>
                <w:lang w:val="en-US" w:eastAsia="zh-CN"/>
              </w:rPr>
              <w:t>9</w:t>
            </w:r>
            <w:r>
              <w:rPr>
                <w:rFonts w:hint="default" w:ascii="Times New Roman" w:hAnsi="Times New Roman" w:eastAsia="宋体" w:cs="Times New Roman"/>
                <w:bCs/>
                <w:sz w:val="24"/>
                <w:highlight w:val="none"/>
                <w:lang w:val="en-US" w:eastAsia="zh-CN"/>
              </w:rPr>
              <w:t>为冷凝水管道，已在现有伊泰化工管廊处抽头，需要在抽头处新增管道至鹏泰生物公司管廊。</w:t>
            </w:r>
          </w:p>
          <w:p w14:paraId="6D653097">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w:t>
            </w:r>
            <w:r>
              <w:rPr>
                <w:rFonts w:hint="eastAsia" w:cs="Times New Roman"/>
                <w:bCs/>
                <w:sz w:val="24"/>
                <w:highlight w:val="none"/>
                <w:lang w:val="en-US" w:eastAsia="zh-CN"/>
              </w:rPr>
              <w:t>10</w:t>
            </w:r>
            <w:r>
              <w:rPr>
                <w:rFonts w:hint="default" w:ascii="Times New Roman" w:hAnsi="Times New Roman" w:eastAsia="宋体" w:cs="Times New Roman"/>
                <w:bCs/>
                <w:sz w:val="24"/>
                <w:highlight w:val="none"/>
                <w:lang w:val="en-US" w:eastAsia="zh-CN"/>
              </w:rPr>
              <w:t>，1</w:t>
            </w:r>
            <w:r>
              <w:rPr>
                <w:rFonts w:hint="eastAsia" w:cs="Times New Roman"/>
                <w:bCs/>
                <w:sz w:val="24"/>
                <w:highlight w:val="none"/>
                <w:lang w:val="en-US" w:eastAsia="zh-CN"/>
              </w:rPr>
              <w:t>1</w:t>
            </w:r>
            <w:r>
              <w:rPr>
                <w:rFonts w:hint="default" w:ascii="Times New Roman" w:hAnsi="Times New Roman" w:eastAsia="宋体" w:cs="Times New Roman"/>
                <w:bCs/>
                <w:sz w:val="24"/>
                <w:highlight w:val="none"/>
                <w:lang w:val="en-US" w:eastAsia="zh-CN"/>
              </w:rPr>
              <w:t>，</w:t>
            </w:r>
            <w:r>
              <w:rPr>
                <w:rFonts w:hint="eastAsia" w:cs="Times New Roman"/>
                <w:bCs/>
                <w:sz w:val="24"/>
                <w:highlight w:val="none"/>
                <w:lang w:val="en-US" w:eastAsia="zh-CN"/>
              </w:rPr>
              <w:t>12</w:t>
            </w:r>
            <w:r>
              <w:rPr>
                <w:rFonts w:hint="default" w:ascii="Times New Roman" w:hAnsi="Times New Roman" w:eastAsia="宋体" w:cs="Times New Roman"/>
                <w:bCs/>
                <w:sz w:val="24"/>
                <w:highlight w:val="none"/>
                <w:lang w:val="en-US" w:eastAsia="zh-CN"/>
              </w:rPr>
              <w:t>为仪表空气</w:t>
            </w:r>
            <w:r>
              <w:rPr>
                <w:rFonts w:hint="eastAsia" w:cs="Times New Roman"/>
                <w:bCs/>
                <w:sz w:val="24"/>
                <w:highlight w:val="none"/>
                <w:lang w:val="en-US" w:eastAsia="zh-CN"/>
              </w:rPr>
              <w:t>管道</w:t>
            </w:r>
            <w:r>
              <w:rPr>
                <w:rFonts w:hint="default" w:ascii="Times New Roman" w:hAnsi="Times New Roman" w:eastAsia="宋体" w:cs="Times New Roman"/>
                <w:bCs/>
                <w:sz w:val="24"/>
                <w:highlight w:val="none"/>
                <w:lang w:val="en-US" w:eastAsia="zh-CN"/>
              </w:rPr>
              <w:t>，</w:t>
            </w:r>
            <w:r>
              <w:rPr>
                <w:rFonts w:hint="eastAsia" w:cs="Times New Roman"/>
                <w:bCs/>
                <w:sz w:val="24"/>
                <w:highlight w:val="none"/>
                <w:lang w:val="en-US" w:eastAsia="zh-CN"/>
              </w:rPr>
              <w:t>工厂风</w:t>
            </w:r>
            <w:r>
              <w:rPr>
                <w:rFonts w:hint="default" w:ascii="Times New Roman" w:hAnsi="Times New Roman" w:eastAsia="宋体" w:cs="Times New Roman"/>
                <w:bCs/>
                <w:sz w:val="24"/>
                <w:highlight w:val="none"/>
                <w:lang w:val="en-US" w:eastAsia="zh-CN"/>
              </w:rPr>
              <w:t>和氮气管道，已在现有伊泰化工管廊处抽头，需要在抽头处新增管道至鹏泰生物公司管廊。</w:t>
            </w:r>
          </w:p>
          <w:p w14:paraId="3601C4B6">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管道1</w:t>
            </w:r>
            <w:r>
              <w:rPr>
                <w:rFonts w:hint="eastAsia" w:ascii="Times New Roman" w:hAnsi="Times New Roman" w:eastAsia="宋体" w:cs="Times New Roman"/>
                <w:bCs/>
                <w:sz w:val="24"/>
                <w:highlight w:val="none"/>
                <w:lang w:val="en-US" w:eastAsia="zh-CN"/>
              </w:rPr>
              <w:t>3</w:t>
            </w:r>
            <w:r>
              <w:rPr>
                <w:rFonts w:hint="default" w:ascii="Times New Roman" w:hAnsi="Times New Roman" w:eastAsia="宋体" w:cs="Times New Roman"/>
                <w:bCs/>
                <w:sz w:val="24"/>
                <w:highlight w:val="none"/>
                <w:lang w:val="en-US" w:eastAsia="zh-CN"/>
              </w:rPr>
              <w:t>为黄河水，</w:t>
            </w:r>
            <w:r>
              <w:rPr>
                <w:rFonts w:hint="eastAsia" w:cs="Times New Roman"/>
                <w:bCs/>
                <w:sz w:val="24"/>
                <w:highlight w:val="none"/>
                <w:lang w:val="en-US" w:eastAsia="zh-CN"/>
              </w:rPr>
              <w:t>黄河水管线</w:t>
            </w:r>
            <w:r>
              <w:rPr>
                <w:rFonts w:hint="eastAsia" w:ascii="Times New Roman" w:hAnsi="Times New Roman" w:eastAsia="宋体" w:cs="Times New Roman"/>
                <w:bCs/>
                <w:sz w:val="24"/>
                <w:highlight w:val="none"/>
                <w:lang w:val="en-US" w:eastAsia="zh-CN"/>
              </w:rPr>
              <w:t>接至已有埋地管道</w:t>
            </w:r>
            <w:r>
              <w:rPr>
                <w:rFonts w:hint="eastAsia" w:cs="Times New Roman"/>
                <w:bCs/>
                <w:sz w:val="24"/>
                <w:highlight w:val="none"/>
                <w:lang w:val="en-US" w:eastAsia="zh-CN"/>
              </w:rPr>
              <w:t>预留接口</w:t>
            </w:r>
            <w:r>
              <w:rPr>
                <w:rFonts w:hint="eastAsia" w:ascii="Times New Roman" w:hAnsi="Times New Roman" w:eastAsia="宋体" w:cs="Times New Roman"/>
                <w:bCs/>
                <w:sz w:val="24"/>
                <w:highlight w:val="none"/>
                <w:lang w:val="en-US" w:eastAsia="zh-CN"/>
              </w:rPr>
              <w:t>，</w:t>
            </w:r>
            <w:r>
              <w:rPr>
                <w:rFonts w:hint="eastAsia" w:cs="Times New Roman"/>
                <w:bCs/>
                <w:sz w:val="24"/>
                <w:highlight w:val="none"/>
                <w:lang w:val="en-US" w:eastAsia="zh-CN"/>
              </w:rPr>
              <w:t>管线整体采用架空敷设，管线从</w:t>
            </w:r>
            <w:r>
              <w:rPr>
                <w:rFonts w:hint="eastAsia" w:ascii="Times New Roman" w:hAnsi="Times New Roman" w:eastAsia="宋体" w:cs="Times New Roman"/>
                <w:bCs/>
                <w:sz w:val="24"/>
                <w:highlight w:val="none"/>
                <w:lang w:val="en-US" w:eastAsia="zh-CN"/>
              </w:rPr>
              <w:t>支墩上</w:t>
            </w:r>
            <w:r>
              <w:rPr>
                <w:rFonts w:hint="default" w:ascii="Times New Roman" w:hAnsi="Times New Roman" w:eastAsia="宋体" w:cs="Times New Roman"/>
                <w:bCs/>
                <w:sz w:val="24"/>
                <w:highlight w:val="none"/>
                <w:lang w:val="en-US" w:eastAsia="zh-CN"/>
              </w:rPr>
              <w:t>引入伊泰化工管廊，</w:t>
            </w:r>
            <w:r>
              <w:rPr>
                <w:rFonts w:hint="eastAsia" w:cs="Times New Roman"/>
                <w:bCs/>
                <w:sz w:val="24"/>
                <w:highlight w:val="none"/>
                <w:lang w:val="en-US" w:eastAsia="zh-CN"/>
              </w:rPr>
              <w:t>距离管廊共计200m，最终</w:t>
            </w:r>
            <w:r>
              <w:rPr>
                <w:rFonts w:hint="default" w:ascii="Times New Roman" w:hAnsi="Times New Roman" w:eastAsia="宋体" w:cs="Times New Roman"/>
                <w:bCs/>
                <w:sz w:val="24"/>
                <w:highlight w:val="none"/>
                <w:lang w:val="en-US" w:eastAsia="zh-CN"/>
              </w:rPr>
              <w:t>输送至鹏泰化工管廊处。</w:t>
            </w:r>
          </w:p>
          <w:p w14:paraId="683F2B6F">
            <w:pPr>
              <w:adjustRightInd w:val="0"/>
              <w:snapToGrid w:val="0"/>
              <w:spacing w:line="360" w:lineRule="auto"/>
              <w:ind w:firstLine="480" w:firstLineChars="200"/>
              <w:jc w:val="left"/>
              <w:rPr>
                <w:rFonts w:hint="eastAsia"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w:t>
            </w:r>
            <w:r>
              <w:rPr>
                <w:rFonts w:hint="eastAsia" w:cs="Times New Roman"/>
                <w:bCs/>
                <w:sz w:val="24"/>
                <w:highlight w:val="none"/>
                <w:lang w:val="en-US" w:eastAsia="zh-CN"/>
              </w:rPr>
              <w:t>14</w:t>
            </w:r>
            <w:r>
              <w:rPr>
                <w:rFonts w:hint="default" w:ascii="Times New Roman" w:hAnsi="Times New Roman" w:eastAsia="宋体" w:cs="Times New Roman"/>
                <w:bCs/>
                <w:sz w:val="24"/>
                <w:highlight w:val="none"/>
                <w:lang w:val="en-US" w:eastAsia="zh-CN"/>
              </w:rPr>
              <w:t>为回用水，已在现有伊泰化工管廊处抽头，需要在抽头处新增管道至鹏泰生物公司管廊</w:t>
            </w:r>
            <w:r>
              <w:rPr>
                <w:rFonts w:hint="eastAsia" w:cs="Times New Roman"/>
                <w:bCs/>
                <w:sz w:val="24"/>
                <w:highlight w:val="none"/>
                <w:lang w:val="en-US" w:eastAsia="zh-CN"/>
              </w:rPr>
              <w:t>。</w:t>
            </w:r>
          </w:p>
          <w:p w14:paraId="58BB463E">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w:t>
            </w:r>
            <w:r>
              <w:rPr>
                <w:rFonts w:hint="eastAsia" w:cs="Times New Roman"/>
                <w:bCs/>
                <w:sz w:val="24"/>
                <w:highlight w:val="none"/>
                <w:lang w:val="en-US" w:eastAsia="zh-CN"/>
              </w:rPr>
              <w:t>15</w:t>
            </w:r>
            <w:r>
              <w:rPr>
                <w:rFonts w:hint="default" w:ascii="Times New Roman" w:hAnsi="Times New Roman" w:eastAsia="宋体" w:cs="Times New Roman"/>
                <w:bCs/>
                <w:sz w:val="24"/>
                <w:highlight w:val="none"/>
                <w:lang w:val="en-US" w:eastAsia="zh-CN"/>
              </w:rPr>
              <w:t>和</w:t>
            </w:r>
            <w:r>
              <w:rPr>
                <w:rFonts w:hint="eastAsia" w:cs="Times New Roman"/>
                <w:bCs/>
                <w:sz w:val="24"/>
                <w:highlight w:val="none"/>
                <w:lang w:val="en-US" w:eastAsia="zh-CN"/>
              </w:rPr>
              <w:t>16</w:t>
            </w:r>
            <w:r>
              <w:rPr>
                <w:rFonts w:hint="default" w:ascii="Times New Roman" w:hAnsi="Times New Roman" w:eastAsia="宋体" w:cs="Times New Roman"/>
                <w:bCs/>
                <w:sz w:val="24"/>
                <w:highlight w:val="none"/>
                <w:lang w:val="en-US" w:eastAsia="zh-CN"/>
              </w:rPr>
              <w:t>为污水</w:t>
            </w:r>
            <w:r>
              <w:rPr>
                <w:rFonts w:hint="eastAsia" w:cs="Times New Roman"/>
                <w:bCs/>
                <w:sz w:val="24"/>
                <w:highlight w:val="none"/>
                <w:lang w:val="en-US" w:eastAsia="zh-CN"/>
              </w:rPr>
              <w:t>管道</w:t>
            </w:r>
            <w:r>
              <w:rPr>
                <w:rFonts w:hint="default" w:ascii="Times New Roman" w:hAnsi="Times New Roman" w:eastAsia="宋体" w:cs="Times New Roman"/>
                <w:bCs/>
                <w:sz w:val="24"/>
                <w:highlight w:val="none"/>
                <w:lang w:val="en-US" w:eastAsia="zh-CN"/>
              </w:rPr>
              <w:t>，分别在污水处理池和调浆装置附近做好抽头，需要在抽头处新增管道至鹏泰生物公司管廊。</w:t>
            </w:r>
          </w:p>
          <w:p w14:paraId="37327A60">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w:t>
            </w:r>
            <w:r>
              <w:rPr>
                <w:rFonts w:hint="eastAsia" w:cs="Times New Roman"/>
                <w:bCs/>
                <w:sz w:val="24"/>
                <w:highlight w:val="none"/>
                <w:lang w:val="en-US" w:eastAsia="zh-CN"/>
              </w:rPr>
              <w:t>17</w:t>
            </w:r>
            <w:r>
              <w:rPr>
                <w:rFonts w:hint="default" w:ascii="Times New Roman" w:hAnsi="Times New Roman" w:eastAsia="宋体" w:cs="Times New Roman"/>
                <w:bCs/>
                <w:sz w:val="24"/>
                <w:highlight w:val="none"/>
                <w:lang w:val="en-US" w:eastAsia="zh-CN"/>
              </w:rPr>
              <w:t>为清净废水</w:t>
            </w:r>
            <w:r>
              <w:rPr>
                <w:rFonts w:hint="eastAsia" w:cs="Times New Roman"/>
                <w:bCs/>
                <w:sz w:val="24"/>
                <w:highlight w:val="none"/>
                <w:lang w:val="en-US" w:eastAsia="zh-CN"/>
              </w:rPr>
              <w:t>管道</w:t>
            </w:r>
            <w:r>
              <w:rPr>
                <w:rFonts w:hint="default" w:ascii="Times New Roman" w:hAnsi="Times New Roman" w:eastAsia="宋体" w:cs="Times New Roman"/>
                <w:bCs/>
                <w:sz w:val="24"/>
                <w:highlight w:val="none"/>
                <w:lang w:val="en-US" w:eastAsia="zh-CN"/>
              </w:rPr>
              <w:t>，暂未抽头</w:t>
            </w:r>
            <w:r>
              <w:rPr>
                <w:rFonts w:hint="eastAsia" w:cs="Times New Roman"/>
                <w:bCs/>
                <w:sz w:val="24"/>
                <w:highlight w:val="none"/>
                <w:lang w:val="en-US" w:eastAsia="zh-CN"/>
              </w:rPr>
              <w:t>；</w:t>
            </w:r>
            <w:r>
              <w:rPr>
                <w:rFonts w:hint="default" w:ascii="Times New Roman" w:hAnsi="Times New Roman" w:eastAsia="宋体" w:cs="Times New Roman"/>
                <w:bCs/>
                <w:sz w:val="24"/>
                <w:highlight w:val="none"/>
                <w:lang w:val="en-US" w:eastAsia="zh-CN"/>
              </w:rPr>
              <w:t>需要在就近</w:t>
            </w:r>
            <w:r>
              <w:rPr>
                <w:rFonts w:hint="eastAsia" w:cs="Times New Roman"/>
                <w:bCs/>
                <w:sz w:val="24"/>
                <w:highlight w:val="none"/>
                <w:lang w:val="en-US" w:eastAsia="zh-CN"/>
              </w:rPr>
              <w:t>的</w:t>
            </w:r>
            <w:r>
              <w:rPr>
                <w:rFonts w:hint="default" w:ascii="Times New Roman" w:hAnsi="Times New Roman" w:eastAsia="宋体" w:cs="Times New Roman"/>
                <w:bCs/>
                <w:sz w:val="24"/>
                <w:highlight w:val="none"/>
                <w:lang w:val="en-US" w:eastAsia="zh-CN"/>
              </w:rPr>
              <w:t>清净废水管道处抽头，新增管道至鹏泰生物公司管廊。</w:t>
            </w:r>
          </w:p>
          <w:p w14:paraId="1541835B">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w:t>
            </w:r>
            <w:r>
              <w:rPr>
                <w:rFonts w:hint="eastAsia" w:cs="Times New Roman"/>
                <w:bCs/>
                <w:sz w:val="24"/>
                <w:highlight w:val="none"/>
                <w:lang w:val="en-US" w:eastAsia="zh-CN"/>
              </w:rPr>
              <w:t>18</w:t>
            </w:r>
            <w:r>
              <w:rPr>
                <w:rFonts w:hint="default" w:ascii="Times New Roman" w:hAnsi="Times New Roman" w:eastAsia="宋体" w:cs="Times New Roman"/>
                <w:bCs/>
                <w:sz w:val="24"/>
                <w:highlight w:val="none"/>
                <w:lang w:val="en-US" w:eastAsia="zh-CN"/>
              </w:rPr>
              <w:t>为酸性气体管道，已在伊泰化工管廊处抽头，需要在抽头处新增管道至鹏泰生物公司管廊。</w:t>
            </w:r>
          </w:p>
          <w:p w14:paraId="0A4AED34">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w:t>
            </w:r>
            <w:r>
              <w:rPr>
                <w:rFonts w:hint="eastAsia" w:cs="Times New Roman"/>
                <w:bCs/>
                <w:sz w:val="24"/>
                <w:highlight w:val="none"/>
                <w:lang w:val="en-US" w:eastAsia="zh-CN"/>
              </w:rPr>
              <w:t>19</w:t>
            </w:r>
            <w:r>
              <w:rPr>
                <w:rFonts w:hint="default" w:ascii="Times New Roman" w:hAnsi="Times New Roman" w:eastAsia="宋体" w:cs="Times New Roman"/>
                <w:bCs/>
                <w:sz w:val="24"/>
                <w:highlight w:val="none"/>
                <w:lang w:val="en-US" w:eastAsia="zh-CN"/>
              </w:rPr>
              <w:t>，</w:t>
            </w:r>
            <w:r>
              <w:rPr>
                <w:rFonts w:hint="eastAsia" w:cs="Times New Roman"/>
                <w:bCs/>
                <w:sz w:val="24"/>
                <w:highlight w:val="none"/>
                <w:lang w:val="en-US" w:eastAsia="zh-CN"/>
              </w:rPr>
              <w:t>20</w:t>
            </w:r>
            <w:r>
              <w:rPr>
                <w:rFonts w:hint="default" w:ascii="Times New Roman" w:hAnsi="Times New Roman" w:eastAsia="宋体" w:cs="Times New Roman"/>
                <w:bCs/>
                <w:sz w:val="24"/>
                <w:highlight w:val="none"/>
                <w:lang w:val="en-US" w:eastAsia="zh-CN"/>
              </w:rPr>
              <w:t>为冷冻水</w:t>
            </w:r>
            <w:r>
              <w:rPr>
                <w:rFonts w:hint="eastAsia" w:cs="Times New Roman"/>
                <w:bCs/>
                <w:sz w:val="24"/>
                <w:highlight w:val="none"/>
                <w:lang w:val="en-US" w:eastAsia="zh-CN"/>
              </w:rPr>
              <w:t>来</w:t>
            </w:r>
            <w:r>
              <w:rPr>
                <w:rFonts w:hint="default" w:ascii="Times New Roman" w:hAnsi="Times New Roman" w:eastAsia="宋体" w:cs="Times New Roman"/>
                <w:bCs/>
                <w:sz w:val="24"/>
                <w:highlight w:val="none"/>
                <w:lang w:val="en-US" w:eastAsia="zh-CN"/>
              </w:rPr>
              <w:t>水和回水，无须抽头，在冷冻机装置附近直接新建管道至鹏泰生物公司即可。</w:t>
            </w:r>
          </w:p>
          <w:p w14:paraId="3CE1C1DD">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管道</w:t>
            </w:r>
            <w:r>
              <w:rPr>
                <w:rFonts w:hint="eastAsia" w:cs="Times New Roman"/>
                <w:bCs/>
                <w:sz w:val="24"/>
                <w:highlight w:val="none"/>
                <w:lang w:val="en-US" w:eastAsia="zh-CN"/>
              </w:rPr>
              <w:t>21</w:t>
            </w:r>
            <w:r>
              <w:rPr>
                <w:rFonts w:hint="default" w:ascii="Times New Roman" w:hAnsi="Times New Roman" w:eastAsia="宋体" w:cs="Times New Roman"/>
                <w:bCs/>
                <w:sz w:val="24"/>
                <w:highlight w:val="none"/>
                <w:lang w:val="en-US" w:eastAsia="zh-CN"/>
              </w:rPr>
              <w:t>为</w:t>
            </w:r>
            <w:r>
              <w:rPr>
                <w:rFonts w:hint="eastAsia" w:cs="Times New Roman"/>
                <w:bCs/>
                <w:sz w:val="24"/>
                <w:highlight w:val="none"/>
                <w:lang w:val="en-US" w:eastAsia="zh-CN"/>
              </w:rPr>
              <w:t>富甲烷气</w:t>
            </w:r>
            <w:r>
              <w:rPr>
                <w:rFonts w:hint="default" w:ascii="Times New Roman" w:hAnsi="Times New Roman" w:eastAsia="宋体" w:cs="Times New Roman"/>
                <w:bCs/>
                <w:sz w:val="24"/>
                <w:highlight w:val="none"/>
                <w:lang w:val="en-US" w:eastAsia="zh-CN"/>
              </w:rPr>
              <w:t>，由鹏泰生物公司管道处，新建管道接至伊泰化工。</w:t>
            </w:r>
          </w:p>
          <w:p w14:paraId="0DDC93A7">
            <w:pPr>
              <w:adjustRightInd w:val="0"/>
              <w:snapToGrid w:val="0"/>
              <w:spacing w:line="360" w:lineRule="auto"/>
              <w:ind w:firstLine="480" w:firstLineChars="200"/>
              <w:jc w:val="left"/>
              <w:rPr>
                <w:rFonts w:hint="eastAsia" w:ascii="宋体" w:hAnsi="宋体" w:eastAsia="宋体" w:cs="宋体"/>
                <w:color w:val="0000FF"/>
                <w:kern w:val="0"/>
                <w:szCs w:val="21"/>
                <w:highlight w:val="none"/>
                <w:lang w:val="en-US" w:eastAsia="zh-CN"/>
              </w:rPr>
            </w:pPr>
            <w:r>
              <w:rPr>
                <w:rFonts w:hint="default" w:ascii="Times New Roman" w:hAnsi="Times New Roman" w:eastAsia="宋体" w:cs="Times New Roman"/>
                <w:bCs/>
                <w:sz w:val="24"/>
                <w:highlight w:val="none"/>
                <w:lang w:val="en-US" w:eastAsia="zh-CN"/>
              </w:rPr>
              <w:t>管道</w:t>
            </w:r>
            <w:r>
              <w:rPr>
                <w:rFonts w:hint="eastAsia" w:cs="Times New Roman"/>
                <w:bCs/>
                <w:sz w:val="24"/>
                <w:highlight w:val="none"/>
                <w:lang w:val="en-US" w:eastAsia="zh-CN"/>
              </w:rPr>
              <w:t>22</w:t>
            </w:r>
            <w:r>
              <w:rPr>
                <w:rFonts w:hint="default" w:ascii="Times New Roman" w:hAnsi="Times New Roman" w:eastAsia="宋体" w:cs="Times New Roman"/>
                <w:bCs/>
                <w:sz w:val="24"/>
                <w:highlight w:val="none"/>
                <w:lang w:val="en-US" w:eastAsia="zh-CN"/>
              </w:rPr>
              <w:t>，</w:t>
            </w:r>
            <w:r>
              <w:rPr>
                <w:rFonts w:hint="eastAsia" w:cs="Times New Roman"/>
                <w:bCs/>
                <w:sz w:val="24"/>
                <w:highlight w:val="none"/>
                <w:lang w:val="en-US" w:eastAsia="zh-CN"/>
              </w:rPr>
              <w:t>23</w:t>
            </w:r>
            <w:r>
              <w:rPr>
                <w:rFonts w:hint="default" w:ascii="Times New Roman" w:hAnsi="Times New Roman" w:eastAsia="宋体" w:cs="Times New Roman"/>
                <w:bCs/>
                <w:sz w:val="24"/>
                <w:highlight w:val="none"/>
                <w:lang w:val="en-US" w:eastAsia="zh-CN"/>
              </w:rPr>
              <w:t>为真空泵尾气管道，CO</w:t>
            </w:r>
            <w:r>
              <w:rPr>
                <w:rFonts w:hint="default" w:ascii="Times New Roman" w:hAnsi="Times New Roman" w:eastAsia="宋体" w:cs="Times New Roman"/>
                <w:bCs/>
                <w:sz w:val="24"/>
                <w:highlight w:val="none"/>
                <w:vertAlign w:val="subscript"/>
                <w:lang w:val="en-US" w:eastAsia="zh-CN"/>
              </w:rPr>
              <w:t>2</w:t>
            </w:r>
            <w:r>
              <w:rPr>
                <w:rFonts w:hint="default" w:ascii="Times New Roman" w:hAnsi="Times New Roman" w:eastAsia="宋体" w:cs="Times New Roman"/>
                <w:bCs/>
                <w:sz w:val="24"/>
                <w:highlight w:val="none"/>
                <w:lang w:val="en-US" w:eastAsia="zh-CN"/>
              </w:rPr>
              <w:t>管道，暂时未抽头，需要在就近主管处抽头后经过伊泰化工管廊输送至鹏泰生物公司管廊</w:t>
            </w:r>
            <w:r>
              <w:rPr>
                <w:rFonts w:hint="default" w:ascii="Times New Roman" w:hAnsi="Times New Roman" w:eastAsia="宋体" w:cs="Times New Roman"/>
                <w:bCs/>
                <w:sz w:val="24"/>
                <w:szCs w:val="24"/>
                <w:highlight w:val="none"/>
                <w:lang w:val="en-US" w:eastAsia="zh-CN"/>
              </w:rPr>
              <w:t>。</w:t>
            </w:r>
            <w:r>
              <w:rPr>
                <w:rFonts w:hint="eastAsia"/>
                <w:sz w:val="24"/>
                <w:szCs w:val="24"/>
                <w:highlight w:val="none"/>
                <w:lang w:eastAsia="zh-CN"/>
              </w:rPr>
              <w:t>（</w:t>
            </w:r>
            <w:r>
              <w:rPr>
                <w:rFonts w:hint="eastAsia"/>
                <w:sz w:val="24"/>
                <w:szCs w:val="24"/>
                <w:highlight w:val="none"/>
                <w:lang w:val="en-US" w:eastAsia="zh-CN"/>
              </w:rPr>
              <w:t>具体内容见附图二</w:t>
            </w:r>
            <w:r>
              <w:rPr>
                <w:rFonts w:hint="eastAsia"/>
                <w:highlight w:val="none"/>
                <w:lang w:eastAsia="zh-CN"/>
              </w:rPr>
              <w:t>）</w:t>
            </w:r>
          </w:p>
        </w:tc>
      </w:tr>
      <w:tr w14:paraId="60509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456" w:type="dxa"/>
            <w:noWrap w:val="0"/>
            <w:vAlign w:val="center"/>
          </w:tcPr>
          <w:p w14:paraId="5F2D90F0">
            <w:pPr>
              <w:adjustRightInd w:val="0"/>
              <w:snapToGrid w:val="0"/>
              <w:jc w:val="center"/>
              <w:rPr>
                <w:rFonts w:ascii="宋体" w:hAnsi="宋体" w:cs="宋体"/>
                <w:kern w:val="0"/>
                <w:sz w:val="24"/>
                <w:highlight w:val="none"/>
              </w:rPr>
            </w:pPr>
            <w:r>
              <w:rPr>
                <w:rFonts w:hint="eastAsia" w:ascii="宋体" w:hAnsi="宋体" w:cs="宋体"/>
                <w:kern w:val="0"/>
                <w:sz w:val="24"/>
                <w:highlight w:val="none"/>
              </w:rPr>
              <w:t>施工方案</w:t>
            </w:r>
          </w:p>
        </w:tc>
        <w:tc>
          <w:tcPr>
            <w:tcW w:w="8732" w:type="dxa"/>
            <w:noWrap w:val="0"/>
            <w:vAlign w:val="center"/>
          </w:tcPr>
          <w:p w14:paraId="74095EDA">
            <w:pPr>
              <w:spacing w:line="360" w:lineRule="auto"/>
              <w:rPr>
                <w:rFonts w:hint="default"/>
                <w:color w:val="auto"/>
                <w:highlight w:val="none"/>
                <w:lang w:val="en-US"/>
              </w:rPr>
            </w:pPr>
            <w:r>
              <w:rPr>
                <w:rFonts w:hint="eastAsia"/>
                <w:b/>
                <w:bCs/>
                <w:sz w:val="24"/>
                <w:szCs w:val="32"/>
                <w:highlight w:val="none"/>
                <w:lang w:val="en-US" w:eastAsia="zh-CN"/>
              </w:rPr>
              <w:t>1.施工方案</w:t>
            </w:r>
          </w:p>
          <w:p w14:paraId="0DD71668">
            <w:pPr>
              <w:ind w:firstLine="0" w:firstLineChars="0"/>
              <w:jc w:val="center"/>
              <w:rPr>
                <w:color w:val="auto"/>
                <w:highlight w:val="none"/>
              </w:rPr>
            </w:pPr>
            <w:r>
              <w:rPr>
                <w:highlight w:val="none"/>
              </w:rPr>
              <w:drawing>
                <wp:inline distT="0" distB="0" distL="114300" distR="114300">
                  <wp:extent cx="5120640" cy="2225040"/>
                  <wp:effectExtent l="0" t="0" r="3810" b="381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6"/>
                          <a:stretch>
                            <a:fillRect/>
                          </a:stretch>
                        </pic:blipFill>
                        <pic:spPr>
                          <a:xfrm>
                            <a:off x="0" y="0"/>
                            <a:ext cx="5120640" cy="2225040"/>
                          </a:xfrm>
                          <a:prstGeom prst="rect">
                            <a:avLst/>
                          </a:prstGeom>
                          <a:noFill/>
                          <a:ln>
                            <a:noFill/>
                          </a:ln>
                        </pic:spPr>
                      </pic:pic>
                    </a:graphicData>
                  </a:graphic>
                </wp:inline>
              </w:drawing>
            </w:r>
          </w:p>
          <w:p w14:paraId="05C48E9C">
            <w:pPr>
              <w:adjustRightInd w:val="0"/>
              <w:snapToGrid w:val="0"/>
              <w:spacing w:line="360" w:lineRule="auto"/>
              <w:jc w:val="center"/>
              <w:rPr>
                <w:rFonts w:hint="default" w:ascii="Times New Roman" w:hAnsi="Times New Roman" w:eastAsia="宋体" w:cs="Times New Roman"/>
                <w:b/>
                <w:bCs w:val="0"/>
                <w:sz w:val="21"/>
                <w:szCs w:val="21"/>
                <w:highlight w:val="none"/>
                <w:lang w:val="en-US" w:eastAsia="zh-CN"/>
              </w:rPr>
            </w:pPr>
            <w:r>
              <w:rPr>
                <w:rFonts w:hint="eastAsia" w:cs="Times New Roman"/>
                <w:b/>
                <w:bCs w:val="0"/>
                <w:sz w:val="21"/>
                <w:szCs w:val="21"/>
                <w:highlight w:val="none"/>
                <w:lang w:val="en-US" w:eastAsia="zh-CN"/>
              </w:rPr>
              <w:t xml:space="preserve">图2.4   </w:t>
            </w:r>
            <w:r>
              <w:rPr>
                <w:rFonts w:hint="eastAsia" w:ascii="Times New Roman" w:hAnsi="Times New Roman" w:eastAsia="宋体" w:cs="Times New Roman"/>
                <w:b/>
                <w:bCs w:val="0"/>
                <w:sz w:val="21"/>
                <w:szCs w:val="21"/>
                <w:highlight w:val="none"/>
                <w:lang w:val="en-US" w:eastAsia="zh-CN"/>
              </w:rPr>
              <w:t>架空敷设施工流程及产污环节示意图</w:t>
            </w:r>
          </w:p>
          <w:p w14:paraId="022F82DA">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1</w:t>
            </w: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管线布设、作业线路清理</w:t>
            </w:r>
          </w:p>
          <w:p w14:paraId="2C7EED76">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根据管线设计走向</w:t>
            </w:r>
            <w:r>
              <w:rPr>
                <w:rFonts w:hint="eastAsia" w:cs="Times New Roman"/>
                <w:bCs/>
                <w:sz w:val="24"/>
                <w:highlight w:val="none"/>
                <w:lang w:val="en-US" w:eastAsia="zh-CN"/>
              </w:rPr>
              <w:t>及管线建设方式（架空）</w:t>
            </w:r>
            <w:r>
              <w:rPr>
                <w:rFonts w:hint="eastAsia" w:ascii="Times New Roman" w:hAnsi="Times New Roman" w:eastAsia="宋体" w:cs="Times New Roman"/>
                <w:bCs/>
                <w:sz w:val="24"/>
                <w:highlight w:val="none"/>
                <w:lang w:val="en-US" w:eastAsia="zh-CN"/>
              </w:rPr>
              <w:t>，本项目不涉及施工场地平整、清理。</w:t>
            </w:r>
          </w:p>
          <w:p w14:paraId="2127C5E5">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2</w:t>
            </w: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架空敷设、吊装</w:t>
            </w:r>
          </w:p>
          <w:p w14:paraId="7AD8449B">
            <w:pPr>
              <w:adjustRightInd w:val="0"/>
              <w:snapToGrid w:val="0"/>
              <w:spacing w:line="360" w:lineRule="auto"/>
              <w:ind w:firstLine="480" w:firstLineChars="200"/>
              <w:jc w:val="left"/>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本项目管道在</w:t>
            </w:r>
            <w:r>
              <w:rPr>
                <w:rFonts w:hint="eastAsia" w:cs="Times New Roman"/>
                <w:bCs/>
                <w:sz w:val="24"/>
                <w:highlight w:val="none"/>
                <w:lang w:val="en-US" w:eastAsia="zh-CN"/>
              </w:rPr>
              <w:t>依托</w:t>
            </w:r>
            <w:r>
              <w:rPr>
                <w:rFonts w:hint="eastAsia" w:ascii="Times New Roman" w:hAnsi="Times New Roman" w:eastAsia="宋体" w:cs="Times New Roman"/>
                <w:bCs/>
                <w:sz w:val="24"/>
                <w:highlight w:val="none"/>
                <w:lang w:val="en-US" w:eastAsia="zh-CN"/>
              </w:rPr>
              <w:t>预制场内进行预制后，运到防腐厂涂刷防腐漆后，再运送至本项目施工场地</w:t>
            </w:r>
            <w:r>
              <w:rPr>
                <w:rFonts w:hint="eastAsia" w:cs="Times New Roman"/>
                <w:bCs/>
                <w:sz w:val="24"/>
                <w:highlight w:val="none"/>
                <w:lang w:val="en-US" w:eastAsia="zh-CN"/>
              </w:rPr>
              <w:t>。本项目施工期间不会大面积涂漆，</w:t>
            </w:r>
            <w:r>
              <w:rPr>
                <w:rFonts w:hint="eastAsia" w:ascii="Times New Roman" w:hAnsi="Times New Roman" w:eastAsia="宋体" w:cs="Times New Roman"/>
                <w:bCs/>
                <w:sz w:val="24"/>
                <w:highlight w:val="none"/>
                <w:lang w:val="en-US" w:eastAsia="zh-CN"/>
              </w:rPr>
              <w:t>本项目</w:t>
            </w:r>
            <w:r>
              <w:rPr>
                <w:rFonts w:hint="eastAsia"/>
                <w:sz w:val="24"/>
                <w:highlight w:val="none"/>
              </w:rPr>
              <w:t>现场</w:t>
            </w:r>
            <w:r>
              <w:rPr>
                <w:rFonts w:hint="eastAsia"/>
                <w:sz w:val="24"/>
                <w:highlight w:val="none"/>
                <w:lang w:val="en-US" w:eastAsia="zh-CN"/>
              </w:rPr>
              <w:t>只</w:t>
            </w:r>
            <w:r>
              <w:rPr>
                <w:rFonts w:hint="eastAsia"/>
                <w:sz w:val="24"/>
                <w:highlight w:val="none"/>
              </w:rPr>
              <w:t>进行补刷</w:t>
            </w:r>
            <w:r>
              <w:rPr>
                <w:rFonts w:hint="eastAsia"/>
                <w:sz w:val="24"/>
                <w:highlight w:val="none"/>
                <w:lang w:eastAsia="zh-CN"/>
              </w:rPr>
              <w:t>以</w:t>
            </w:r>
            <w:r>
              <w:rPr>
                <w:rFonts w:hint="eastAsia"/>
                <w:sz w:val="24"/>
                <w:highlight w:val="none"/>
              </w:rPr>
              <w:t>加强防腐处理，会产生少量有机废气</w:t>
            </w:r>
            <w:r>
              <w:rPr>
                <w:rFonts w:hint="eastAsia"/>
                <w:sz w:val="24"/>
                <w:highlight w:val="none"/>
                <w:lang w:eastAsia="zh-CN"/>
              </w:rPr>
              <w:t>，</w:t>
            </w:r>
            <w:r>
              <w:rPr>
                <w:rFonts w:hint="eastAsia"/>
                <w:sz w:val="24"/>
                <w:highlight w:val="none"/>
                <w:lang w:val="en-US" w:eastAsia="zh-CN"/>
              </w:rPr>
              <w:t>影响较小</w:t>
            </w:r>
            <w:r>
              <w:rPr>
                <w:rFonts w:hint="eastAsia" w:ascii="Times New Roman" w:hAnsi="Times New Roman" w:eastAsia="宋体" w:cs="Times New Roman"/>
                <w:bCs/>
                <w:sz w:val="24"/>
                <w:highlight w:val="none"/>
                <w:lang w:val="en-US" w:eastAsia="zh-CN"/>
              </w:rPr>
              <w:t>。</w:t>
            </w:r>
          </w:p>
          <w:p w14:paraId="131209B1">
            <w:pPr>
              <w:adjustRightInd w:val="0"/>
              <w:snapToGrid w:val="0"/>
              <w:spacing w:line="360" w:lineRule="auto"/>
              <w:ind w:firstLine="480" w:firstLineChars="200"/>
              <w:jc w:val="left"/>
              <w:rPr>
                <w:rFonts w:hint="default"/>
                <w:highlight w:val="none"/>
                <w:lang w:val="en-US" w:eastAsia="zh-CN"/>
              </w:rPr>
            </w:pPr>
            <w:r>
              <w:rPr>
                <w:rFonts w:hint="eastAsia" w:ascii="Times New Roman" w:hAnsi="Times New Roman" w:eastAsia="宋体" w:cs="Times New Roman"/>
                <w:bCs/>
                <w:sz w:val="24"/>
                <w:highlight w:val="none"/>
                <w:lang w:val="en-US" w:eastAsia="zh-CN"/>
              </w:rPr>
              <w:t>已涂刷防腐漆的管材通过吊管机在管廊上进行吊装、敷设。该过程产生施工扬尘、噪声。</w:t>
            </w:r>
          </w:p>
          <w:p w14:paraId="355359F8">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3</w:t>
            </w: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管道组装、焊接</w:t>
            </w:r>
          </w:p>
          <w:p w14:paraId="018B579E">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按照管道走向，组织管道，并进行对口焊接。管道现场焊接开始前，应进行相应的焊接工艺试验</w:t>
            </w: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制定现场对口焊接及缺陷修补的焊接工艺规程，并进行焊接工艺评定。该过程会产生焊接烟尘、噪声和固体废物。</w:t>
            </w:r>
          </w:p>
          <w:p w14:paraId="76C2F283">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cs="Times New Roman"/>
                <w:bCs/>
                <w:sz w:val="24"/>
                <w:highlight w:val="none"/>
                <w:lang w:val="en-US" w:eastAsia="zh-CN"/>
              </w:rPr>
              <w:t>（4）</w:t>
            </w:r>
            <w:r>
              <w:rPr>
                <w:rFonts w:hint="eastAsia" w:ascii="Times New Roman" w:hAnsi="Times New Roman" w:eastAsia="宋体" w:cs="Times New Roman"/>
                <w:bCs/>
                <w:sz w:val="24"/>
                <w:highlight w:val="none"/>
                <w:lang w:val="en-US" w:eastAsia="zh-CN"/>
              </w:rPr>
              <w:t>清管、试压等泄漏性检验</w:t>
            </w:r>
          </w:p>
          <w:p w14:paraId="34F1346E">
            <w:pPr>
              <w:pStyle w:val="13"/>
              <w:spacing w:after="0" w:line="360" w:lineRule="auto"/>
              <w:ind w:left="0" w:leftChars="0" w:firstLine="480" w:firstLineChars="200"/>
              <w:rPr>
                <w:rFonts w:hint="eastAsia"/>
                <w:sz w:val="24"/>
                <w:szCs w:val="32"/>
                <w:highlight w:val="none"/>
                <w:lang w:val="en-US"/>
              </w:rPr>
            </w:pPr>
            <w:r>
              <w:rPr>
                <w:rFonts w:hint="eastAsia"/>
                <w:sz w:val="24"/>
                <w:szCs w:val="32"/>
                <w:highlight w:val="none"/>
                <w:lang w:val="en-US"/>
              </w:rPr>
              <w:t>项目在启动时考虑试压，试压用水</w:t>
            </w:r>
            <w:r>
              <w:rPr>
                <w:rFonts w:hint="eastAsia"/>
                <w:sz w:val="24"/>
                <w:szCs w:val="32"/>
                <w:highlight w:val="none"/>
                <w:lang w:val="en-US" w:eastAsia="zh-CN"/>
              </w:rPr>
              <w:t>应</w:t>
            </w:r>
            <w:r>
              <w:rPr>
                <w:rFonts w:hint="eastAsia"/>
                <w:sz w:val="24"/>
                <w:szCs w:val="32"/>
                <w:highlight w:val="none"/>
                <w:lang w:val="en-US"/>
              </w:rPr>
              <w:t>引自本厂</w:t>
            </w:r>
            <w:r>
              <w:rPr>
                <w:rFonts w:hint="eastAsia"/>
                <w:sz w:val="24"/>
                <w:szCs w:val="32"/>
                <w:highlight w:val="none"/>
                <w:lang w:val="en-US" w:eastAsia="zh-CN"/>
              </w:rPr>
              <w:t>管网内的新鲜水</w:t>
            </w:r>
            <w:r>
              <w:rPr>
                <w:rFonts w:hint="eastAsia"/>
                <w:sz w:val="24"/>
                <w:szCs w:val="32"/>
                <w:highlight w:val="none"/>
                <w:lang w:val="en-US"/>
              </w:rPr>
              <w:t>。管道试压工艺流程大致如下：</w:t>
            </w:r>
          </w:p>
          <w:p w14:paraId="44D6EFA2">
            <w:pPr>
              <w:pStyle w:val="13"/>
              <w:spacing w:after="0" w:line="360" w:lineRule="auto"/>
              <w:ind w:left="0" w:leftChars="0" w:firstLine="480" w:firstLineChars="200"/>
              <w:rPr>
                <w:rFonts w:hint="eastAsia"/>
                <w:sz w:val="24"/>
                <w:szCs w:val="32"/>
                <w:highlight w:val="none"/>
                <w:lang w:val="en-US"/>
              </w:rPr>
            </w:pPr>
            <w:r>
              <w:rPr>
                <w:rFonts w:hint="eastAsia"/>
                <w:sz w:val="24"/>
                <w:szCs w:val="32"/>
                <w:highlight w:val="none"/>
                <w:lang w:val="en-US"/>
              </w:rPr>
              <w:t>①水压测试</w:t>
            </w:r>
            <w:r>
              <w:rPr>
                <w:rFonts w:hint="eastAsia"/>
                <w:sz w:val="24"/>
                <w:szCs w:val="32"/>
                <w:highlight w:val="none"/>
                <w:lang w:val="en-US" w:eastAsia="zh-CN"/>
              </w:rPr>
              <w:t>之</w:t>
            </w:r>
            <w:r>
              <w:rPr>
                <w:rFonts w:hint="eastAsia"/>
                <w:sz w:val="24"/>
                <w:szCs w:val="32"/>
                <w:highlight w:val="none"/>
                <w:lang w:val="en-US"/>
              </w:rPr>
              <w:t>前，</w:t>
            </w:r>
            <w:r>
              <w:rPr>
                <w:rFonts w:hint="eastAsia"/>
                <w:sz w:val="24"/>
                <w:szCs w:val="32"/>
                <w:highlight w:val="none"/>
                <w:lang w:val="en-US" w:eastAsia="zh-CN"/>
              </w:rPr>
              <w:t>需要</w:t>
            </w:r>
            <w:r>
              <w:rPr>
                <w:rFonts w:hint="eastAsia"/>
                <w:sz w:val="24"/>
                <w:szCs w:val="32"/>
                <w:highlight w:val="none"/>
                <w:lang w:val="en-US"/>
              </w:rPr>
              <w:t>先检查管道系统的所有阀门</w:t>
            </w:r>
            <w:r>
              <w:rPr>
                <w:rFonts w:hint="eastAsia"/>
                <w:sz w:val="24"/>
                <w:szCs w:val="32"/>
                <w:highlight w:val="none"/>
                <w:lang w:val="en-US" w:eastAsia="zh-CN"/>
              </w:rPr>
              <w:t>的</w:t>
            </w:r>
            <w:r>
              <w:rPr>
                <w:rFonts w:hint="eastAsia"/>
                <w:sz w:val="24"/>
                <w:szCs w:val="32"/>
                <w:highlight w:val="none"/>
                <w:lang w:val="en-US"/>
              </w:rPr>
              <w:t>关闭状态；</w:t>
            </w:r>
          </w:p>
          <w:p w14:paraId="493598D9">
            <w:pPr>
              <w:pStyle w:val="13"/>
              <w:spacing w:after="0" w:line="360" w:lineRule="auto"/>
              <w:ind w:left="0" w:leftChars="0" w:firstLine="480" w:firstLineChars="200"/>
              <w:rPr>
                <w:rFonts w:hint="eastAsia"/>
                <w:sz w:val="24"/>
                <w:szCs w:val="32"/>
                <w:highlight w:val="none"/>
                <w:lang w:val="en-US"/>
              </w:rPr>
            </w:pPr>
            <w:r>
              <w:rPr>
                <w:rFonts w:hint="eastAsia"/>
                <w:sz w:val="24"/>
                <w:szCs w:val="32"/>
                <w:highlight w:val="none"/>
                <w:lang w:val="en-US"/>
              </w:rPr>
              <w:t>②连接测试设备</w:t>
            </w:r>
            <w:r>
              <w:rPr>
                <w:rFonts w:hint="eastAsia"/>
                <w:sz w:val="24"/>
                <w:szCs w:val="32"/>
                <w:highlight w:val="none"/>
                <w:lang w:val="en-US" w:eastAsia="zh-CN"/>
              </w:rPr>
              <w:t>：</w:t>
            </w:r>
            <w:r>
              <w:rPr>
                <w:rFonts w:hint="eastAsia"/>
                <w:sz w:val="24"/>
                <w:szCs w:val="32"/>
                <w:highlight w:val="none"/>
                <w:lang w:val="en-US"/>
              </w:rPr>
              <w:t>使用高压水泵向管道系统中加压，检查管道系统压力是否与设计要求一致；</w:t>
            </w:r>
          </w:p>
          <w:p w14:paraId="1D8E28F6">
            <w:pPr>
              <w:pStyle w:val="13"/>
              <w:spacing w:after="0" w:line="360" w:lineRule="auto"/>
              <w:ind w:left="0" w:leftChars="0" w:firstLine="480" w:firstLineChars="200"/>
              <w:rPr>
                <w:rFonts w:hint="eastAsia"/>
                <w:sz w:val="24"/>
                <w:szCs w:val="32"/>
                <w:highlight w:val="none"/>
                <w:lang w:val="en-US"/>
              </w:rPr>
            </w:pPr>
            <w:r>
              <w:rPr>
                <w:rFonts w:hint="eastAsia"/>
                <w:sz w:val="24"/>
                <w:szCs w:val="32"/>
                <w:highlight w:val="none"/>
                <w:lang w:val="en-US"/>
              </w:rPr>
              <w:t>③在管道系统达到设计压力后，保持一段时间稳定压力；</w:t>
            </w:r>
          </w:p>
          <w:p w14:paraId="692648C4">
            <w:pPr>
              <w:pStyle w:val="13"/>
              <w:spacing w:after="0" w:line="360" w:lineRule="auto"/>
              <w:ind w:left="0" w:leftChars="0" w:firstLine="480" w:firstLineChars="200"/>
              <w:rPr>
                <w:rFonts w:hint="eastAsia"/>
                <w:sz w:val="24"/>
                <w:szCs w:val="32"/>
                <w:highlight w:val="none"/>
                <w:lang w:val="en-US"/>
              </w:rPr>
            </w:pPr>
            <w:r>
              <w:rPr>
                <w:rFonts w:hint="eastAsia"/>
                <w:sz w:val="24"/>
                <w:szCs w:val="32"/>
                <w:highlight w:val="none"/>
                <w:lang w:val="en-US"/>
              </w:rPr>
              <w:t>④检查管道系统的密封性，如有泄漏则需要重新检查和处理；</w:t>
            </w:r>
          </w:p>
          <w:p w14:paraId="12AFEC01">
            <w:pPr>
              <w:pStyle w:val="13"/>
              <w:spacing w:after="0" w:line="360" w:lineRule="auto"/>
              <w:ind w:left="0" w:leftChars="0" w:firstLine="480" w:firstLineChars="200"/>
              <w:rPr>
                <w:rFonts w:hint="eastAsia"/>
                <w:sz w:val="24"/>
                <w:szCs w:val="32"/>
                <w:highlight w:val="none"/>
                <w:lang w:val="en-US"/>
              </w:rPr>
            </w:pPr>
            <w:r>
              <w:rPr>
                <w:rFonts w:hint="eastAsia"/>
                <w:sz w:val="24"/>
                <w:szCs w:val="32"/>
                <w:highlight w:val="none"/>
                <w:lang w:val="en-US"/>
              </w:rPr>
              <w:t>⑤水压试验完成后，充分放空管道中的水。</w:t>
            </w:r>
          </w:p>
          <w:p w14:paraId="182E493E">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ascii="Times New Roman" w:hAnsi="Times New Roman" w:eastAsia="宋体" w:cs="宋体"/>
                <w:kern w:val="2"/>
                <w:sz w:val="24"/>
                <w:szCs w:val="24"/>
                <w:highlight w:val="none"/>
              </w:rPr>
              <w:t>施工期</w:t>
            </w:r>
            <w:r>
              <w:rPr>
                <w:rFonts w:hint="eastAsia" w:cs="宋体"/>
                <w:kern w:val="2"/>
                <w:sz w:val="24"/>
                <w:szCs w:val="24"/>
                <w:highlight w:val="none"/>
                <w:lang w:val="en-US" w:eastAsia="zh-CN"/>
              </w:rPr>
              <w:t>试压</w:t>
            </w:r>
            <w:r>
              <w:rPr>
                <w:rFonts w:hint="eastAsia" w:ascii="Times New Roman" w:hAnsi="Times New Roman" w:eastAsia="宋体" w:cs="宋体"/>
                <w:kern w:val="2"/>
                <w:sz w:val="24"/>
                <w:szCs w:val="24"/>
                <w:highlight w:val="none"/>
              </w:rPr>
              <w:t>废水</w:t>
            </w:r>
            <w:r>
              <w:rPr>
                <w:rFonts w:hint="eastAsia" w:cs="宋体"/>
                <w:kern w:val="2"/>
                <w:sz w:val="24"/>
                <w:szCs w:val="24"/>
                <w:highlight w:val="none"/>
                <w:lang w:val="en-US" w:eastAsia="zh-CN"/>
              </w:rPr>
              <w:t>产生后通过罐车运输至伊泰化工</w:t>
            </w:r>
            <w:r>
              <w:rPr>
                <w:rFonts w:hint="eastAsia" w:ascii="Times New Roman" w:hAnsi="Times New Roman" w:eastAsia="宋体" w:cs="宋体"/>
                <w:kern w:val="2"/>
                <w:sz w:val="24"/>
                <w:szCs w:val="24"/>
                <w:highlight w:val="none"/>
              </w:rPr>
              <w:t>厂区内现有</w:t>
            </w:r>
            <w:r>
              <w:rPr>
                <w:rFonts w:hint="eastAsia" w:cs="宋体"/>
                <w:sz w:val="24"/>
                <w:highlight w:val="none"/>
              </w:rPr>
              <w:t>污水处理站废水处理及回用清净废水处理单元</w:t>
            </w:r>
            <w:r>
              <w:rPr>
                <w:rFonts w:hint="eastAsia" w:ascii="Times New Roman" w:hAnsi="Times New Roman" w:eastAsia="宋体" w:cs="宋体"/>
                <w:kern w:val="2"/>
                <w:sz w:val="24"/>
                <w:szCs w:val="24"/>
                <w:highlight w:val="none"/>
              </w:rPr>
              <w:t>，处理后回用，不外排。</w:t>
            </w:r>
          </w:p>
          <w:p w14:paraId="6E0E664E">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w:t>
            </w:r>
            <w:r>
              <w:rPr>
                <w:rFonts w:hint="eastAsia" w:cs="Times New Roman"/>
                <w:bCs/>
                <w:sz w:val="24"/>
                <w:highlight w:val="none"/>
                <w:lang w:val="en-US" w:eastAsia="zh-CN"/>
              </w:rPr>
              <w:t>5</w:t>
            </w:r>
            <w:r>
              <w:rPr>
                <w:rFonts w:hint="eastAsia" w:ascii="Times New Roman" w:hAnsi="Times New Roman" w:eastAsia="宋体" w:cs="Times New Roman"/>
                <w:bCs/>
                <w:sz w:val="24"/>
                <w:highlight w:val="none"/>
                <w:lang w:val="en-US" w:eastAsia="zh-CN"/>
              </w:rPr>
              <w:t>）管道测径</w:t>
            </w:r>
          </w:p>
          <w:p w14:paraId="12837303">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管道清管合格后应在试压前后分别进行测径，测径应采用测径清管器。</w:t>
            </w:r>
          </w:p>
          <w:p w14:paraId="72CD6F5F">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w:t>
            </w:r>
            <w:r>
              <w:rPr>
                <w:rFonts w:hint="eastAsia" w:cs="Times New Roman"/>
                <w:bCs/>
                <w:sz w:val="24"/>
                <w:highlight w:val="none"/>
                <w:lang w:val="en-US" w:eastAsia="zh-CN"/>
              </w:rPr>
              <w:t>6</w:t>
            </w:r>
            <w:r>
              <w:rPr>
                <w:rFonts w:hint="eastAsia" w:ascii="Times New Roman" w:hAnsi="Times New Roman" w:eastAsia="宋体" w:cs="Times New Roman"/>
                <w:bCs/>
                <w:sz w:val="24"/>
                <w:highlight w:val="none"/>
                <w:lang w:val="en-US" w:eastAsia="zh-CN"/>
              </w:rPr>
              <w:t>）管道干燥</w:t>
            </w:r>
          </w:p>
          <w:p w14:paraId="4FC11758">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输气管道在投产之前应进行管道内水分的清除和干燥。管道干燥的方法采用</w:t>
            </w:r>
            <w:r>
              <w:rPr>
                <w:rFonts w:hint="eastAsia" w:cs="Times New Roman"/>
                <w:bCs/>
                <w:sz w:val="24"/>
                <w:highlight w:val="none"/>
                <w:lang w:val="en-US" w:eastAsia="zh-CN"/>
              </w:rPr>
              <w:t>氮气</w:t>
            </w:r>
            <w:r>
              <w:rPr>
                <w:rFonts w:hint="eastAsia" w:ascii="Times New Roman" w:hAnsi="Times New Roman" w:eastAsia="宋体" w:cs="Times New Roman"/>
                <w:bCs/>
                <w:sz w:val="24"/>
                <w:highlight w:val="none"/>
                <w:lang w:val="en-US" w:eastAsia="zh-CN"/>
              </w:rPr>
              <w:t>干燥。</w:t>
            </w:r>
          </w:p>
          <w:p w14:paraId="60761B6C">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该过程会产生清管、试压废水、噪声</w:t>
            </w:r>
            <w:r>
              <w:rPr>
                <w:rFonts w:hint="eastAsia" w:cs="Times New Roman"/>
                <w:bCs/>
                <w:sz w:val="24"/>
                <w:highlight w:val="none"/>
                <w:lang w:val="en-US" w:eastAsia="zh-CN"/>
              </w:rPr>
              <w:t>等</w:t>
            </w:r>
            <w:r>
              <w:rPr>
                <w:rFonts w:hint="eastAsia" w:ascii="Times New Roman" w:hAnsi="Times New Roman" w:eastAsia="宋体" w:cs="Times New Roman"/>
                <w:bCs/>
                <w:sz w:val="24"/>
                <w:highlight w:val="none"/>
                <w:lang w:val="en-US" w:eastAsia="zh-CN"/>
              </w:rPr>
              <w:t>。</w:t>
            </w:r>
          </w:p>
          <w:p w14:paraId="62BAA643">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w:t>
            </w:r>
            <w:r>
              <w:rPr>
                <w:rFonts w:hint="eastAsia" w:cs="Times New Roman"/>
                <w:bCs/>
                <w:sz w:val="24"/>
                <w:highlight w:val="none"/>
                <w:lang w:val="en-US" w:eastAsia="zh-CN"/>
              </w:rPr>
              <w:t>7</w:t>
            </w:r>
            <w:r>
              <w:rPr>
                <w:rFonts w:hint="eastAsia" w:ascii="Times New Roman" w:hAnsi="Times New Roman" w:eastAsia="宋体" w:cs="Times New Roman"/>
                <w:bCs/>
                <w:sz w:val="24"/>
                <w:highlight w:val="none"/>
                <w:lang w:val="en-US" w:eastAsia="zh-CN"/>
              </w:rPr>
              <w:t>）调试、清理现场</w:t>
            </w:r>
          </w:p>
          <w:p w14:paraId="566CC51E">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管道通过泄漏性检验后，根据相关要求进行调试，合格后再对施工场地进行清理。该过程会产生噪声。</w:t>
            </w:r>
          </w:p>
          <w:p w14:paraId="3B2FB5C0">
            <w:pPr>
              <w:pStyle w:val="29"/>
              <w:spacing w:before="0" w:beforeLines="0" w:after="0" w:afterLines="0" w:line="360" w:lineRule="auto"/>
              <w:jc w:val="both"/>
              <w:rPr>
                <w:rFonts w:hint="default"/>
                <w:sz w:val="24"/>
                <w:szCs w:val="32"/>
                <w:highlight w:val="none"/>
                <w:lang w:val="en-US" w:eastAsia="zh-CN"/>
              </w:rPr>
            </w:pPr>
            <w:r>
              <w:rPr>
                <w:rFonts w:hint="eastAsia"/>
                <w:sz w:val="24"/>
                <w:szCs w:val="32"/>
                <w:highlight w:val="none"/>
                <w:lang w:val="en-US" w:eastAsia="zh-CN"/>
              </w:rPr>
              <w:t>2.施工通道</w:t>
            </w:r>
          </w:p>
          <w:p w14:paraId="62360B1A">
            <w:pPr>
              <w:adjustRightInd w:val="0"/>
              <w:snapToGrid w:val="0"/>
              <w:spacing w:line="360" w:lineRule="auto"/>
              <w:ind w:firstLine="480" w:firstLineChars="200"/>
              <w:jc w:val="left"/>
              <w:rPr>
                <w:rFonts w:hint="default"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本项目道路依托内蒙古伊泰化工有限</w:t>
            </w:r>
            <w:r>
              <w:rPr>
                <w:rFonts w:hint="eastAsia" w:cs="Times New Roman"/>
                <w:bCs/>
                <w:sz w:val="24"/>
                <w:highlight w:val="none"/>
                <w:lang w:val="en-US" w:eastAsia="zh-CN"/>
              </w:rPr>
              <w:t>责任</w:t>
            </w:r>
            <w:r>
              <w:rPr>
                <w:rFonts w:hint="eastAsia" w:ascii="Times New Roman" w:hAnsi="Times New Roman" w:eastAsia="宋体" w:cs="Times New Roman"/>
                <w:bCs/>
                <w:sz w:val="24"/>
                <w:highlight w:val="none"/>
                <w:lang w:val="en-US" w:eastAsia="zh-CN"/>
              </w:rPr>
              <w:t>公司内部道路和园区内道路。</w:t>
            </w:r>
          </w:p>
          <w:p w14:paraId="570A9243">
            <w:pPr>
              <w:pStyle w:val="29"/>
              <w:spacing w:before="0" w:beforeLines="0" w:after="0" w:afterLines="0" w:line="360" w:lineRule="auto"/>
              <w:jc w:val="both"/>
              <w:rPr>
                <w:rFonts w:hint="default"/>
                <w:sz w:val="24"/>
                <w:szCs w:val="32"/>
                <w:highlight w:val="none"/>
                <w:lang w:val="en-US" w:eastAsia="zh-CN"/>
              </w:rPr>
            </w:pPr>
            <w:r>
              <w:rPr>
                <w:rFonts w:hint="eastAsia"/>
                <w:sz w:val="24"/>
                <w:szCs w:val="32"/>
                <w:highlight w:val="none"/>
                <w:lang w:val="en-US" w:eastAsia="zh-CN"/>
              </w:rPr>
              <w:t>3.施工占地</w:t>
            </w:r>
          </w:p>
          <w:p w14:paraId="02489B23">
            <w:pPr>
              <w:pStyle w:val="30"/>
              <w:keepNext/>
              <w:ind w:firstLineChars="200"/>
              <w:rPr>
                <w:rFonts w:hint="default"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管廊施工利用内蒙古伊泰化工有限</w:t>
            </w:r>
            <w:r>
              <w:rPr>
                <w:rFonts w:hint="eastAsia" w:cs="Times New Roman"/>
                <w:bCs/>
                <w:sz w:val="24"/>
                <w:highlight w:val="none"/>
                <w:lang w:val="en-US" w:eastAsia="zh-CN"/>
              </w:rPr>
              <w:t>责任</w:t>
            </w:r>
            <w:r>
              <w:rPr>
                <w:rFonts w:hint="eastAsia" w:ascii="Times New Roman" w:hAnsi="Times New Roman" w:eastAsia="宋体" w:cs="Times New Roman"/>
                <w:bCs/>
                <w:sz w:val="24"/>
                <w:highlight w:val="none"/>
                <w:lang w:val="en-US" w:eastAsia="zh-CN"/>
              </w:rPr>
              <w:t>公司现有道路。管架先在施工单位内部预制场预制好后，运到现场进行焊接即可，不设置施工营地。</w:t>
            </w:r>
            <w:r>
              <w:rPr>
                <w:color w:val="000000"/>
                <w:spacing w:val="-1"/>
                <w:sz w:val="24"/>
                <w:szCs w:val="24"/>
                <w:highlight w:val="none"/>
              </w:rPr>
              <w:t>本项目</w:t>
            </w:r>
            <w:r>
              <w:rPr>
                <w:rFonts w:hint="eastAsia"/>
                <w:color w:val="000000"/>
                <w:spacing w:val="-1"/>
                <w:sz w:val="24"/>
                <w:szCs w:val="24"/>
                <w:highlight w:val="none"/>
                <w:lang w:val="en-US" w:eastAsia="zh-CN"/>
              </w:rPr>
              <w:t>架空管线工程本身主体结构不直接接触地下水，不涉及地面工程，管线支撑结构（如杆塔基础、支架底座等）检修、维护均不属于本次评价内容，均依托现有工程。项目厂区内管廊管道占地均为无植被区，</w:t>
            </w:r>
            <w:r>
              <w:rPr>
                <w:rFonts w:hint="eastAsia" w:ascii="Times New Roman" w:hAnsi="Times New Roman" w:eastAsia="宋体" w:cs="Times New Roman"/>
                <w:bCs/>
                <w:sz w:val="24"/>
                <w:highlight w:val="none"/>
                <w:lang w:val="en-US" w:eastAsia="zh-CN"/>
              </w:rPr>
              <w:t>不涉及植被破</w:t>
            </w:r>
            <w:r>
              <w:rPr>
                <w:rFonts w:hint="eastAsia" w:cs="Times New Roman"/>
                <w:bCs/>
                <w:sz w:val="24"/>
                <w:highlight w:val="none"/>
                <w:lang w:val="en-US" w:eastAsia="zh-CN"/>
              </w:rPr>
              <w:t>坏。</w:t>
            </w:r>
            <w:r>
              <w:rPr>
                <w:rFonts w:hint="eastAsia"/>
                <w:color w:val="000000"/>
                <w:spacing w:val="-1"/>
                <w:sz w:val="24"/>
                <w:szCs w:val="24"/>
                <w:highlight w:val="none"/>
                <w:lang w:val="en-US" w:eastAsia="zh-CN"/>
              </w:rPr>
              <w:t>厂区外WRT甲烷气管道、清净废水管道部分涉及天然牧草地，但均为架空敷设因此对地下影响较小，不涉及</w:t>
            </w:r>
            <w:r>
              <w:rPr>
                <w:rFonts w:hint="eastAsia" w:cs="Times New Roman"/>
                <w:color w:val="000000"/>
                <w:sz w:val="24"/>
                <w:szCs w:val="24"/>
                <w:highlight w:val="none"/>
                <w:lang w:val="en-US" w:eastAsia="zh-CN"/>
              </w:rPr>
              <w:t>敏感区域。项目黄河水管道</w:t>
            </w:r>
            <w:r>
              <w:rPr>
                <w:rFonts w:hint="eastAsia" w:ascii="Times New Roman" w:hAnsi="Times New Roman" w:eastAsia="宋体" w:cs="Times New Roman"/>
                <w:bCs/>
                <w:sz w:val="24"/>
                <w:highlight w:val="none"/>
                <w:lang w:val="en-US" w:eastAsia="zh-CN"/>
              </w:rPr>
              <w:t>接至已有埋地管道</w:t>
            </w:r>
            <w:r>
              <w:rPr>
                <w:rFonts w:hint="eastAsia" w:cs="Times New Roman"/>
                <w:bCs/>
                <w:sz w:val="24"/>
                <w:highlight w:val="none"/>
                <w:lang w:val="en-US" w:eastAsia="zh-CN"/>
              </w:rPr>
              <w:t>预留接口</w:t>
            </w:r>
            <w:r>
              <w:rPr>
                <w:rFonts w:hint="eastAsia" w:ascii="Times New Roman" w:hAnsi="Times New Roman" w:eastAsia="宋体" w:cs="Times New Roman"/>
                <w:bCs/>
                <w:sz w:val="24"/>
                <w:highlight w:val="none"/>
                <w:lang w:val="en-US" w:eastAsia="zh-CN"/>
              </w:rPr>
              <w:t>，</w:t>
            </w:r>
            <w:r>
              <w:rPr>
                <w:rFonts w:hint="eastAsia" w:cs="Times New Roman"/>
                <w:bCs/>
                <w:sz w:val="24"/>
                <w:highlight w:val="none"/>
                <w:lang w:val="en-US" w:eastAsia="zh-CN"/>
              </w:rPr>
              <w:t>不涉及土方工程。在</w:t>
            </w:r>
            <w:r>
              <w:rPr>
                <w:rFonts w:hint="eastAsia" w:ascii="Times New Roman" w:hAnsi="Times New Roman" w:eastAsia="宋体" w:cs="Times New Roman"/>
                <w:bCs/>
                <w:sz w:val="24"/>
                <w:highlight w:val="none"/>
                <w:lang w:val="en-US" w:eastAsia="zh-CN"/>
              </w:rPr>
              <w:t>支墩上敷设</w:t>
            </w:r>
            <w:r>
              <w:rPr>
                <w:rFonts w:hint="default" w:ascii="Times New Roman" w:hAnsi="Times New Roman" w:eastAsia="宋体" w:cs="Times New Roman"/>
                <w:bCs/>
                <w:sz w:val="24"/>
                <w:highlight w:val="none"/>
                <w:lang w:val="en-US" w:eastAsia="zh-CN"/>
              </w:rPr>
              <w:t>引入伊泰化工管廊，</w:t>
            </w:r>
            <w:r>
              <w:rPr>
                <w:rFonts w:hint="eastAsia" w:cs="Times New Roman"/>
                <w:bCs/>
                <w:sz w:val="24"/>
                <w:highlight w:val="none"/>
                <w:lang w:val="en-US" w:eastAsia="zh-CN"/>
              </w:rPr>
              <w:t>距离管廊共计200m。管线整体采用架空铺设，最终</w:t>
            </w:r>
            <w:r>
              <w:rPr>
                <w:rFonts w:hint="default" w:ascii="Times New Roman" w:hAnsi="Times New Roman" w:eastAsia="宋体" w:cs="Times New Roman"/>
                <w:bCs/>
                <w:sz w:val="24"/>
                <w:highlight w:val="none"/>
                <w:lang w:val="en-US" w:eastAsia="zh-CN"/>
              </w:rPr>
              <w:t>输送至鹏泰化工管廊处。</w:t>
            </w:r>
          </w:p>
          <w:p w14:paraId="305F493C">
            <w:pPr>
              <w:pStyle w:val="29"/>
              <w:spacing w:before="0" w:beforeLines="0" w:after="0" w:afterLines="0" w:line="360" w:lineRule="auto"/>
              <w:jc w:val="both"/>
              <w:rPr>
                <w:rFonts w:hint="default"/>
                <w:sz w:val="24"/>
                <w:szCs w:val="32"/>
                <w:highlight w:val="none"/>
                <w:lang w:val="en-US" w:eastAsia="zh-CN"/>
              </w:rPr>
            </w:pPr>
            <w:r>
              <w:rPr>
                <w:rFonts w:hint="eastAsia"/>
                <w:sz w:val="24"/>
                <w:szCs w:val="32"/>
                <w:highlight w:val="none"/>
                <w:lang w:val="en-US" w:eastAsia="zh-CN"/>
              </w:rPr>
              <w:t>4.</w:t>
            </w:r>
            <w:r>
              <w:rPr>
                <w:rFonts w:hint="default"/>
                <w:sz w:val="24"/>
                <w:szCs w:val="32"/>
                <w:highlight w:val="none"/>
                <w:lang w:val="en-US" w:eastAsia="zh-CN"/>
              </w:rPr>
              <w:t>项目建设周期</w:t>
            </w:r>
          </w:p>
          <w:p w14:paraId="02795835">
            <w:pPr>
              <w:pStyle w:val="29"/>
              <w:spacing w:before="0" w:beforeLines="0" w:after="0" w:afterLines="0" w:line="360" w:lineRule="auto"/>
              <w:ind w:firstLine="480" w:firstLineChars="200"/>
              <w:jc w:val="both"/>
              <w:rPr>
                <w:rFonts w:hint="eastAsia"/>
                <w:b w:val="0"/>
                <w:bCs/>
                <w:sz w:val="24"/>
                <w:szCs w:val="32"/>
                <w:highlight w:val="none"/>
              </w:rPr>
            </w:pPr>
            <w:r>
              <w:rPr>
                <w:rFonts w:hint="eastAsia"/>
                <w:b w:val="0"/>
                <w:bCs/>
                <w:sz w:val="24"/>
                <w:szCs w:val="32"/>
                <w:highlight w:val="none"/>
              </w:rPr>
              <w:t>施工期为12个月，</w:t>
            </w:r>
            <w:r>
              <w:rPr>
                <w:rFonts w:hint="eastAsia"/>
                <w:b w:val="0"/>
                <w:bCs/>
                <w:sz w:val="24"/>
                <w:szCs w:val="32"/>
                <w:highlight w:val="none"/>
                <w:lang w:val="en-US" w:eastAsia="zh-CN"/>
              </w:rPr>
              <w:t>2025年12月~2026年11月。施工</w:t>
            </w:r>
            <w:r>
              <w:rPr>
                <w:rFonts w:hint="eastAsia"/>
                <w:b w:val="0"/>
                <w:bCs/>
                <w:sz w:val="24"/>
                <w:szCs w:val="32"/>
                <w:highlight w:val="none"/>
              </w:rPr>
              <w:t>人员</w:t>
            </w:r>
            <w:r>
              <w:rPr>
                <w:rFonts w:hint="eastAsia"/>
                <w:b w:val="0"/>
                <w:bCs/>
                <w:sz w:val="24"/>
                <w:szCs w:val="32"/>
                <w:highlight w:val="none"/>
                <w:lang w:val="en-US" w:eastAsia="zh-CN"/>
              </w:rPr>
              <w:t>依托内蒙古伊泰化工有限责任公司现有工作人员</w:t>
            </w:r>
            <w:r>
              <w:rPr>
                <w:rFonts w:hint="eastAsia"/>
                <w:b w:val="0"/>
                <w:bCs/>
                <w:sz w:val="24"/>
                <w:szCs w:val="32"/>
                <w:highlight w:val="none"/>
              </w:rPr>
              <w:t>。</w:t>
            </w:r>
          </w:p>
          <w:p w14:paraId="2BF7817B">
            <w:pPr>
              <w:pStyle w:val="29"/>
              <w:spacing w:before="0" w:beforeLines="0" w:after="0" w:afterLines="0" w:line="360" w:lineRule="auto"/>
              <w:jc w:val="both"/>
              <w:rPr>
                <w:rFonts w:hint="eastAsia"/>
                <w:sz w:val="24"/>
                <w:highlight w:val="none"/>
              </w:rPr>
            </w:pPr>
            <w:r>
              <w:rPr>
                <w:rFonts w:hint="eastAsia"/>
                <w:sz w:val="24"/>
                <w:szCs w:val="32"/>
                <w:highlight w:val="none"/>
                <w:lang w:val="en-US" w:eastAsia="zh-CN"/>
              </w:rPr>
              <w:t>5.</w:t>
            </w:r>
            <w:r>
              <w:rPr>
                <w:rFonts w:hint="eastAsia"/>
                <w:sz w:val="24"/>
                <w:highlight w:val="none"/>
              </w:rPr>
              <w:t>施工</w:t>
            </w:r>
            <w:r>
              <w:rPr>
                <w:rFonts w:hint="eastAsia"/>
                <w:sz w:val="24"/>
                <w:highlight w:val="none"/>
                <w:lang w:eastAsia="zh-CN"/>
              </w:rPr>
              <w:t>期间</w:t>
            </w:r>
            <w:r>
              <w:rPr>
                <w:rFonts w:hint="eastAsia"/>
                <w:sz w:val="24"/>
                <w:highlight w:val="none"/>
              </w:rPr>
              <w:t>污染源分析</w:t>
            </w:r>
          </w:p>
          <w:p w14:paraId="4589543F">
            <w:pPr>
              <w:pStyle w:val="13"/>
              <w:spacing w:after="0" w:line="360" w:lineRule="auto"/>
              <w:ind w:left="0" w:leftChars="0" w:firstLine="480" w:firstLineChars="200"/>
              <w:rPr>
                <w:rFonts w:hint="eastAsia"/>
                <w:sz w:val="24"/>
                <w:highlight w:val="none"/>
              </w:rPr>
            </w:pPr>
            <w:r>
              <w:rPr>
                <w:rFonts w:hint="eastAsia"/>
                <w:sz w:val="24"/>
                <w:highlight w:val="none"/>
              </w:rPr>
              <w:t>本项目施工过程</w:t>
            </w:r>
            <w:r>
              <w:rPr>
                <w:rFonts w:hint="eastAsia"/>
                <w:sz w:val="24"/>
                <w:highlight w:val="none"/>
                <w:lang w:eastAsia="zh-CN"/>
              </w:rPr>
              <w:t>中</w:t>
            </w:r>
            <w:r>
              <w:rPr>
                <w:rFonts w:hint="eastAsia"/>
                <w:sz w:val="24"/>
                <w:highlight w:val="none"/>
              </w:rPr>
              <w:t>施工机械、车辆可能会产生扬尘、施工噪声等</w:t>
            </w:r>
            <w:r>
              <w:rPr>
                <w:rFonts w:hint="eastAsia"/>
                <w:sz w:val="24"/>
                <w:highlight w:val="none"/>
                <w:lang w:eastAsia="zh-CN"/>
              </w:rPr>
              <w:t>，</w:t>
            </w:r>
            <w:r>
              <w:rPr>
                <w:rFonts w:hint="eastAsia"/>
                <w:sz w:val="24"/>
                <w:highlight w:val="none"/>
              </w:rPr>
              <w:t>管道架设安装过</w:t>
            </w:r>
            <w:r>
              <w:rPr>
                <w:rFonts w:hint="eastAsia"/>
                <w:sz w:val="24"/>
                <w:highlight w:val="none"/>
                <w:lang w:eastAsia="zh-CN"/>
              </w:rPr>
              <w:t>程中</w:t>
            </w:r>
            <w:r>
              <w:rPr>
                <w:rFonts w:hint="eastAsia"/>
                <w:sz w:val="24"/>
                <w:highlight w:val="none"/>
              </w:rPr>
              <w:t>会产生少量焊烟及试压废水等。</w:t>
            </w:r>
          </w:p>
          <w:p w14:paraId="1AA662CA">
            <w:pPr>
              <w:pStyle w:val="13"/>
              <w:spacing w:after="0" w:line="360" w:lineRule="auto"/>
              <w:ind w:left="0" w:leftChars="0" w:firstLine="480" w:firstLineChars="200"/>
              <w:rPr>
                <w:rFonts w:hint="eastAsia"/>
                <w:sz w:val="24"/>
                <w:highlight w:val="none"/>
              </w:rPr>
            </w:pPr>
            <w:r>
              <w:rPr>
                <w:rFonts w:hint="eastAsia"/>
                <w:sz w:val="24"/>
                <w:highlight w:val="none"/>
              </w:rPr>
              <w:t>（</w:t>
            </w:r>
            <w:r>
              <w:rPr>
                <w:rFonts w:hint="eastAsia"/>
                <w:sz w:val="24"/>
                <w:highlight w:val="none"/>
                <w:lang w:val="en-US"/>
              </w:rPr>
              <w:t>1</w:t>
            </w:r>
            <w:r>
              <w:rPr>
                <w:rFonts w:hint="eastAsia"/>
                <w:sz w:val="24"/>
                <w:highlight w:val="none"/>
              </w:rPr>
              <w:t>）废水</w:t>
            </w:r>
          </w:p>
          <w:p w14:paraId="0D83112F">
            <w:pPr>
              <w:pStyle w:val="13"/>
              <w:spacing w:after="0" w:line="360" w:lineRule="auto"/>
              <w:ind w:left="0" w:leftChars="0" w:firstLine="480" w:firstLineChars="200"/>
              <w:rPr>
                <w:rFonts w:hint="eastAsia"/>
                <w:sz w:val="24"/>
                <w:highlight w:val="none"/>
              </w:rPr>
            </w:pPr>
            <w:r>
              <w:rPr>
                <w:rFonts w:hint="eastAsia"/>
                <w:sz w:val="24"/>
                <w:highlight w:val="none"/>
              </w:rPr>
              <w:t>施工期间所产生的废水主要来自管道试压阶段排放的试压废水。</w:t>
            </w:r>
          </w:p>
          <w:p w14:paraId="25FB5230">
            <w:pPr>
              <w:spacing w:line="360" w:lineRule="auto"/>
              <w:ind w:firstLine="480" w:firstLineChars="200"/>
              <w:rPr>
                <w:rFonts w:hint="eastAsia" w:cs="宋体"/>
                <w:color w:val="1900FF"/>
                <w:sz w:val="24"/>
                <w:highlight w:val="none"/>
              </w:rPr>
            </w:pPr>
            <w:r>
              <w:rPr>
                <w:rFonts w:hint="eastAsia"/>
                <w:sz w:val="24"/>
                <w:highlight w:val="none"/>
              </w:rPr>
              <w:t>①生活污水：</w:t>
            </w:r>
            <w:r>
              <w:rPr>
                <w:rFonts w:hint="eastAsia" w:cs="宋体"/>
                <w:sz w:val="24"/>
                <w:highlight w:val="none"/>
              </w:rPr>
              <w:t>本项目</w:t>
            </w:r>
            <w:r>
              <w:rPr>
                <w:rFonts w:hint="eastAsia" w:cs="宋体"/>
                <w:sz w:val="24"/>
                <w:highlight w:val="none"/>
                <w:lang w:eastAsia="zh-CN"/>
              </w:rPr>
              <w:t>施工</w:t>
            </w:r>
            <w:r>
              <w:rPr>
                <w:rFonts w:hint="eastAsia" w:cs="宋体"/>
                <w:sz w:val="24"/>
                <w:highlight w:val="none"/>
              </w:rPr>
              <w:t>人员</w:t>
            </w:r>
            <w:r>
              <w:rPr>
                <w:rFonts w:hint="eastAsia" w:cs="宋体"/>
                <w:sz w:val="24"/>
                <w:highlight w:val="none"/>
                <w:lang w:val="en-US" w:eastAsia="zh-CN"/>
              </w:rPr>
              <w:t>依托内蒙古伊泰化工有限责任公司现有工作人员，生活污水</w:t>
            </w:r>
            <w:r>
              <w:rPr>
                <w:rFonts w:hint="eastAsia" w:cs="宋体"/>
                <w:sz w:val="24"/>
                <w:highlight w:val="none"/>
              </w:rPr>
              <w:t>依托现有公共卫生间集中收集</w:t>
            </w:r>
            <w:r>
              <w:rPr>
                <w:rFonts w:hint="eastAsia" w:cs="宋体"/>
                <w:sz w:val="24"/>
                <w:highlight w:val="none"/>
                <w:lang w:eastAsia="zh-CN"/>
              </w:rPr>
              <w:t>，</w:t>
            </w:r>
            <w:r>
              <w:rPr>
                <w:rFonts w:hint="eastAsia" w:cs="宋体"/>
                <w:sz w:val="24"/>
                <w:highlight w:val="none"/>
                <w:lang w:val="en-US" w:eastAsia="zh-CN"/>
              </w:rPr>
              <w:t>最终排向厂区污水处理站，本次不新增用排水</w:t>
            </w:r>
            <w:r>
              <w:rPr>
                <w:rFonts w:hint="eastAsia" w:cs="宋体"/>
                <w:sz w:val="24"/>
                <w:highlight w:val="none"/>
              </w:rPr>
              <w:t>。</w:t>
            </w:r>
          </w:p>
          <w:p w14:paraId="2BE82F6D">
            <w:pPr>
              <w:pStyle w:val="13"/>
              <w:spacing w:after="0" w:line="360" w:lineRule="auto"/>
              <w:ind w:left="0" w:leftChars="0" w:firstLine="480" w:firstLineChars="200"/>
              <w:rPr>
                <w:sz w:val="24"/>
                <w:highlight w:val="none"/>
              </w:rPr>
            </w:pPr>
            <w:r>
              <w:rPr>
                <w:rFonts w:hint="eastAsia"/>
                <w:sz w:val="24"/>
                <w:highlight w:val="none"/>
              </w:rPr>
              <w:t>②管道试压废水：是</w:t>
            </w:r>
            <w:r>
              <w:rPr>
                <w:rFonts w:hint="eastAsia"/>
                <w:sz w:val="24"/>
                <w:highlight w:val="none"/>
                <w:lang w:eastAsia="zh-CN"/>
              </w:rPr>
              <w:t>指</w:t>
            </w:r>
            <w:r>
              <w:rPr>
                <w:rFonts w:hint="eastAsia"/>
                <w:sz w:val="24"/>
                <w:highlight w:val="none"/>
              </w:rPr>
              <w:t>管道在安装完毕和无损检测合格后进行的水压试验产生的废水。管道试压采用自来水，试压后需把水排尽，产生试压废水</w:t>
            </w:r>
            <w:r>
              <w:rPr>
                <w:rFonts w:hint="eastAsia"/>
                <w:sz w:val="24"/>
                <w:highlight w:val="none"/>
                <w:lang w:eastAsia="zh-CN"/>
              </w:rPr>
              <w:t>。</w:t>
            </w:r>
            <w:r>
              <w:rPr>
                <w:rFonts w:hint="eastAsia"/>
                <w:sz w:val="24"/>
                <w:highlight w:val="none"/>
              </w:rPr>
              <w:t>废水中含有少量SS，污染物来源为管道内部</w:t>
            </w:r>
            <w:r>
              <w:rPr>
                <w:rFonts w:hint="eastAsia"/>
                <w:sz w:val="24"/>
                <w:highlight w:val="none"/>
                <w:lang w:val="en-US" w:eastAsia="zh-CN"/>
              </w:rPr>
              <w:t>的</w:t>
            </w:r>
            <w:r>
              <w:rPr>
                <w:rFonts w:hint="eastAsia"/>
                <w:sz w:val="24"/>
                <w:highlight w:val="none"/>
              </w:rPr>
              <w:t>灰尘和杂质</w:t>
            </w:r>
            <w:r>
              <w:rPr>
                <w:rFonts w:hint="eastAsia"/>
                <w:sz w:val="24"/>
                <w:highlight w:val="none"/>
                <w:lang w:eastAsia="zh-CN"/>
              </w:rPr>
              <w:t>。</w:t>
            </w:r>
            <w:r>
              <w:rPr>
                <w:rFonts w:hint="eastAsia" w:cs="宋体"/>
                <w:kern w:val="2"/>
                <w:sz w:val="24"/>
                <w:szCs w:val="24"/>
                <w:highlight w:val="none"/>
                <w:lang w:val="en-US" w:eastAsia="zh-CN"/>
              </w:rPr>
              <w:t>产生后通过罐车运输至伊泰化工</w:t>
            </w:r>
            <w:r>
              <w:rPr>
                <w:rFonts w:hint="eastAsia" w:ascii="Times New Roman" w:hAnsi="Times New Roman" w:eastAsia="宋体" w:cs="宋体"/>
                <w:kern w:val="2"/>
                <w:sz w:val="24"/>
                <w:szCs w:val="24"/>
                <w:highlight w:val="none"/>
              </w:rPr>
              <w:t>厂区内现有</w:t>
            </w:r>
            <w:r>
              <w:rPr>
                <w:rFonts w:hint="eastAsia" w:cs="宋体"/>
                <w:sz w:val="24"/>
                <w:highlight w:val="none"/>
              </w:rPr>
              <w:t>污水处理站废水处理及回用清净废水处理单元</w:t>
            </w:r>
            <w:r>
              <w:rPr>
                <w:rFonts w:hint="eastAsia" w:ascii="Times New Roman" w:hAnsi="Times New Roman" w:eastAsia="宋体" w:cs="宋体"/>
                <w:kern w:val="2"/>
                <w:sz w:val="24"/>
                <w:szCs w:val="24"/>
                <w:highlight w:val="none"/>
              </w:rPr>
              <w:t>，处理后回用，不外排。</w:t>
            </w:r>
          </w:p>
          <w:p w14:paraId="79873DF9">
            <w:pPr>
              <w:pStyle w:val="13"/>
              <w:spacing w:after="0" w:line="360" w:lineRule="auto"/>
              <w:ind w:left="0" w:leftChars="0" w:firstLine="480" w:firstLineChars="200"/>
              <w:rPr>
                <w:rFonts w:hint="eastAsia"/>
                <w:sz w:val="24"/>
                <w:highlight w:val="none"/>
              </w:rPr>
            </w:pPr>
            <w:r>
              <w:rPr>
                <w:rFonts w:hint="eastAsia"/>
                <w:sz w:val="24"/>
                <w:highlight w:val="none"/>
              </w:rPr>
              <w:t>（</w:t>
            </w:r>
            <w:r>
              <w:rPr>
                <w:rFonts w:hint="eastAsia"/>
                <w:sz w:val="24"/>
                <w:highlight w:val="none"/>
                <w:lang w:val="en-US"/>
              </w:rPr>
              <w:t>2</w:t>
            </w:r>
            <w:r>
              <w:rPr>
                <w:rFonts w:hint="eastAsia"/>
                <w:sz w:val="24"/>
                <w:highlight w:val="none"/>
              </w:rPr>
              <w:t>）废气</w:t>
            </w:r>
          </w:p>
          <w:p w14:paraId="4459BBD2">
            <w:pPr>
              <w:pStyle w:val="13"/>
              <w:spacing w:after="0" w:line="360" w:lineRule="auto"/>
              <w:ind w:left="0" w:leftChars="0" w:firstLine="480" w:firstLineChars="200"/>
              <w:rPr>
                <w:rFonts w:hint="eastAsia"/>
                <w:sz w:val="24"/>
                <w:highlight w:val="none"/>
              </w:rPr>
            </w:pPr>
            <w:r>
              <w:rPr>
                <w:rFonts w:hint="eastAsia"/>
                <w:sz w:val="24"/>
                <w:highlight w:val="none"/>
              </w:rPr>
              <w:t>施工期大气污染源主要有：施工扬尘及施工机械设备尾气、焊接烟气及涂漆废气等。项目施工扬尘主要来自来往运输车辆引起的施工扬尘，施工机械、运输车辆排放的废气、管道焊接废气、管道涂漆废气等。</w:t>
            </w:r>
          </w:p>
          <w:p w14:paraId="550C8D34">
            <w:pPr>
              <w:pStyle w:val="13"/>
              <w:spacing w:after="0" w:line="360" w:lineRule="auto"/>
              <w:ind w:left="0" w:leftChars="0" w:firstLine="480" w:firstLineChars="200"/>
              <w:rPr>
                <w:rFonts w:hint="eastAsia"/>
                <w:sz w:val="24"/>
                <w:highlight w:val="none"/>
              </w:rPr>
            </w:pPr>
            <w:r>
              <w:rPr>
                <w:rFonts w:hint="eastAsia"/>
                <w:sz w:val="24"/>
                <w:highlight w:val="none"/>
              </w:rPr>
              <w:t>①施工扬尘：施工运输车辆沿现有道路进行运输，道路地面为水泥地面和</w:t>
            </w:r>
            <w:r>
              <w:rPr>
                <w:rFonts w:hint="eastAsia"/>
                <w:sz w:val="24"/>
                <w:highlight w:val="none"/>
                <w:lang w:val="en-US"/>
              </w:rPr>
              <w:t>碎石</w:t>
            </w:r>
            <w:r>
              <w:rPr>
                <w:rFonts w:hint="eastAsia"/>
                <w:sz w:val="24"/>
                <w:highlight w:val="none"/>
              </w:rPr>
              <w:t>路面，施工车辆</w:t>
            </w:r>
            <w:r>
              <w:rPr>
                <w:rFonts w:hint="eastAsia"/>
                <w:sz w:val="24"/>
                <w:highlight w:val="none"/>
                <w:lang w:eastAsia="zh-CN"/>
              </w:rPr>
              <w:t>在</w:t>
            </w:r>
            <w:r>
              <w:rPr>
                <w:rFonts w:hint="eastAsia"/>
                <w:sz w:val="24"/>
                <w:highlight w:val="none"/>
              </w:rPr>
              <w:t>运输过程</w:t>
            </w:r>
            <w:r>
              <w:rPr>
                <w:rFonts w:hint="eastAsia"/>
                <w:sz w:val="24"/>
                <w:highlight w:val="none"/>
                <w:lang w:eastAsia="zh-CN"/>
              </w:rPr>
              <w:t>中</w:t>
            </w:r>
            <w:r>
              <w:rPr>
                <w:rFonts w:hint="eastAsia"/>
                <w:sz w:val="24"/>
                <w:highlight w:val="none"/>
              </w:rPr>
              <w:t>会产生一定的路面扬尘。</w:t>
            </w:r>
          </w:p>
          <w:p w14:paraId="65158AC2">
            <w:pPr>
              <w:pStyle w:val="13"/>
              <w:spacing w:after="0" w:line="360" w:lineRule="auto"/>
              <w:ind w:left="0" w:leftChars="0" w:firstLine="480" w:firstLineChars="200"/>
              <w:rPr>
                <w:rFonts w:hint="eastAsia"/>
                <w:sz w:val="24"/>
                <w:highlight w:val="none"/>
              </w:rPr>
            </w:pPr>
            <w:r>
              <w:rPr>
                <w:rFonts w:hint="eastAsia"/>
                <w:sz w:val="24"/>
                <w:highlight w:val="none"/>
              </w:rPr>
              <w:t>②施工机械、运输车辆排放的废气：在工程施工期间，</w:t>
            </w:r>
            <w:r>
              <w:rPr>
                <w:rFonts w:hint="eastAsia"/>
                <w:sz w:val="24"/>
                <w:highlight w:val="none"/>
                <w:lang w:val="en-US"/>
              </w:rPr>
              <w:t>施工</w:t>
            </w:r>
            <w:r>
              <w:rPr>
                <w:rFonts w:hint="eastAsia"/>
                <w:sz w:val="24"/>
                <w:highlight w:val="none"/>
              </w:rPr>
              <w:t>车辆的发动机排放的尾气中含有NO</w:t>
            </w:r>
            <w:r>
              <w:rPr>
                <w:rFonts w:hint="eastAsia"/>
                <w:sz w:val="24"/>
                <w:highlight w:val="none"/>
                <w:vertAlign w:val="subscript"/>
              </w:rPr>
              <w:t>2</w:t>
            </w:r>
            <w:r>
              <w:rPr>
                <w:rFonts w:hint="eastAsia"/>
                <w:sz w:val="24"/>
                <w:highlight w:val="none"/>
              </w:rPr>
              <w:t>，CO、NMHC等污染物，一般情况下，这类污染物的排放量较小。</w:t>
            </w:r>
          </w:p>
          <w:p w14:paraId="4D0ECD35">
            <w:pPr>
              <w:pStyle w:val="13"/>
              <w:spacing w:after="0" w:line="360" w:lineRule="auto"/>
              <w:ind w:left="0" w:leftChars="0" w:firstLine="480" w:firstLineChars="200"/>
              <w:rPr>
                <w:rFonts w:hint="eastAsia"/>
                <w:sz w:val="24"/>
                <w:highlight w:val="none"/>
              </w:rPr>
            </w:pPr>
            <w:r>
              <w:rPr>
                <w:rFonts w:hint="eastAsia"/>
                <w:sz w:val="24"/>
                <w:highlight w:val="none"/>
              </w:rPr>
              <w:t>③管道焊接：管道焊接会产生少量焊接</w:t>
            </w:r>
            <w:r>
              <w:rPr>
                <w:rFonts w:hint="eastAsia"/>
                <w:sz w:val="24"/>
                <w:highlight w:val="none"/>
                <w:lang w:val="en-US"/>
              </w:rPr>
              <w:t>废气</w:t>
            </w:r>
            <w:r>
              <w:rPr>
                <w:rFonts w:hint="eastAsia"/>
                <w:sz w:val="24"/>
                <w:highlight w:val="none"/>
              </w:rPr>
              <w:t>；项目管道已在工厂进行了防腐处理，现场进行补刷加强防腐处理</w:t>
            </w:r>
            <w:r>
              <w:rPr>
                <w:rFonts w:hint="eastAsia"/>
                <w:sz w:val="24"/>
                <w:highlight w:val="none"/>
                <w:lang w:val="en-US" w:eastAsia="zh-CN"/>
              </w:rPr>
              <w:t>时</w:t>
            </w:r>
            <w:r>
              <w:rPr>
                <w:rFonts w:hint="eastAsia"/>
                <w:sz w:val="24"/>
                <w:highlight w:val="none"/>
              </w:rPr>
              <w:t>会产生少量有机废气，主要为挥发性有机物，项目油漆用量较小，挥发性有机物产生量及排放量较小。</w:t>
            </w:r>
          </w:p>
          <w:p w14:paraId="5B585665">
            <w:pPr>
              <w:spacing w:line="360" w:lineRule="auto"/>
              <w:ind w:firstLine="480" w:firstLineChars="200"/>
              <w:rPr>
                <w:rFonts w:hint="eastAsia"/>
                <w:sz w:val="24"/>
                <w:highlight w:val="none"/>
                <w:lang w:val="zh-CN"/>
              </w:rPr>
            </w:pPr>
            <w:r>
              <w:rPr>
                <w:rFonts w:hint="eastAsia"/>
                <w:sz w:val="24"/>
                <w:highlight w:val="none"/>
                <w:lang w:val="zh-CN"/>
              </w:rPr>
              <w:t>（</w:t>
            </w:r>
            <w:r>
              <w:rPr>
                <w:rFonts w:hint="eastAsia"/>
                <w:sz w:val="24"/>
                <w:highlight w:val="none"/>
              </w:rPr>
              <w:t>3</w:t>
            </w:r>
            <w:r>
              <w:rPr>
                <w:rFonts w:hint="eastAsia"/>
                <w:sz w:val="24"/>
                <w:highlight w:val="none"/>
                <w:lang w:val="zh-CN"/>
              </w:rPr>
              <w:t>）噪声</w:t>
            </w:r>
          </w:p>
          <w:p w14:paraId="011FB921">
            <w:pPr>
              <w:spacing w:line="360" w:lineRule="auto"/>
              <w:ind w:firstLine="480" w:firstLineChars="200"/>
              <w:rPr>
                <w:rFonts w:hint="eastAsia"/>
                <w:sz w:val="24"/>
                <w:highlight w:val="none"/>
                <w:lang w:val="zh-CN"/>
              </w:rPr>
            </w:pPr>
            <w:r>
              <w:rPr>
                <w:rFonts w:hint="eastAsia"/>
                <w:sz w:val="24"/>
                <w:highlight w:val="none"/>
                <w:lang w:val="zh-CN"/>
              </w:rPr>
              <w:t>在施工作业过程中，主要噪声设备有汽车吊、焊机、切割机</w:t>
            </w:r>
            <w:r>
              <w:rPr>
                <w:rFonts w:hint="eastAsia"/>
                <w:sz w:val="24"/>
                <w:highlight w:val="none"/>
              </w:rPr>
              <w:t>等</w:t>
            </w:r>
            <w:r>
              <w:rPr>
                <w:rFonts w:hint="eastAsia"/>
                <w:sz w:val="24"/>
                <w:highlight w:val="none"/>
                <w:lang w:val="zh-CN"/>
              </w:rPr>
              <w:t>，另外有移动噪声源材料运输车辆等。运输噪声如自卸汽车、载重汽车等噪声，属流动噪声源；管线施工机械噪声均具有流动性和短期性，施工噪声影响时间相对较短。</w:t>
            </w:r>
          </w:p>
          <w:p w14:paraId="2A9A03DE">
            <w:pPr>
              <w:spacing w:line="360" w:lineRule="auto"/>
              <w:ind w:firstLine="480" w:firstLineChars="200"/>
              <w:rPr>
                <w:rFonts w:hint="eastAsia"/>
                <w:sz w:val="24"/>
                <w:highlight w:val="none"/>
                <w:lang w:val="zh-CN"/>
              </w:rPr>
            </w:pPr>
            <w:r>
              <w:rPr>
                <w:rFonts w:hint="eastAsia"/>
                <w:sz w:val="24"/>
                <w:highlight w:val="none"/>
                <w:lang w:val="zh-CN"/>
              </w:rPr>
              <w:t>（</w:t>
            </w:r>
            <w:r>
              <w:rPr>
                <w:rFonts w:hint="eastAsia"/>
                <w:sz w:val="24"/>
                <w:highlight w:val="none"/>
              </w:rPr>
              <w:t>4</w:t>
            </w:r>
            <w:r>
              <w:rPr>
                <w:rFonts w:hint="eastAsia"/>
                <w:sz w:val="24"/>
                <w:highlight w:val="none"/>
                <w:lang w:val="zh-CN"/>
              </w:rPr>
              <w:t>）固体废物</w:t>
            </w:r>
          </w:p>
          <w:p w14:paraId="1C7C2075">
            <w:pPr>
              <w:spacing w:line="360" w:lineRule="auto"/>
              <w:ind w:firstLine="480" w:firstLineChars="200"/>
              <w:rPr>
                <w:rFonts w:hint="eastAsia"/>
                <w:sz w:val="24"/>
                <w:highlight w:val="none"/>
                <w:lang w:val="zh-CN"/>
              </w:rPr>
            </w:pPr>
            <w:r>
              <w:rPr>
                <w:rFonts w:hint="eastAsia"/>
                <w:sz w:val="24"/>
                <w:highlight w:val="none"/>
                <w:lang w:val="zh-CN"/>
              </w:rPr>
              <w:t>施工期产生的固体废物主要为施工废料、废油漆桶及生活垃圾。</w:t>
            </w:r>
          </w:p>
          <w:p w14:paraId="61788BE3">
            <w:pPr>
              <w:spacing w:line="360" w:lineRule="auto"/>
              <w:ind w:firstLine="480" w:firstLineChars="200"/>
              <w:rPr>
                <w:rFonts w:hint="eastAsia"/>
                <w:sz w:val="24"/>
                <w:highlight w:val="none"/>
                <w:lang w:val="zh-CN"/>
              </w:rPr>
            </w:pPr>
            <w:r>
              <w:rPr>
                <w:rFonts w:hint="eastAsia"/>
                <w:sz w:val="24"/>
                <w:highlight w:val="none"/>
                <w:lang w:val="zh-CN"/>
              </w:rPr>
              <w:t>①施工废料</w:t>
            </w:r>
          </w:p>
          <w:p w14:paraId="4720DC08">
            <w:pPr>
              <w:spacing w:line="360" w:lineRule="auto"/>
              <w:ind w:firstLine="480" w:firstLineChars="200"/>
              <w:rPr>
                <w:bCs/>
                <w:sz w:val="24"/>
                <w:highlight w:val="none"/>
              </w:rPr>
            </w:pPr>
            <w:r>
              <w:rPr>
                <w:rFonts w:hint="eastAsia"/>
                <w:sz w:val="24"/>
                <w:highlight w:val="none"/>
                <w:lang w:val="zh-CN"/>
              </w:rPr>
              <w:t>施工废料主要包括管道焊接作业中产生的废焊条（</w:t>
            </w:r>
            <w:r>
              <w:rPr>
                <w:rFonts w:hint="eastAsia"/>
                <w:sz w:val="24"/>
                <w:highlight w:val="none"/>
                <w:lang w:val="en-US" w:eastAsia="zh-CN"/>
              </w:rPr>
              <w:t>不含重金属，为普通碳钢和不锈钢等一般工业固废</w:t>
            </w:r>
            <w:r>
              <w:rPr>
                <w:rFonts w:hint="eastAsia"/>
                <w:sz w:val="24"/>
                <w:highlight w:val="none"/>
                <w:lang w:val="zh-CN"/>
              </w:rPr>
              <w:t>）、焊渣（</w:t>
            </w:r>
            <w:r>
              <w:rPr>
                <w:rFonts w:hint="eastAsia"/>
                <w:sz w:val="24"/>
                <w:highlight w:val="none"/>
                <w:lang w:val="en-US" w:eastAsia="zh-CN"/>
              </w:rPr>
              <w:t>氧化铁等一般工业固废</w:t>
            </w:r>
            <w:r>
              <w:rPr>
                <w:rFonts w:hint="eastAsia"/>
                <w:sz w:val="24"/>
                <w:highlight w:val="none"/>
                <w:lang w:val="zh-CN"/>
              </w:rPr>
              <w:t>）、防腐、保温作业中产生的废防腐材料、废保温材料等。本项目施工过程产生的施工废料量约为</w:t>
            </w:r>
            <w:r>
              <w:rPr>
                <w:rFonts w:hint="eastAsia"/>
                <w:sz w:val="24"/>
                <w:highlight w:val="none"/>
                <w:lang w:val="en-US" w:eastAsia="zh-CN"/>
              </w:rPr>
              <w:t>0.5</w:t>
            </w:r>
            <w:r>
              <w:rPr>
                <w:rFonts w:hint="eastAsia"/>
                <w:sz w:val="24"/>
                <w:highlight w:val="none"/>
                <w:lang w:val="zh-CN"/>
              </w:rPr>
              <w:t>t。</w:t>
            </w:r>
            <w:r>
              <w:rPr>
                <w:bCs/>
                <w:sz w:val="24"/>
                <w:highlight w:val="none"/>
              </w:rPr>
              <w:t>收集后</w:t>
            </w:r>
            <w:r>
              <w:rPr>
                <w:rFonts w:hint="eastAsia"/>
                <w:bCs/>
                <w:sz w:val="24"/>
                <w:highlight w:val="none"/>
              </w:rPr>
              <w:t>由施工单位清运，可以进行回收利用的外售</w:t>
            </w:r>
            <w:r>
              <w:rPr>
                <w:rFonts w:hint="eastAsia"/>
                <w:bCs/>
                <w:sz w:val="24"/>
                <w:highlight w:val="none"/>
                <w:lang w:eastAsia="zh-CN"/>
              </w:rPr>
              <w:t>并</w:t>
            </w:r>
            <w:r>
              <w:rPr>
                <w:rFonts w:hint="eastAsia"/>
                <w:bCs/>
                <w:sz w:val="24"/>
                <w:highlight w:val="none"/>
              </w:rPr>
              <w:t>综合利用，对不能回收利用的</w:t>
            </w:r>
            <w:r>
              <w:rPr>
                <w:rFonts w:hint="eastAsia"/>
                <w:bCs/>
                <w:sz w:val="24"/>
                <w:highlight w:val="none"/>
                <w:lang w:eastAsia="zh-CN"/>
              </w:rPr>
              <w:t>垃圾</w:t>
            </w:r>
            <w:r>
              <w:rPr>
                <w:rFonts w:hint="eastAsia"/>
                <w:bCs/>
                <w:sz w:val="24"/>
                <w:highlight w:val="none"/>
              </w:rPr>
              <w:t>运送至就近的建筑垃圾处理厂统一处理</w:t>
            </w:r>
            <w:r>
              <w:rPr>
                <w:bCs/>
                <w:sz w:val="24"/>
                <w:highlight w:val="none"/>
              </w:rPr>
              <w:t>。</w:t>
            </w:r>
          </w:p>
          <w:p w14:paraId="4A547665">
            <w:pPr>
              <w:spacing w:line="360" w:lineRule="auto"/>
              <w:ind w:firstLine="480" w:firstLineChars="200"/>
              <w:rPr>
                <w:rFonts w:hint="eastAsia"/>
                <w:sz w:val="24"/>
                <w:highlight w:val="none"/>
                <w:lang w:val="zh-CN"/>
              </w:rPr>
            </w:pPr>
            <w:r>
              <w:rPr>
                <w:rFonts w:hint="eastAsia"/>
                <w:sz w:val="24"/>
                <w:highlight w:val="none"/>
                <w:lang w:val="zh-CN"/>
              </w:rPr>
              <w:t>②废油漆桶</w:t>
            </w:r>
          </w:p>
          <w:p w14:paraId="0562AD86">
            <w:pPr>
              <w:spacing w:line="360" w:lineRule="auto"/>
              <w:ind w:firstLine="480" w:firstLineChars="200"/>
              <w:rPr>
                <w:rFonts w:hint="eastAsia"/>
                <w:sz w:val="24"/>
                <w:highlight w:val="none"/>
                <w:lang w:val="zh-CN"/>
              </w:rPr>
            </w:pPr>
            <w:r>
              <w:rPr>
                <w:rFonts w:hint="eastAsia"/>
                <w:sz w:val="24"/>
                <w:highlight w:val="none"/>
                <w:lang w:val="zh-CN"/>
              </w:rPr>
              <w:t>废油漆桶属于《国家危险废物名录》（2025年版）中HW49其他废物，废物代码为900-041-49“含有或沾染毒性、感染性危险废物的废弃包装物、容器、过滤吸附介质”，应分类收集。</w:t>
            </w:r>
            <w:r>
              <w:rPr>
                <w:rFonts w:hint="eastAsia"/>
                <w:sz w:val="24"/>
                <w:highlight w:val="none"/>
                <w:lang w:val="en-US" w:eastAsia="zh-CN"/>
              </w:rPr>
              <w:t>本项目施工期废油桶产生共计5kg，依托内蒙古伊泰化工有限责任公司</w:t>
            </w:r>
            <w:r>
              <w:rPr>
                <w:rFonts w:hint="eastAsia"/>
                <w:sz w:val="24"/>
                <w:highlight w:val="none"/>
                <w:lang w:val="zh-CN" w:eastAsia="zh-CN"/>
              </w:rPr>
              <w:t>危废暂存库</w:t>
            </w:r>
            <w:r>
              <w:rPr>
                <w:rFonts w:hint="eastAsia"/>
                <w:sz w:val="24"/>
                <w:highlight w:val="none"/>
                <w:lang w:val="zh-CN"/>
              </w:rPr>
              <w:t>，</w:t>
            </w:r>
            <w:r>
              <w:rPr>
                <w:rFonts w:hint="eastAsia"/>
                <w:sz w:val="24"/>
                <w:highlight w:val="none"/>
                <w:lang w:val="en-US" w:eastAsia="zh-CN"/>
              </w:rPr>
              <w:t>后委托有资质单位处理</w:t>
            </w:r>
            <w:r>
              <w:rPr>
                <w:rFonts w:hint="eastAsia"/>
                <w:sz w:val="24"/>
                <w:highlight w:val="none"/>
                <w:lang w:val="zh-CN"/>
              </w:rPr>
              <w:t>。</w:t>
            </w:r>
          </w:p>
          <w:p w14:paraId="68EE7C73">
            <w:pPr>
              <w:spacing w:line="360" w:lineRule="auto"/>
              <w:ind w:firstLine="480" w:firstLineChars="200"/>
              <w:rPr>
                <w:rFonts w:hint="eastAsia"/>
                <w:sz w:val="24"/>
                <w:highlight w:val="none"/>
                <w:lang w:val="zh-CN"/>
              </w:rPr>
            </w:pPr>
            <w:r>
              <w:rPr>
                <w:rFonts w:hint="eastAsia"/>
                <w:sz w:val="24"/>
                <w:highlight w:val="none"/>
                <w:lang w:val="zh-CN"/>
              </w:rPr>
              <w:t>③生活垃圾</w:t>
            </w:r>
          </w:p>
          <w:p w14:paraId="5FCE9EF7">
            <w:pPr>
              <w:spacing w:line="360" w:lineRule="auto"/>
              <w:ind w:firstLine="480" w:firstLineChars="200"/>
              <w:rPr>
                <w:rFonts w:hint="eastAsia"/>
                <w:sz w:val="24"/>
                <w:highlight w:val="none"/>
                <w:lang w:val="zh-CN"/>
              </w:rPr>
            </w:pPr>
            <w:r>
              <w:rPr>
                <w:rFonts w:hint="eastAsia"/>
                <w:b w:val="0"/>
                <w:bCs/>
                <w:sz w:val="24"/>
                <w:szCs w:val="32"/>
                <w:highlight w:val="none"/>
                <w:lang w:val="en-US" w:eastAsia="zh-CN"/>
              </w:rPr>
              <w:t>施工</w:t>
            </w:r>
            <w:r>
              <w:rPr>
                <w:rFonts w:hint="eastAsia"/>
                <w:b w:val="0"/>
                <w:bCs/>
                <w:sz w:val="24"/>
                <w:szCs w:val="32"/>
                <w:highlight w:val="none"/>
              </w:rPr>
              <w:t>人员</w:t>
            </w:r>
            <w:r>
              <w:rPr>
                <w:rFonts w:hint="eastAsia"/>
                <w:b w:val="0"/>
                <w:bCs/>
                <w:sz w:val="24"/>
                <w:szCs w:val="32"/>
                <w:highlight w:val="none"/>
                <w:lang w:val="en-US" w:eastAsia="zh-CN"/>
              </w:rPr>
              <w:t>全部为内蒙古伊泰化工有限责任公司现有人员</w:t>
            </w:r>
            <w:r>
              <w:rPr>
                <w:rFonts w:hint="eastAsia"/>
                <w:sz w:val="24"/>
                <w:highlight w:val="none"/>
                <w:lang w:val="zh-CN"/>
              </w:rPr>
              <w:t>。</w:t>
            </w:r>
            <w:r>
              <w:rPr>
                <w:rFonts w:hint="eastAsia"/>
                <w:sz w:val="24"/>
                <w:highlight w:val="none"/>
                <w:lang w:val="en-US" w:eastAsia="zh-CN"/>
              </w:rPr>
              <w:t>所产生的</w:t>
            </w:r>
            <w:r>
              <w:rPr>
                <w:bCs/>
                <w:sz w:val="24"/>
                <w:highlight w:val="none"/>
              </w:rPr>
              <w:t>生活垃圾经</w:t>
            </w:r>
            <w:r>
              <w:rPr>
                <w:rFonts w:hint="eastAsia"/>
                <w:bCs/>
                <w:sz w:val="24"/>
                <w:highlight w:val="none"/>
                <w:lang w:val="en-US" w:eastAsia="zh-CN"/>
              </w:rPr>
              <w:t>厂区垃圾桶</w:t>
            </w:r>
            <w:r>
              <w:rPr>
                <w:bCs/>
                <w:sz w:val="24"/>
                <w:highlight w:val="none"/>
              </w:rPr>
              <w:t>收集后</w:t>
            </w:r>
            <w:r>
              <w:rPr>
                <w:rFonts w:hint="eastAsia"/>
                <w:bCs/>
                <w:sz w:val="24"/>
                <w:highlight w:val="none"/>
                <w:lang w:val="en-US" w:eastAsia="zh-CN"/>
              </w:rPr>
              <w:t>统一由环卫部门处置</w:t>
            </w:r>
            <w:r>
              <w:rPr>
                <w:bCs/>
                <w:sz w:val="24"/>
                <w:highlight w:val="none"/>
              </w:rPr>
              <w:t>。</w:t>
            </w:r>
          </w:p>
          <w:p w14:paraId="350CA8B8">
            <w:pPr>
              <w:spacing w:line="360" w:lineRule="auto"/>
              <w:ind w:firstLine="480" w:firstLineChars="200"/>
              <w:rPr>
                <w:rFonts w:hint="eastAsia"/>
                <w:sz w:val="24"/>
                <w:highlight w:val="none"/>
                <w:lang w:val="zh-CN"/>
              </w:rPr>
            </w:pPr>
            <w:r>
              <w:rPr>
                <w:rFonts w:hint="eastAsia"/>
                <w:sz w:val="24"/>
                <w:highlight w:val="none"/>
                <w:lang w:val="zh-CN"/>
              </w:rPr>
              <w:t>（</w:t>
            </w:r>
            <w:r>
              <w:rPr>
                <w:rFonts w:hint="eastAsia"/>
                <w:sz w:val="24"/>
                <w:highlight w:val="none"/>
              </w:rPr>
              <w:t>5</w:t>
            </w:r>
            <w:r>
              <w:rPr>
                <w:rFonts w:hint="eastAsia"/>
                <w:sz w:val="24"/>
                <w:highlight w:val="none"/>
                <w:lang w:val="zh-CN"/>
              </w:rPr>
              <w:t>）生态环境影响</w:t>
            </w:r>
          </w:p>
          <w:p w14:paraId="69E85F52">
            <w:pPr>
              <w:spacing w:line="360" w:lineRule="auto"/>
              <w:ind w:firstLine="480" w:firstLineChars="200"/>
              <w:rPr>
                <w:rFonts w:ascii="宋体" w:hAnsi="宋体" w:cs="宋体"/>
                <w:color w:val="0000FF"/>
                <w:kern w:val="0"/>
                <w:szCs w:val="21"/>
                <w:highlight w:val="none"/>
              </w:rPr>
            </w:pPr>
            <w:r>
              <w:rPr>
                <w:rFonts w:hint="eastAsia" w:ascii="Times New Roman" w:hAnsi="Times New Roman" w:eastAsia="宋体" w:cs="Times New Roman"/>
                <w:bCs/>
                <w:sz w:val="24"/>
                <w:highlight w:val="none"/>
                <w:lang w:val="zh-CN"/>
              </w:rPr>
              <w:t>项</w:t>
            </w:r>
            <w:r>
              <w:rPr>
                <w:rFonts w:hint="eastAsia" w:ascii="Times New Roman" w:hAnsi="Times New Roman" w:eastAsia="宋体" w:cs="Times New Roman"/>
                <w:bCs/>
                <w:sz w:val="24"/>
                <w:highlight w:val="none"/>
                <w:lang w:val="zh-CN" w:eastAsia="zh-CN"/>
              </w:rPr>
              <w:t>目管道施工内容主要</w:t>
            </w:r>
            <w:r>
              <w:rPr>
                <w:rFonts w:hint="eastAsia" w:ascii="Times New Roman" w:hAnsi="Times New Roman" w:eastAsia="宋体" w:cs="Times New Roman"/>
                <w:bCs/>
                <w:sz w:val="24"/>
                <w:highlight w:val="none"/>
                <w:lang w:val="en-US" w:eastAsia="zh-CN"/>
              </w:rPr>
              <w:t>为安装管道、</w:t>
            </w:r>
            <w:r>
              <w:rPr>
                <w:rFonts w:hint="eastAsia" w:ascii="Times New Roman" w:hAnsi="Times New Roman" w:eastAsia="宋体" w:cs="Times New Roman"/>
                <w:bCs/>
                <w:sz w:val="24"/>
                <w:highlight w:val="none"/>
                <w:lang w:val="zh-CN" w:eastAsia="zh-CN"/>
              </w:rPr>
              <w:t>管道焊接、管道保温等。项目</w:t>
            </w:r>
            <w:r>
              <w:rPr>
                <w:rFonts w:hint="eastAsia" w:cs="Times New Roman"/>
                <w:bCs/>
                <w:sz w:val="24"/>
                <w:highlight w:val="none"/>
                <w:lang w:val="en-US" w:eastAsia="zh-CN"/>
              </w:rPr>
              <w:t>厂区内</w:t>
            </w:r>
            <w:r>
              <w:rPr>
                <w:rFonts w:hint="eastAsia" w:ascii="Times New Roman" w:hAnsi="Times New Roman" w:eastAsia="宋体" w:cs="Times New Roman"/>
                <w:bCs/>
                <w:sz w:val="24"/>
                <w:highlight w:val="none"/>
                <w:lang w:val="en-US" w:eastAsia="zh-CN"/>
              </w:rPr>
              <w:t>占地为工业场地，在原有</w:t>
            </w:r>
            <w:r>
              <w:rPr>
                <w:rFonts w:hint="eastAsia" w:cs="Times New Roman"/>
                <w:bCs/>
                <w:sz w:val="24"/>
                <w:highlight w:val="none"/>
                <w:lang w:val="en-US" w:eastAsia="zh-CN"/>
              </w:rPr>
              <w:t>联博</w:t>
            </w:r>
            <w:r>
              <w:rPr>
                <w:rFonts w:hint="eastAsia" w:ascii="Times New Roman" w:hAnsi="Times New Roman" w:eastAsia="宋体" w:cs="Times New Roman"/>
                <w:bCs/>
                <w:sz w:val="24"/>
                <w:highlight w:val="none"/>
                <w:lang w:val="en-US" w:eastAsia="zh-CN"/>
              </w:rPr>
              <w:t>管廊基础上改造，</w:t>
            </w:r>
            <w:r>
              <w:rPr>
                <w:rFonts w:hint="eastAsia" w:cs="Times New Roman"/>
                <w:bCs/>
                <w:sz w:val="24"/>
                <w:highlight w:val="none"/>
                <w:lang w:val="en-US" w:eastAsia="zh-CN"/>
              </w:rPr>
              <w:t>并新建部分架空管线</w:t>
            </w:r>
            <w:r>
              <w:rPr>
                <w:rFonts w:hint="eastAsia" w:ascii="Times New Roman" w:hAnsi="Times New Roman" w:eastAsia="宋体" w:cs="Times New Roman"/>
                <w:bCs/>
                <w:sz w:val="24"/>
                <w:highlight w:val="none"/>
                <w:lang w:val="zh-CN" w:eastAsia="zh-CN"/>
              </w:rPr>
              <w:t>将物料输送至鹏泰生物装置界区。</w:t>
            </w:r>
            <w:r>
              <w:rPr>
                <w:rFonts w:hint="eastAsia" w:cs="Times New Roman"/>
                <w:bCs/>
                <w:sz w:val="24"/>
                <w:highlight w:val="none"/>
                <w:lang w:val="en-US" w:eastAsia="zh-CN"/>
              </w:rPr>
              <w:t>项目黄河水管道伊泰厂区外取水点已经预留接口，本项目建设直接接入，黄河水管道为架空管道，不涉及地面土方工程。本项目建设</w:t>
            </w:r>
            <w:r>
              <w:rPr>
                <w:rFonts w:hint="eastAsia" w:ascii="Times New Roman" w:hAnsi="Times New Roman" w:eastAsia="宋体" w:cs="Times New Roman"/>
                <w:bCs/>
                <w:sz w:val="24"/>
                <w:highlight w:val="none"/>
                <w:lang w:val="zh-CN" w:eastAsia="zh-CN"/>
              </w:rPr>
              <w:t>未涉及占用基本农田、生态公益林等保护目标，项目厂区内现状为</w:t>
            </w:r>
            <w:r>
              <w:rPr>
                <w:rFonts w:hint="eastAsia" w:cs="Times New Roman"/>
                <w:bCs/>
                <w:sz w:val="24"/>
                <w:highlight w:val="none"/>
                <w:lang w:val="en-US" w:eastAsia="zh-CN"/>
              </w:rPr>
              <w:t>碎石地面、硬化道路</w:t>
            </w:r>
            <w:r>
              <w:rPr>
                <w:rFonts w:hint="eastAsia" w:ascii="Times New Roman" w:hAnsi="Times New Roman" w:eastAsia="宋体" w:cs="Times New Roman"/>
                <w:bCs/>
                <w:sz w:val="24"/>
                <w:highlight w:val="none"/>
                <w:lang w:val="zh-CN" w:eastAsia="zh-CN"/>
              </w:rPr>
              <w:t>、空地、厂区外为裸露土壤，无保护植被等</w:t>
            </w:r>
            <w:r>
              <w:rPr>
                <w:rFonts w:hint="eastAsia" w:cs="Times New Roman"/>
                <w:bCs/>
                <w:sz w:val="24"/>
                <w:highlight w:val="none"/>
                <w:lang w:val="zh-CN" w:eastAsia="zh-CN"/>
              </w:rPr>
              <w:t>。</w:t>
            </w:r>
            <w:r>
              <w:rPr>
                <w:rFonts w:hint="eastAsia" w:cs="Times New Roman"/>
                <w:sz w:val="24"/>
                <w:highlight w:val="none"/>
                <w:lang w:val="en-US" w:eastAsia="zh-CN"/>
              </w:rPr>
              <w:t>本项目WRT甲烷气、清净废水管道位于厂区外，部分管道跨越厂区之间天然牧草地。如果</w:t>
            </w:r>
            <w:r>
              <w:rPr>
                <w:rFonts w:ascii="Segoe UI" w:hAnsi="Segoe UI" w:eastAsia="Segoe UI" w:cs="Segoe UI"/>
                <w:i w:val="0"/>
                <w:iCs w:val="0"/>
                <w:caps w:val="0"/>
                <w:color w:val="0F1115"/>
                <w:spacing w:val="0"/>
                <w:sz w:val="24"/>
                <w:szCs w:val="24"/>
                <w:highlight w:val="none"/>
                <w:shd w:val="clear" w:fill="FFFFFF"/>
              </w:rPr>
              <w:t>施工过程中对牧草造成局部损伤，应在施工结束后及时采取植被恢复措施，必要时进行草籽补播，</w:t>
            </w:r>
            <w:r>
              <w:rPr>
                <w:rFonts w:hint="eastAsia" w:ascii="Segoe UI" w:hAnsi="Segoe UI" w:eastAsia="宋体" w:cs="Segoe UI"/>
                <w:i w:val="0"/>
                <w:iCs w:val="0"/>
                <w:caps w:val="0"/>
                <w:color w:val="0F1115"/>
                <w:spacing w:val="0"/>
                <w:sz w:val="24"/>
                <w:szCs w:val="24"/>
                <w:highlight w:val="none"/>
                <w:shd w:val="clear" w:fill="FFFFFF"/>
                <w:lang w:eastAsia="zh-CN"/>
              </w:rPr>
              <w:t>以</w:t>
            </w:r>
            <w:r>
              <w:rPr>
                <w:rFonts w:ascii="Segoe UI" w:hAnsi="Segoe UI" w:eastAsia="Segoe UI" w:cs="Segoe UI"/>
                <w:i w:val="0"/>
                <w:iCs w:val="0"/>
                <w:caps w:val="0"/>
                <w:color w:val="0F1115"/>
                <w:spacing w:val="0"/>
                <w:sz w:val="24"/>
                <w:szCs w:val="24"/>
                <w:highlight w:val="none"/>
                <w:shd w:val="clear" w:fill="FFFFFF"/>
              </w:rPr>
              <w:t>促进植被自然恢复</w:t>
            </w:r>
            <w:r>
              <w:rPr>
                <w:rFonts w:hint="eastAsia" w:ascii="Segoe UI" w:hAnsi="Segoe UI" w:eastAsia="宋体" w:cs="Segoe UI"/>
                <w:i w:val="0"/>
                <w:iCs w:val="0"/>
                <w:caps w:val="0"/>
                <w:color w:val="0F1115"/>
                <w:spacing w:val="0"/>
                <w:sz w:val="24"/>
                <w:szCs w:val="24"/>
                <w:highlight w:val="none"/>
                <w:shd w:val="clear" w:fill="FFFFFF"/>
                <w:lang w:eastAsia="zh-CN"/>
              </w:rPr>
              <w:t>。</w:t>
            </w:r>
            <w:r>
              <w:rPr>
                <w:rFonts w:hint="eastAsia" w:ascii="Segoe UI" w:hAnsi="Segoe UI" w:eastAsia="宋体" w:cs="Segoe UI"/>
                <w:i w:val="0"/>
                <w:iCs w:val="0"/>
                <w:caps w:val="0"/>
                <w:color w:val="0F1115"/>
                <w:spacing w:val="0"/>
                <w:sz w:val="24"/>
                <w:szCs w:val="24"/>
                <w:highlight w:val="none"/>
                <w:shd w:val="clear" w:fill="FFFFFF"/>
                <w:lang w:val="en-US" w:eastAsia="zh-CN"/>
              </w:rPr>
              <w:t>总体来看周边</w:t>
            </w:r>
            <w:r>
              <w:rPr>
                <w:rFonts w:hint="eastAsia" w:ascii="Times New Roman" w:hAnsi="Times New Roman" w:eastAsia="宋体" w:cs="Times New Roman"/>
                <w:bCs/>
                <w:sz w:val="24"/>
                <w:highlight w:val="none"/>
                <w:lang w:val="zh-CN" w:eastAsia="zh-CN"/>
              </w:rPr>
              <w:t>环境不敏感</w:t>
            </w:r>
            <w:r>
              <w:rPr>
                <w:rFonts w:hint="eastAsia" w:cs="Times New Roman"/>
                <w:bCs/>
                <w:sz w:val="24"/>
                <w:highlight w:val="none"/>
                <w:lang w:val="zh-CN" w:eastAsia="zh-CN"/>
              </w:rPr>
              <w:t>，</w:t>
            </w:r>
            <w:r>
              <w:rPr>
                <w:rFonts w:hint="eastAsia" w:ascii="Times New Roman" w:hAnsi="Times New Roman" w:eastAsia="宋体" w:cs="Times New Roman"/>
                <w:bCs/>
                <w:sz w:val="24"/>
                <w:highlight w:val="none"/>
                <w:lang w:val="zh-CN" w:eastAsia="zh-CN"/>
              </w:rPr>
              <w:t>占地及施工对区域生态环境的影响很小。</w:t>
            </w:r>
          </w:p>
        </w:tc>
      </w:tr>
      <w:tr w14:paraId="351CA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456" w:type="dxa"/>
            <w:noWrap w:val="0"/>
            <w:vAlign w:val="center"/>
          </w:tcPr>
          <w:p w14:paraId="4C5C8CF1">
            <w:pPr>
              <w:adjustRightInd w:val="0"/>
              <w:snapToGrid w:val="0"/>
              <w:jc w:val="center"/>
              <w:rPr>
                <w:rFonts w:ascii="宋体" w:hAnsi="宋体" w:cs="宋体"/>
                <w:kern w:val="0"/>
                <w:sz w:val="24"/>
                <w:highlight w:val="none"/>
              </w:rPr>
            </w:pPr>
            <w:r>
              <w:rPr>
                <w:rFonts w:hint="eastAsia" w:ascii="宋体" w:hAnsi="宋体" w:cs="宋体"/>
                <w:kern w:val="0"/>
                <w:sz w:val="24"/>
                <w:highlight w:val="none"/>
              </w:rPr>
              <w:t>其他</w:t>
            </w:r>
          </w:p>
        </w:tc>
        <w:tc>
          <w:tcPr>
            <w:tcW w:w="8732" w:type="dxa"/>
            <w:noWrap w:val="0"/>
            <w:vAlign w:val="center"/>
          </w:tcPr>
          <w:p w14:paraId="632983F5">
            <w:pPr>
              <w:adjustRightInd w:val="0"/>
              <w:snapToGrid w:val="0"/>
              <w:ind w:firstLine="480" w:firstLineChars="200"/>
              <w:jc w:val="left"/>
              <w:rPr>
                <w:rFonts w:hint="default" w:ascii="宋体" w:hAnsi="宋体" w:eastAsia="宋体" w:cs="宋体"/>
                <w:color w:val="0000FF"/>
                <w:kern w:val="0"/>
                <w:szCs w:val="21"/>
                <w:highlight w:val="none"/>
                <w:lang w:val="en-US" w:eastAsia="zh-CN"/>
              </w:rPr>
            </w:pPr>
            <w:r>
              <w:rPr>
                <w:rFonts w:hint="eastAsia" w:ascii="宋体" w:hAnsi="宋体" w:cs="宋体"/>
                <w:kern w:val="0"/>
                <w:sz w:val="24"/>
                <w:highlight w:val="none"/>
                <w:lang w:val="en-US" w:eastAsia="zh-CN"/>
              </w:rPr>
              <w:t>本项目管线均位于现有厂区内或两厂区之间，无比选方案。</w:t>
            </w:r>
          </w:p>
        </w:tc>
      </w:tr>
    </w:tbl>
    <w:p w14:paraId="6871CC4D">
      <w:pPr>
        <w:pStyle w:val="18"/>
        <w:jc w:val="center"/>
        <w:outlineLvl w:val="0"/>
        <w:rPr>
          <w:rFonts w:ascii="黑体" w:hAnsi="黑体" w:eastAsia="黑体"/>
          <w:snapToGrid w:val="0"/>
          <w:sz w:val="30"/>
          <w:szCs w:val="30"/>
          <w:highlight w:val="none"/>
        </w:rPr>
      </w:pPr>
      <w:r>
        <w:rPr>
          <w:rFonts w:eastAsia="仿宋_GB2312"/>
          <w:b/>
          <w:bCs/>
          <w:highlight w:val="none"/>
        </w:rPr>
        <w:br w:type="page"/>
      </w:r>
      <w:r>
        <w:rPr>
          <w:rFonts w:hint="eastAsia" w:ascii="黑体" w:hAnsi="黑体" w:eastAsia="黑体"/>
          <w:snapToGrid w:val="0"/>
          <w:sz w:val="30"/>
          <w:szCs w:val="30"/>
          <w:highlight w:val="none"/>
        </w:rPr>
        <w:t>三、生态环境现状、保护目标及评价标准</w:t>
      </w:r>
    </w:p>
    <w:tbl>
      <w:tblPr>
        <w:tblStyle w:val="19"/>
        <w:tblW w:w="90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591"/>
      </w:tblGrid>
      <w:tr w14:paraId="438DF2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56" w:type="dxa"/>
            <w:noWrap w:val="0"/>
            <w:vAlign w:val="center"/>
          </w:tcPr>
          <w:p w14:paraId="7C2CF81D">
            <w:pPr>
              <w:adjustRightInd w:val="0"/>
              <w:snapToGrid w:val="0"/>
              <w:jc w:val="center"/>
              <w:rPr>
                <w:rFonts w:ascii="宋体" w:hAnsi="宋体" w:cs="宋体"/>
                <w:kern w:val="0"/>
                <w:szCs w:val="21"/>
                <w:highlight w:val="none"/>
              </w:rPr>
            </w:pPr>
            <w:r>
              <w:rPr>
                <w:rFonts w:hint="eastAsia" w:ascii="宋体" w:hAnsi="宋体" w:cs="宋体"/>
                <w:kern w:val="0"/>
                <w:sz w:val="24"/>
                <w:highlight w:val="none"/>
              </w:rPr>
              <w:t>生态环境现状</w:t>
            </w:r>
          </w:p>
        </w:tc>
        <w:tc>
          <w:tcPr>
            <w:tcW w:w="8591" w:type="dxa"/>
            <w:noWrap w:val="0"/>
            <w:vAlign w:val="center"/>
          </w:tcPr>
          <w:p w14:paraId="2A32FAD0">
            <w:pPr>
              <w:pStyle w:val="30"/>
              <w:ind w:firstLine="480"/>
              <w:rPr>
                <w:rFonts w:hint="default"/>
                <w:b/>
                <w:bCs/>
                <w:kern w:val="2"/>
                <w:sz w:val="24"/>
                <w:szCs w:val="24"/>
                <w:highlight w:val="none"/>
                <w:lang w:val="en-US" w:eastAsia="zh-CN"/>
              </w:rPr>
            </w:pPr>
            <w:r>
              <w:rPr>
                <w:rFonts w:hint="eastAsia"/>
                <w:b/>
                <w:bCs/>
                <w:kern w:val="2"/>
                <w:sz w:val="24"/>
                <w:szCs w:val="24"/>
                <w:highlight w:val="none"/>
                <w:lang w:val="en-US" w:eastAsia="zh-CN"/>
              </w:rPr>
              <w:t>1.地理位置</w:t>
            </w:r>
          </w:p>
          <w:p w14:paraId="0ED65D03">
            <w:pPr>
              <w:pStyle w:val="30"/>
              <w:ind w:firstLine="480" w:firstLineChars="200"/>
              <w:rPr>
                <w:rFonts w:hint="eastAsia"/>
                <w:b w:val="0"/>
                <w:bCs w:val="0"/>
                <w:kern w:val="2"/>
                <w:sz w:val="24"/>
                <w:szCs w:val="24"/>
                <w:highlight w:val="none"/>
                <w:lang w:val="en-US" w:eastAsia="zh-CN"/>
              </w:rPr>
            </w:pPr>
            <w:r>
              <w:rPr>
                <w:rFonts w:hint="eastAsia"/>
                <w:b w:val="0"/>
                <w:bCs w:val="0"/>
                <w:kern w:val="2"/>
                <w:sz w:val="24"/>
                <w:szCs w:val="24"/>
                <w:highlight w:val="none"/>
                <w:lang w:val="en-US" w:eastAsia="zh-CN"/>
              </w:rPr>
              <w:t>本项目位于内蒙古鄂尔多斯市鄂尔多斯杭锦经济开发区独贵塔拉产业园（南区）。</w:t>
            </w:r>
          </w:p>
          <w:p w14:paraId="6393B5D9">
            <w:pPr>
              <w:pStyle w:val="30"/>
              <w:wordWrap w:val="0"/>
              <w:ind w:firstLine="480" w:firstLineChars="200"/>
              <w:rPr>
                <w:rFonts w:hint="default" w:ascii="Times New Roman" w:hAnsi="Times New Roman" w:cs="Times New Roman"/>
                <w:b w:val="0"/>
                <w:bCs w:val="0"/>
                <w:kern w:val="2"/>
                <w:sz w:val="24"/>
                <w:szCs w:val="24"/>
                <w:highlight w:val="none"/>
                <w:lang w:val="en-US" w:eastAsia="zh-CN"/>
              </w:rPr>
            </w:pPr>
            <w:r>
              <w:rPr>
                <w:rFonts w:hint="default" w:ascii="Times New Roman" w:hAnsi="Times New Roman" w:cs="Times New Roman"/>
                <w:b w:val="0"/>
                <w:bCs w:val="0"/>
                <w:kern w:val="2"/>
                <w:sz w:val="24"/>
                <w:szCs w:val="24"/>
                <w:highlight w:val="none"/>
                <w:lang w:val="en-US" w:eastAsia="zh-CN"/>
              </w:rPr>
              <w:t>杭锦旗位于鄂尔多斯高原西北部，属内蒙古自治区鄂尔多斯市管辖，东与达拉特旗、东胜区接壤，南与伊金霍洛旗、乌审旗为邻，西与鄂托克旗毗连，北与巴彦淖尔市隔黄河相望。地跨鄂尔多斯高原与河套平原，地理坐标为东经106</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55</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16</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~109</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16</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02</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，北纬39</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22</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33</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~40</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52</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14</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w:t>
            </w:r>
          </w:p>
          <w:p w14:paraId="47391962">
            <w:pPr>
              <w:pStyle w:val="30"/>
              <w:wordWrap w:val="0"/>
              <w:ind w:firstLine="480" w:firstLineChars="200"/>
              <w:rPr>
                <w:rFonts w:hint="eastAsia"/>
                <w:b w:val="0"/>
                <w:bCs w:val="0"/>
                <w:kern w:val="2"/>
                <w:sz w:val="24"/>
                <w:szCs w:val="24"/>
                <w:highlight w:val="none"/>
                <w:lang w:val="en-US" w:eastAsia="zh-CN"/>
              </w:rPr>
            </w:pPr>
            <w:r>
              <w:rPr>
                <w:rFonts w:hint="default" w:ascii="Times New Roman" w:hAnsi="Times New Roman" w:cs="Times New Roman"/>
                <w:b w:val="0"/>
                <w:bCs w:val="0"/>
                <w:kern w:val="2"/>
                <w:sz w:val="24"/>
                <w:szCs w:val="24"/>
                <w:highlight w:val="none"/>
                <w:lang w:val="en-US" w:eastAsia="zh-CN"/>
              </w:rPr>
              <w:t>独贵塔拉镇位于杭锦旗东北部，东经108</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32</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41</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~108</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46</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45</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，北纬40</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31</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52</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~40</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41</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53</w:t>
            </w:r>
            <w:r>
              <w:rPr>
                <w:rFonts w:hint="eastAsia" w:cs="Times New Roman"/>
                <w:b w:val="0"/>
                <w:bCs w:val="0"/>
                <w:kern w:val="2"/>
                <w:sz w:val="24"/>
                <w:szCs w:val="24"/>
                <w:highlight w:val="none"/>
                <w:lang w:val="en-US" w:eastAsia="zh-CN"/>
              </w:rPr>
              <w:t>″</w:t>
            </w:r>
            <w:r>
              <w:rPr>
                <w:rFonts w:hint="default" w:ascii="Times New Roman" w:hAnsi="Times New Roman" w:cs="Times New Roman"/>
                <w:b w:val="0"/>
                <w:bCs w:val="0"/>
                <w:kern w:val="2"/>
                <w:sz w:val="24"/>
                <w:szCs w:val="24"/>
                <w:highlight w:val="none"/>
                <w:lang w:val="en-US" w:eastAsia="zh-CN"/>
              </w:rPr>
              <w:t>。与树林召镇相距约113公里，与锡尼镇相距约80公里，总面积为2068.71平方公里。东与杭锦淖尔乡接壤，西与吉日嘎朗图镇相连，南临伊和乌素镇，北靠黄河，与巴彦淖尔市乌</w:t>
            </w:r>
            <w:r>
              <w:rPr>
                <w:rFonts w:hint="eastAsia"/>
                <w:b w:val="0"/>
                <w:bCs w:val="0"/>
                <w:kern w:val="2"/>
                <w:sz w:val="24"/>
                <w:szCs w:val="24"/>
                <w:highlight w:val="none"/>
                <w:lang w:val="en-US" w:eastAsia="zh-CN"/>
              </w:rPr>
              <w:t>拉特前旗隔河相对，是东部沿河地区，文化、经济中心，也是沿河地区交通、电讯、供电的枢纽。</w:t>
            </w:r>
          </w:p>
          <w:p w14:paraId="017F9526">
            <w:pPr>
              <w:pStyle w:val="30"/>
              <w:ind w:firstLine="480" w:firstLineChars="200"/>
              <w:rPr>
                <w:rFonts w:hint="eastAsia"/>
                <w:b w:val="0"/>
                <w:bCs w:val="0"/>
                <w:kern w:val="2"/>
                <w:sz w:val="24"/>
                <w:szCs w:val="24"/>
                <w:highlight w:val="none"/>
                <w:lang w:val="en-US" w:eastAsia="zh-CN"/>
              </w:rPr>
            </w:pPr>
            <w:r>
              <w:rPr>
                <w:rFonts w:hint="eastAsia"/>
                <w:b w:val="0"/>
                <w:bCs w:val="0"/>
                <w:kern w:val="2"/>
                <w:sz w:val="24"/>
                <w:szCs w:val="24"/>
                <w:highlight w:val="none"/>
                <w:lang w:val="en-US" w:eastAsia="zh-CN"/>
              </w:rPr>
              <w:t>鄂尔多斯杭锦经济开发区独贵塔拉产业园东起沙拉沟，南至新熙末站，西至泰五路，北至锦四路，地处呼包银经济带、呼包鄂经济圈。</w:t>
            </w:r>
          </w:p>
          <w:p w14:paraId="30098343">
            <w:pPr>
              <w:pStyle w:val="30"/>
              <w:ind w:firstLine="476" w:firstLineChars="200"/>
              <w:rPr>
                <w:rFonts w:hint="default" w:eastAsia="宋体"/>
                <w:b w:val="0"/>
                <w:bCs w:val="0"/>
                <w:kern w:val="2"/>
                <w:sz w:val="24"/>
                <w:szCs w:val="24"/>
                <w:highlight w:val="none"/>
                <w:lang w:val="en-US" w:eastAsia="zh-CN"/>
              </w:rPr>
            </w:pPr>
            <w:r>
              <w:rPr>
                <w:rFonts w:cs="Times New Roman"/>
                <w:spacing w:val="-1"/>
                <w:highlight w:val="none"/>
              </w:rPr>
              <w:t>本项目位于</w:t>
            </w:r>
            <w:r>
              <w:rPr>
                <w:rFonts w:cs="Times New Roman"/>
                <w:highlight w:val="none"/>
              </w:rPr>
              <w:t>鄂尔多斯杭锦经济开发区独贵塔拉产业园</w:t>
            </w:r>
            <w:r>
              <w:rPr>
                <w:rFonts w:cs="Times New Roman"/>
                <w:spacing w:val="-1"/>
                <w:highlight w:val="none"/>
              </w:rPr>
              <w:t>（南区），</w:t>
            </w:r>
            <w:r>
              <w:rPr>
                <w:rFonts w:hint="eastAsia" w:cs="Times New Roman"/>
                <w:spacing w:val="-1"/>
                <w:highlight w:val="none"/>
                <w:lang w:val="en-US" w:eastAsia="zh-CN"/>
              </w:rPr>
              <w:t>输送管线除WRT甲烷气管道、清净废水管道位于伊泰厂界外，其他管线均位于</w:t>
            </w:r>
            <w:bookmarkStart w:id="2" w:name="OLE_LINK57"/>
            <w:bookmarkStart w:id="3" w:name="OLE_LINK58"/>
            <w:r>
              <w:rPr>
                <w:rFonts w:cs="Times New Roman"/>
                <w:spacing w:val="-1"/>
                <w:highlight w:val="none"/>
              </w:rPr>
              <w:t>内蒙古伊泰化工有限责任公司</w:t>
            </w:r>
            <w:bookmarkEnd w:id="2"/>
            <w:bookmarkEnd w:id="3"/>
            <w:r>
              <w:rPr>
                <w:rFonts w:hint="eastAsia" w:cs="Times New Roman"/>
                <w:spacing w:val="-1"/>
                <w:highlight w:val="none"/>
                <w:lang w:val="en-US" w:eastAsia="zh-CN"/>
              </w:rPr>
              <w:t>现有厂区内，伊泰化工与鹏泰生物之间通过独立柱连接。伊泰化工北侧为空地，南侧为内蒙古鹏泰生物科技有限公司、内蒙古伊诺新材料有限公司、联博厂，东侧为公路。</w:t>
            </w:r>
          </w:p>
          <w:p w14:paraId="0346CB92">
            <w:pPr>
              <w:pStyle w:val="30"/>
              <w:ind w:firstLine="480"/>
              <w:rPr>
                <w:rFonts w:hint="eastAsia"/>
                <w:b/>
                <w:bCs/>
                <w:kern w:val="2"/>
                <w:sz w:val="24"/>
                <w:szCs w:val="24"/>
                <w:highlight w:val="none"/>
              </w:rPr>
            </w:pPr>
            <w:r>
              <w:rPr>
                <w:rFonts w:hint="eastAsia"/>
                <w:b/>
                <w:bCs/>
                <w:kern w:val="2"/>
                <w:sz w:val="24"/>
                <w:szCs w:val="24"/>
                <w:highlight w:val="none"/>
                <w:lang w:val="en-US" w:eastAsia="zh-CN"/>
              </w:rPr>
              <w:t xml:space="preserve">2.主体功能区规划和生态功能区划 </w:t>
            </w:r>
          </w:p>
          <w:p w14:paraId="0FE0D8F4">
            <w:pPr>
              <w:pStyle w:val="30"/>
              <w:keepNext/>
              <w:ind w:firstLineChars="200"/>
              <w:rPr>
                <w:rFonts w:hint="eastAsia"/>
                <w:sz w:val="24"/>
                <w:highlight w:val="none"/>
              </w:rPr>
            </w:pPr>
            <w:r>
              <w:rPr>
                <w:rFonts w:hint="eastAsia"/>
                <w:sz w:val="24"/>
                <w:highlight w:val="none"/>
              </w:rPr>
              <w:t>（1）主体功能区划</w:t>
            </w:r>
          </w:p>
          <w:p w14:paraId="23FF8251">
            <w:pPr>
              <w:pStyle w:val="30"/>
              <w:keepNext/>
              <w:ind w:firstLineChars="200"/>
              <w:rPr>
                <w:rFonts w:hint="eastAsia"/>
                <w:sz w:val="24"/>
                <w:highlight w:val="none"/>
              </w:rPr>
            </w:pPr>
            <w:r>
              <w:rPr>
                <w:rFonts w:hint="eastAsia"/>
                <w:sz w:val="24"/>
                <w:highlight w:val="none"/>
              </w:rPr>
              <w:t>依据《内蒙古自治区主体功能区划》，</w:t>
            </w:r>
            <w:r>
              <w:rPr>
                <w:rFonts w:hint="eastAsia"/>
                <w:sz w:val="24"/>
                <w:highlight w:val="none"/>
                <w:lang w:val="en-US" w:eastAsia="zh-CN"/>
              </w:rPr>
              <w:t>杭锦旗</w:t>
            </w:r>
            <w:r>
              <w:rPr>
                <w:rFonts w:hint="eastAsia"/>
                <w:sz w:val="24"/>
                <w:highlight w:val="none"/>
              </w:rPr>
              <w:t>属于呼包鄂地区国家级重点开发区域，本项目在内蒙古自治区主体功能区划图</w:t>
            </w:r>
            <w:r>
              <w:rPr>
                <w:rFonts w:hint="eastAsia"/>
                <w:sz w:val="24"/>
                <w:highlight w:val="none"/>
                <w:lang w:eastAsia="zh-CN"/>
              </w:rPr>
              <w:t>中</w:t>
            </w:r>
            <w:r>
              <w:rPr>
                <w:rFonts w:hint="eastAsia"/>
                <w:sz w:val="24"/>
                <w:highlight w:val="none"/>
              </w:rPr>
              <w:t>的位置见图3-1。</w:t>
            </w:r>
          </w:p>
          <w:p w14:paraId="77A99673">
            <w:pPr>
              <w:pStyle w:val="30"/>
              <w:keepNext/>
              <w:ind w:firstLine="0" w:firstLineChars="0"/>
              <w:jc w:val="center"/>
              <w:rPr>
                <w:rFonts w:hint="eastAsia" w:eastAsia="宋体"/>
                <w:sz w:val="24"/>
                <w:highlight w:val="none"/>
                <w:lang w:eastAsia="zh-CN"/>
              </w:rPr>
            </w:pPr>
            <w:r>
              <w:rPr>
                <w:highlight w:val="none"/>
              </w:rPr>
              <w:drawing>
                <wp:inline distT="0" distB="0" distL="114300" distR="114300">
                  <wp:extent cx="5220335" cy="4124325"/>
                  <wp:effectExtent l="0" t="0" r="1841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220335" cy="4124325"/>
                          </a:xfrm>
                          <a:prstGeom prst="rect">
                            <a:avLst/>
                          </a:prstGeom>
                          <a:noFill/>
                          <a:ln>
                            <a:noFill/>
                          </a:ln>
                        </pic:spPr>
                      </pic:pic>
                    </a:graphicData>
                  </a:graphic>
                </wp:inline>
              </w:drawing>
            </w:r>
          </w:p>
          <w:p w14:paraId="5A499F7E">
            <w:pPr>
              <w:pStyle w:val="30"/>
              <w:keepNext/>
              <w:ind w:firstLine="422" w:firstLineChars="200"/>
              <w:jc w:val="center"/>
              <w:rPr>
                <w:rFonts w:hint="eastAsia"/>
                <w:b/>
                <w:bCs/>
                <w:sz w:val="21"/>
                <w:szCs w:val="21"/>
                <w:highlight w:val="none"/>
              </w:rPr>
            </w:pPr>
            <w:r>
              <w:rPr>
                <w:rFonts w:hint="eastAsia"/>
                <w:b/>
                <w:bCs/>
                <w:sz w:val="21"/>
                <w:szCs w:val="21"/>
                <w:highlight w:val="none"/>
              </w:rPr>
              <w:t xml:space="preserve">图3-1 </w:t>
            </w:r>
            <w:r>
              <w:rPr>
                <w:rFonts w:hint="eastAsia"/>
                <w:b/>
                <w:bCs/>
                <w:sz w:val="21"/>
                <w:szCs w:val="21"/>
                <w:highlight w:val="none"/>
                <w:lang w:val="en-US" w:eastAsia="zh-CN"/>
              </w:rPr>
              <w:t xml:space="preserve"> </w:t>
            </w:r>
            <w:r>
              <w:rPr>
                <w:rFonts w:hint="eastAsia"/>
                <w:b/>
                <w:bCs/>
                <w:sz w:val="21"/>
                <w:szCs w:val="21"/>
                <w:highlight w:val="none"/>
              </w:rPr>
              <w:t xml:space="preserve"> 内蒙古自治区主体功能区划图</w:t>
            </w:r>
          </w:p>
          <w:p w14:paraId="0C3CE9AA">
            <w:pPr>
              <w:pStyle w:val="30"/>
              <w:keepNext/>
              <w:ind w:firstLineChars="200"/>
              <w:rPr>
                <w:rFonts w:hint="eastAsia"/>
                <w:sz w:val="24"/>
                <w:highlight w:val="none"/>
              </w:rPr>
            </w:pPr>
            <w:r>
              <w:rPr>
                <w:rFonts w:hint="eastAsia"/>
                <w:sz w:val="24"/>
                <w:highlight w:val="none"/>
              </w:rPr>
              <w:t>（2）生态功能区划</w:t>
            </w:r>
          </w:p>
          <w:p w14:paraId="54F28A62">
            <w:pPr>
              <w:pStyle w:val="30"/>
              <w:keepNext/>
              <w:ind w:firstLineChars="200"/>
              <w:rPr>
                <w:rFonts w:hint="eastAsia"/>
                <w:sz w:val="24"/>
                <w:highlight w:val="none"/>
              </w:rPr>
            </w:pPr>
            <w:r>
              <w:rPr>
                <w:rFonts w:hint="eastAsia"/>
                <w:sz w:val="24"/>
                <w:highlight w:val="none"/>
              </w:rPr>
              <w:t>本项目建设地点位于</w:t>
            </w:r>
            <w:r>
              <w:rPr>
                <w:sz w:val="24"/>
                <w:szCs w:val="24"/>
                <w:highlight w:val="none"/>
              </w:rPr>
              <w:t>内蒙古自治区鄂尔多斯市杭锦旗独贵塔拉工业园区</w:t>
            </w:r>
            <w:r>
              <w:rPr>
                <w:rFonts w:hint="eastAsia"/>
                <w:sz w:val="24"/>
                <w:highlight w:val="none"/>
              </w:rPr>
              <w:t>内，根据《内蒙古自治区生态功能区划图》，项目区位于西鄂尔多斯高原荒漠草原沙漠化控制</w:t>
            </w:r>
            <w:r>
              <w:rPr>
                <w:rFonts w:hint="eastAsia"/>
                <w:sz w:val="24"/>
                <w:highlight w:val="none"/>
                <w:lang w:val="en-US" w:eastAsia="zh-CN"/>
              </w:rPr>
              <w:t>生态功能区</w:t>
            </w:r>
            <w:r>
              <w:rPr>
                <w:rFonts w:hint="default" w:ascii="Times New Roman" w:hAnsi="Times New Roman" w:cs="Times New Roman"/>
                <w:sz w:val="24"/>
                <w:highlight w:val="none"/>
              </w:rPr>
              <w:t>（Ⅰ</w:t>
            </w:r>
            <w:r>
              <w:rPr>
                <w:rFonts w:hint="default" w:ascii="Times New Roman" w:hAnsi="Times New Roman" w:cs="Times New Roman"/>
                <w:sz w:val="24"/>
                <w:highlight w:val="none"/>
                <w:lang w:val="en-US" w:eastAsia="zh-CN"/>
              </w:rPr>
              <w:t>V</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3</w:t>
            </w:r>
            <w:r>
              <w:rPr>
                <w:rFonts w:hint="default" w:ascii="Times New Roman" w:hAnsi="Times New Roman" w:cs="Times New Roman"/>
                <w:sz w:val="24"/>
                <w:highlight w:val="none"/>
              </w:rPr>
              <w:t>-1），</w:t>
            </w:r>
            <w:r>
              <w:rPr>
                <w:rFonts w:hint="eastAsia"/>
                <w:sz w:val="24"/>
                <w:highlight w:val="none"/>
              </w:rPr>
              <w:t>项目在内蒙古自治区生态功能区划图的位置见图3-2。</w:t>
            </w:r>
          </w:p>
          <w:p w14:paraId="038F2833">
            <w:pPr>
              <w:pStyle w:val="30"/>
              <w:keepNext/>
              <w:ind w:firstLine="0" w:firstLineChars="0"/>
              <w:jc w:val="center"/>
              <w:rPr>
                <w:rFonts w:hint="eastAsia"/>
                <w:sz w:val="24"/>
                <w:highlight w:val="none"/>
              </w:rPr>
            </w:pPr>
            <w:r>
              <w:rPr>
                <w:highlight w:val="none"/>
              </w:rPr>
              <w:drawing>
                <wp:inline distT="0" distB="0" distL="114300" distR="114300">
                  <wp:extent cx="5048250" cy="4128135"/>
                  <wp:effectExtent l="0" t="0" r="0" b="571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8"/>
                          <a:stretch>
                            <a:fillRect/>
                          </a:stretch>
                        </pic:blipFill>
                        <pic:spPr>
                          <a:xfrm>
                            <a:off x="0" y="0"/>
                            <a:ext cx="5048250" cy="4128135"/>
                          </a:xfrm>
                          <a:prstGeom prst="rect">
                            <a:avLst/>
                          </a:prstGeom>
                          <a:noFill/>
                          <a:ln>
                            <a:noFill/>
                          </a:ln>
                        </pic:spPr>
                      </pic:pic>
                    </a:graphicData>
                  </a:graphic>
                </wp:inline>
              </w:drawing>
            </w:r>
          </w:p>
          <w:p w14:paraId="577B6357">
            <w:pPr>
              <w:pStyle w:val="30"/>
              <w:keepNext/>
              <w:ind w:firstLine="422" w:firstLineChars="200"/>
              <w:jc w:val="center"/>
              <w:rPr>
                <w:rFonts w:hint="eastAsia"/>
                <w:b/>
                <w:bCs/>
                <w:sz w:val="21"/>
                <w:szCs w:val="21"/>
                <w:highlight w:val="none"/>
              </w:rPr>
            </w:pPr>
            <w:r>
              <w:rPr>
                <w:rFonts w:hint="eastAsia"/>
                <w:b/>
                <w:bCs/>
                <w:sz w:val="21"/>
                <w:szCs w:val="21"/>
                <w:highlight w:val="none"/>
              </w:rPr>
              <w:t xml:space="preserve">图3-2  </w:t>
            </w:r>
            <w:r>
              <w:rPr>
                <w:rFonts w:hint="eastAsia"/>
                <w:b/>
                <w:bCs/>
                <w:sz w:val="21"/>
                <w:szCs w:val="21"/>
                <w:highlight w:val="none"/>
                <w:lang w:val="en-US" w:eastAsia="zh-CN"/>
              </w:rPr>
              <w:t xml:space="preserve"> </w:t>
            </w:r>
            <w:r>
              <w:rPr>
                <w:rFonts w:hint="eastAsia"/>
                <w:b/>
                <w:bCs/>
                <w:sz w:val="21"/>
                <w:szCs w:val="21"/>
                <w:highlight w:val="none"/>
              </w:rPr>
              <w:t>内蒙古生态功能区划图</w:t>
            </w:r>
          </w:p>
          <w:p w14:paraId="17DA3861">
            <w:pPr>
              <w:pStyle w:val="30"/>
              <w:keepNext/>
              <w:ind w:firstLineChars="200"/>
              <w:rPr>
                <w:rFonts w:hint="eastAsia"/>
                <w:sz w:val="24"/>
                <w:highlight w:val="none"/>
              </w:rPr>
            </w:pPr>
            <w:r>
              <w:rPr>
                <w:rFonts w:hint="eastAsia"/>
                <w:sz w:val="24"/>
                <w:highlight w:val="none"/>
              </w:rPr>
              <w:t>根据内蒙古自治区生态环境分区管控公众端应用平台查询结果，</w:t>
            </w:r>
            <w:r>
              <w:rPr>
                <w:rFonts w:ascii="Times New Roman" w:hAnsi="Times New Roman" w:eastAsia="宋体" w:cs="Times New Roman"/>
                <w:bCs/>
                <w:color w:val="000000"/>
                <w:sz w:val="24"/>
                <w:highlight w:val="none"/>
              </w:rPr>
              <w:t>本项目位于杭锦经济开发区，属于重点管控单元</w:t>
            </w:r>
            <w:r>
              <w:rPr>
                <w:rFonts w:hint="eastAsia" w:ascii="Times New Roman" w:hAnsi="Times New Roman" w:eastAsia="宋体" w:cs="Times New Roman"/>
                <w:bCs/>
                <w:color w:val="000000"/>
                <w:sz w:val="24"/>
                <w:highlight w:val="none"/>
                <w:lang w:val="en-US" w:eastAsia="zh-CN"/>
              </w:rPr>
              <w:t>-</w:t>
            </w:r>
            <w:r>
              <w:rPr>
                <w:rFonts w:ascii="Times New Roman" w:hAnsi="Times New Roman" w:eastAsia="宋体" w:cs="Times New Roman"/>
                <w:color w:val="000000"/>
                <w:kern w:val="0"/>
                <w:sz w:val="24"/>
                <w:highlight w:val="none"/>
              </w:rPr>
              <w:t>鄂尔多斯独贵塔拉工业园区</w:t>
            </w:r>
            <w:r>
              <w:rPr>
                <w:rFonts w:hint="eastAsia" w:ascii="Times New Roman" w:hAnsi="Times New Roman" w:eastAsia="宋体" w:cs="Times New Roman"/>
                <w:color w:val="000000"/>
                <w:kern w:val="0"/>
                <w:sz w:val="24"/>
                <w:highlight w:val="none"/>
                <w:lang w:eastAsia="zh-CN"/>
              </w:rPr>
              <w:t>（</w:t>
            </w:r>
            <w:r>
              <w:rPr>
                <w:rFonts w:ascii="Times New Roman" w:hAnsi="Times New Roman" w:eastAsia="宋体" w:cs="Times New Roman"/>
                <w:bCs/>
                <w:color w:val="000000"/>
                <w:sz w:val="24"/>
                <w:highlight w:val="none"/>
              </w:rPr>
              <w:t>单元编码</w:t>
            </w:r>
            <w:r>
              <w:rPr>
                <w:rFonts w:hint="eastAsia" w:cs="Times New Roman"/>
                <w:bCs/>
                <w:color w:val="000000"/>
                <w:sz w:val="24"/>
                <w:highlight w:val="none"/>
                <w:lang w:eastAsia="zh-CN"/>
              </w:rPr>
              <w:t>为</w:t>
            </w:r>
            <w:r>
              <w:rPr>
                <w:rFonts w:ascii="Times New Roman" w:hAnsi="Times New Roman" w:eastAsia="宋体" w:cs="Times New Roman"/>
                <w:bCs/>
                <w:color w:val="000000"/>
                <w:sz w:val="24"/>
                <w:highlight w:val="none"/>
              </w:rPr>
              <w:t>ZH15062520001</w:t>
            </w:r>
            <w:r>
              <w:rPr>
                <w:rFonts w:hint="eastAsia" w:ascii="Times New Roman" w:hAnsi="Times New Roman" w:eastAsia="宋体" w:cs="Times New Roman"/>
                <w:color w:val="000000"/>
                <w:kern w:val="0"/>
                <w:sz w:val="24"/>
                <w:highlight w:val="none"/>
                <w:lang w:eastAsia="zh-CN"/>
              </w:rPr>
              <w:t>）</w:t>
            </w:r>
            <w:r>
              <w:rPr>
                <w:rFonts w:hint="eastAsia"/>
                <w:sz w:val="24"/>
                <w:highlight w:val="none"/>
              </w:rPr>
              <w:t>。</w:t>
            </w:r>
          </w:p>
          <w:p w14:paraId="06C41FDE">
            <w:pPr>
              <w:pStyle w:val="30"/>
              <w:ind w:firstLine="480"/>
              <w:rPr>
                <w:b/>
                <w:bCs/>
                <w:kern w:val="2"/>
                <w:sz w:val="24"/>
                <w:szCs w:val="24"/>
                <w:highlight w:val="none"/>
              </w:rPr>
            </w:pPr>
            <w:r>
              <w:rPr>
                <w:rFonts w:hint="eastAsia"/>
                <w:b/>
                <w:bCs/>
                <w:kern w:val="2"/>
                <w:sz w:val="24"/>
                <w:szCs w:val="24"/>
                <w:highlight w:val="none"/>
                <w:lang w:val="en-US" w:eastAsia="zh-CN"/>
              </w:rPr>
              <w:t>3.</w:t>
            </w:r>
            <w:r>
              <w:rPr>
                <w:rFonts w:hint="eastAsia"/>
                <w:b/>
                <w:bCs/>
                <w:kern w:val="2"/>
                <w:sz w:val="24"/>
                <w:szCs w:val="24"/>
                <w:highlight w:val="none"/>
              </w:rPr>
              <w:t>生态环境现状</w:t>
            </w:r>
          </w:p>
          <w:p w14:paraId="259D61D1">
            <w:pPr>
              <w:pStyle w:val="30"/>
              <w:keepNext/>
              <w:ind w:firstLineChars="200"/>
              <w:rPr>
                <w:rFonts w:hint="eastAsia" w:ascii="Times New Roman" w:hAnsi="Times New Roman" w:eastAsia="宋体" w:cs="Times New Roman"/>
                <w:sz w:val="24"/>
                <w:highlight w:val="none"/>
              </w:rPr>
            </w:pPr>
            <w:r>
              <w:rPr>
                <w:rFonts w:hint="eastAsia" w:ascii="Times New Roman" w:hAnsi="Times New Roman" w:eastAsia="宋体" w:cs="Times New Roman"/>
                <w:bCs/>
                <w:sz w:val="24"/>
                <w:highlight w:val="none"/>
                <w:lang w:val="zh-CN" w:eastAsia="zh-CN"/>
              </w:rPr>
              <w:t>项目</w:t>
            </w:r>
            <w:r>
              <w:rPr>
                <w:rFonts w:hint="eastAsia" w:ascii="Times New Roman" w:hAnsi="Times New Roman" w:eastAsia="宋体" w:cs="Times New Roman"/>
                <w:bCs/>
                <w:sz w:val="24"/>
                <w:highlight w:val="none"/>
                <w:lang w:val="en-US" w:eastAsia="zh-CN"/>
              </w:rPr>
              <w:t>在原有</w:t>
            </w:r>
            <w:r>
              <w:rPr>
                <w:rFonts w:hint="eastAsia" w:cs="Times New Roman"/>
                <w:bCs/>
                <w:sz w:val="24"/>
                <w:highlight w:val="none"/>
                <w:lang w:val="en-US" w:eastAsia="zh-CN"/>
              </w:rPr>
              <w:t>联博</w:t>
            </w:r>
            <w:r>
              <w:rPr>
                <w:rFonts w:hint="eastAsia" w:ascii="Times New Roman" w:hAnsi="Times New Roman" w:eastAsia="宋体" w:cs="Times New Roman"/>
                <w:bCs/>
                <w:sz w:val="24"/>
                <w:highlight w:val="none"/>
                <w:lang w:val="en-US" w:eastAsia="zh-CN"/>
              </w:rPr>
              <w:t>管廊的基础上进行改造，</w:t>
            </w:r>
            <w:r>
              <w:rPr>
                <w:rFonts w:hint="eastAsia" w:ascii="Times New Roman" w:hAnsi="Times New Roman" w:eastAsia="宋体" w:cs="Times New Roman"/>
                <w:bCs/>
                <w:sz w:val="24"/>
                <w:highlight w:val="none"/>
                <w:lang w:val="zh-CN" w:eastAsia="zh-CN"/>
              </w:rPr>
              <w:t>并</w:t>
            </w:r>
            <w:r>
              <w:rPr>
                <w:rFonts w:hint="eastAsia" w:cs="Times New Roman"/>
                <w:bCs/>
                <w:sz w:val="24"/>
                <w:highlight w:val="none"/>
                <w:lang w:val="en-US" w:eastAsia="zh-CN"/>
              </w:rPr>
              <w:t>新增部分架空管线</w:t>
            </w:r>
            <w:r>
              <w:rPr>
                <w:rFonts w:hint="eastAsia" w:ascii="Times New Roman" w:hAnsi="Times New Roman" w:eastAsia="宋体" w:cs="Times New Roman"/>
                <w:bCs/>
                <w:sz w:val="24"/>
                <w:highlight w:val="none"/>
                <w:lang w:val="zh-CN" w:eastAsia="zh-CN"/>
              </w:rPr>
              <w:t>将物料输送至鹏泰生物装置界区外1m。</w:t>
            </w:r>
            <w:r>
              <w:rPr>
                <w:rFonts w:hint="eastAsia" w:cs="Times New Roman"/>
                <w:bCs/>
                <w:sz w:val="24"/>
                <w:highlight w:val="none"/>
                <w:lang w:val="en-US" w:eastAsia="zh-CN"/>
              </w:rPr>
              <w:t>联博</w:t>
            </w:r>
            <w:r>
              <w:rPr>
                <w:rFonts w:hint="eastAsia" w:ascii="Times New Roman" w:hAnsi="Times New Roman" w:eastAsia="宋体" w:cs="Times New Roman"/>
                <w:sz w:val="24"/>
                <w:highlight w:val="none"/>
              </w:rPr>
              <w:t>管廊</w:t>
            </w:r>
            <w:r>
              <w:rPr>
                <w:rFonts w:hint="eastAsia" w:cs="Times New Roman"/>
                <w:sz w:val="24"/>
                <w:highlight w:val="none"/>
                <w:lang w:val="en-US" w:eastAsia="zh-CN"/>
              </w:rPr>
              <w:t>均</w:t>
            </w:r>
            <w:r>
              <w:rPr>
                <w:rFonts w:hint="eastAsia" w:ascii="Times New Roman" w:hAnsi="Times New Roman" w:eastAsia="宋体" w:cs="Times New Roman"/>
                <w:sz w:val="24"/>
                <w:highlight w:val="none"/>
              </w:rPr>
              <w:t>位于</w:t>
            </w:r>
            <w:r>
              <w:rPr>
                <w:rFonts w:hint="eastAsia" w:ascii="Times New Roman" w:hAnsi="Times New Roman" w:eastAsia="宋体" w:cs="Times New Roman"/>
                <w:sz w:val="24"/>
                <w:highlight w:val="none"/>
                <w:lang w:val="en-US" w:eastAsia="zh-CN"/>
              </w:rPr>
              <w:t>内蒙古伊泰化工有限责任公司内</w:t>
            </w:r>
            <w:r>
              <w:rPr>
                <w:rFonts w:hint="eastAsia" w:ascii="Times New Roman" w:hAnsi="Times New Roman" w:eastAsia="宋体" w:cs="Times New Roman"/>
                <w:sz w:val="24"/>
                <w:highlight w:val="none"/>
                <w:lang w:eastAsia="zh-CN"/>
              </w:rPr>
              <w:t>。</w:t>
            </w:r>
          </w:p>
          <w:p w14:paraId="1EA5A255">
            <w:pPr>
              <w:pStyle w:val="30"/>
              <w:rPr>
                <w:rFonts w:hint="default" w:ascii="Times New Roman" w:hAnsi="Times New Roman" w:eastAsia="宋体" w:cs="Times New Roman"/>
                <w:color w:val="000000"/>
                <w:sz w:val="24"/>
                <w:szCs w:val="24"/>
                <w:highlight w:val="none"/>
                <w:lang w:val="en-US" w:eastAsia="zh-CN"/>
              </w:rPr>
            </w:pPr>
            <w:r>
              <w:rPr>
                <w:color w:val="000000"/>
                <w:spacing w:val="-1"/>
                <w:sz w:val="24"/>
                <w:szCs w:val="24"/>
                <w:highlight w:val="none"/>
              </w:rPr>
              <w:t>本项目为</w:t>
            </w:r>
            <w:r>
              <w:rPr>
                <w:rFonts w:hint="eastAsia"/>
                <w:color w:val="000000"/>
                <w:spacing w:val="-1"/>
                <w:sz w:val="24"/>
                <w:szCs w:val="24"/>
                <w:highlight w:val="none"/>
                <w:lang w:val="en-US" w:eastAsia="zh-CN"/>
              </w:rPr>
              <w:t>架空管线</w:t>
            </w:r>
            <w:r>
              <w:rPr>
                <w:color w:val="000000"/>
                <w:spacing w:val="-1"/>
                <w:sz w:val="24"/>
                <w:szCs w:val="24"/>
                <w:highlight w:val="none"/>
              </w:rPr>
              <w:t>项目，</w:t>
            </w:r>
            <w:r>
              <w:rPr>
                <w:rFonts w:hint="eastAsia"/>
                <w:color w:val="000000"/>
                <w:spacing w:val="-1"/>
                <w:sz w:val="24"/>
                <w:szCs w:val="24"/>
                <w:highlight w:val="none"/>
                <w:lang w:val="en-US" w:eastAsia="zh-CN"/>
              </w:rPr>
              <w:t>架空管线工程本身主体结构不直接接触地下水，且本项目管线不涉及管线支架、塔基基础建设，均在原有基础上直接建设，本次建设内容均为空中管线，不涉及地面工程，管线支撑结构（如杆塔基础、支架底座）检修、维护均不属于本次评价内容，均依托现有工程。本项目黄河水管道已经预留接口，本项目直接从接口接入。项目厂区内管廊管道占地均为无植被区，厂区外WRT甲烷气管道、清净废水管道部分涉及天然牧草地，但均为架空铺设因此对地下影响较小，不涉及</w:t>
            </w:r>
            <w:r>
              <w:rPr>
                <w:rFonts w:hint="eastAsia" w:cs="Times New Roman"/>
                <w:color w:val="000000"/>
                <w:sz w:val="24"/>
                <w:szCs w:val="24"/>
                <w:highlight w:val="none"/>
                <w:lang w:val="en-US" w:eastAsia="zh-CN"/>
              </w:rPr>
              <w:t>敏感区域，不设置评价等级</w:t>
            </w:r>
            <w:r>
              <w:rPr>
                <w:rFonts w:hint="eastAsia" w:ascii="Times New Roman" w:hAnsi="Times New Roman" w:cs="Times New Roman"/>
                <w:color w:val="000000"/>
                <w:sz w:val="24"/>
                <w:szCs w:val="24"/>
                <w:highlight w:val="none"/>
                <w:lang w:val="en-US" w:eastAsia="zh-CN"/>
              </w:rPr>
              <w:t>，</w:t>
            </w:r>
            <w:r>
              <w:rPr>
                <w:rFonts w:hint="eastAsia" w:cs="Times New Roman"/>
                <w:color w:val="000000"/>
                <w:sz w:val="24"/>
                <w:szCs w:val="24"/>
                <w:highlight w:val="none"/>
                <w:lang w:val="en-US" w:eastAsia="zh-CN"/>
              </w:rPr>
              <w:t>进行生态影响简单分析。</w:t>
            </w:r>
            <w:r>
              <w:rPr>
                <w:rFonts w:hint="eastAsia" w:ascii="Times New Roman" w:hAnsi="Times New Roman" w:cs="Times New Roman"/>
                <w:color w:val="000000"/>
                <w:sz w:val="24"/>
                <w:szCs w:val="24"/>
                <w:highlight w:val="none"/>
                <w:lang w:val="en-US" w:eastAsia="zh-CN"/>
              </w:rPr>
              <w:t>参照导则</w:t>
            </w:r>
            <w:r>
              <w:rPr>
                <w:rFonts w:hint="eastAsia" w:cs="Times New Roman"/>
                <w:color w:val="000000"/>
                <w:sz w:val="24"/>
                <w:szCs w:val="24"/>
                <w:highlight w:val="none"/>
                <w:lang w:val="en-US" w:eastAsia="zh-CN"/>
              </w:rPr>
              <w:t>“</w:t>
            </w:r>
            <w:r>
              <w:rPr>
                <w:rFonts w:hint="eastAsia" w:ascii="Times New Roman" w:hAnsi="Times New Roman" w:cs="Times New Roman"/>
                <w:color w:val="000000"/>
                <w:sz w:val="24"/>
                <w:szCs w:val="24"/>
                <w:highlight w:val="none"/>
                <w:lang w:val="en-US" w:eastAsia="zh-CN"/>
              </w:rPr>
              <w:t>6.2.5 穿越非生态敏感区时，以线路中心线向两侧外延300m为</w:t>
            </w:r>
            <w:r>
              <w:rPr>
                <w:rFonts w:hint="eastAsia" w:cs="Times New Roman"/>
                <w:color w:val="000000"/>
                <w:sz w:val="24"/>
                <w:szCs w:val="24"/>
                <w:highlight w:val="none"/>
                <w:lang w:val="en-US" w:eastAsia="zh-CN"/>
              </w:rPr>
              <w:t>分析</w:t>
            </w:r>
            <w:r>
              <w:rPr>
                <w:rFonts w:hint="eastAsia" w:ascii="Times New Roman" w:hAnsi="Times New Roman" w:cs="Times New Roman"/>
                <w:color w:val="000000"/>
                <w:sz w:val="24"/>
                <w:szCs w:val="24"/>
                <w:highlight w:val="none"/>
                <w:lang w:val="en-US" w:eastAsia="zh-CN"/>
              </w:rPr>
              <w:t>范围</w:t>
            </w:r>
            <w:r>
              <w:rPr>
                <w:rFonts w:hint="eastAsia" w:cs="Times New Roman"/>
                <w:color w:val="000000"/>
                <w:sz w:val="24"/>
                <w:szCs w:val="24"/>
                <w:highlight w:val="none"/>
                <w:lang w:val="en-US" w:eastAsia="zh-CN"/>
              </w:rPr>
              <w:t>”</w:t>
            </w:r>
            <w:r>
              <w:rPr>
                <w:rFonts w:hint="eastAsia" w:ascii="Times New Roman" w:hAnsi="Times New Roman" w:cs="Times New Roman"/>
                <w:color w:val="000000"/>
                <w:sz w:val="24"/>
                <w:szCs w:val="24"/>
                <w:highlight w:val="none"/>
                <w:lang w:val="en-US" w:eastAsia="zh-CN"/>
              </w:rPr>
              <w:t>。</w:t>
            </w:r>
          </w:p>
          <w:p w14:paraId="2DA4C7DA">
            <w:pPr>
              <w:pStyle w:val="11"/>
              <w:numPr>
                <w:ilvl w:val="-1"/>
                <w:numId w:val="0"/>
              </w:numPr>
              <w:spacing w:line="360" w:lineRule="auto"/>
              <w:ind w:firstLine="482" w:firstLineChars="200"/>
              <w:rPr>
                <w:rFonts w:hint="default" w:ascii="Times New Roman" w:hAnsi="Times New Roman" w:cs="Times New Roman"/>
                <w:b/>
                <w:bCs/>
                <w:kern w:val="2"/>
                <w:sz w:val="24"/>
                <w:szCs w:val="24"/>
                <w:highlight w:val="none"/>
                <w:lang w:val="en-US" w:eastAsia="zh-CN"/>
              </w:rPr>
            </w:pPr>
            <w:r>
              <w:rPr>
                <w:rFonts w:hint="default" w:ascii="Times New Roman" w:hAnsi="Times New Roman" w:cs="Times New Roman"/>
                <w:b/>
                <w:bCs/>
                <w:kern w:val="2"/>
                <w:sz w:val="24"/>
                <w:szCs w:val="24"/>
                <w:highlight w:val="none"/>
                <w:lang w:val="en-US" w:eastAsia="zh-CN"/>
              </w:rPr>
              <w:t>3.1现状调查与评价方法</w:t>
            </w:r>
          </w:p>
          <w:p w14:paraId="3C4EB547">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根据《环境影响评价技术导则 生态影响》（HJ19-2022）的要求，结合工程特点采用附录B中的资料收集法、现场调查法、遥感调查法、陆生动植物调查法相结合的方法，进行定性或定量的分析评价。</w:t>
            </w:r>
          </w:p>
          <w:p w14:paraId="40F3570D">
            <w:pPr>
              <w:spacing w:line="360" w:lineRule="auto"/>
              <w:ind w:firstLine="480" w:firstLineChars="200"/>
              <w:outlineLvl w:val="9"/>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1.调查</w:t>
            </w:r>
          </w:p>
          <w:p w14:paraId="6DA77E98">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通过对评价区开展</w:t>
            </w:r>
            <w:r>
              <w:rPr>
                <w:rFonts w:hint="eastAsia" w:cs="Times New Roman"/>
                <w:color w:val="auto"/>
                <w:kern w:val="0"/>
                <w:sz w:val="24"/>
                <w:szCs w:val="20"/>
                <w:highlight w:val="none"/>
                <w:lang w:eastAsia="zh-CN"/>
              </w:rPr>
              <w:t>野生</w:t>
            </w:r>
            <w:r>
              <w:rPr>
                <w:rFonts w:hint="default" w:ascii="Times New Roman" w:hAnsi="Times New Roman" w:eastAsia="宋体" w:cs="Times New Roman"/>
                <w:color w:val="auto"/>
                <w:kern w:val="0"/>
                <w:sz w:val="24"/>
                <w:szCs w:val="20"/>
                <w:highlight w:val="none"/>
              </w:rPr>
              <w:t>动植物相关资料收集</w:t>
            </w:r>
            <w:r>
              <w:rPr>
                <w:rFonts w:hint="eastAsia" w:ascii="Times New Roman" w:hAnsi="Times New Roman" w:eastAsia="宋体"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rPr>
              <w:t>了解评价区野生动植物的分布状况。</w:t>
            </w:r>
          </w:p>
          <w:p w14:paraId="0A6C4509">
            <w:pPr>
              <w:spacing w:line="360" w:lineRule="auto"/>
              <w:ind w:firstLine="480" w:firstLineChars="200"/>
              <w:outlineLvl w:val="9"/>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2.资料收集</w:t>
            </w:r>
          </w:p>
          <w:p w14:paraId="0CFEE712">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收集了评价区相关调查报告生态资料、《内蒙古植物志》以及《内蒙古植被》等资料。</w:t>
            </w:r>
          </w:p>
          <w:p w14:paraId="1FAF76F2">
            <w:pPr>
              <w:spacing w:line="360" w:lineRule="auto"/>
              <w:ind w:firstLine="480" w:firstLineChars="200"/>
              <w:outlineLvl w:val="9"/>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3.卫星遥感影像解译</w:t>
            </w:r>
          </w:p>
          <w:p w14:paraId="3BCFEC24">
            <w:pPr>
              <w:keepNext/>
              <w:spacing w:line="360" w:lineRule="auto"/>
              <w:ind w:firstLine="480" w:firstLineChars="200"/>
              <w:rPr>
                <w:rFonts w:hint="default" w:ascii="Times New Roman" w:hAnsi="Times New Roman" w:eastAsia="宋体" w:cs="Times New Roman"/>
                <w:bCs/>
                <w:sz w:val="24"/>
                <w:highlight w:val="none"/>
                <w:lang w:val="zh-CN" w:eastAsia="zh-CN"/>
              </w:rPr>
            </w:pPr>
            <w:r>
              <w:rPr>
                <w:rFonts w:hint="default" w:ascii="Times New Roman" w:hAnsi="Times New Roman" w:eastAsia="宋体" w:cs="Times New Roman"/>
                <w:bCs/>
                <w:sz w:val="24"/>
                <w:highlight w:val="none"/>
                <w:lang w:val="zh-CN" w:eastAsia="zh-CN"/>
              </w:rPr>
              <w:t>采用遥感（RS）、地理信息系统（GIS）和全球定位系统（GPS）等高新技术结合的方法进行环境影响评价区生态环境信息的获取。生态现状以202</w:t>
            </w:r>
            <w:r>
              <w:rPr>
                <w:rFonts w:hint="eastAsia" w:ascii="Times New Roman" w:hAnsi="Times New Roman" w:eastAsia="宋体" w:cs="Times New Roman"/>
                <w:bCs/>
                <w:sz w:val="24"/>
                <w:highlight w:val="none"/>
                <w:lang w:val="en-US" w:eastAsia="zh-CN"/>
              </w:rPr>
              <w:t>1</w:t>
            </w:r>
            <w:r>
              <w:rPr>
                <w:rFonts w:hint="default" w:ascii="Times New Roman" w:hAnsi="Times New Roman" w:eastAsia="宋体" w:cs="Times New Roman"/>
                <w:bCs/>
                <w:sz w:val="24"/>
                <w:highlight w:val="none"/>
                <w:lang w:val="zh-CN" w:eastAsia="zh-CN"/>
              </w:rPr>
              <w:t>年8月</w:t>
            </w:r>
            <w:r>
              <w:rPr>
                <w:rFonts w:hint="eastAsia" w:ascii="Times New Roman" w:hAnsi="Times New Roman" w:eastAsia="宋体" w:cs="Times New Roman"/>
                <w:bCs/>
                <w:sz w:val="24"/>
                <w:highlight w:val="none"/>
                <w:lang w:val="en-US" w:eastAsia="zh-CN"/>
              </w:rPr>
              <w:t>9日</w:t>
            </w:r>
            <w:r>
              <w:rPr>
                <w:rFonts w:hint="default" w:ascii="Times New Roman" w:hAnsi="Times New Roman" w:eastAsia="宋体" w:cs="Times New Roman"/>
                <w:bCs/>
                <w:sz w:val="24"/>
                <w:highlight w:val="none"/>
                <w:lang w:val="zh-CN" w:eastAsia="zh-CN"/>
              </w:rPr>
              <w:t>Landsat 8 OLI遥感影像数据为数据源，结合Bigmap、奥维地图等网络平台中的高分辨率影像数据，依托ENVI、PCI、ArcGIS等作为生态环境专题因子分布现状和变化信息遥感解译提取的软件平台，采用人机交互解译方法进行生态环境信息提取，遥感解译范围为项目边界外延</w:t>
            </w:r>
            <w:r>
              <w:rPr>
                <w:rFonts w:hint="eastAsia" w:ascii="Times New Roman" w:hAnsi="Times New Roman" w:eastAsia="宋体" w:cs="Times New Roman"/>
                <w:bCs/>
                <w:sz w:val="24"/>
                <w:highlight w:val="none"/>
                <w:lang w:val="en-US" w:eastAsia="zh-CN"/>
              </w:rPr>
              <w:t>300</w:t>
            </w:r>
            <w:r>
              <w:rPr>
                <w:rFonts w:hint="default" w:ascii="Times New Roman" w:hAnsi="Times New Roman" w:eastAsia="宋体" w:cs="Times New Roman"/>
                <w:bCs/>
                <w:sz w:val="24"/>
                <w:highlight w:val="none"/>
                <w:lang w:val="zh-CN" w:eastAsia="zh-CN"/>
              </w:rPr>
              <w:t>m。</w:t>
            </w:r>
          </w:p>
          <w:p w14:paraId="407558CA">
            <w:pPr>
              <w:ind w:firstLine="0" w:firstLineChars="0"/>
              <w:jc w:val="center"/>
              <w:rPr>
                <w:rFonts w:hint="eastAsia" w:eastAsia="宋体"/>
                <w:highlight w:val="none"/>
                <w:lang w:eastAsia="zh-CN"/>
              </w:rPr>
            </w:pPr>
            <w:r>
              <w:rPr>
                <w:rFonts w:hint="eastAsia" w:eastAsia="宋体"/>
                <w:highlight w:val="none"/>
                <w:lang w:eastAsia="zh-CN"/>
              </w:rPr>
              <w:drawing>
                <wp:inline distT="0" distB="0" distL="114300" distR="114300">
                  <wp:extent cx="5101590" cy="3607435"/>
                  <wp:effectExtent l="0" t="0" r="3810" b="12065"/>
                  <wp:docPr id="38" name="图片 38" descr="遥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遥感"/>
                          <pic:cNvPicPr>
                            <a:picLocks noChangeAspect="1"/>
                          </pic:cNvPicPr>
                        </pic:nvPicPr>
                        <pic:blipFill>
                          <a:blip r:embed="rId19"/>
                          <a:stretch>
                            <a:fillRect/>
                          </a:stretch>
                        </pic:blipFill>
                        <pic:spPr>
                          <a:xfrm>
                            <a:off x="0" y="0"/>
                            <a:ext cx="5101590" cy="3607435"/>
                          </a:xfrm>
                          <a:prstGeom prst="rect">
                            <a:avLst/>
                          </a:prstGeom>
                        </pic:spPr>
                      </pic:pic>
                    </a:graphicData>
                  </a:graphic>
                </wp:inline>
              </w:drawing>
            </w:r>
          </w:p>
          <w:p w14:paraId="4370025E">
            <w:pPr>
              <w:keepNext/>
              <w:spacing w:line="360" w:lineRule="auto"/>
              <w:ind w:firstLine="422" w:firstLineChars="200"/>
              <w:jc w:val="center"/>
              <w:rPr>
                <w:rFonts w:hint="eastAsia" w:ascii="Times New Roman" w:hAnsi="Times New Roman" w:eastAsia="宋体" w:cs="Times New Roman"/>
                <w:b/>
                <w:bCs/>
                <w:sz w:val="21"/>
                <w:szCs w:val="21"/>
                <w:highlight w:val="none"/>
              </w:rPr>
            </w:pPr>
            <w:r>
              <w:rPr>
                <w:rFonts w:hint="eastAsia" w:ascii="Times New Roman" w:hAnsi="Times New Roman" w:eastAsia="宋体" w:cs="Times New Roman"/>
                <w:b/>
                <w:bCs/>
                <w:sz w:val="21"/>
                <w:szCs w:val="21"/>
                <w:highlight w:val="none"/>
              </w:rPr>
              <w:t xml:space="preserve">图3-3  </w:t>
            </w:r>
            <w:r>
              <w:rPr>
                <w:rFonts w:hint="eastAsia" w:ascii="Times New Roman" w:hAnsi="Times New Roman" w:eastAsia="宋体" w:cs="Times New Roman"/>
                <w:b/>
                <w:bCs/>
                <w:sz w:val="21"/>
                <w:szCs w:val="21"/>
                <w:highlight w:val="none"/>
                <w:lang w:val="en-US" w:eastAsia="zh-CN"/>
              </w:rPr>
              <w:t xml:space="preserve"> </w:t>
            </w:r>
            <w:r>
              <w:rPr>
                <w:rFonts w:hint="eastAsia" w:ascii="Times New Roman" w:hAnsi="Times New Roman" w:eastAsia="宋体" w:cs="Times New Roman"/>
                <w:b/>
                <w:bCs/>
                <w:sz w:val="21"/>
                <w:szCs w:val="21"/>
                <w:highlight w:val="none"/>
              </w:rPr>
              <w:t>遥感影像图</w:t>
            </w:r>
          </w:p>
          <w:p w14:paraId="138276B1">
            <w:pPr>
              <w:pStyle w:val="11"/>
              <w:numPr>
                <w:ilvl w:val="-1"/>
                <w:numId w:val="0"/>
              </w:numPr>
              <w:spacing w:line="360" w:lineRule="auto"/>
              <w:ind w:firstLine="482" w:firstLineChars="200"/>
              <w:rPr>
                <w:rFonts w:hint="default" w:ascii="Times New Roman" w:hAnsi="Times New Roman" w:eastAsia="宋体" w:cs="Times New Roman"/>
                <w:b/>
                <w:bCs/>
                <w:kern w:val="2"/>
                <w:sz w:val="24"/>
                <w:szCs w:val="24"/>
                <w:highlight w:val="none"/>
                <w:lang w:val="en-US" w:eastAsia="zh-CN"/>
              </w:rPr>
            </w:pPr>
            <w:r>
              <w:rPr>
                <w:rFonts w:hint="eastAsia" w:ascii="Times New Roman" w:hAnsi="Times New Roman" w:eastAsia="宋体" w:cs="Times New Roman"/>
                <w:b/>
                <w:bCs/>
                <w:kern w:val="2"/>
                <w:sz w:val="24"/>
                <w:szCs w:val="24"/>
                <w:highlight w:val="none"/>
                <w:lang w:val="en-US" w:eastAsia="zh-CN"/>
              </w:rPr>
              <w:t>3.2植被分布现状</w:t>
            </w:r>
          </w:p>
          <w:p w14:paraId="1B5B151F">
            <w:pPr>
              <w:spacing w:line="360" w:lineRule="auto"/>
              <w:ind w:firstLine="480" w:firstLineChars="200"/>
              <w:rPr>
                <w:rFonts w:hint="default" w:ascii="Times New Roman" w:hAnsi="Times New Roman" w:eastAsia="宋体" w:cs="Times New Roman"/>
                <w:color w:val="auto"/>
                <w:kern w:val="0"/>
                <w:sz w:val="24"/>
                <w:szCs w:val="20"/>
                <w:highlight w:val="none"/>
                <w:lang w:val="zh-CN" w:eastAsia="zh-CN"/>
              </w:rPr>
            </w:pPr>
            <w:r>
              <w:rPr>
                <w:rFonts w:hint="default" w:ascii="Times New Roman" w:hAnsi="Times New Roman" w:eastAsia="宋体" w:cs="Times New Roman"/>
                <w:color w:val="auto"/>
                <w:kern w:val="0"/>
                <w:sz w:val="24"/>
                <w:szCs w:val="20"/>
                <w:highlight w:val="none"/>
                <w:lang w:val="zh-CN" w:eastAsia="zh-CN"/>
              </w:rPr>
              <w:t>利用卫星遥感及地理信息系统技术并结合地面实际调查，对</w:t>
            </w:r>
            <w:r>
              <w:rPr>
                <w:rFonts w:hint="eastAsia" w:ascii="Times New Roman" w:hAnsi="Times New Roman" w:eastAsia="宋体" w:cs="Times New Roman"/>
                <w:color w:val="auto"/>
                <w:kern w:val="0"/>
                <w:sz w:val="24"/>
                <w:szCs w:val="20"/>
                <w:highlight w:val="none"/>
                <w:lang w:val="zh-CN" w:eastAsia="zh-CN"/>
              </w:rPr>
              <w:t>管道</w:t>
            </w:r>
            <w:r>
              <w:rPr>
                <w:rFonts w:hint="eastAsia" w:ascii="Times New Roman" w:hAnsi="Times New Roman" w:eastAsia="宋体" w:cs="Times New Roman"/>
                <w:color w:val="auto"/>
                <w:kern w:val="0"/>
                <w:sz w:val="24"/>
                <w:szCs w:val="20"/>
                <w:highlight w:val="none"/>
                <w:lang w:val="en-US" w:eastAsia="zh-CN"/>
              </w:rPr>
              <w:t>3</w:t>
            </w:r>
            <w:r>
              <w:rPr>
                <w:rFonts w:hint="default" w:ascii="Times New Roman" w:hAnsi="Times New Roman" w:eastAsia="宋体" w:cs="Times New Roman"/>
                <w:color w:val="auto"/>
                <w:kern w:val="0"/>
                <w:sz w:val="24"/>
                <w:szCs w:val="20"/>
                <w:highlight w:val="none"/>
                <w:lang w:val="zh-CN" w:eastAsia="zh-CN"/>
              </w:rPr>
              <w:t>00m范围内的植被分布现状进行调查。评价区内植被类型特征见表3-</w:t>
            </w:r>
            <w:r>
              <w:rPr>
                <w:rFonts w:hint="eastAsia" w:cs="Times New Roman"/>
                <w:color w:val="auto"/>
                <w:kern w:val="0"/>
                <w:sz w:val="24"/>
                <w:szCs w:val="20"/>
                <w:highlight w:val="none"/>
                <w:lang w:val="en-US" w:eastAsia="zh-CN"/>
              </w:rPr>
              <w:t>1</w:t>
            </w:r>
            <w:r>
              <w:rPr>
                <w:rFonts w:hint="default" w:ascii="Times New Roman" w:hAnsi="Times New Roman" w:eastAsia="宋体" w:cs="Times New Roman"/>
                <w:color w:val="auto"/>
                <w:kern w:val="0"/>
                <w:sz w:val="24"/>
                <w:szCs w:val="20"/>
                <w:highlight w:val="none"/>
                <w:lang w:val="zh-CN" w:eastAsia="zh-CN"/>
              </w:rPr>
              <w:t>。评价区域的植被类型见图</w:t>
            </w:r>
            <w:r>
              <w:rPr>
                <w:rFonts w:hint="eastAsia" w:ascii="Times New Roman" w:hAnsi="Times New Roman" w:eastAsia="宋体" w:cs="Times New Roman"/>
                <w:color w:val="auto"/>
                <w:kern w:val="0"/>
                <w:sz w:val="24"/>
                <w:szCs w:val="20"/>
                <w:highlight w:val="none"/>
                <w:lang w:val="zh-CN" w:eastAsia="zh-CN"/>
              </w:rPr>
              <w:t>3-</w:t>
            </w:r>
            <w:r>
              <w:rPr>
                <w:rFonts w:hint="eastAsia" w:cs="Times New Roman"/>
                <w:color w:val="auto"/>
                <w:kern w:val="0"/>
                <w:sz w:val="24"/>
                <w:szCs w:val="20"/>
                <w:highlight w:val="none"/>
                <w:lang w:val="en-US" w:eastAsia="zh-CN"/>
              </w:rPr>
              <w:t>4</w:t>
            </w:r>
            <w:r>
              <w:rPr>
                <w:rFonts w:hint="default" w:ascii="Times New Roman" w:hAnsi="Times New Roman" w:eastAsia="宋体" w:cs="Times New Roman"/>
                <w:color w:val="auto"/>
                <w:kern w:val="0"/>
                <w:sz w:val="24"/>
                <w:szCs w:val="20"/>
                <w:highlight w:val="none"/>
                <w:lang w:val="zh-CN" w:eastAsia="zh-CN"/>
              </w:rPr>
              <w:t>。</w:t>
            </w:r>
          </w:p>
          <w:p w14:paraId="6E97C08A">
            <w:pPr>
              <w:keepNext/>
              <w:spacing w:line="360" w:lineRule="auto"/>
              <w:ind w:firstLine="422" w:firstLineChars="200"/>
              <w:jc w:val="center"/>
              <w:rPr>
                <w:rFonts w:hint="eastAsia" w:ascii="Times New Roman" w:hAnsi="Times New Roman" w:eastAsia="宋体" w:cs="Times New Roman"/>
                <w:b/>
                <w:bCs/>
                <w:sz w:val="21"/>
                <w:szCs w:val="21"/>
                <w:highlight w:val="none"/>
                <w:lang w:val="en-US"/>
              </w:rPr>
            </w:pPr>
            <w:r>
              <w:rPr>
                <w:rFonts w:hint="eastAsia" w:ascii="Times New Roman" w:hAnsi="Times New Roman" w:eastAsia="宋体" w:cs="Times New Roman"/>
                <w:b/>
                <w:bCs/>
                <w:sz w:val="21"/>
                <w:szCs w:val="21"/>
                <w:highlight w:val="none"/>
                <w:lang w:val="en-US"/>
              </w:rPr>
              <w:t>表3-</w:t>
            </w:r>
            <w:r>
              <w:rPr>
                <w:rFonts w:hint="eastAsia" w:cs="Times New Roman"/>
                <w:b/>
                <w:bCs/>
                <w:sz w:val="21"/>
                <w:szCs w:val="21"/>
                <w:highlight w:val="none"/>
                <w:lang w:val="en-US" w:eastAsia="zh-CN"/>
              </w:rPr>
              <w:t>1</w:t>
            </w:r>
            <w:r>
              <w:rPr>
                <w:rFonts w:hint="eastAsia" w:ascii="Times New Roman" w:hAnsi="Times New Roman" w:eastAsia="宋体" w:cs="Times New Roman"/>
                <w:b/>
                <w:bCs/>
                <w:sz w:val="21"/>
                <w:szCs w:val="21"/>
                <w:highlight w:val="none"/>
                <w:lang w:val="en-US"/>
              </w:rPr>
              <w:t xml:space="preserve"> </w:t>
            </w:r>
            <w:r>
              <w:rPr>
                <w:rFonts w:hint="eastAsia" w:cs="Times New Roman"/>
                <w:b/>
                <w:bCs/>
                <w:sz w:val="21"/>
                <w:szCs w:val="21"/>
                <w:highlight w:val="none"/>
                <w:lang w:val="en-US" w:eastAsia="zh-CN"/>
              </w:rPr>
              <w:t xml:space="preserve"> </w:t>
            </w:r>
            <w:r>
              <w:rPr>
                <w:rFonts w:hint="eastAsia" w:ascii="Times New Roman" w:hAnsi="Times New Roman" w:eastAsia="宋体" w:cs="Times New Roman"/>
                <w:b/>
                <w:bCs/>
                <w:sz w:val="21"/>
                <w:szCs w:val="21"/>
                <w:highlight w:val="none"/>
                <w:lang w:val="en-US"/>
              </w:rPr>
              <w:t xml:space="preserve"> 本工程评价范围内植被类型调查表</w:t>
            </w:r>
          </w:p>
          <w:tbl>
            <w:tblPr>
              <w:tblStyle w:val="19"/>
              <w:tblW w:w="4997" w:type="pct"/>
              <w:tblInd w:w="1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267"/>
              <w:gridCol w:w="3807"/>
              <w:gridCol w:w="1827"/>
              <w:gridCol w:w="1459"/>
            </w:tblGrid>
            <w:tr w14:paraId="3310FFA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757" w:type="pct"/>
                  <w:tcBorders>
                    <w:bottom w:val="single" w:color="auto" w:sz="4" w:space="0"/>
                    <w:right w:val="single" w:color="auto" w:sz="4" w:space="0"/>
                  </w:tcBorders>
                  <w:shd w:val="clear" w:color="auto" w:fill="auto"/>
                  <w:noWrap/>
                  <w:vAlign w:val="center"/>
                </w:tcPr>
                <w:p w14:paraId="1A078219">
                  <w:pPr>
                    <w:pStyle w:val="38"/>
                    <w:rPr>
                      <w:color w:val="auto"/>
                      <w:highlight w:val="none"/>
                    </w:rPr>
                  </w:pPr>
                  <w:r>
                    <w:rPr>
                      <w:rFonts w:hint="eastAsia"/>
                      <w:color w:val="auto"/>
                      <w:highlight w:val="none"/>
                    </w:rPr>
                    <w:t>位置</w:t>
                  </w:r>
                </w:p>
              </w:tc>
              <w:tc>
                <w:tcPr>
                  <w:tcW w:w="2276" w:type="pct"/>
                  <w:tcBorders>
                    <w:left w:val="single" w:color="auto" w:sz="4" w:space="0"/>
                    <w:bottom w:val="single" w:color="auto" w:sz="4" w:space="0"/>
                    <w:right w:val="single" w:color="000000" w:sz="4" w:space="0"/>
                  </w:tcBorders>
                  <w:shd w:val="clear" w:color="auto" w:fill="auto"/>
                  <w:noWrap/>
                  <w:vAlign w:val="center"/>
                </w:tcPr>
                <w:p w14:paraId="69FAA240">
                  <w:pPr>
                    <w:pStyle w:val="38"/>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名称</w:t>
                  </w:r>
                </w:p>
              </w:tc>
              <w:tc>
                <w:tcPr>
                  <w:tcW w:w="1092" w:type="pct"/>
                  <w:tcBorders>
                    <w:left w:val="nil"/>
                    <w:bottom w:val="single" w:color="auto" w:sz="4" w:space="0"/>
                    <w:right w:val="single" w:color="auto" w:sz="4" w:space="0"/>
                  </w:tcBorders>
                  <w:shd w:val="clear" w:color="auto" w:fill="auto"/>
                  <w:noWrap/>
                  <w:vAlign w:val="center"/>
                </w:tcPr>
                <w:p w14:paraId="394CF58A">
                  <w:pPr>
                    <w:pStyle w:val="38"/>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面积</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rPr>
                    <w:t>hm</w:t>
                  </w:r>
                  <w:r>
                    <w:rPr>
                      <w:rFonts w:hint="eastAsia" w:ascii="Times New Roman" w:hAnsi="Times New Roman" w:eastAsia="宋体" w:cs="Times New Roman"/>
                      <w:color w:val="auto"/>
                      <w:highlight w:val="none"/>
                      <w:vertAlign w:val="superscript"/>
                      <w:lang w:val="en-US"/>
                    </w:rPr>
                    <w:t>2</w:t>
                  </w:r>
                  <w:r>
                    <w:rPr>
                      <w:rFonts w:hint="eastAsia" w:cs="Times New Roman"/>
                      <w:color w:val="auto"/>
                      <w:highlight w:val="none"/>
                      <w:lang w:val="en-US" w:eastAsia="zh-CN"/>
                    </w:rPr>
                    <w:t>）</w:t>
                  </w:r>
                </w:p>
              </w:tc>
              <w:tc>
                <w:tcPr>
                  <w:tcW w:w="872" w:type="pct"/>
                  <w:tcBorders>
                    <w:left w:val="single" w:color="auto" w:sz="4" w:space="0"/>
                    <w:bottom w:val="single" w:color="auto" w:sz="4" w:space="0"/>
                  </w:tcBorders>
                  <w:shd w:val="clear" w:color="auto" w:fill="auto"/>
                  <w:noWrap/>
                  <w:vAlign w:val="center"/>
                </w:tcPr>
                <w:p w14:paraId="2D53C50C">
                  <w:pPr>
                    <w:pStyle w:val="38"/>
                    <w:rPr>
                      <w:rFonts w:hint="eastAsia" w:eastAsia="宋体"/>
                      <w:color w:val="auto"/>
                      <w:highlight w:val="none"/>
                      <w:lang w:val="en-US" w:eastAsia="zh-CN"/>
                    </w:rPr>
                  </w:pPr>
                  <w:r>
                    <w:rPr>
                      <w:rFonts w:hint="eastAsia"/>
                      <w:color w:val="auto"/>
                      <w:highlight w:val="none"/>
                    </w:rPr>
                    <w:t>比例</w:t>
                  </w:r>
                  <w:r>
                    <w:rPr>
                      <w:rFonts w:hint="eastAsia"/>
                      <w:color w:val="auto"/>
                      <w:highlight w:val="none"/>
                      <w:lang w:val="en-US" w:eastAsia="zh-CN"/>
                    </w:rPr>
                    <w:t>%</w:t>
                  </w:r>
                </w:p>
              </w:tc>
            </w:tr>
            <w:tr w14:paraId="3D10432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57" w:type="pct"/>
                  <w:vMerge w:val="restart"/>
                  <w:tcBorders>
                    <w:top w:val="single" w:color="auto" w:sz="4" w:space="0"/>
                    <w:bottom w:val="single" w:color="auto" w:sz="4" w:space="0"/>
                    <w:right w:val="single" w:color="auto" w:sz="4" w:space="0"/>
                  </w:tcBorders>
                  <w:shd w:val="clear" w:color="auto" w:fill="auto"/>
                  <w:noWrap/>
                  <w:vAlign w:val="center"/>
                </w:tcPr>
                <w:p w14:paraId="61477B80">
                  <w:pPr>
                    <w:pStyle w:val="38"/>
                    <w:rPr>
                      <w:color w:val="auto"/>
                      <w:highlight w:val="none"/>
                    </w:rPr>
                  </w:pPr>
                  <w:r>
                    <w:rPr>
                      <w:rFonts w:hint="eastAsia"/>
                      <w:color w:val="auto"/>
                      <w:highlight w:val="none"/>
                    </w:rPr>
                    <w:t>评价区</w:t>
                  </w:r>
                </w:p>
              </w:tc>
              <w:tc>
                <w:tcPr>
                  <w:tcW w:w="227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B50E3C">
                  <w:pPr>
                    <w:pStyle w:val="38"/>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无植被区</w:t>
                  </w:r>
                </w:p>
              </w:tc>
              <w:tc>
                <w:tcPr>
                  <w:tcW w:w="10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699A3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150.41</w:t>
                  </w:r>
                </w:p>
              </w:tc>
              <w:tc>
                <w:tcPr>
                  <w:tcW w:w="872" w:type="pct"/>
                  <w:tcBorders>
                    <w:top w:val="single" w:color="auto" w:sz="4" w:space="0"/>
                    <w:left w:val="single" w:color="auto" w:sz="4" w:space="0"/>
                    <w:bottom w:val="single" w:color="auto" w:sz="4" w:space="0"/>
                  </w:tcBorders>
                  <w:shd w:val="clear" w:color="auto" w:fill="auto"/>
                  <w:noWrap/>
                  <w:vAlign w:val="center"/>
                </w:tcPr>
                <w:p w14:paraId="553CBE59">
                  <w:pPr>
                    <w:keepNext w:val="0"/>
                    <w:keepLines w:val="0"/>
                    <w:widowControl/>
                    <w:suppressLineNumbers w:val="0"/>
                    <w:jc w:val="center"/>
                    <w:textAlignment w:val="center"/>
                    <w:rPr>
                      <w:rFonts w:hint="default" w:eastAsia="宋体" w:cs="Times New Roman"/>
                      <w:sz w:val="21"/>
                      <w:highlight w:val="none"/>
                      <w:lang w:val="en-US" w:eastAsia="zh-CN"/>
                    </w:rPr>
                  </w:pPr>
                  <w:r>
                    <w:rPr>
                      <w:rFonts w:hint="eastAsia" w:cs="Times New Roman"/>
                      <w:i w:val="0"/>
                      <w:iCs w:val="0"/>
                      <w:color w:val="000000"/>
                      <w:kern w:val="0"/>
                      <w:sz w:val="21"/>
                      <w:szCs w:val="21"/>
                      <w:highlight w:val="none"/>
                      <w:u w:val="none"/>
                      <w:lang w:val="en-US" w:eastAsia="zh-CN" w:bidi="ar"/>
                    </w:rPr>
                    <w:t>87.47</w:t>
                  </w:r>
                </w:p>
              </w:tc>
            </w:tr>
            <w:tr w14:paraId="23C8988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757" w:type="pct"/>
                  <w:vMerge w:val="continue"/>
                  <w:tcBorders>
                    <w:top w:val="single" w:color="auto" w:sz="4" w:space="0"/>
                    <w:bottom w:val="single" w:color="auto" w:sz="4" w:space="0"/>
                    <w:right w:val="single" w:color="auto" w:sz="4" w:space="0"/>
                  </w:tcBorders>
                  <w:shd w:val="clear" w:color="auto" w:fill="auto"/>
                  <w:vAlign w:val="center"/>
                </w:tcPr>
                <w:p w14:paraId="7D14AA0A">
                  <w:pPr>
                    <w:pStyle w:val="38"/>
                    <w:rPr>
                      <w:color w:val="auto"/>
                      <w:highlight w:val="none"/>
                    </w:rPr>
                  </w:pPr>
                </w:p>
              </w:tc>
              <w:tc>
                <w:tcPr>
                  <w:tcW w:w="227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BAA690">
                  <w:pPr>
                    <w:pStyle w:val="38"/>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百里香、冷蒿群落</w:t>
                  </w:r>
                </w:p>
              </w:tc>
              <w:tc>
                <w:tcPr>
                  <w:tcW w:w="10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1BEDE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zh-CN"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6.05</w:t>
                  </w:r>
                </w:p>
              </w:tc>
              <w:tc>
                <w:tcPr>
                  <w:tcW w:w="872" w:type="pct"/>
                  <w:tcBorders>
                    <w:top w:val="single" w:color="auto" w:sz="4" w:space="0"/>
                    <w:left w:val="single" w:color="auto" w:sz="4" w:space="0"/>
                    <w:bottom w:val="single" w:color="auto" w:sz="4" w:space="0"/>
                  </w:tcBorders>
                  <w:shd w:val="clear" w:color="auto" w:fill="auto"/>
                  <w:noWrap/>
                  <w:vAlign w:val="center"/>
                </w:tcPr>
                <w:p w14:paraId="57D1DA6B">
                  <w:pPr>
                    <w:keepNext w:val="0"/>
                    <w:keepLines w:val="0"/>
                    <w:widowControl/>
                    <w:suppressLineNumbers w:val="0"/>
                    <w:jc w:val="center"/>
                    <w:textAlignment w:val="center"/>
                    <w:rPr>
                      <w:rFonts w:hint="default" w:eastAsia="宋体" w:cs="Times New Roman"/>
                      <w:sz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3.52</w:t>
                  </w:r>
                </w:p>
              </w:tc>
            </w:tr>
            <w:tr w14:paraId="1C22FB2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757" w:type="pct"/>
                  <w:vMerge w:val="continue"/>
                  <w:tcBorders>
                    <w:top w:val="single" w:color="auto" w:sz="4" w:space="0"/>
                    <w:bottom w:val="single" w:color="auto" w:sz="4" w:space="0"/>
                    <w:right w:val="single" w:color="auto" w:sz="4" w:space="0"/>
                  </w:tcBorders>
                  <w:shd w:val="clear" w:color="auto" w:fill="auto"/>
                  <w:vAlign w:val="center"/>
                </w:tcPr>
                <w:p w14:paraId="0FB3F2FC">
                  <w:pPr>
                    <w:pStyle w:val="38"/>
                    <w:rPr>
                      <w:color w:val="auto"/>
                      <w:highlight w:val="none"/>
                    </w:rPr>
                  </w:pPr>
                </w:p>
              </w:tc>
              <w:tc>
                <w:tcPr>
                  <w:tcW w:w="227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E2C4DF">
                  <w:pPr>
                    <w:pStyle w:val="38"/>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中生杂草类，禾草群落</w:t>
                  </w:r>
                </w:p>
              </w:tc>
              <w:tc>
                <w:tcPr>
                  <w:tcW w:w="10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E9FC7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zh-CN"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15.5</w:t>
                  </w:r>
                </w:p>
              </w:tc>
              <w:tc>
                <w:tcPr>
                  <w:tcW w:w="872" w:type="pct"/>
                  <w:tcBorders>
                    <w:top w:val="single" w:color="auto" w:sz="4" w:space="0"/>
                    <w:left w:val="single" w:color="auto" w:sz="4" w:space="0"/>
                    <w:bottom w:val="single" w:color="auto" w:sz="4" w:space="0"/>
                  </w:tcBorders>
                  <w:shd w:val="clear" w:color="auto" w:fill="auto"/>
                  <w:noWrap/>
                  <w:vAlign w:val="center"/>
                </w:tcPr>
                <w:p w14:paraId="268D0C55">
                  <w:pPr>
                    <w:keepNext w:val="0"/>
                    <w:keepLines w:val="0"/>
                    <w:widowControl/>
                    <w:suppressLineNumbers w:val="0"/>
                    <w:jc w:val="center"/>
                    <w:textAlignment w:val="center"/>
                    <w:rPr>
                      <w:rFonts w:hint="default" w:eastAsia="宋体" w:cs="Times New Roman"/>
                      <w:sz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9.01</w:t>
                  </w:r>
                </w:p>
              </w:tc>
            </w:tr>
            <w:tr w14:paraId="3653218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0" w:hRule="atLeast"/>
              </w:trPr>
              <w:tc>
                <w:tcPr>
                  <w:tcW w:w="757" w:type="pct"/>
                  <w:vMerge w:val="continue"/>
                  <w:tcBorders>
                    <w:top w:val="single" w:color="auto" w:sz="4" w:space="0"/>
                    <w:right w:val="single" w:color="000000" w:sz="4" w:space="0"/>
                  </w:tcBorders>
                  <w:shd w:val="clear" w:color="auto" w:fill="auto"/>
                  <w:vAlign w:val="center"/>
                </w:tcPr>
                <w:p w14:paraId="755EB019">
                  <w:pPr>
                    <w:pStyle w:val="38"/>
                    <w:rPr>
                      <w:color w:val="auto"/>
                      <w:highlight w:val="none"/>
                    </w:rPr>
                  </w:pPr>
                </w:p>
              </w:tc>
              <w:tc>
                <w:tcPr>
                  <w:tcW w:w="2276" w:type="pct"/>
                  <w:tcBorders>
                    <w:top w:val="single" w:color="auto" w:sz="4" w:space="0"/>
                    <w:left w:val="nil"/>
                    <w:right w:val="single" w:color="000000" w:sz="4" w:space="0"/>
                  </w:tcBorders>
                  <w:shd w:val="clear" w:color="auto" w:fill="auto"/>
                  <w:noWrap/>
                  <w:vAlign w:val="center"/>
                </w:tcPr>
                <w:p w14:paraId="31C51750">
                  <w:pPr>
                    <w:pStyle w:val="38"/>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合计</w:t>
                  </w:r>
                </w:p>
              </w:tc>
              <w:tc>
                <w:tcPr>
                  <w:tcW w:w="1092" w:type="pct"/>
                  <w:tcBorders>
                    <w:top w:val="single" w:color="auto" w:sz="4" w:space="0"/>
                    <w:left w:val="nil"/>
                    <w:right w:val="single" w:color="auto" w:sz="4" w:space="0"/>
                  </w:tcBorders>
                  <w:shd w:val="clear" w:color="auto" w:fill="auto"/>
                  <w:noWrap/>
                  <w:vAlign w:val="center"/>
                </w:tcPr>
                <w:p w14:paraId="6B0DDAE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171.96</w:t>
                  </w:r>
                </w:p>
              </w:tc>
              <w:tc>
                <w:tcPr>
                  <w:tcW w:w="872" w:type="pct"/>
                  <w:tcBorders>
                    <w:top w:val="single" w:color="auto" w:sz="4" w:space="0"/>
                    <w:left w:val="single" w:color="auto" w:sz="4" w:space="0"/>
                  </w:tcBorders>
                  <w:shd w:val="clear" w:color="auto" w:fill="auto"/>
                  <w:noWrap/>
                  <w:vAlign w:val="center"/>
                </w:tcPr>
                <w:p w14:paraId="7B28D047">
                  <w:pPr>
                    <w:pStyle w:val="38"/>
                    <w:rPr>
                      <w:color w:val="auto"/>
                      <w:highlight w:val="none"/>
                    </w:rPr>
                  </w:pPr>
                  <w:r>
                    <w:rPr>
                      <w:rFonts w:hint="eastAsia"/>
                      <w:color w:val="auto"/>
                      <w:highlight w:val="none"/>
                    </w:rPr>
                    <w:t>100.00</w:t>
                  </w:r>
                </w:p>
              </w:tc>
            </w:tr>
          </w:tbl>
          <w:p w14:paraId="2FC7BF87">
            <w:pPr>
              <w:spacing w:line="360" w:lineRule="auto"/>
              <w:ind w:firstLine="480" w:firstLineChars="200"/>
              <w:rPr>
                <w:rFonts w:hint="default" w:ascii="Times New Roman" w:hAnsi="Times New Roman" w:eastAsia="宋体" w:cs="Times New Roman"/>
                <w:color w:val="auto"/>
                <w:kern w:val="0"/>
                <w:sz w:val="24"/>
                <w:szCs w:val="20"/>
                <w:highlight w:val="none"/>
                <w:lang w:val="zh-CN" w:eastAsia="zh-CN"/>
              </w:rPr>
            </w:pPr>
            <w:r>
              <w:rPr>
                <w:rFonts w:hint="default" w:ascii="Times New Roman" w:hAnsi="Times New Roman" w:eastAsia="宋体" w:cs="Times New Roman"/>
                <w:color w:val="auto"/>
                <w:kern w:val="0"/>
                <w:sz w:val="24"/>
                <w:szCs w:val="20"/>
                <w:highlight w:val="none"/>
                <w:lang w:val="zh-CN" w:eastAsia="zh-CN"/>
              </w:rPr>
              <w:t>从上表可以看出，评价区范围内各植被类型生态调查总面积</w:t>
            </w:r>
            <w:r>
              <w:rPr>
                <w:rFonts w:hint="eastAsia" w:ascii="Times New Roman" w:hAnsi="Times New Roman" w:eastAsia="宋体" w:cs="Times New Roman"/>
                <w:color w:val="auto"/>
                <w:kern w:val="0"/>
                <w:sz w:val="24"/>
                <w:szCs w:val="20"/>
                <w:highlight w:val="none"/>
                <w:lang w:val="en-US" w:eastAsia="zh-CN"/>
              </w:rPr>
              <w:t>171.96</w:t>
            </w:r>
            <w:r>
              <w:rPr>
                <w:rFonts w:hint="default" w:ascii="Times New Roman" w:hAnsi="Times New Roman" w:eastAsia="宋体" w:cs="Times New Roman"/>
                <w:color w:val="auto"/>
                <w:kern w:val="0"/>
                <w:sz w:val="24"/>
                <w:szCs w:val="20"/>
                <w:highlight w:val="none"/>
                <w:lang w:val="zh-CN" w:eastAsia="zh-CN"/>
              </w:rPr>
              <w:t>hm</w:t>
            </w:r>
            <w:r>
              <w:rPr>
                <w:rFonts w:hint="default" w:ascii="Times New Roman" w:hAnsi="Times New Roman" w:eastAsia="宋体" w:cs="Times New Roman"/>
                <w:color w:val="auto"/>
                <w:kern w:val="0"/>
                <w:sz w:val="24"/>
                <w:szCs w:val="20"/>
                <w:highlight w:val="none"/>
                <w:vertAlign w:val="superscript"/>
                <w:lang w:val="zh-CN" w:eastAsia="zh-CN"/>
              </w:rPr>
              <w:t>2</w:t>
            </w:r>
            <w:r>
              <w:rPr>
                <w:rFonts w:hint="default" w:ascii="Times New Roman" w:hAnsi="Times New Roman" w:eastAsia="宋体" w:cs="Times New Roman"/>
                <w:color w:val="auto"/>
                <w:kern w:val="0"/>
                <w:sz w:val="24"/>
                <w:szCs w:val="20"/>
                <w:highlight w:val="none"/>
                <w:lang w:val="zh-CN" w:eastAsia="zh-CN"/>
              </w:rPr>
              <w:t>，植被类型包括</w:t>
            </w:r>
            <w:r>
              <w:rPr>
                <w:rFonts w:hint="eastAsia" w:ascii="Times New Roman" w:hAnsi="Times New Roman" w:eastAsia="宋体" w:cs="Times New Roman"/>
                <w:color w:val="auto"/>
                <w:kern w:val="0"/>
                <w:sz w:val="24"/>
                <w:szCs w:val="20"/>
                <w:highlight w:val="none"/>
                <w:lang w:val="en-US" w:eastAsia="zh-CN"/>
              </w:rPr>
              <w:t>百里香、冷蒿群落；中生杂草类、禾草群落；</w:t>
            </w:r>
            <w:r>
              <w:rPr>
                <w:rFonts w:hint="eastAsia" w:cs="Times New Roman"/>
                <w:color w:val="auto"/>
                <w:kern w:val="0"/>
                <w:sz w:val="24"/>
                <w:szCs w:val="20"/>
                <w:highlight w:val="none"/>
                <w:lang w:val="en-US" w:eastAsia="zh-CN"/>
              </w:rPr>
              <w:t>无植被区</w:t>
            </w:r>
            <w:r>
              <w:rPr>
                <w:rFonts w:hint="eastAsia" w:ascii="Times New Roman" w:hAnsi="Times New Roman" w:eastAsia="宋体" w:cs="Times New Roman"/>
                <w:color w:val="auto"/>
                <w:kern w:val="0"/>
                <w:sz w:val="24"/>
                <w:szCs w:val="20"/>
                <w:highlight w:val="none"/>
                <w:lang w:val="en-US" w:eastAsia="zh-CN"/>
              </w:rPr>
              <w:t>。</w:t>
            </w:r>
            <w:r>
              <w:rPr>
                <w:rFonts w:hint="default" w:ascii="Times New Roman" w:hAnsi="Times New Roman" w:eastAsia="宋体" w:cs="Times New Roman"/>
                <w:color w:val="auto"/>
                <w:kern w:val="0"/>
                <w:sz w:val="24"/>
                <w:szCs w:val="20"/>
                <w:highlight w:val="none"/>
                <w:lang w:val="zh-CN" w:eastAsia="zh-CN"/>
              </w:rPr>
              <w:t>其中</w:t>
            </w:r>
            <w:r>
              <w:rPr>
                <w:rFonts w:hint="eastAsia" w:ascii="Times New Roman" w:hAnsi="Times New Roman" w:eastAsia="宋体" w:cs="Times New Roman"/>
                <w:color w:val="auto"/>
                <w:kern w:val="0"/>
                <w:sz w:val="24"/>
                <w:szCs w:val="20"/>
                <w:highlight w:val="none"/>
                <w:lang w:val="en-US" w:eastAsia="zh-CN"/>
              </w:rPr>
              <w:t>百里香、冷蒿群落</w:t>
            </w:r>
            <w:r>
              <w:rPr>
                <w:rFonts w:hint="default" w:ascii="Times New Roman" w:hAnsi="Times New Roman" w:eastAsia="宋体" w:cs="Times New Roman"/>
                <w:color w:val="auto"/>
                <w:kern w:val="0"/>
                <w:sz w:val="24"/>
                <w:szCs w:val="20"/>
                <w:highlight w:val="none"/>
                <w:lang w:val="zh-CN" w:eastAsia="zh-CN"/>
              </w:rPr>
              <w:t>分布面积为</w:t>
            </w:r>
            <w:r>
              <w:rPr>
                <w:rFonts w:hint="eastAsia" w:ascii="Times New Roman" w:hAnsi="Times New Roman" w:eastAsia="宋体" w:cs="Times New Roman"/>
                <w:color w:val="auto"/>
                <w:kern w:val="0"/>
                <w:sz w:val="24"/>
                <w:szCs w:val="20"/>
                <w:highlight w:val="none"/>
                <w:lang w:val="en-US" w:eastAsia="zh-CN"/>
              </w:rPr>
              <w:t>6.05</w:t>
            </w:r>
            <w:r>
              <w:rPr>
                <w:rFonts w:hint="default" w:ascii="Times New Roman" w:hAnsi="Times New Roman" w:eastAsia="宋体" w:cs="Times New Roman"/>
                <w:color w:val="auto"/>
                <w:kern w:val="0"/>
                <w:sz w:val="24"/>
                <w:szCs w:val="20"/>
                <w:highlight w:val="none"/>
                <w:lang w:val="zh-CN" w:eastAsia="zh-CN"/>
              </w:rPr>
              <w:t>hm</w:t>
            </w:r>
            <w:r>
              <w:rPr>
                <w:rFonts w:hint="default" w:ascii="Times New Roman" w:hAnsi="Times New Roman" w:eastAsia="宋体" w:cs="Times New Roman"/>
                <w:color w:val="auto"/>
                <w:kern w:val="0"/>
                <w:sz w:val="24"/>
                <w:szCs w:val="20"/>
                <w:highlight w:val="none"/>
                <w:vertAlign w:val="superscript"/>
                <w:lang w:val="zh-CN" w:eastAsia="zh-CN"/>
              </w:rPr>
              <w:t>2</w:t>
            </w:r>
            <w:r>
              <w:rPr>
                <w:rFonts w:hint="default" w:ascii="Times New Roman" w:hAnsi="Times New Roman" w:eastAsia="宋体" w:cs="Times New Roman"/>
                <w:color w:val="auto"/>
                <w:kern w:val="0"/>
                <w:sz w:val="24"/>
                <w:szCs w:val="20"/>
                <w:highlight w:val="none"/>
                <w:lang w:val="zh-CN" w:eastAsia="zh-CN"/>
              </w:rPr>
              <w:t>，占评价区总面积的</w:t>
            </w:r>
            <w:r>
              <w:rPr>
                <w:rFonts w:hint="eastAsia" w:ascii="Times New Roman" w:hAnsi="Times New Roman" w:eastAsia="宋体" w:cs="Times New Roman"/>
                <w:color w:val="auto"/>
                <w:kern w:val="0"/>
                <w:sz w:val="24"/>
                <w:szCs w:val="20"/>
                <w:highlight w:val="none"/>
                <w:lang w:val="en-US" w:eastAsia="zh-CN"/>
              </w:rPr>
              <w:t>3.52</w:t>
            </w:r>
            <w:r>
              <w:rPr>
                <w:rFonts w:hint="default" w:ascii="Times New Roman" w:hAnsi="Times New Roman" w:eastAsia="宋体" w:cs="Times New Roman"/>
                <w:color w:val="auto"/>
                <w:kern w:val="0"/>
                <w:sz w:val="24"/>
                <w:szCs w:val="20"/>
                <w:highlight w:val="none"/>
                <w:lang w:val="zh-CN" w:eastAsia="zh-CN"/>
              </w:rPr>
              <w:t>%；</w:t>
            </w:r>
            <w:r>
              <w:rPr>
                <w:rFonts w:hint="eastAsia" w:ascii="Times New Roman" w:hAnsi="Times New Roman" w:eastAsia="宋体" w:cs="Times New Roman"/>
                <w:color w:val="auto"/>
                <w:kern w:val="0"/>
                <w:sz w:val="24"/>
                <w:szCs w:val="20"/>
                <w:highlight w:val="none"/>
                <w:lang w:val="en-US" w:eastAsia="zh-CN"/>
              </w:rPr>
              <w:t>中生杂类草、禾草群落</w:t>
            </w:r>
            <w:r>
              <w:rPr>
                <w:rFonts w:hint="default" w:ascii="Times New Roman" w:hAnsi="Times New Roman" w:eastAsia="宋体" w:cs="Times New Roman"/>
                <w:color w:val="auto"/>
                <w:kern w:val="0"/>
                <w:sz w:val="24"/>
                <w:szCs w:val="20"/>
                <w:highlight w:val="none"/>
                <w:lang w:val="zh-CN" w:eastAsia="zh-CN"/>
              </w:rPr>
              <w:t>分布面积为</w:t>
            </w:r>
            <w:r>
              <w:rPr>
                <w:rFonts w:hint="eastAsia" w:ascii="Times New Roman" w:hAnsi="Times New Roman" w:eastAsia="宋体" w:cs="Times New Roman"/>
                <w:color w:val="auto"/>
                <w:kern w:val="0"/>
                <w:sz w:val="24"/>
                <w:szCs w:val="20"/>
                <w:highlight w:val="none"/>
                <w:lang w:val="en-US" w:eastAsia="zh-CN"/>
              </w:rPr>
              <w:t>15.5</w:t>
            </w:r>
            <w:r>
              <w:rPr>
                <w:rFonts w:hint="default" w:ascii="Times New Roman" w:hAnsi="Times New Roman" w:eastAsia="宋体" w:cs="Times New Roman"/>
                <w:color w:val="auto"/>
                <w:kern w:val="0"/>
                <w:sz w:val="24"/>
                <w:szCs w:val="20"/>
                <w:highlight w:val="none"/>
                <w:lang w:val="zh-CN" w:eastAsia="zh-CN"/>
              </w:rPr>
              <w:t>hm</w:t>
            </w:r>
            <w:r>
              <w:rPr>
                <w:rFonts w:hint="default" w:ascii="Times New Roman" w:hAnsi="Times New Roman" w:eastAsia="宋体" w:cs="Times New Roman"/>
                <w:color w:val="auto"/>
                <w:kern w:val="0"/>
                <w:sz w:val="24"/>
                <w:szCs w:val="20"/>
                <w:highlight w:val="none"/>
                <w:vertAlign w:val="superscript"/>
                <w:lang w:val="zh-CN" w:eastAsia="zh-CN"/>
              </w:rPr>
              <w:t>2</w:t>
            </w:r>
            <w:r>
              <w:rPr>
                <w:rFonts w:hint="default" w:ascii="Times New Roman" w:hAnsi="Times New Roman" w:eastAsia="宋体" w:cs="Times New Roman"/>
                <w:color w:val="auto"/>
                <w:kern w:val="0"/>
                <w:sz w:val="24"/>
                <w:szCs w:val="20"/>
                <w:highlight w:val="none"/>
                <w:lang w:val="zh-CN" w:eastAsia="zh-CN"/>
              </w:rPr>
              <w:t>，占评价区总面积的</w:t>
            </w:r>
            <w:r>
              <w:rPr>
                <w:rFonts w:hint="eastAsia" w:ascii="Times New Roman" w:hAnsi="Times New Roman" w:eastAsia="宋体" w:cs="Times New Roman"/>
                <w:color w:val="auto"/>
                <w:kern w:val="0"/>
                <w:sz w:val="24"/>
                <w:szCs w:val="20"/>
                <w:highlight w:val="none"/>
                <w:lang w:val="en-US" w:eastAsia="zh-CN"/>
              </w:rPr>
              <w:t>9.01</w:t>
            </w:r>
            <w:r>
              <w:rPr>
                <w:rFonts w:hint="default" w:ascii="Times New Roman" w:hAnsi="Times New Roman" w:eastAsia="宋体" w:cs="Times New Roman"/>
                <w:color w:val="auto"/>
                <w:kern w:val="0"/>
                <w:sz w:val="24"/>
                <w:szCs w:val="20"/>
                <w:highlight w:val="none"/>
                <w:lang w:val="zh-CN" w:eastAsia="zh-CN"/>
              </w:rPr>
              <w:t>%；</w:t>
            </w:r>
            <w:r>
              <w:rPr>
                <w:rFonts w:hint="eastAsia" w:cs="Times New Roman"/>
                <w:color w:val="auto"/>
                <w:kern w:val="0"/>
                <w:sz w:val="24"/>
                <w:szCs w:val="20"/>
                <w:highlight w:val="none"/>
                <w:lang w:val="en-US" w:eastAsia="zh-CN"/>
              </w:rPr>
              <w:t>无植被区</w:t>
            </w:r>
            <w:r>
              <w:rPr>
                <w:rFonts w:hint="default" w:ascii="Times New Roman" w:hAnsi="Times New Roman" w:eastAsia="宋体" w:cs="Times New Roman"/>
                <w:color w:val="auto"/>
                <w:kern w:val="0"/>
                <w:sz w:val="24"/>
                <w:szCs w:val="20"/>
                <w:highlight w:val="none"/>
                <w:lang w:val="zh-CN" w:eastAsia="zh-CN"/>
              </w:rPr>
              <w:t>面积为</w:t>
            </w:r>
            <w:r>
              <w:rPr>
                <w:rFonts w:hint="eastAsia" w:cs="Times New Roman"/>
                <w:color w:val="auto"/>
                <w:kern w:val="0"/>
                <w:sz w:val="24"/>
                <w:szCs w:val="20"/>
                <w:highlight w:val="none"/>
                <w:lang w:val="en-US" w:eastAsia="zh-CN"/>
              </w:rPr>
              <w:t>150.41</w:t>
            </w:r>
            <w:r>
              <w:rPr>
                <w:rFonts w:hint="default" w:ascii="Times New Roman" w:hAnsi="Times New Roman" w:eastAsia="宋体" w:cs="Times New Roman"/>
                <w:color w:val="auto"/>
                <w:kern w:val="0"/>
                <w:sz w:val="24"/>
                <w:szCs w:val="20"/>
                <w:highlight w:val="none"/>
                <w:lang w:val="zh-CN" w:eastAsia="zh-CN"/>
              </w:rPr>
              <w:t>hm</w:t>
            </w:r>
            <w:r>
              <w:rPr>
                <w:rFonts w:hint="default" w:ascii="Times New Roman" w:hAnsi="Times New Roman" w:eastAsia="宋体" w:cs="Times New Roman"/>
                <w:color w:val="auto"/>
                <w:kern w:val="0"/>
                <w:sz w:val="24"/>
                <w:szCs w:val="20"/>
                <w:highlight w:val="none"/>
                <w:vertAlign w:val="superscript"/>
                <w:lang w:val="zh-CN" w:eastAsia="zh-CN"/>
              </w:rPr>
              <w:t>2</w:t>
            </w:r>
            <w:r>
              <w:rPr>
                <w:rFonts w:hint="default" w:ascii="Times New Roman" w:hAnsi="Times New Roman" w:eastAsia="宋体" w:cs="Times New Roman"/>
                <w:color w:val="auto"/>
                <w:kern w:val="0"/>
                <w:sz w:val="24"/>
                <w:szCs w:val="20"/>
                <w:highlight w:val="none"/>
                <w:lang w:val="zh-CN" w:eastAsia="zh-CN"/>
              </w:rPr>
              <w:t>，占评价区总面积的</w:t>
            </w:r>
            <w:r>
              <w:rPr>
                <w:rFonts w:hint="eastAsia" w:cs="Times New Roman"/>
                <w:color w:val="auto"/>
                <w:kern w:val="0"/>
                <w:sz w:val="24"/>
                <w:szCs w:val="20"/>
                <w:highlight w:val="none"/>
                <w:lang w:val="en-US" w:eastAsia="zh-CN"/>
              </w:rPr>
              <w:t>87.47</w:t>
            </w:r>
            <w:r>
              <w:rPr>
                <w:rFonts w:hint="default" w:ascii="Times New Roman" w:hAnsi="Times New Roman" w:eastAsia="宋体" w:cs="Times New Roman"/>
                <w:color w:val="auto"/>
                <w:kern w:val="0"/>
                <w:sz w:val="24"/>
                <w:szCs w:val="20"/>
                <w:highlight w:val="none"/>
                <w:lang w:val="zh-CN" w:eastAsia="zh-CN"/>
              </w:rPr>
              <w:t>%</w:t>
            </w:r>
            <w:r>
              <w:rPr>
                <w:rFonts w:hint="eastAsia" w:cs="Times New Roman"/>
                <w:color w:val="auto"/>
                <w:kern w:val="0"/>
                <w:sz w:val="24"/>
                <w:szCs w:val="20"/>
                <w:highlight w:val="none"/>
                <w:lang w:val="zh-CN" w:eastAsia="zh-CN"/>
              </w:rPr>
              <w:t>。</w:t>
            </w:r>
          </w:p>
          <w:p w14:paraId="6E8158A4">
            <w:pPr>
              <w:pStyle w:val="36"/>
              <w:ind w:left="0" w:leftChars="0" w:right="19" w:firstLine="0" w:firstLineChars="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101590" cy="3607435"/>
                  <wp:effectExtent l="0" t="0" r="3810" b="12065"/>
                  <wp:docPr id="39" name="图片 39" descr="植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植被"/>
                          <pic:cNvPicPr>
                            <a:picLocks noChangeAspect="1"/>
                          </pic:cNvPicPr>
                        </pic:nvPicPr>
                        <pic:blipFill>
                          <a:blip r:embed="rId20"/>
                          <a:stretch>
                            <a:fillRect/>
                          </a:stretch>
                        </pic:blipFill>
                        <pic:spPr>
                          <a:xfrm>
                            <a:off x="0" y="0"/>
                            <a:ext cx="5101590" cy="3607435"/>
                          </a:xfrm>
                          <a:prstGeom prst="rect">
                            <a:avLst/>
                          </a:prstGeom>
                        </pic:spPr>
                      </pic:pic>
                    </a:graphicData>
                  </a:graphic>
                </wp:inline>
              </w:drawing>
            </w:r>
          </w:p>
          <w:p w14:paraId="65A3DAF3">
            <w:pPr>
              <w:keepNext/>
              <w:spacing w:line="360" w:lineRule="auto"/>
              <w:ind w:firstLine="422" w:firstLineChars="200"/>
              <w:jc w:val="center"/>
              <w:rPr>
                <w:rFonts w:hint="eastAsia" w:ascii="Times New Roman" w:hAnsi="Times New Roman" w:eastAsia="宋体" w:cs="Times New Roman"/>
                <w:b/>
                <w:bCs/>
                <w:sz w:val="21"/>
                <w:szCs w:val="21"/>
                <w:highlight w:val="none"/>
                <w:lang w:val="en-US"/>
              </w:rPr>
            </w:pPr>
            <w:r>
              <w:rPr>
                <w:rFonts w:hint="eastAsia" w:ascii="Times New Roman" w:hAnsi="Times New Roman" w:eastAsia="宋体" w:cs="Times New Roman"/>
                <w:b/>
                <w:bCs/>
                <w:sz w:val="21"/>
                <w:szCs w:val="21"/>
                <w:highlight w:val="none"/>
                <w:lang w:val="en-US"/>
              </w:rPr>
              <w:t>图3-</w:t>
            </w:r>
            <w:r>
              <w:rPr>
                <w:rFonts w:hint="eastAsia" w:cs="Times New Roman"/>
                <w:b/>
                <w:bCs/>
                <w:sz w:val="21"/>
                <w:szCs w:val="21"/>
                <w:highlight w:val="none"/>
                <w:lang w:val="en-US" w:eastAsia="zh-CN"/>
              </w:rPr>
              <w:t>4</w:t>
            </w:r>
            <w:r>
              <w:rPr>
                <w:rFonts w:hint="eastAsia" w:ascii="Times New Roman" w:hAnsi="Times New Roman" w:eastAsia="宋体" w:cs="Times New Roman"/>
                <w:b/>
                <w:bCs/>
                <w:sz w:val="21"/>
                <w:szCs w:val="21"/>
                <w:highlight w:val="none"/>
                <w:lang w:val="en-US"/>
              </w:rPr>
              <w:t xml:space="preserve"> </w:t>
            </w:r>
            <w:r>
              <w:rPr>
                <w:rFonts w:hint="eastAsia" w:ascii="Times New Roman" w:hAnsi="Times New Roman" w:eastAsia="宋体" w:cs="Times New Roman"/>
                <w:b/>
                <w:bCs/>
                <w:sz w:val="21"/>
                <w:szCs w:val="21"/>
                <w:highlight w:val="none"/>
                <w:lang w:val="en-US" w:eastAsia="zh-CN"/>
              </w:rPr>
              <w:t xml:space="preserve"> </w:t>
            </w:r>
            <w:r>
              <w:rPr>
                <w:rFonts w:hint="eastAsia" w:ascii="Times New Roman" w:hAnsi="Times New Roman" w:eastAsia="宋体" w:cs="Times New Roman"/>
                <w:b/>
                <w:bCs/>
                <w:sz w:val="21"/>
                <w:szCs w:val="21"/>
                <w:highlight w:val="none"/>
                <w:lang w:val="en-US"/>
              </w:rPr>
              <w:t xml:space="preserve"> 植被类型图</w:t>
            </w:r>
          </w:p>
          <w:p w14:paraId="54BF9D6A">
            <w:pPr>
              <w:pStyle w:val="11"/>
              <w:numPr>
                <w:ilvl w:val="-1"/>
                <w:numId w:val="0"/>
              </w:numPr>
              <w:spacing w:line="360" w:lineRule="auto"/>
              <w:ind w:firstLine="482" w:firstLineChars="200"/>
              <w:rPr>
                <w:rFonts w:hint="eastAsia" w:ascii="Times New Roman" w:hAnsi="Times New Roman" w:eastAsia="宋体" w:cs="Times New Roman"/>
                <w:b/>
                <w:bCs/>
                <w:kern w:val="2"/>
                <w:sz w:val="24"/>
                <w:szCs w:val="24"/>
                <w:highlight w:val="none"/>
                <w:lang w:val="en-US" w:eastAsia="zh-CN"/>
              </w:rPr>
            </w:pPr>
            <w:r>
              <w:rPr>
                <w:rFonts w:hint="eastAsia" w:ascii="Times New Roman" w:hAnsi="Times New Roman" w:eastAsia="宋体" w:cs="Times New Roman"/>
                <w:b/>
                <w:bCs/>
                <w:kern w:val="2"/>
                <w:sz w:val="24"/>
                <w:szCs w:val="24"/>
                <w:highlight w:val="none"/>
                <w:lang w:val="en-US" w:eastAsia="zh-CN"/>
              </w:rPr>
              <w:t>3.3动物资源现状调查</w:t>
            </w:r>
          </w:p>
          <w:p w14:paraId="20932CF9">
            <w:pPr>
              <w:keepNext/>
              <w:spacing w:line="360" w:lineRule="auto"/>
              <w:ind w:firstLine="480" w:firstLineChars="200"/>
              <w:rPr>
                <w:rFonts w:hint="eastAsia" w:ascii="Times New Roman" w:hAnsi="Times New Roman" w:eastAsia="宋体" w:cs="Times New Roman"/>
                <w:sz w:val="24"/>
                <w:highlight w:val="none"/>
                <w:lang w:val="zh-CN"/>
              </w:rPr>
            </w:pPr>
            <w:r>
              <w:rPr>
                <w:rFonts w:hint="eastAsia" w:ascii="Times New Roman" w:hAnsi="Times New Roman" w:eastAsia="宋体" w:cs="Times New Roman"/>
                <w:sz w:val="24"/>
                <w:highlight w:val="none"/>
                <w:lang w:val="zh-CN"/>
              </w:rPr>
              <w:t>根据调查了解未在</w:t>
            </w:r>
            <w:r>
              <w:rPr>
                <w:rFonts w:hint="eastAsia" w:ascii="Times New Roman" w:hAnsi="Times New Roman" w:eastAsia="宋体" w:cs="Times New Roman"/>
                <w:sz w:val="24"/>
                <w:highlight w:val="none"/>
                <w:lang w:val="en-US" w:eastAsia="zh-CN"/>
              </w:rPr>
              <w:t>管线周围</w:t>
            </w:r>
            <w:r>
              <w:rPr>
                <w:rFonts w:hint="eastAsia" w:ascii="Times New Roman" w:hAnsi="Times New Roman" w:eastAsia="宋体" w:cs="Times New Roman"/>
                <w:sz w:val="24"/>
                <w:highlight w:val="none"/>
                <w:lang w:val="zh-CN"/>
              </w:rPr>
              <w:t>发现其</w:t>
            </w:r>
            <w:r>
              <w:rPr>
                <w:rFonts w:hint="eastAsia" w:cs="Times New Roman"/>
                <w:sz w:val="24"/>
                <w:highlight w:val="none"/>
                <w:lang w:val="zh-CN"/>
              </w:rPr>
              <w:t>他</w:t>
            </w:r>
            <w:r>
              <w:rPr>
                <w:rFonts w:hint="eastAsia" w:ascii="Times New Roman" w:hAnsi="Times New Roman" w:eastAsia="宋体" w:cs="Times New Roman"/>
                <w:sz w:val="24"/>
                <w:highlight w:val="none"/>
                <w:lang w:val="zh-CN"/>
              </w:rPr>
              <w:t>国家珍稀鸟类，野生动物均为广布种，评价区内没有自然保护区。根据国家林业和草原局</w:t>
            </w:r>
            <w:r>
              <w:rPr>
                <w:rFonts w:hint="eastAsia" w:cs="Times New Roman"/>
                <w:sz w:val="24"/>
                <w:highlight w:val="none"/>
                <w:lang w:val="zh-CN"/>
              </w:rPr>
              <w:t>和</w:t>
            </w:r>
            <w:r>
              <w:rPr>
                <w:rFonts w:hint="eastAsia" w:ascii="Times New Roman" w:hAnsi="Times New Roman" w:eastAsia="宋体" w:cs="Times New Roman"/>
                <w:sz w:val="24"/>
                <w:highlight w:val="none"/>
                <w:lang w:val="zh-CN"/>
              </w:rPr>
              <w:t>农业农村部公告（2021年第3号）《国家重点保护野生动物名录》，未发现国家重点保护野生动物、珍稀濒危野生动物。</w:t>
            </w:r>
          </w:p>
          <w:p w14:paraId="5BC22832">
            <w:pPr>
              <w:pStyle w:val="11"/>
              <w:numPr>
                <w:ilvl w:val="-1"/>
                <w:numId w:val="0"/>
              </w:numPr>
              <w:spacing w:line="360" w:lineRule="auto"/>
              <w:ind w:firstLine="482" w:firstLineChars="200"/>
              <w:rPr>
                <w:rFonts w:hint="default" w:ascii="Times New Roman" w:hAnsi="Times New Roman" w:eastAsia="宋体" w:cs="Times New Roman"/>
                <w:b/>
                <w:bCs/>
                <w:kern w:val="2"/>
                <w:sz w:val="24"/>
                <w:szCs w:val="24"/>
                <w:highlight w:val="none"/>
                <w:lang w:val="en-US" w:eastAsia="zh-CN"/>
              </w:rPr>
            </w:pPr>
            <w:r>
              <w:rPr>
                <w:rFonts w:hint="eastAsia" w:ascii="Times New Roman" w:hAnsi="Times New Roman" w:eastAsia="宋体" w:cs="Times New Roman"/>
                <w:b/>
                <w:bCs/>
                <w:kern w:val="2"/>
                <w:sz w:val="24"/>
                <w:szCs w:val="24"/>
                <w:highlight w:val="none"/>
                <w:lang w:val="en-US" w:eastAsia="zh-CN"/>
              </w:rPr>
              <w:t>3.4土地利用类型</w:t>
            </w:r>
          </w:p>
          <w:p w14:paraId="687B9246">
            <w:pPr>
              <w:keepNext/>
              <w:spacing w:line="360" w:lineRule="auto"/>
              <w:ind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利用卫星遥感及地理信息系统技术并结合地面实际调查，对管道和整体管道</w:t>
            </w:r>
            <w:r>
              <w:rPr>
                <w:rFonts w:hint="eastAsia" w:ascii="Times New Roman" w:hAnsi="Times New Roman" w:eastAsia="宋体" w:cs="Times New Roman"/>
                <w:sz w:val="24"/>
                <w:highlight w:val="none"/>
                <w:lang w:val="en-US" w:eastAsia="zh-CN"/>
              </w:rPr>
              <w:t>3</w:t>
            </w:r>
            <w:r>
              <w:rPr>
                <w:rFonts w:hint="eastAsia" w:ascii="Times New Roman" w:hAnsi="Times New Roman" w:eastAsia="宋体" w:cs="Times New Roman"/>
                <w:sz w:val="24"/>
                <w:highlight w:val="none"/>
              </w:rPr>
              <w:t>00m范围内的土地利用类型进行了调查，详见表3-</w:t>
            </w:r>
            <w:r>
              <w:rPr>
                <w:rFonts w:hint="eastAsia" w:cs="Times New Roman"/>
                <w:sz w:val="24"/>
                <w:highlight w:val="none"/>
                <w:lang w:val="en-US" w:eastAsia="zh-CN"/>
              </w:rPr>
              <w:t>2</w:t>
            </w:r>
            <w:r>
              <w:rPr>
                <w:rFonts w:hint="eastAsia" w:ascii="Times New Roman" w:hAnsi="Times New Roman" w:eastAsia="宋体" w:cs="Times New Roman"/>
                <w:sz w:val="24"/>
                <w:highlight w:val="none"/>
              </w:rPr>
              <w:t>及图3-</w:t>
            </w:r>
            <w:r>
              <w:rPr>
                <w:rFonts w:hint="eastAsia" w:cs="Times New Roman"/>
                <w:sz w:val="24"/>
                <w:highlight w:val="none"/>
                <w:lang w:val="en-US" w:eastAsia="zh-CN"/>
              </w:rPr>
              <w:t>5</w:t>
            </w:r>
            <w:r>
              <w:rPr>
                <w:rFonts w:hint="eastAsia" w:ascii="Times New Roman" w:hAnsi="Times New Roman" w:eastAsia="宋体" w:cs="Times New Roman"/>
                <w:sz w:val="24"/>
                <w:highlight w:val="none"/>
              </w:rPr>
              <w:t>。</w:t>
            </w:r>
          </w:p>
          <w:p w14:paraId="7D613F4D">
            <w:pPr>
              <w:keepNext/>
              <w:spacing w:line="360" w:lineRule="auto"/>
              <w:ind w:firstLine="422" w:firstLineChars="200"/>
              <w:jc w:val="center"/>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表3-</w:t>
            </w:r>
            <w:r>
              <w:rPr>
                <w:rFonts w:hint="eastAsia" w:cs="Times New Roman"/>
                <w:b/>
                <w:bCs/>
                <w:sz w:val="21"/>
                <w:szCs w:val="21"/>
                <w:highlight w:val="none"/>
                <w:lang w:val="en-US" w:eastAsia="zh-CN"/>
              </w:rPr>
              <w:t>2</w:t>
            </w:r>
            <w:r>
              <w:rPr>
                <w:rFonts w:hint="eastAsia" w:ascii="Times New Roman" w:hAnsi="Times New Roman" w:eastAsia="宋体" w:cs="Times New Roman"/>
                <w:b/>
                <w:bCs/>
                <w:sz w:val="21"/>
                <w:szCs w:val="21"/>
                <w:highlight w:val="none"/>
                <w:lang w:val="en-US" w:eastAsia="zh-CN"/>
              </w:rPr>
              <w:t xml:space="preserve">   本工程评价范围内土地利用现状调查表</w:t>
            </w:r>
          </w:p>
          <w:tbl>
            <w:tblPr>
              <w:tblStyle w:val="19"/>
              <w:tblW w:w="47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3403"/>
              <w:gridCol w:w="1798"/>
              <w:gridCol w:w="1342"/>
            </w:tblGrid>
            <w:tr w14:paraId="4287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63" w:type="pct"/>
                  <w:shd w:val="clear" w:color="auto" w:fill="auto"/>
                  <w:noWrap/>
                  <w:vAlign w:val="center"/>
                </w:tcPr>
                <w:p w14:paraId="67DD615E">
                  <w:pPr>
                    <w:pStyle w:val="38"/>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位置</w:t>
                  </w:r>
                </w:p>
              </w:tc>
              <w:tc>
                <w:tcPr>
                  <w:tcW w:w="2151" w:type="pct"/>
                  <w:shd w:val="clear" w:color="auto" w:fill="auto"/>
                  <w:noWrap/>
                  <w:vAlign w:val="center"/>
                </w:tcPr>
                <w:p w14:paraId="1A0647EB">
                  <w:pPr>
                    <w:pStyle w:val="38"/>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名称</w:t>
                  </w:r>
                </w:p>
              </w:tc>
              <w:tc>
                <w:tcPr>
                  <w:tcW w:w="1136" w:type="pct"/>
                  <w:shd w:val="clear" w:color="auto" w:fill="auto"/>
                  <w:noWrap/>
                  <w:vAlign w:val="center"/>
                </w:tcPr>
                <w:p w14:paraId="59E92B9F">
                  <w:pPr>
                    <w:pStyle w:val="38"/>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面积</w:t>
                  </w:r>
                  <w:r>
                    <w:rPr>
                      <w:rFonts w:hint="eastAsia" w:cs="Times New Roman"/>
                      <w:color w:val="auto"/>
                      <w:highlight w:val="none"/>
                      <w:lang w:eastAsia="zh-CN"/>
                    </w:rPr>
                    <w:t>（</w:t>
                  </w:r>
                  <w:r>
                    <w:rPr>
                      <w:rFonts w:hint="eastAsia" w:ascii="Times New Roman" w:hAnsi="Times New Roman" w:eastAsia="宋体" w:cs="Times New Roman"/>
                      <w:color w:val="auto"/>
                      <w:highlight w:val="none"/>
                      <w:lang w:val="en-US"/>
                    </w:rPr>
                    <w:t>h</w:t>
                  </w:r>
                  <w:r>
                    <w:rPr>
                      <w:rFonts w:hint="eastAsia" w:ascii="Times New Roman" w:hAnsi="Times New Roman" w:eastAsia="宋体" w:cs="Times New Roman"/>
                      <w:color w:val="auto"/>
                      <w:highlight w:val="none"/>
                    </w:rPr>
                    <w:t>m</w:t>
                  </w:r>
                  <w:r>
                    <w:rPr>
                      <w:rFonts w:hint="eastAsia" w:ascii="Times New Roman" w:hAnsi="Times New Roman" w:eastAsia="宋体" w:cs="Times New Roman"/>
                      <w:color w:val="auto"/>
                      <w:highlight w:val="none"/>
                      <w:vertAlign w:val="superscript"/>
                      <w:lang w:val="en-US"/>
                    </w:rPr>
                    <w:t>2</w:t>
                  </w:r>
                  <w:r>
                    <w:rPr>
                      <w:rFonts w:hint="eastAsia" w:cs="Times New Roman"/>
                      <w:color w:val="auto"/>
                      <w:highlight w:val="none"/>
                      <w:lang w:eastAsia="zh-CN"/>
                    </w:rPr>
                    <w:t>）</w:t>
                  </w:r>
                </w:p>
              </w:tc>
              <w:tc>
                <w:tcPr>
                  <w:tcW w:w="848" w:type="pct"/>
                  <w:shd w:val="clear" w:color="auto" w:fill="auto"/>
                  <w:noWrap/>
                  <w:vAlign w:val="center"/>
                </w:tcPr>
                <w:p w14:paraId="4D761862">
                  <w:pPr>
                    <w:pStyle w:val="38"/>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比例</w:t>
                  </w:r>
                  <w:r>
                    <w:rPr>
                      <w:rFonts w:hint="eastAsia" w:ascii="Times New Roman" w:hAnsi="Times New Roman" w:eastAsia="宋体" w:cs="Times New Roman"/>
                      <w:color w:val="auto"/>
                      <w:highlight w:val="none"/>
                      <w:lang w:val="en-US"/>
                    </w:rPr>
                    <w:t>%</w:t>
                  </w:r>
                </w:p>
              </w:tc>
            </w:tr>
            <w:tr w14:paraId="067B5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63" w:type="pct"/>
                  <w:vMerge w:val="restart"/>
                  <w:shd w:val="clear" w:color="auto" w:fill="auto"/>
                  <w:vAlign w:val="center"/>
                </w:tcPr>
                <w:p w14:paraId="4CB2613E">
                  <w:pPr>
                    <w:pStyle w:val="38"/>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评价区</w:t>
                  </w:r>
                </w:p>
              </w:tc>
              <w:tc>
                <w:tcPr>
                  <w:tcW w:w="2151" w:type="pct"/>
                  <w:shd w:val="clear" w:color="auto" w:fill="auto"/>
                  <w:vAlign w:val="center"/>
                </w:tcPr>
                <w:p w14:paraId="54E1D4A4">
                  <w:pPr>
                    <w:pStyle w:val="38"/>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工业用地</w:t>
                  </w:r>
                </w:p>
              </w:tc>
              <w:tc>
                <w:tcPr>
                  <w:tcW w:w="1136" w:type="pct"/>
                  <w:shd w:val="clear" w:color="auto" w:fill="auto"/>
                  <w:noWrap/>
                  <w:vAlign w:val="center"/>
                </w:tcPr>
                <w:p w14:paraId="7FC6E80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zh-CN"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148.04</w:t>
                  </w:r>
                </w:p>
              </w:tc>
              <w:tc>
                <w:tcPr>
                  <w:tcW w:w="848" w:type="pct"/>
                  <w:shd w:val="clear" w:color="auto" w:fill="auto"/>
                  <w:noWrap/>
                  <w:vAlign w:val="center"/>
                </w:tcPr>
                <w:p w14:paraId="44D627E3">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86.09</w:t>
                  </w:r>
                </w:p>
              </w:tc>
            </w:tr>
            <w:tr w14:paraId="2567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63" w:type="pct"/>
                  <w:vMerge w:val="continue"/>
                  <w:shd w:val="clear" w:color="auto" w:fill="auto"/>
                  <w:vAlign w:val="center"/>
                </w:tcPr>
                <w:p w14:paraId="6561F01B">
                  <w:pPr>
                    <w:pStyle w:val="38"/>
                    <w:rPr>
                      <w:rFonts w:ascii="Times New Roman" w:hAnsi="Times New Roman" w:eastAsia="宋体" w:cs="Times New Roman"/>
                      <w:color w:val="auto"/>
                      <w:highlight w:val="none"/>
                    </w:rPr>
                  </w:pPr>
                </w:p>
              </w:tc>
              <w:tc>
                <w:tcPr>
                  <w:tcW w:w="2151" w:type="pct"/>
                  <w:shd w:val="clear" w:color="auto" w:fill="auto"/>
                  <w:noWrap/>
                  <w:vAlign w:val="center"/>
                </w:tcPr>
                <w:p w14:paraId="0E55A99A">
                  <w:pPr>
                    <w:pStyle w:val="38"/>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道路用地</w:t>
                  </w:r>
                </w:p>
              </w:tc>
              <w:tc>
                <w:tcPr>
                  <w:tcW w:w="1136" w:type="pct"/>
                  <w:shd w:val="clear" w:color="auto" w:fill="auto"/>
                  <w:noWrap/>
                  <w:vAlign w:val="center"/>
                </w:tcPr>
                <w:p w14:paraId="32E384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zh-CN"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2.37</w:t>
                  </w:r>
                </w:p>
              </w:tc>
              <w:tc>
                <w:tcPr>
                  <w:tcW w:w="848" w:type="pct"/>
                  <w:shd w:val="clear" w:color="auto" w:fill="auto"/>
                  <w:noWrap/>
                  <w:vAlign w:val="center"/>
                </w:tcPr>
                <w:p w14:paraId="4947E848">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1.38</w:t>
                  </w:r>
                </w:p>
              </w:tc>
            </w:tr>
            <w:tr w14:paraId="5BE6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63" w:type="pct"/>
                  <w:vMerge w:val="continue"/>
                  <w:shd w:val="clear" w:color="auto" w:fill="auto"/>
                  <w:vAlign w:val="center"/>
                </w:tcPr>
                <w:p w14:paraId="05461FA5">
                  <w:pPr>
                    <w:pStyle w:val="38"/>
                    <w:rPr>
                      <w:rFonts w:ascii="Times New Roman" w:hAnsi="Times New Roman" w:eastAsia="宋体" w:cs="Times New Roman"/>
                      <w:color w:val="auto"/>
                      <w:highlight w:val="none"/>
                    </w:rPr>
                  </w:pPr>
                </w:p>
              </w:tc>
              <w:tc>
                <w:tcPr>
                  <w:tcW w:w="2151" w:type="pct"/>
                  <w:shd w:val="clear" w:color="auto" w:fill="auto"/>
                  <w:vAlign w:val="center"/>
                </w:tcPr>
                <w:p w14:paraId="597A0CA9">
                  <w:pPr>
                    <w:pStyle w:val="38"/>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天然牧草地</w:t>
                  </w:r>
                </w:p>
              </w:tc>
              <w:tc>
                <w:tcPr>
                  <w:tcW w:w="1136" w:type="pct"/>
                  <w:shd w:val="clear" w:color="auto" w:fill="auto"/>
                  <w:noWrap/>
                  <w:vAlign w:val="center"/>
                </w:tcPr>
                <w:p w14:paraId="48A4A6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zh-CN"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21.55</w:t>
                  </w:r>
                </w:p>
              </w:tc>
              <w:tc>
                <w:tcPr>
                  <w:tcW w:w="848" w:type="pct"/>
                  <w:shd w:val="clear" w:color="auto" w:fill="auto"/>
                  <w:noWrap/>
                  <w:vAlign w:val="center"/>
                </w:tcPr>
                <w:p w14:paraId="0B89F1BF">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12.53</w:t>
                  </w:r>
                </w:p>
              </w:tc>
            </w:tr>
            <w:tr w14:paraId="2D75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63" w:type="pct"/>
                  <w:vMerge w:val="continue"/>
                  <w:shd w:val="clear" w:color="auto" w:fill="auto"/>
                  <w:vAlign w:val="center"/>
                </w:tcPr>
                <w:p w14:paraId="3CB01C99">
                  <w:pPr>
                    <w:pStyle w:val="38"/>
                    <w:rPr>
                      <w:rFonts w:ascii="Times New Roman" w:hAnsi="Times New Roman" w:eastAsia="宋体" w:cs="Times New Roman"/>
                      <w:color w:val="auto"/>
                      <w:highlight w:val="none"/>
                    </w:rPr>
                  </w:pPr>
                </w:p>
              </w:tc>
              <w:tc>
                <w:tcPr>
                  <w:tcW w:w="2151" w:type="pct"/>
                  <w:shd w:val="clear" w:color="auto" w:fill="auto"/>
                  <w:noWrap/>
                  <w:vAlign w:val="center"/>
                </w:tcPr>
                <w:p w14:paraId="1A39E1E8">
                  <w:pPr>
                    <w:pStyle w:val="38"/>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合计</w:t>
                  </w:r>
                </w:p>
              </w:tc>
              <w:tc>
                <w:tcPr>
                  <w:tcW w:w="1136" w:type="pct"/>
                  <w:shd w:val="clear" w:color="auto" w:fill="auto"/>
                  <w:noWrap/>
                  <w:vAlign w:val="center"/>
                </w:tcPr>
                <w:p w14:paraId="4EAF94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171.96</w:t>
                  </w:r>
                </w:p>
              </w:tc>
              <w:tc>
                <w:tcPr>
                  <w:tcW w:w="848" w:type="pct"/>
                  <w:shd w:val="clear" w:color="auto" w:fill="auto"/>
                  <w:noWrap/>
                  <w:vAlign w:val="center"/>
                </w:tcPr>
                <w:p w14:paraId="0DD46639">
                  <w:pPr>
                    <w:pStyle w:val="38"/>
                    <w:rPr>
                      <w:rFonts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rPr>
                    <w:t>100%</w:t>
                  </w:r>
                </w:p>
              </w:tc>
            </w:tr>
          </w:tbl>
          <w:p w14:paraId="06FA3B55">
            <w:pPr>
              <w:keepNext/>
              <w:spacing w:line="360" w:lineRule="auto"/>
              <w:ind w:firstLine="480" w:firstLineChars="200"/>
              <w:rPr>
                <w:rFonts w:hint="eastAsia" w:ascii="Times New Roman" w:hAnsi="Times New Roman" w:eastAsia="宋体" w:cs="Times New Roman"/>
                <w:sz w:val="24"/>
                <w:highlight w:val="none"/>
                <w:lang w:eastAsia="zh-CN"/>
              </w:rPr>
            </w:pPr>
            <w:r>
              <w:rPr>
                <w:rFonts w:hint="eastAsia" w:ascii="Times New Roman" w:hAnsi="Times New Roman" w:eastAsia="宋体" w:cs="Times New Roman"/>
                <w:sz w:val="24"/>
                <w:highlight w:val="none"/>
              </w:rPr>
              <w:t>从上表可以看出，评价区范围内各土地利用生态调查总面积</w:t>
            </w:r>
            <w:r>
              <w:rPr>
                <w:rFonts w:hint="eastAsia" w:cs="Times New Roman"/>
                <w:sz w:val="24"/>
                <w:highlight w:val="none"/>
                <w:lang w:eastAsia="zh-CN"/>
              </w:rPr>
              <w:t>为</w:t>
            </w:r>
            <w:r>
              <w:rPr>
                <w:rFonts w:hint="eastAsia" w:ascii="Times New Roman" w:hAnsi="Times New Roman" w:eastAsia="宋体" w:cs="Times New Roman"/>
                <w:sz w:val="24"/>
                <w:highlight w:val="none"/>
                <w:lang w:val="en-US" w:eastAsia="zh-CN"/>
              </w:rPr>
              <w:t>171.96</w:t>
            </w:r>
            <w:r>
              <w:rPr>
                <w:rFonts w:hint="eastAsia" w:ascii="Times New Roman" w:hAnsi="Times New Roman" w:eastAsia="宋体" w:cs="Times New Roman"/>
                <w:sz w:val="24"/>
                <w:highlight w:val="none"/>
              </w:rPr>
              <w:t>hm</w:t>
            </w:r>
            <w:r>
              <w:rPr>
                <w:rFonts w:hint="eastAsia" w:ascii="Times New Roman" w:hAnsi="Times New Roman" w:eastAsia="宋体" w:cs="Times New Roman"/>
                <w:sz w:val="24"/>
                <w:highlight w:val="none"/>
                <w:vertAlign w:val="superscript"/>
              </w:rPr>
              <w:t>2</w:t>
            </w:r>
            <w:r>
              <w:rPr>
                <w:rFonts w:hint="eastAsia" w:ascii="Times New Roman" w:hAnsi="Times New Roman" w:eastAsia="宋体" w:cs="Times New Roman"/>
                <w:sz w:val="24"/>
                <w:highlight w:val="none"/>
              </w:rPr>
              <w:t>，土地利用类型主要为</w:t>
            </w:r>
            <w:r>
              <w:rPr>
                <w:rFonts w:hint="eastAsia" w:ascii="Times New Roman" w:hAnsi="Times New Roman" w:eastAsia="宋体" w:cs="Times New Roman"/>
                <w:sz w:val="24"/>
                <w:highlight w:val="none"/>
                <w:lang w:val="en-US" w:eastAsia="zh-CN"/>
              </w:rPr>
              <w:t>工业用地</w:t>
            </w:r>
            <w:r>
              <w:rPr>
                <w:rFonts w:hint="eastAsia" w:ascii="Times New Roman" w:hAnsi="Times New Roman" w:eastAsia="宋体" w:cs="Times New Roman"/>
                <w:sz w:val="24"/>
                <w:highlight w:val="none"/>
              </w:rPr>
              <w:t>、</w:t>
            </w:r>
            <w:r>
              <w:rPr>
                <w:rFonts w:hint="eastAsia" w:ascii="Times New Roman" w:hAnsi="Times New Roman" w:eastAsia="宋体" w:cs="Times New Roman"/>
                <w:sz w:val="24"/>
                <w:highlight w:val="none"/>
                <w:lang w:val="en-US" w:eastAsia="zh-CN"/>
              </w:rPr>
              <w:t>道路用地</w:t>
            </w:r>
            <w:r>
              <w:rPr>
                <w:rFonts w:hint="eastAsia" w:ascii="Times New Roman" w:hAnsi="Times New Roman" w:eastAsia="宋体" w:cs="Times New Roman"/>
                <w:sz w:val="24"/>
                <w:highlight w:val="none"/>
              </w:rPr>
              <w:t>、</w:t>
            </w:r>
            <w:r>
              <w:rPr>
                <w:rFonts w:hint="eastAsia" w:ascii="Times New Roman" w:hAnsi="Times New Roman" w:eastAsia="宋体" w:cs="Times New Roman"/>
                <w:sz w:val="24"/>
                <w:highlight w:val="none"/>
                <w:lang w:val="en-US" w:eastAsia="zh-CN"/>
              </w:rPr>
              <w:t>天然牧草地</w:t>
            </w:r>
            <w:r>
              <w:rPr>
                <w:rFonts w:hint="eastAsia" w:cs="Times New Roman"/>
                <w:sz w:val="24"/>
                <w:highlight w:val="none"/>
                <w:lang w:val="en-US" w:eastAsia="zh-CN"/>
              </w:rPr>
              <w:t>等</w:t>
            </w:r>
            <w:r>
              <w:rPr>
                <w:rFonts w:hint="eastAsia" w:ascii="Times New Roman" w:hAnsi="Times New Roman" w:eastAsia="宋体" w:cs="Times New Roman"/>
                <w:sz w:val="24"/>
                <w:highlight w:val="none"/>
                <w:lang w:val="en-US" w:eastAsia="zh-CN"/>
              </w:rPr>
              <w:t>。</w:t>
            </w:r>
            <w:r>
              <w:rPr>
                <w:rFonts w:hint="eastAsia" w:ascii="Times New Roman" w:hAnsi="Times New Roman" w:eastAsia="宋体" w:cs="Times New Roman"/>
                <w:sz w:val="24"/>
                <w:highlight w:val="none"/>
                <w:lang w:val="en-US"/>
              </w:rPr>
              <w:t>其中</w:t>
            </w:r>
            <w:r>
              <w:rPr>
                <w:rFonts w:hint="eastAsia" w:ascii="Times New Roman" w:hAnsi="Times New Roman" w:eastAsia="宋体" w:cs="Times New Roman"/>
                <w:sz w:val="24"/>
                <w:highlight w:val="none"/>
                <w:lang w:val="en-US" w:eastAsia="zh-CN"/>
              </w:rPr>
              <w:t>工业用地</w:t>
            </w:r>
            <w:r>
              <w:rPr>
                <w:rFonts w:hint="eastAsia" w:ascii="Times New Roman" w:hAnsi="Times New Roman" w:eastAsia="宋体" w:cs="Times New Roman"/>
                <w:sz w:val="24"/>
                <w:highlight w:val="none"/>
              </w:rPr>
              <w:t>面积为</w:t>
            </w:r>
            <w:r>
              <w:rPr>
                <w:rFonts w:hint="eastAsia" w:ascii="Times New Roman" w:hAnsi="Times New Roman" w:eastAsia="宋体" w:cs="Times New Roman"/>
                <w:sz w:val="24"/>
                <w:highlight w:val="none"/>
                <w:lang w:val="en-US" w:eastAsia="zh-CN"/>
              </w:rPr>
              <w:t>148.04</w:t>
            </w:r>
            <w:r>
              <w:rPr>
                <w:rFonts w:hint="eastAsia" w:ascii="Times New Roman" w:hAnsi="Times New Roman" w:eastAsia="宋体" w:cs="Times New Roman"/>
                <w:sz w:val="24"/>
                <w:highlight w:val="none"/>
              </w:rPr>
              <w:t>hm</w:t>
            </w:r>
            <w:r>
              <w:rPr>
                <w:rFonts w:hint="eastAsia" w:ascii="Times New Roman" w:hAnsi="Times New Roman" w:eastAsia="宋体" w:cs="Times New Roman"/>
                <w:sz w:val="24"/>
                <w:highlight w:val="none"/>
                <w:vertAlign w:val="superscript"/>
              </w:rPr>
              <w:t>2</w:t>
            </w:r>
            <w:r>
              <w:rPr>
                <w:rFonts w:hint="eastAsia" w:ascii="Times New Roman" w:hAnsi="Times New Roman" w:eastAsia="宋体" w:cs="Times New Roman"/>
                <w:sz w:val="24"/>
                <w:highlight w:val="none"/>
              </w:rPr>
              <w:t>，占评价区总面积的</w:t>
            </w:r>
            <w:r>
              <w:rPr>
                <w:rFonts w:hint="eastAsia" w:ascii="Times New Roman" w:hAnsi="Times New Roman" w:eastAsia="宋体" w:cs="Times New Roman"/>
                <w:sz w:val="24"/>
                <w:highlight w:val="none"/>
                <w:lang w:val="en-US" w:eastAsia="zh-CN"/>
              </w:rPr>
              <w:t>86.09</w:t>
            </w:r>
            <w:r>
              <w:rPr>
                <w:rFonts w:hint="eastAsia" w:ascii="Times New Roman" w:hAnsi="Times New Roman" w:eastAsia="宋体" w:cs="Times New Roman"/>
                <w:sz w:val="24"/>
                <w:highlight w:val="none"/>
              </w:rPr>
              <w:t>%；</w:t>
            </w:r>
            <w:r>
              <w:rPr>
                <w:rFonts w:hint="eastAsia" w:ascii="Times New Roman" w:hAnsi="Times New Roman" w:eastAsia="宋体" w:cs="Times New Roman"/>
                <w:sz w:val="24"/>
                <w:highlight w:val="none"/>
                <w:lang w:val="en-US" w:eastAsia="zh-CN"/>
              </w:rPr>
              <w:t>道路用地</w:t>
            </w:r>
            <w:r>
              <w:rPr>
                <w:rFonts w:hint="eastAsia" w:ascii="Times New Roman" w:hAnsi="Times New Roman" w:eastAsia="宋体" w:cs="Times New Roman"/>
                <w:sz w:val="24"/>
                <w:highlight w:val="none"/>
              </w:rPr>
              <w:t>为</w:t>
            </w:r>
            <w:r>
              <w:rPr>
                <w:rFonts w:hint="eastAsia" w:ascii="Times New Roman" w:hAnsi="Times New Roman" w:eastAsia="宋体" w:cs="Times New Roman"/>
                <w:sz w:val="24"/>
                <w:highlight w:val="none"/>
                <w:lang w:val="en-US" w:eastAsia="zh-CN"/>
              </w:rPr>
              <w:t>2.37</w:t>
            </w:r>
            <w:r>
              <w:rPr>
                <w:rFonts w:hint="eastAsia" w:ascii="Times New Roman" w:hAnsi="Times New Roman" w:eastAsia="宋体" w:cs="Times New Roman"/>
                <w:sz w:val="24"/>
                <w:highlight w:val="none"/>
              </w:rPr>
              <w:t>hm</w:t>
            </w:r>
            <w:r>
              <w:rPr>
                <w:rFonts w:hint="eastAsia" w:ascii="Times New Roman" w:hAnsi="Times New Roman" w:eastAsia="宋体" w:cs="Times New Roman"/>
                <w:sz w:val="24"/>
                <w:highlight w:val="none"/>
                <w:vertAlign w:val="superscript"/>
              </w:rPr>
              <w:t>2</w:t>
            </w:r>
            <w:r>
              <w:rPr>
                <w:rFonts w:hint="eastAsia" w:ascii="Times New Roman" w:hAnsi="Times New Roman" w:eastAsia="宋体" w:cs="Times New Roman"/>
                <w:sz w:val="24"/>
                <w:highlight w:val="none"/>
              </w:rPr>
              <w:t>，占评价区总面积的</w:t>
            </w:r>
            <w:r>
              <w:rPr>
                <w:rFonts w:hint="eastAsia" w:ascii="Times New Roman" w:hAnsi="Times New Roman" w:eastAsia="宋体" w:cs="Times New Roman"/>
                <w:sz w:val="24"/>
                <w:highlight w:val="none"/>
                <w:lang w:val="en-US" w:eastAsia="zh-CN"/>
              </w:rPr>
              <w:t>1.38</w:t>
            </w:r>
            <w:r>
              <w:rPr>
                <w:rFonts w:hint="eastAsia" w:ascii="Times New Roman" w:hAnsi="Times New Roman" w:eastAsia="宋体" w:cs="Times New Roman"/>
                <w:sz w:val="24"/>
                <w:highlight w:val="none"/>
              </w:rPr>
              <w:t>%；</w:t>
            </w:r>
            <w:r>
              <w:rPr>
                <w:rFonts w:hint="eastAsia" w:ascii="Times New Roman" w:hAnsi="Times New Roman" w:eastAsia="宋体" w:cs="Times New Roman"/>
                <w:sz w:val="24"/>
                <w:highlight w:val="none"/>
                <w:lang w:val="en-US" w:eastAsia="zh-CN"/>
              </w:rPr>
              <w:t>天然牧草地</w:t>
            </w:r>
            <w:r>
              <w:rPr>
                <w:rFonts w:hint="eastAsia" w:ascii="Times New Roman" w:hAnsi="Times New Roman" w:eastAsia="宋体" w:cs="Times New Roman"/>
                <w:sz w:val="24"/>
                <w:highlight w:val="none"/>
              </w:rPr>
              <w:t>面积为</w:t>
            </w:r>
            <w:r>
              <w:rPr>
                <w:rFonts w:hint="eastAsia" w:ascii="Times New Roman" w:hAnsi="Times New Roman" w:eastAsia="宋体" w:cs="Times New Roman"/>
                <w:sz w:val="24"/>
                <w:highlight w:val="none"/>
                <w:lang w:val="en-US" w:eastAsia="zh-CN"/>
              </w:rPr>
              <w:t>21.55</w:t>
            </w:r>
            <w:r>
              <w:rPr>
                <w:rFonts w:hint="eastAsia" w:ascii="Times New Roman" w:hAnsi="Times New Roman" w:eastAsia="宋体" w:cs="Times New Roman"/>
                <w:sz w:val="24"/>
                <w:highlight w:val="none"/>
              </w:rPr>
              <w:t>hm</w:t>
            </w:r>
            <w:r>
              <w:rPr>
                <w:rFonts w:hint="eastAsia" w:ascii="Times New Roman" w:hAnsi="Times New Roman" w:eastAsia="宋体" w:cs="Times New Roman"/>
                <w:sz w:val="24"/>
                <w:highlight w:val="none"/>
                <w:vertAlign w:val="superscript"/>
              </w:rPr>
              <w:t>2</w:t>
            </w:r>
            <w:r>
              <w:rPr>
                <w:rFonts w:hint="eastAsia" w:ascii="Times New Roman" w:hAnsi="Times New Roman" w:eastAsia="宋体" w:cs="Times New Roman"/>
                <w:sz w:val="24"/>
                <w:highlight w:val="none"/>
              </w:rPr>
              <w:t>，占评价区总面积的</w:t>
            </w:r>
            <w:r>
              <w:rPr>
                <w:rFonts w:hint="eastAsia" w:ascii="Times New Roman" w:hAnsi="Times New Roman" w:eastAsia="宋体" w:cs="Times New Roman"/>
                <w:sz w:val="24"/>
                <w:highlight w:val="none"/>
                <w:lang w:val="en-US" w:eastAsia="zh-CN"/>
              </w:rPr>
              <w:t>12.53</w:t>
            </w:r>
            <w:r>
              <w:rPr>
                <w:rFonts w:hint="eastAsia" w:ascii="Times New Roman" w:hAnsi="Times New Roman" w:eastAsia="宋体" w:cs="Times New Roman"/>
                <w:sz w:val="24"/>
                <w:highlight w:val="none"/>
              </w:rPr>
              <w:t>%</w:t>
            </w:r>
            <w:r>
              <w:rPr>
                <w:rFonts w:hint="eastAsia" w:ascii="Times New Roman" w:hAnsi="Times New Roman" w:eastAsia="宋体" w:cs="Times New Roman"/>
                <w:sz w:val="24"/>
                <w:highlight w:val="none"/>
                <w:lang w:eastAsia="zh-CN"/>
              </w:rPr>
              <w:t>。</w:t>
            </w:r>
          </w:p>
          <w:p w14:paraId="0653D641">
            <w:pPr>
              <w:pStyle w:val="39"/>
              <w:ind w:left="19" w:right="19"/>
              <w:jc w:val="center"/>
              <w:rPr>
                <w:rFonts w:hint="eastAsia" w:eastAsia="宋体"/>
                <w:highlight w:val="none"/>
                <w:lang w:eastAsia="zh-CN"/>
              </w:rPr>
            </w:pPr>
            <w:r>
              <w:rPr>
                <w:rFonts w:hint="eastAsia" w:eastAsia="宋体"/>
                <w:highlight w:val="none"/>
                <w:lang w:eastAsia="zh-CN"/>
              </w:rPr>
              <w:drawing>
                <wp:inline distT="0" distB="0" distL="114300" distR="114300">
                  <wp:extent cx="4903470" cy="3467100"/>
                  <wp:effectExtent l="0" t="0" r="11430" b="0"/>
                  <wp:docPr id="40" name="图片 40" descr="土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土地"/>
                          <pic:cNvPicPr>
                            <a:picLocks noChangeAspect="1"/>
                          </pic:cNvPicPr>
                        </pic:nvPicPr>
                        <pic:blipFill>
                          <a:blip r:embed="rId21"/>
                          <a:stretch>
                            <a:fillRect/>
                          </a:stretch>
                        </pic:blipFill>
                        <pic:spPr>
                          <a:xfrm>
                            <a:off x="0" y="0"/>
                            <a:ext cx="4903470" cy="3467100"/>
                          </a:xfrm>
                          <a:prstGeom prst="rect">
                            <a:avLst/>
                          </a:prstGeom>
                        </pic:spPr>
                      </pic:pic>
                    </a:graphicData>
                  </a:graphic>
                </wp:inline>
              </w:drawing>
            </w:r>
          </w:p>
          <w:p w14:paraId="03F37786">
            <w:pPr>
              <w:pStyle w:val="34"/>
              <w:rPr>
                <w:highlight w:val="none"/>
              </w:rPr>
            </w:pPr>
            <w:r>
              <w:rPr>
                <w:rFonts w:hint="eastAsia"/>
                <w:highlight w:val="none"/>
              </w:rPr>
              <w:t>图3-</w:t>
            </w:r>
            <w:r>
              <w:rPr>
                <w:rFonts w:hint="eastAsia"/>
                <w:highlight w:val="none"/>
                <w:lang w:val="en-US" w:eastAsia="zh-CN"/>
              </w:rPr>
              <w:t>5</w:t>
            </w:r>
            <w:r>
              <w:rPr>
                <w:rFonts w:hint="eastAsia"/>
                <w:highlight w:val="none"/>
              </w:rPr>
              <w:t xml:space="preserve"> </w:t>
            </w:r>
            <w:r>
              <w:rPr>
                <w:rFonts w:hint="eastAsia"/>
                <w:highlight w:val="none"/>
                <w:lang w:val="en-US" w:eastAsia="zh-CN"/>
              </w:rPr>
              <w:t xml:space="preserve"> </w:t>
            </w:r>
            <w:r>
              <w:rPr>
                <w:rFonts w:hint="eastAsia"/>
                <w:highlight w:val="none"/>
              </w:rPr>
              <w:t xml:space="preserve"> 土地利用类型图</w:t>
            </w:r>
          </w:p>
          <w:p w14:paraId="077A0BE8">
            <w:pPr>
              <w:pStyle w:val="30"/>
              <w:ind w:firstLine="480"/>
              <w:rPr>
                <w:b/>
                <w:bCs/>
                <w:kern w:val="2"/>
                <w:sz w:val="24"/>
                <w:szCs w:val="24"/>
                <w:highlight w:val="none"/>
              </w:rPr>
            </w:pPr>
            <w:r>
              <w:rPr>
                <w:rFonts w:hint="eastAsia"/>
                <w:b/>
                <w:bCs/>
                <w:kern w:val="2"/>
                <w:sz w:val="24"/>
                <w:szCs w:val="24"/>
                <w:highlight w:val="none"/>
                <w:lang w:val="en-US" w:eastAsia="zh-CN"/>
              </w:rPr>
              <w:t>4.</w:t>
            </w:r>
            <w:r>
              <w:rPr>
                <w:rFonts w:hint="eastAsia"/>
                <w:b/>
                <w:bCs/>
                <w:kern w:val="2"/>
                <w:sz w:val="24"/>
                <w:szCs w:val="24"/>
                <w:highlight w:val="none"/>
              </w:rPr>
              <w:t>区域</w:t>
            </w:r>
            <w:r>
              <w:rPr>
                <w:b/>
                <w:bCs/>
                <w:kern w:val="2"/>
                <w:sz w:val="24"/>
                <w:szCs w:val="24"/>
                <w:highlight w:val="none"/>
              </w:rPr>
              <w:t>环境质量现状</w:t>
            </w:r>
            <w:bookmarkStart w:id="4" w:name="_Toc68774027"/>
            <w:bookmarkEnd w:id="4"/>
            <w:bookmarkStart w:id="5" w:name="_Toc59851101"/>
            <w:bookmarkEnd w:id="5"/>
            <w:bookmarkStart w:id="6" w:name="_Toc59266590"/>
            <w:bookmarkEnd w:id="6"/>
            <w:bookmarkStart w:id="7" w:name="_Toc58810542"/>
            <w:bookmarkEnd w:id="7"/>
            <w:bookmarkStart w:id="8" w:name="_Toc100071049"/>
            <w:bookmarkEnd w:id="8"/>
            <w:bookmarkStart w:id="9" w:name="_Toc68507198"/>
            <w:bookmarkEnd w:id="9"/>
            <w:bookmarkStart w:id="10" w:name="_Toc58646773"/>
            <w:bookmarkEnd w:id="10"/>
            <w:bookmarkStart w:id="11" w:name="_Toc58229306"/>
            <w:bookmarkEnd w:id="11"/>
            <w:bookmarkStart w:id="12" w:name="_Toc60024601"/>
            <w:bookmarkEnd w:id="12"/>
            <w:bookmarkStart w:id="13" w:name="_Toc68348238"/>
            <w:bookmarkEnd w:id="13"/>
            <w:bookmarkStart w:id="14" w:name="_Toc68749951"/>
            <w:bookmarkEnd w:id="14"/>
            <w:bookmarkStart w:id="15" w:name="_Toc68766602"/>
            <w:bookmarkEnd w:id="15"/>
            <w:bookmarkStart w:id="16" w:name="_Toc59965649"/>
            <w:bookmarkEnd w:id="16"/>
            <w:bookmarkStart w:id="17" w:name="_Toc59682789"/>
            <w:bookmarkEnd w:id="17"/>
            <w:bookmarkStart w:id="18" w:name="_Toc68686395"/>
            <w:bookmarkEnd w:id="18"/>
            <w:bookmarkStart w:id="19" w:name="_Toc58491014"/>
            <w:bookmarkEnd w:id="19"/>
            <w:bookmarkStart w:id="20" w:name="_Toc58121777"/>
            <w:bookmarkEnd w:id="20"/>
            <w:bookmarkStart w:id="21" w:name="_Toc58638882"/>
            <w:bookmarkEnd w:id="21"/>
            <w:bookmarkStart w:id="22" w:name="_Toc68582481"/>
            <w:bookmarkEnd w:id="22"/>
            <w:bookmarkStart w:id="23" w:name="_Toc58041094"/>
            <w:bookmarkEnd w:id="23"/>
            <w:bookmarkStart w:id="24" w:name="_Toc58643194"/>
            <w:bookmarkEnd w:id="24"/>
            <w:bookmarkStart w:id="25" w:name="_Toc58641493"/>
            <w:bookmarkEnd w:id="25"/>
            <w:bookmarkStart w:id="26" w:name="_Toc58314442"/>
            <w:bookmarkEnd w:id="26"/>
            <w:bookmarkStart w:id="27" w:name="_Toc58816645"/>
            <w:bookmarkEnd w:id="27"/>
            <w:bookmarkStart w:id="28" w:name="_Toc61861954"/>
            <w:bookmarkEnd w:id="28"/>
            <w:bookmarkStart w:id="29" w:name="_Toc58810455"/>
            <w:bookmarkEnd w:id="29"/>
            <w:bookmarkStart w:id="30" w:name="_Toc58731260"/>
            <w:bookmarkEnd w:id="30"/>
            <w:bookmarkStart w:id="31" w:name="_Toc68684089"/>
            <w:bookmarkEnd w:id="31"/>
            <w:bookmarkStart w:id="32" w:name="_Toc58124711"/>
            <w:bookmarkEnd w:id="32"/>
            <w:bookmarkStart w:id="33" w:name="_Toc68847870"/>
            <w:bookmarkEnd w:id="33"/>
            <w:bookmarkStart w:id="34" w:name="_Toc57868326"/>
            <w:bookmarkEnd w:id="34"/>
            <w:bookmarkStart w:id="35" w:name="_Toc68676526"/>
            <w:bookmarkEnd w:id="35"/>
            <w:bookmarkStart w:id="36" w:name="_Toc60035525"/>
            <w:bookmarkEnd w:id="36"/>
          </w:p>
          <w:p w14:paraId="6569819F">
            <w:pPr>
              <w:pStyle w:val="30"/>
              <w:rPr>
                <w:sz w:val="24"/>
                <w:highlight w:val="none"/>
              </w:rPr>
            </w:pPr>
            <w:r>
              <w:rPr>
                <w:rFonts w:hint="eastAsia"/>
                <w:sz w:val="24"/>
                <w:highlight w:val="none"/>
              </w:rPr>
              <w:t>（1）大气</w:t>
            </w:r>
            <w:r>
              <w:rPr>
                <w:sz w:val="24"/>
                <w:highlight w:val="none"/>
              </w:rPr>
              <w:t>环境质量现状</w:t>
            </w:r>
          </w:p>
          <w:p w14:paraId="32C5D065">
            <w:pPr>
              <w:pStyle w:val="30"/>
              <w:rPr>
                <w:sz w:val="24"/>
                <w:highlight w:val="none"/>
              </w:rPr>
            </w:pPr>
            <w:r>
              <w:rPr>
                <w:sz w:val="24"/>
                <w:highlight w:val="none"/>
              </w:rPr>
              <w:t>根据《环境影响评价技术导则-大气环境》（HJ2.2-2018）中城市环境空气质量达标情况评价指标为SO</w:t>
            </w:r>
            <w:r>
              <w:rPr>
                <w:sz w:val="24"/>
                <w:highlight w:val="none"/>
                <w:vertAlign w:val="subscript"/>
              </w:rPr>
              <w:t>2</w:t>
            </w:r>
            <w:r>
              <w:rPr>
                <w:sz w:val="24"/>
                <w:highlight w:val="none"/>
              </w:rPr>
              <w:t>、NO</w:t>
            </w:r>
            <w:r>
              <w:rPr>
                <w:sz w:val="24"/>
                <w:highlight w:val="none"/>
                <w:vertAlign w:val="subscript"/>
              </w:rPr>
              <w:t>2</w:t>
            </w:r>
            <w:r>
              <w:rPr>
                <w:sz w:val="24"/>
                <w:highlight w:val="none"/>
              </w:rPr>
              <w:t>、PM</w:t>
            </w:r>
            <w:r>
              <w:rPr>
                <w:sz w:val="24"/>
                <w:highlight w:val="none"/>
                <w:vertAlign w:val="subscript"/>
              </w:rPr>
              <w:t>10</w:t>
            </w:r>
            <w:r>
              <w:rPr>
                <w:sz w:val="24"/>
                <w:highlight w:val="none"/>
              </w:rPr>
              <w:t>、PM</w:t>
            </w:r>
            <w:r>
              <w:rPr>
                <w:sz w:val="24"/>
                <w:highlight w:val="none"/>
                <w:vertAlign w:val="subscript"/>
              </w:rPr>
              <w:t>2.5</w:t>
            </w:r>
            <w:r>
              <w:rPr>
                <w:sz w:val="24"/>
                <w:highlight w:val="none"/>
              </w:rPr>
              <w:t>、CO和O</w:t>
            </w:r>
            <w:r>
              <w:rPr>
                <w:sz w:val="24"/>
                <w:highlight w:val="none"/>
                <w:vertAlign w:val="subscript"/>
              </w:rPr>
              <w:t>3</w:t>
            </w:r>
            <w:r>
              <w:rPr>
                <w:sz w:val="24"/>
                <w:highlight w:val="none"/>
              </w:rPr>
              <w:t>，六项污染物全部达标即为城市环境空气质量达标。</w:t>
            </w:r>
          </w:p>
          <w:p w14:paraId="43B990C4">
            <w:pPr>
              <w:pStyle w:val="30"/>
              <w:rPr>
                <w:rFonts w:hint="eastAsia"/>
                <w:kern w:val="0"/>
                <w:sz w:val="24"/>
                <w:highlight w:val="none"/>
              </w:rPr>
            </w:pPr>
            <w:r>
              <w:rPr>
                <w:rFonts w:hint="eastAsia"/>
                <w:kern w:val="0"/>
                <w:sz w:val="24"/>
                <w:highlight w:val="none"/>
              </w:rPr>
              <w:t>根据《建设项目环境影响报告表编制技术指南（生态影响类）（试行）》，</w:t>
            </w:r>
            <w:r>
              <w:rPr>
                <w:rFonts w:hint="eastAsia"/>
                <w:kern w:val="0"/>
                <w:sz w:val="24"/>
                <w:highlight w:val="none"/>
                <w:lang w:eastAsia="zh-CN"/>
              </w:rPr>
              <w:t>“</w:t>
            </w:r>
            <w:r>
              <w:rPr>
                <w:rFonts w:hint="eastAsia"/>
                <w:kern w:val="0"/>
                <w:sz w:val="24"/>
                <w:highlight w:val="none"/>
                <w:lang w:val="en-US" w:eastAsia="zh-CN"/>
              </w:rPr>
              <w:t>不开展专项评价的环境要素，引用与项目距离近的有效数据和调查资料，包括符合时限要求的规划环境影响评价监测数据和调查资料，国家、地方环境质量监测网数据或生态环境主管部门公开发布的生态环境质量数据等；无相关数据的，大气、固定声源环境质量现状监测参照《建设项目环境影响报告表编制技术指南（污染影响类）》（试行）相关规定开展补充监测</w:t>
            </w:r>
            <w:r>
              <w:rPr>
                <w:rFonts w:hint="eastAsia"/>
                <w:kern w:val="0"/>
                <w:sz w:val="24"/>
                <w:highlight w:val="none"/>
                <w:lang w:eastAsia="zh-CN"/>
              </w:rPr>
              <w:t>”</w:t>
            </w:r>
            <w:r>
              <w:rPr>
                <w:rFonts w:hint="eastAsia"/>
                <w:kern w:val="0"/>
                <w:sz w:val="24"/>
                <w:highlight w:val="none"/>
                <w:lang w:val="en-US" w:eastAsia="zh-CN"/>
              </w:rPr>
              <w:t>。</w:t>
            </w:r>
          </w:p>
          <w:p w14:paraId="3618E49F">
            <w:pPr>
              <w:pStyle w:val="30"/>
              <w:rPr>
                <w:rFonts w:hint="eastAsia"/>
                <w:sz w:val="24"/>
                <w:highlight w:val="none"/>
              </w:rPr>
            </w:pPr>
            <w:r>
              <w:rPr>
                <w:rFonts w:ascii="Times New Roman" w:hAnsi="Times New Roman" w:eastAsia="宋体" w:cs="Times New Roman"/>
                <w:sz w:val="24"/>
                <w:highlight w:val="none"/>
              </w:rPr>
              <w:t>根据《环境影响评价技术导则 大气环境》（HJ2.2-2018）的规定，项目所在区域环境空气质量达标判定，优先采用国家或</w:t>
            </w:r>
            <w:r>
              <w:rPr>
                <w:sz w:val="24"/>
                <w:highlight w:val="none"/>
              </w:rPr>
              <w:t>地方生态环境主管部门公开发布的评价基准年环境质量公告或环境质量报告中的数据或结论。</w:t>
            </w:r>
            <w:r>
              <w:rPr>
                <w:spacing w:val="-3"/>
                <w:sz w:val="24"/>
                <w:highlight w:val="none"/>
              </w:rPr>
              <w:t>根据内蒙古自治区生态环境厅202</w:t>
            </w:r>
            <w:r>
              <w:rPr>
                <w:rFonts w:hint="eastAsia"/>
                <w:spacing w:val="-3"/>
                <w:sz w:val="24"/>
                <w:highlight w:val="none"/>
              </w:rPr>
              <w:t>5</w:t>
            </w:r>
            <w:r>
              <w:rPr>
                <w:spacing w:val="-3"/>
                <w:sz w:val="24"/>
                <w:highlight w:val="none"/>
              </w:rPr>
              <w:t>年</w:t>
            </w:r>
            <w:r>
              <w:rPr>
                <w:rFonts w:hint="eastAsia"/>
                <w:spacing w:val="-3"/>
                <w:sz w:val="24"/>
                <w:highlight w:val="none"/>
              </w:rPr>
              <w:t>5</w:t>
            </w:r>
            <w:r>
              <w:rPr>
                <w:spacing w:val="-3"/>
                <w:sz w:val="24"/>
                <w:highlight w:val="none"/>
              </w:rPr>
              <w:t>月</w:t>
            </w:r>
            <w:r>
              <w:rPr>
                <w:rFonts w:hint="eastAsia"/>
                <w:spacing w:val="-3"/>
                <w:sz w:val="24"/>
                <w:highlight w:val="none"/>
              </w:rPr>
              <w:t>29</w:t>
            </w:r>
            <w:r>
              <w:rPr>
                <w:spacing w:val="-3"/>
                <w:sz w:val="24"/>
                <w:highlight w:val="none"/>
              </w:rPr>
              <w:t>日发布的《</w:t>
            </w:r>
            <w:bookmarkStart w:id="37" w:name="OLE_LINK11"/>
            <w:r>
              <w:rPr>
                <w:spacing w:val="-3"/>
                <w:sz w:val="24"/>
                <w:highlight w:val="none"/>
              </w:rPr>
              <w:t>202</w:t>
            </w:r>
            <w:r>
              <w:rPr>
                <w:rFonts w:hint="eastAsia"/>
                <w:spacing w:val="-3"/>
                <w:sz w:val="24"/>
                <w:highlight w:val="none"/>
              </w:rPr>
              <w:t>4</w:t>
            </w:r>
            <w:r>
              <w:rPr>
                <w:rFonts w:hint="eastAsia"/>
                <w:spacing w:val="-3"/>
                <w:sz w:val="24"/>
                <w:highlight w:val="none"/>
                <w:lang w:eastAsia="zh-CN"/>
              </w:rPr>
              <w:t>年</w:t>
            </w:r>
            <w:r>
              <w:rPr>
                <w:spacing w:val="-3"/>
                <w:sz w:val="24"/>
                <w:highlight w:val="none"/>
              </w:rPr>
              <w:t>内蒙古自治区生态环境状况公报</w:t>
            </w:r>
            <w:bookmarkEnd w:id="37"/>
            <w:r>
              <w:rPr>
                <w:spacing w:val="-3"/>
                <w:sz w:val="24"/>
                <w:highlight w:val="none"/>
              </w:rPr>
              <w:t>》，</w:t>
            </w:r>
            <w:r>
              <w:rPr>
                <w:rFonts w:hint="eastAsia"/>
                <w:spacing w:val="-3"/>
                <w:sz w:val="24"/>
                <w:highlight w:val="none"/>
              </w:rPr>
              <w:t>2024年全区环境空气六项污染物年均浓度均达标。</w:t>
            </w:r>
            <w:r>
              <w:rPr>
                <w:rFonts w:ascii="Times New Roman" w:hAnsi="Times New Roman" w:eastAsia="宋体" w:cs="Times New Roman"/>
                <w:sz w:val="24"/>
                <w:highlight w:val="none"/>
              </w:rPr>
              <w:t>本项目位于</w:t>
            </w:r>
            <w:r>
              <w:rPr>
                <w:rFonts w:ascii="Times New Roman" w:hAnsi="Times New Roman" w:eastAsia="宋体" w:cs="Times New Roman"/>
                <w:sz w:val="24"/>
                <w:highlight w:val="none"/>
                <w:lang w:val="en-US" w:eastAsia="zh-CN"/>
              </w:rPr>
              <w:t>内蒙古自治区鄂尔多斯</w:t>
            </w:r>
            <w:r>
              <w:rPr>
                <w:rFonts w:hint="eastAsia" w:cs="Times New Roman"/>
                <w:sz w:val="24"/>
                <w:highlight w:val="none"/>
                <w:lang w:val="en-US" w:eastAsia="zh-CN"/>
              </w:rPr>
              <w:t>市</w:t>
            </w:r>
            <w:r>
              <w:rPr>
                <w:rFonts w:ascii="Times New Roman" w:hAnsi="Times New Roman" w:eastAsia="宋体" w:cs="Times New Roman"/>
                <w:sz w:val="24"/>
                <w:highlight w:val="none"/>
                <w:lang w:val="en-US" w:eastAsia="zh-CN"/>
              </w:rPr>
              <w:t>杭锦旗独贵塔拉工业园区</w:t>
            </w:r>
            <w:r>
              <w:rPr>
                <w:rFonts w:hint="eastAsia" w:cs="Times New Roman"/>
                <w:sz w:val="24"/>
                <w:highlight w:val="none"/>
                <w:lang w:val="en-US" w:eastAsia="zh-CN"/>
              </w:rPr>
              <w:t>，</w:t>
            </w:r>
            <w:r>
              <w:rPr>
                <w:rFonts w:hint="eastAsia"/>
                <w:spacing w:val="-3"/>
                <w:sz w:val="24"/>
                <w:highlight w:val="none"/>
                <w:lang w:val="en-US" w:eastAsia="zh-CN"/>
              </w:rPr>
              <w:t>处于达标区域。</w:t>
            </w:r>
          </w:p>
          <w:p w14:paraId="682DB4A8">
            <w:pPr>
              <w:pStyle w:val="30"/>
              <w:rPr>
                <w:sz w:val="24"/>
                <w:highlight w:val="none"/>
              </w:rPr>
            </w:pPr>
            <w:r>
              <w:rPr>
                <w:rFonts w:hint="eastAsia"/>
                <w:sz w:val="24"/>
                <w:highlight w:val="none"/>
              </w:rPr>
              <w:t>其他污染物环境质量现状：本项目管道正常运行</w:t>
            </w:r>
            <w:r>
              <w:rPr>
                <w:rFonts w:hint="eastAsia"/>
                <w:sz w:val="24"/>
                <w:highlight w:val="none"/>
                <w:lang w:val="en-US" w:eastAsia="zh-CN"/>
              </w:rPr>
              <w:t>时</w:t>
            </w:r>
            <w:r>
              <w:rPr>
                <w:rFonts w:hint="eastAsia"/>
                <w:sz w:val="24"/>
                <w:highlight w:val="none"/>
              </w:rPr>
              <w:t>无废气排放，不开展特征污染物大气环境质量现状监测。</w:t>
            </w:r>
          </w:p>
          <w:p w14:paraId="2F82A076">
            <w:pPr>
              <w:pStyle w:val="30"/>
              <w:ind w:firstLine="480"/>
              <w:rPr>
                <w:kern w:val="2"/>
                <w:highlight w:val="none"/>
              </w:rPr>
            </w:pPr>
            <w:r>
              <w:rPr>
                <w:rFonts w:hint="eastAsia"/>
                <w:kern w:val="2"/>
                <w:highlight w:val="none"/>
              </w:rPr>
              <w:t>（2）声</w:t>
            </w:r>
            <w:r>
              <w:rPr>
                <w:kern w:val="2"/>
                <w:highlight w:val="none"/>
              </w:rPr>
              <w:t>环境质量现状</w:t>
            </w:r>
          </w:p>
          <w:p w14:paraId="2991BC36">
            <w:pPr>
              <w:pStyle w:val="30"/>
              <w:rPr>
                <w:rFonts w:hint="eastAsia"/>
                <w:kern w:val="0"/>
                <w:sz w:val="24"/>
                <w:highlight w:val="none"/>
              </w:rPr>
            </w:pPr>
            <w:r>
              <w:rPr>
                <w:rFonts w:hint="default" w:ascii="Times New Roman" w:hAnsi="Times New Roman" w:eastAsia="宋体" w:cs="Times New Roman"/>
                <w:b w:val="0"/>
                <w:bCs/>
                <w:color w:val="000000"/>
                <w:kern w:val="2"/>
                <w:sz w:val="24"/>
                <w:szCs w:val="24"/>
                <w:highlight w:val="none"/>
                <w:lang w:val="en-US" w:eastAsia="zh-CN"/>
              </w:rPr>
              <w:t>根据《建设项目环境影响报告</w:t>
            </w:r>
            <w:r>
              <w:rPr>
                <w:rFonts w:hint="eastAsia" w:cs="Times New Roman"/>
                <w:b w:val="0"/>
                <w:bCs/>
                <w:color w:val="000000"/>
                <w:kern w:val="2"/>
                <w:sz w:val="24"/>
                <w:szCs w:val="24"/>
                <w:highlight w:val="none"/>
                <w:lang w:val="en-US" w:eastAsia="zh-CN"/>
              </w:rPr>
              <w:t>表</w:t>
            </w:r>
            <w:r>
              <w:rPr>
                <w:rFonts w:hint="default" w:ascii="Times New Roman" w:hAnsi="Times New Roman" w:eastAsia="宋体" w:cs="Times New Roman"/>
                <w:b w:val="0"/>
                <w:bCs/>
                <w:color w:val="000000"/>
                <w:kern w:val="2"/>
                <w:sz w:val="24"/>
                <w:szCs w:val="24"/>
                <w:highlight w:val="none"/>
                <w:lang w:val="en-US" w:eastAsia="zh-CN"/>
              </w:rPr>
              <w:t>编制技术指南（生态影响类）》（试行），</w:t>
            </w:r>
            <w:r>
              <w:rPr>
                <w:rFonts w:hint="eastAsia" w:cs="Times New Roman"/>
                <w:b w:val="0"/>
                <w:bCs/>
                <w:color w:val="000000"/>
                <w:kern w:val="2"/>
                <w:sz w:val="24"/>
                <w:szCs w:val="24"/>
                <w:highlight w:val="none"/>
                <w:lang w:val="en-US" w:eastAsia="zh-CN"/>
              </w:rPr>
              <w:t>“</w:t>
            </w:r>
            <w:r>
              <w:rPr>
                <w:rFonts w:hint="default" w:ascii="Times New Roman" w:hAnsi="Times New Roman" w:eastAsia="宋体" w:cs="Times New Roman"/>
                <w:b w:val="0"/>
                <w:bCs/>
                <w:color w:val="000000"/>
                <w:kern w:val="2"/>
                <w:sz w:val="24"/>
                <w:szCs w:val="24"/>
                <w:highlight w:val="none"/>
                <w:lang w:val="en-US" w:eastAsia="zh-CN"/>
              </w:rPr>
              <w:t>不开展专项评价的环境要素，引用与项目距离近的有效数据和调查资料，无相关数据的，大气、固定声源环境质量现状监测参照《建设项目环境影响报告表编制技术指南（污染影响类）》（试行）</w:t>
            </w:r>
            <w:r>
              <w:rPr>
                <w:rFonts w:hint="eastAsia" w:cs="Times New Roman"/>
                <w:b w:val="0"/>
                <w:bCs/>
                <w:color w:val="000000"/>
                <w:kern w:val="2"/>
                <w:sz w:val="24"/>
                <w:szCs w:val="24"/>
                <w:highlight w:val="none"/>
                <w:lang w:val="en-US" w:eastAsia="zh-CN"/>
              </w:rPr>
              <w:t>”</w:t>
            </w:r>
            <w:r>
              <w:rPr>
                <w:rFonts w:hint="default" w:ascii="Times New Roman" w:hAnsi="Times New Roman" w:eastAsia="宋体" w:cs="Times New Roman"/>
                <w:b w:val="0"/>
                <w:bCs/>
                <w:color w:val="000000"/>
                <w:kern w:val="2"/>
                <w:sz w:val="24"/>
                <w:szCs w:val="24"/>
                <w:highlight w:val="none"/>
                <w:lang w:val="en-US" w:eastAsia="zh-CN"/>
              </w:rPr>
              <w:t>。</w:t>
            </w:r>
          </w:p>
          <w:p w14:paraId="6C8C9E64">
            <w:pPr>
              <w:pStyle w:val="30"/>
              <w:rPr>
                <w:rFonts w:hint="eastAsia"/>
                <w:b/>
                <w:bCs/>
                <w:sz w:val="24"/>
                <w:highlight w:val="none"/>
              </w:rPr>
            </w:pPr>
            <w:r>
              <w:rPr>
                <w:rFonts w:hint="eastAsia"/>
                <w:kern w:val="0"/>
                <w:sz w:val="24"/>
                <w:highlight w:val="none"/>
              </w:rPr>
              <w:t>本项目</w:t>
            </w:r>
            <w:r>
              <w:rPr>
                <w:rFonts w:hint="eastAsia"/>
                <w:kern w:val="0"/>
                <w:sz w:val="24"/>
                <w:highlight w:val="none"/>
                <w:lang w:val="en-US" w:eastAsia="zh-CN"/>
              </w:rPr>
              <w:t>管线</w:t>
            </w:r>
            <w:r>
              <w:rPr>
                <w:rFonts w:hint="eastAsia"/>
                <w:kern w:val="0"/>
                <w:sz w:val="24"/>
                <w:highlight w:val="none"/>
              </w:rPr>
              <w:t>周围</w:t>
            </w:r>
            <w:r>
              <w:rPr>
                <w:rFonts w:hint="eastAsia"/>
                <w:kern w:val="0"/>
                <w:sz w:val="24"/>
                <w:highlight w:val="none"/>
                <w:lang w:val="en-US" w:eastAsia="zh-CN"/>
              </w:rPr>
              <w:t>50</w:t>
            </w:r>
            <w:r>
              <w:rPr>
                <w:rFonts w:hint="eastAsia"/>
                <w:kern w:val="0"/>
                <w:sz w:val="24"/>
                <w:highlight w:val="none"/>
              </w:rPr>
              <w:t>m</w:t>
            </w:r>
            <w:r>
              <w:rPr>
                <w:rFonts w:hint="eastAsia"/>
                <w:kern w:val="0"/>
                <w:sz w:val="24"/>
                <w:highlight w:val="none"/>
                <w:lang w:val="en-US" w:eastAsia="zh-CN"/>
              </w:rPr>
              <w:t>范围内</w:t>
            </w:r>
            <w:r>
              <w:rPr>
                <w:rFonts w:hint="eastAsia"/>
                <w:kern w:val="0"/>
                <w:sz w:val="24"/>
                <w:highlight w:val="none"/>
              </w:rPr>
              <w:t>无</w:t>
            </w:r>
            <w:r>
              <w:rPr>
                <w:rFonts w:hint="eastAsia"/>
                <w:kern w:val="0"/>
                <w:sz w:val="24"/>
                <w:highlight w:val="none"/>
                <w:lang w:val="en-US" w:eastAsia="zh-CN"/>
              </w:rPr>
              <w:t>声环境保护目标</w:t>
            </w:r>
            <w:r>
              <w:rPr>
                <w:rFonts w:hint="eastAsia"/>
                <w:kern w:val="0"/>
                <w:sz w:val="24"/>
                <w:highlight w:val="none"/>
              </w:rPr>
              <w:t>，根据《建设项目环境影响报告表编制技术指南（生态影响类）（试行）》《建设项目环境影响报告表编制技术指南（</w:t>
            </w:r>
            <w:r>
              <w:rPr>
                <w:rFonts w:hint="eastAsia"/>
                <w:kern w:val="0"/>
                <w:sz w:val="24"/>
                <w:highlight w:val="none"/>
                <w:lang w:val="en-US" w:eastAsia="zh-CN"/>
              </w:rPr>
              <w:t>污染</w:t>
            </w:r>
            <w:r>
              <w:rPr>
                <w:rFonts w:hint="eastAsia"/>
                <w:kern w:val="0"/>
                <w:sz w:val="24"/>
                <w:highlight w:val="none"/>
              </w:rPr>
              <w:t>影响类）（试行）</w:t>
            </w:r>
            <w:r>
              <w:rPr>
                <w:rFonts w:hint="eastAsia"/>
                <w:kern w:val="0"/>
                <w:sz w:val="24"/>
                <w:highlight w:val="none"/>
                <w:lang w:eastAsia="zh-CN"/>
              </w:rPr>
              <w:t>》</w:t>
            </w:r>
            <w:r>
              <w:rPr>
                <w:rFonts w:hint="eastAsia"/>
                <w:kern w:val="0"/>
                <w:sz w:val="24"/>
                <w:highlight w:val="none"/>
              </w:rPr>
              <w:t>，</w:t>
            </w:r>
            <w:r>
              <w:rPr>
                <w:rFonts w:hint="eastAsia"/>
                <w:kern w:val="0"/>
                <w:sz w:val="24"/>
                <w:highlight w:val="none"/>
                <w:lang w:val="en-US" w:eastAsia="zh-CN"/>
              </w:rPr>
              <w:t>本次评价不开展声环境质量现状监测</w:t>
            </w:r>
            <w:r>
              <w:rPr>
                <w:rFonts w:hint="eastAsia"/>
                <w:kern w:val="0"/>
                <w:sz w:val="24"/>
                <w:highlight w:val="none"/>
              </w:rPr>
              <w:t>。</w:t>
            </w:r>
          </w:p>
          <w:p w14:paraId="72F31D37">
            <w:pPr>
              <w:pStyle w:val="30"/>
              <w:ind w:firstLine="480"/>
              <w:rPr>
                <w:rFonts w:hint="eastAsia" w:ascii="Times New Roman" w:hAnsi="Times New Roman" w:eastAsia="宋体" w:cs="Times New Roman"/>
                <w:kern w:val="2"/>
                <w:highlight w:val="none"/>
              </w:rPr>
            </w:pPr>
            <w:r>
              <w:rPr>
                <w:rFonts w:hint="eastAsia" w:ascii="Times New Roman" w:hAnsi="Times New Roman" w:eastAsia="宋体" w:cs="Times New Roman"/>
                <w:kern w:val="2"/>
                <w:highlight w:val="none"/>
                <w:lang w:eastAsia="zh-CN"/>
              </w:rPr>
              <w:t>（</w:t>
            </w:r>
            <w:r>
              <w:rPr>
                <w:rFonts w:hint="eastAsia" w:ascii="Times New Roman" w:hAnsi="Times New Roman" w:eastAsia="宋体" w:cs="Times New Roman"/>
                <w:kern w:val="2"/>
                <w:highlight w:val="none"/>
                <w:lang w:val="en-US" w:eastAsia="zh-CN"/>
              </w:rPr>
              <w:t>3</w:t>
            </w:r>
            <w:r>
              <w:rPr>
                <w:rFonts w:hint="eastAsia" w:ascii="Times New Roman" w:hAnsi="Times New Roman" w:eastAsia="宋体" w:cs="Times New Roman"/>
                <w:kern w:val="2"/>
                <w:highlight w:val="none"/>
                <w:lang w:eastAsia="zh-CN"/>
              </w:rPr>
              <w:t>）</w:t>
            </w:r>
            <w:r>
              <w:rPr>
                <w:rFonts w:hint="eastAsia" w:cs="Times New Roman"/>
                <w:kern w:val="2"/>
                <w:highlight w:val="none"/>
                <w:lang w:val="en-US" w:eastAsia="zh-CN"/>
              </w:rPr>
              <w:t>地下</w:t>
            </w:r>
            <w:r>
              <w:rPr>
                <w:rFonts w:hint="eastAsia" w:ascii="Times New Roman" w:hAnsi="Times New Roman" w:eastAsia="宋体" w:cs="Times New Roman"/>
                <w:kern w:val="2"/>
                <w:highlight w:val="none"/>
              </w:rPr>
              <w:t>水环境</w:t>
            </w:r>
          </w:p>
          <w:p w14:paraId="2A103C6B">
            <w:pPr>
              <w:pStyle w:val="30"/>
              <w:adjustRightInd w:val="0"/>
              <w:snapToGrid w:val="0"/>
              <w:ind w:firstLineChars="200"/>
              <w:rPr>
                <w:rFonts w:hint="eastAsia"/>
                <w:kern w:val="0"/>
                <w:sz w:val="24"/>
                <w:highlight w:val="none"/>
              </w:rPr>
            </w:pPr>
            <w:r>
              <w:rPr>
                <w:rFonts w:hint="eastAsia"/>
                <w:kern w:val="0"/>
                <w:sz w:val="24"/>
                <w:highlight w:val="none"/>
              </w:rPr>
              <w:t>根据《建设项目环境影响报告表编制技术指南（生态影响类）（试行）》，</w:t>
            </w:r>
            <w:r>
              <w:rPr>
                <w:rFonts w:hint="eastAsia"/>
                <w:kern w:val="0"/>
                <w:sz w:val="24"/>
                <w:highlight w:val="none"/>
                <w:lang w:val="en-US" w:eastAsia="zh-CN"/>
              </w:rPr>
              <w:t>不开展专项评价的环境要素</w:t>
            </w:r>
            <w:r>
              <w:rPr>
                <w:rFonts w:hint="eastAsia"/>
                <w:kern w:val="0"/>
                <w:sz w:val="24"/>
                <w:highlight w:val="none"/>
                <w:lang w:eastAsia="zh-CN"/>
              </w:rPr>
              <w:t>“</w:t>
            </w:r>
            <w:r>
              <w:rPr>
                <w:rFonts w:hint="eastAsia"/>
                <w:kern w:val="0"/>
                <w:sz w:val="24"/>
                <w:highlight w:val="none"/>
                <w:lang w:val="en-US" w:eastAsia="zh-CN"/>
              </w:rPr>
              <w:t>水、生态、土壤等其他环境要素参照环境影响评价相关技术导则开展补充监测和调查</w:t>
            </w:r>
            <w:r>
              <w:rPr>
                <w:rFonts w:hint="eastAsia"/>
                <w:kern w:val="0"/>
                <w:sz w:val="24"/>
                <w:highlight w:val="none"/>
                <w:lang w:eastAsia="zh-CN"/>
              </w:rPr>
              <w:t>”</w:t>
            </w:r>
            <w:r>
              <w:rPr>
                <w:rFonts w:hint="eastAsia"/>
                <w:kern w:val="0"/>
                <w:sz w:val="24"/>
                <w:highlight w:val="none"/>
                <w:lang w:val="en-US" w:eastAsia="zh-CN"/>
              </w:rPr>
              <w:t>。</w:t>
            </w:r>
          </w:p>
          <w:p w14:paraId="701F30D4">
            <w:pPr>
              <w:pStyle w:val="30"/>
              <w:ind w:firstLine="480"/>
              <w:rPr>
                <w:rFonts w:hint="default" w:cs="Times New Roman"/>
                <w:kern w:val="2"/>
                <w:highlight w:val="none"/>
                <w:lang w:val="en-US" w:eastAsia="zh-CN"/>
              </w:rPr>
            </w:pPr>
            <w:r>
              <w:rPr>
                <w:rFonts w:hint="eastAsia" w:cs="Times New Roman"/>
                <w:kern w:val="2"/>
                <w:highlight w:val="none"/>
                <w:lang w:val="en-US" w:eastAsia="zh-CN"/>
              </w:rPr>
              <w:t>根据《环境影响评价技术导则 地下水环境》（HJ610-2016），项目属于“L石化、化工89.化学品输送管线”报告表编制类别，</w:t>
            </w:r>
            <w:r>
              <w:rPr>
                <w:rFonts w:hint="eastAsia"/>
                <w:kern w:val="0"/>
                <w:sz w:val="24"/>
                <w:highlight w:val="none"/>
                <w:lang w:val="en-US" w:eastAsia="zh-CN"/>
              </w:rPr>
              <w:t>本次评价不</w:t>
            </w:r>
            <w:r>
              <w:rPr>
                <w:rFonts w:hint="eastAsia" w:cs="Times New Roman"/>
                <w:kern w:val="2"/>
                <w:highlight w:val="none"/>
                <w:lang w:val="en-US" w:eastAsia="zh-CN"/>
              </w:rPr>
              <w:t>开展地下水评价。U城市基础设施及房地产147、管网建设，报告表编制类别属于Ⅳ类。</w:t>
            </w:r>
          </w:p>
          <w:p w14:paraId="45AB0180">
            <w:pPr>
              <w:pStyle w:val="30"/>
              <w:ind w:firstLine="480"/>
              <w:rPr>
                <w:rFonts w:hint="default" w:cs="Times New Roman"/>
                <w:kern w:val="2"/>
                <w:highlight w:val="none"/>
                <w:lang w:val="en-US" w:eastAsia="zh-CN"/>
              </w:rPr>
            </w:pPr>
            <w:r>
              <w:rPr>
                <w:rFonts w:hint="eastAsia" w:cs="Times New Roman"/>
                <w:kern w:val="2"/>
                <w:highlight w:val="none"/>
                <w:lang w:val="en-US" w:eastAsia="zh-CN"/>
              </w:rPr>
              <w:t>（4）土壤环境</w:t>
            </w:r>
          </w:p>
          <w:p w14:paraId="7D7C950B">
            <w:pPr>
              <w:pStyle w:val="30"/>
              <w:adjustRightInd w:val="0"/>
              <w:snapToGrid w:val="0"/>
              <w:ind w:firstLineChars="200"/>
              <w:rPr>
                <w:rFonts w:hint="eastAsia"/>
                <w:kern w:val="0"/>
                <w:sz w:val="24"/>
                <w:highlight w:val="none"/>
              </w:rPr>
            </w:pPr>
            <w:r>
              <w:rPr>
                <w:rFonts w:hint="eastAsia"/>
                <w:kern w:val="0"/>
                <w:sz w:val="24"/>
                <w:highlight w:val="none"/>
              </w:rPr>
              <w:t>根据《建设项目环境影响报告表编制技术指南（生态影响类）（试行）》，</w:t>
            </w:r>
            <w:r>
              <w:rPr>
                <w:rFonts w:hint="eastAsia"/>
                <w:kern w:val="0"/>
                <w:sz w:val="24"/>
                <w:highlight w:val="none"/>
                <w:lang w:val="en-US" w:eastAsia="zh-CN"/>
              </w:rPr>
              <w:t>不开展专项评价的环境要素</w:t>
            </w:r>
            <w:r>
              <w:rPr>
                <w:rFonts w:hint="eastAsia"/>
                <w:kern w:val="0"/>
                <w:sz w:val="24"/>
                <w:highlight w:val="none"/>
                <w:lang w:eastAsia="zh-CN"/>
              </w:rPr>
              <w:t>“</w:t>
            </w:r>
            <w:r>
              <w:rPr>
                <w:rFonts w:hint="eastAsia"/>
                <w:kern w:val="0"/>
                <w:sz w:val="24"/>
                <w:highlight w:val="none"/>
                <w:lang w:val="en-US" w:eastAsia="zh-CN"/>
              </w:rPr>
              <w:t>水、生态、土壤等其他环境要素参照环境影响评价相关技术导则开展补充监测和调查</w:t>
            </w:r>
            <w:r>
              <w:rPr>
                <w:rFonts w:hint="eastAsia"/>
                <w:kern w:val="0"/>
                <w:sz w:val="24"/>
                <w:highlight w:val="none"/>
                <w:lang w:eastAsia="zh-CN"/>
              </w:rPr>
              <w:t>”</w:t>
            </w:r>
            <w:r>
              <w:rPr>
                <w:rFonts w:hint="eastAsia"/>
                <w:kern w:val="0"/>
                <w:sz w:val="24"/>
                <w:highlight w:val="none"/>
                <w:lang w:val="en-US" w:eastAsia="zh-CN"/>
              </w:rPr>
              <w:t>。</w:t>
            </w:r>
          </w:p>
          <w:p w14:paraId="562B9543">
            <w:pPr>
              <w:pStyle w:val="30"/>
              <w:ind w:firstLine="480"/>
              <w:rPr>
                <w:rFonts w:hint="eastAsia" w:eastAsia="宋体"/>
                <w:highlight w:val="none"/>
                <w:lang w:val="en-US" w:eastAsia="zh-CN"/>
              </w:rPr>
            </w:pPr>
            <w:r>
              <w:rPr>
                <w:rFonts w:hint="eastAsia" w:cs="Times New Roman"/>
                <w:kern w:val="2"/>
                <w:highlight w:val="none"/>
                <w:lang w:val="en-US" w:eastAsia="zh-CN"/>
              </w:rPr>
              <w:t>根据《环境影响评价技术导则 土壤环境》（HJ964-2018），项目属于“交通运输仓储邮政业 其他”，</w:t>
            </w:r>
            <w:r>
              <w:rPr>
                <w:rFonts w:hint="eastAsia"/>
                <w:kern w:val="0"/>
                <w:sz w:val="24"/>
                <w:highlight w:val="none"/>
                <w:lang w:val="en-US" w:eastAsia="zh-CN"/>
              </w:rPr>
              <w:t>本次评价不</w:t>
            </w:r>
            <w:r>
              <w:rPr>
                <w:rFonts w:hint="eastAsia" w:cs="Times New Roman"/>
                <w:kern w:val="2"/>
                <w:highlight w:val="none"/>
                <w:lang w:val="en-US" w:eastAsia="zh-CN"/>
              </w:rPr>
              <w:t>开展土壤评价。</w:t>
            </w:r>
          </w:p>
        </w:tc>
      </w:tr>
    </w:tbl>
    <w:p w14:paraId="4D031977">
      <w:pPr>
        <w:adjustRightInd w:val="0"/>
        <w:snapToGrid w:val="0"/>
        <w:jc w:val="center"/>
        <w:rPr>
          <w:rFonts w:hint="eastAsia" w:ascii="宋体" w:hAnsi="宋体"/>
          <w:bCs/>
          <w:sz w:val="24"/>
          <w:highlight w:val="none"/>
        </w:rPr>
        <w:sectPr>
          <w:pgSz w:w="11906" w:h="16838"/>
          <w:pgMar w:top="1701" w:right="1701" w:bottom="1701" w:left="1701" w:header="851" w:footer="1077" w:gutter="0"/>
          <w:pgNumType w:fmt="decimal"/>
          <w:cols w:space="720" w:num="1"/>
          <w:docGrid w:linePitch="312" w:charSpace="0"/>
        </w:sectPr>
      </w:pPr>
    </w:p>
    <w:tbl>
      <w:tblPr>
        <w:tblStyle w:val="19"/>
        <w:tblW w:w="89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494"/>
      </w:tblGrid>
      <w:tr w14:paraId="020AE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456" w:type="dxa"/>
            <w:noWrap w:val="0"/>
            <w:vAlign w:val="center"/>
          </w:tcPr>
          <w:p w14:paraId="73BB0F5E">
            <w:pPr>
              <w:adjustRightInd w:val="0"/>
              <w:snapToGrid w:val="0"/>
              <w:jc w:val="center"/>
              <w:rPr>
                <w:rFonts w:ascii="宋体" w:hAnsi="宋体" w:cs="宋体"/>
                <w:kern w:val="0"/>
                <w:szCs w:val="21"/>
                <w:highlight w:val="none"/>
              </w:rPr>
            </w:pPr>
            <w:r>
              <w:rPr>
                <w:rFonts w:hint="eastAsia" w:ascii="宋体" w:hAnsi="宋体"/>
                <w:bCs/>
                <w:sz w:val="24"/>
                <w:highlight w:val="none"/>
              </w:rPr>
              <w:t>与项目有关的原有环境污染和生态破坏问题</w:t>
            </w:r>
          </w:p>
        </w:tc>
        <w:tc>
          <w:tcPr>
            <w:tcW w:w="8494" w:type="dxa"/>
            <w:noWrap w:val="0"/>
            <w:vAlign w:val="center"/>
          </w:tcPr>
          <w:p w14:paraId="0FB420AF">
            <w:pPr>
              <w:spacing w:line="360" w:lineRule="auto"/>
              <w:rPr>
                <w:rFonts w:hint="eastAsia" w:eastAsia="宋体"/>
                <w:b/>
                <w:bCs/>
                <w:sz w:val="24"/>
                <w:highlight w:val="none"/>
                <w:lang w:val="en-US" w:eastAsia="zh-CN"/>
              </w:rPr>
            </w:pPr>
            <w:bookmarkStart w:id="38" w:name="_Toc71147190"/>
            <w:bookmarkStart w:id="39" w:name="_Toc55477239"/>
            <w:r>
              <w:rPr>
                <w:rFonts w:hint="eastAsia"/>
                <w:b/>
                <w:bCs/>
                <w:sz w:val="24"/>
                <w:highlight w:val="none"/>
                <w:lang w:val="en-US" w:eastAsia="zh-CN"/>
              </w:rPr>
              <w:t>一、</w:t>
            </w:r>
            <w:r>
              <w:rPr>
                <w:b/>
                <w:bCs/>
                <w:sz w:val="24"/>
                <w:highlight w:val="none"/>
              </w:rPr>
              <w:t>内蒙古伊泰化工有限责任公司120万吨/年精细化学品示范项目</w:t>
            </w:r>
            <w:r>
              <w:rPr>
                <w:rFonts w:hint="eastAsia"/>
                <w:b/>
                <w:bCs/>
                <w:sz w:val="24"/>
                <w:highlight w:val="none"/>
                <w:lang w:val="en-US" w:eastAsia="zh-CN"/>
              </w:rPr>
              <w:t>基本情况</w:t>
            </w:r>
          </w:p>
          <w:p w14:paraId="2D14A202">
            <w:pPr>
              <w:spacing w:line="360" w:lineRule="auto"/>
              <w:ind w:firstLine="480"/>
              <w:rPr>
                <w:rFonts w:hint="default" w:eastAsia="宋体"/>
                <w:sz w:val="24"/>
                <w:highlight w:val="none"/>
                <w:lang w:val="en-US" w:eastAsia="zh-CN"/>
              </w:rPr>
            </w:pPr>
            <w:r>
              <w:rPr>
                <w:rFonts w:hint="eastAsia"/>
                <w:sz w:val="24"/>
                <w:highlight w:val="none"/>
                <w:lang w:val="en-US" w:eastAsia="zh-CN"/>
              </w:rPr>
              <w:t>1.基本情况</w:t>
            </w:r>
          </w:p>
          <w:p w14:paraId="243D682E">
            <w:pPr>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建设地点：内蒙古鄂尔多斯杭锦经济开发区独贵塔拉产业园南项目区。</w:t>
            </w:r>
          </w:p>
          <w:p w14:paraId="55CCE402">
            <w:pPr>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建设单位：内蒙古伊泰化工有限责任公司。</w:t>
            </w:r>
          </w:p>
          <w:p w14:paraId="499A721F">
            <w:pPr>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总投资及环保投资：总投资为1673568万元，其中环保投资124555万元，约占总投资的7.44%。</w:t>
            </w:r>
          </w:p>
          <w:p w14:paraId="7325F1C5">
            <w:pPr>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劳动定员：1352人。</w:t>
            </w:r>
          </w:p>
          <w:p w14:paraId="0AC4D534">
            <w:pPr>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工作制度：年操作天数333天，年操作小时数8000h。</w:t>
            </w:r>
          </w:p>
          <w:p w14:paraId="1C7F9F9E">
            <w:pPr>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占地面积：196.35hm</w:t>
            </w:r>
            <w:r>
              <w:rPr>
                <w:rFonts w:hint="default" w:ascii="Times New Roman" w:hAnsi="Times New Roman" w:cs="Times New Roman"/>
                <w:sz w:val="24"/>
                <w:highlight w:val="none"/>
                <w:vertAlign w:val="superscript"/>
              </w:rPr>
              <w:t>2</w:t>
            </w:r>
            <w:r>
              <w:rPr>
                <w:rFonts w:hint="default" w:ascii="Times New Roman" w:hAnsi="Times New Roman" w:cs="Times New Roman"/>
                <w:sz w:val="24"/>
                <w:highlight w:val="none"/>
              </w:rPr>
              <w:t>。</w:t>
            </w:r>
          </w:p>
          <w:p w14:paraId="3702D853">
            <w:pPr>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2</w:t>
            </w:r>
            <w:r>
              <w:rPr>
                <w:rFonts w:hint="eastAsia" w:cs="Times New Roman"/>
                <w:sz w:val="24"/>
                <w:highlight w:val="none"/>
                <w:lang w:val="en-US" w:eastAsia="zh-CN"/>
              </w:rPr>
              <w:t>.</w:t>
            </w:r>
            <w:r>
              <w:rPr>
                <w:rFonts w:hint="default" w:ascii="Times New Roman" w:hAnsi="Times New Roman" w:cs="Times New Roman"/>
                <w:sz w:val="24"/>
                <w:highlight w:val="none"/>
              </w:rPr>
              <w:t>生产规模及产品方案</w:t>
            </w:r>
          </w:p>
          <w:p w14:paraId="225A5912">
            <w:pPr>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煤气化装置：有效合成气（H</w:t>
            </w:r>
            <w:r>
              <w:rPr>
                <w:rFonts w:hint="default" w:ascii="Times New Roman" w:hAnsi="Times New Roman" w:cs="Times New Roman"/>
                <w:sz w:val="24"/>
                <w:highlight w:val="none"/>
                <w:vertAlign w:val="subscript"/>
              </w:rPr>
              <w:t>2</w:t>
            </w:r>
            <w:r>
              <w:rPr>
                <w:rFonts w:hint="default" w:ascii="Times New Roman" w:hAnsi="Times New Roman" w:cs="Times New Roman"/>
                <w:sz w:val="24"/>
                <w:highlight w:val="none"/>
              </w:rPr>
              <w:t>+CO）71.40×l0</w:t>
            </w:r>
            <w:r>
              <w:rPr>
                <w:rFonts w:hint="default" w:ascii="Times New Roman" w:hAnsi="Times New Roman" w:cs="Times New Roman"/>
                <w:sz w:val="24"/>
                <w:highlight w:val="none"/>
                <w:vertAlign w:val="superscript"/>
              </w:rPr>
              <w:t>4</w:t>
            </w:r>
            <w:r>
              <w:rPr>
                <w:rFonts w:hint="default" w:ascii="Times New Roman" w:hAnsi="Times New Roman" w:cs="Times New Roman"/>
                <w:sz w:val="24"/>
                <w:highlight w:val="none"/>
              </w:rPr>
              <w:t>Nm</w:t>
            </w:r>
            <w:r>
              <w:rPr>
                <w:rFonts w:hint="default" w:ascii="Times New Roman" w:hAnsi="Times New Roman" w:cs="Times New Roman"/>
                <w:sz w:val="24"/>
                <w:highlight w:val="none"/>
                <w:vertAlign w:val="superscript"/>
              </w:rPr>
              <w:t>3</w:t>
            </w:r>
            <w:r>
              <w:rPr>
                <w:rFonts w:hint="default" w:ascii="Times New Roman" w:hAnsi="Times New Roman" w:cs="Times New Roman"/>
                <w:sz w:val="24"/>
                <w:highlight w:val="none"/>
              </w:rPr>
              <w:t>/h，其中HT-L粉煤加压气化提供61.20×l0</w:t>
            </w:r>
            <w:r>
              <w:rPr>
                <w:rFonts w:hint="default" w:ascii="Times New Roman" w:hAnsi="Times New Roman" w:cs="Times New Roman"/>
                <w:sz w:val="24"/>
                <w:highlight w:val="none"/>
                <w:vertAlign w:val="superscript"/>
              </w:rPr>
              <w:t>4</w:t>
            </w:r>
            <w:r>
              <w:rPr>
                <w:rFonts w:hint="default" w:ascii="Times New Roman" w:hAnsi="Times New Roman" w:cs="Times New Roman"/>
                <w:sz w:val="24"/>
                <w:highlight w:val="none"/>
              </w:rPr>
              <w:t>Nm</w:t>
            </w:r>
            <w:r>
              <w:rPr>
                <w:rFonts w:hint="default" w:ascii="Times New Roman" w:hAnsi="Times New Roman" w:cs="Times New Roman"/>
                <w:sz w:val="24"/>
                <w:highlight w:val="none"/>
                <w:vertAlign w:val="superscript"/>
              </w:rPr>
              <w:t>3</w:t>
            </w:r>
            <w:r>
              <w:rPr>
                <w:rFonts w:hint="default" w:ascii="Times New Roman" w:hAnsi="Times New Roman" w:cs="Times New Roman"/>
                <w:sz w:val="24"/>
                <w:highlight w:val="none"/>
              </w:rPr>
              <w:t>/h，水煤浆气化提供10.20×l0</w:t>
            </w:r>
            <w:r>
              <w:rPr>
                <w:rFonts w:hint="default" w:ascii="Times New Roman" w:hAnsi="Times New Roman" w:cs="Times New Roman"/>
                <w:sz w:val="24"/>
                <w:highlight w:val="none"/>
                <w:vertAlign w:val="superscript"/>
              </w:rPr>
              <w:t>4</w:t>
            </w:r>
            <w:r>
              <w:rPr>
                <w:rFonts w:hint="default" w:ascii="Times New Roman" w:hAnsi="Times New Roman" w:cs="Times New Roman"/>
                <w:sz w:val="24"/>
                <w:highlight w:val="none"/>
              </w:rPr>
              <w:t>Nm</w:t>
            </w:r>
            <w:r>
              <w:rPr>
                <w:rFonts w:hint="default" w:ascii="Times New Roman" w:hAnsi="Times New Roman" w:cs="Times New Roman"/>
                <w:sz w:val="24"/>
                <w:highlight w:val="none"/>
                <w:vertAlign w:val="superscript"/>
              </w:rPr>
              <w:t>3</w:t>
            </w:r>
            <w:r>
              <w:rPr>
                <w:rFonts w:hint="default" w:ascii="Times New Roman" w:hAnsi="Times New Roman" w:cs="Times New Roman"/>
                <w:sz w:val="24"/>
                <w:highlight w:val="none"/>
              </w:rPr>
              <w:t>/h。</w:t>
            </w:r>
          </w:p>
          <w:p w14:paraId="5172231A">
            <w:pPr>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lang w:val="en-GB"/>
              </w:rPr>
              <w:t>化学品</w:t>
            </w:r>
            <w:r>
              <w:rPr>
                <w:rFonts w:hint="default" w:ascii="Times New Roman" w:hAnsi="Times New Roman" w:cs="Times New Roman"/>
                <w:sz w:val="24"/>
                <w:highlight w:val="none"/>
              </w:rPr>
              <w:t>合成装置：中间产品规模合计104.19万t/a，其中轻质中间产品17.05万t/a，重质中间产品10.11万t/a，合格蜡77.03万t/a。</w:t>
            </w:r>
          </w:p>
          <w:p w14:paraId="76841B1C">
            <w:pPr>
              <w:spacing w:line="360" w:lineRule="auto"/>
              <w:ind w:firstLine="480"/>
              <w:rPr>
                <w:rFonts w:hint="default" w:ascii="Times New Roman" w:hAnsi="Times New Roman" w:cs="Times New Roman"/>
                <w:sz w:val="24"/>
                <w:highlight w:val="none"/>
                <w:lang w:val="en-GB"/>
              </w:rPr>
            </w:pPr>
            <w:r>
              <w:rPr>
                <w:rFonts w:hint="default" w:ascii="Times New Roman" w:hAnsi="Times New Roman" w:cs="Times New Roman"/>
                <w:sz w:val="24"/>
                <w:highlight w:val="none"/>
                <w:lang w:val="en-GB"/>
              </w:rPr>
              <w:t>化学品加工装置：生产化学品107.46万t/a。</w:t>
            </w:r>
          </w:p>
          <w:p w14:paraId="6353644F">
            <w:pPr>
              <w:spacing w:line="360" w:lineRule="auto"/>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尾气制氢装置：高纯氢气产量为63000Nm</w:t>
            </w:r>
            <w:r>
              <w:rPr>
                <w:rFonts w:hint="default" w:ascii="Times New Roman" w:hAnsi="Times New Roman" w:cs="Times New Roman"/>
                <w:sz w:val="24"/>
                <w:highlight w:val="none"/>
                <w:vertAlign w:val="superscript"/>
              </w:rPr>
              <w:t>3</w:t>
            </w:r>
            <w:r>
              <w:rPr>
                <w:rFonts w:hint="default" w:ascii="Times New Roman" w:hAnsi="Times New Roman" w:cs="Times New Roman"/>
                <w:sz w:val="24"/>
                <w:highlight w:val="none"/>
              </w:rPr>
              <w:t>/h。</w:t>
            </w:r>
          </w:p>
          <w:p w14:paraId="4E264A97">
            <w:pPr>
              <w:spacing w:line="360" w:lineRule="auto"/>
              <w:ind w:firstLine="480"/>
              <w:rPr>
                <w:sz w:val="24"/>
                <w:highlight w:val="none"/>
              </w:rPr>
            </w:pPr>
            <w:r>
              <w:rPr>
                <w:sz w:val="24"/>
                <w:highlight w:val="none"/>
              </w:rPr>
              <w:t>空分装置：8.8×l0</w:t>
            </w:r>
            <w:r>
              <w:rPr>
                <w:sz w:val="24"/>
                <w:highlight w:val="none"/>
                <w:vertAlign w:val="superscript"/>
              </w:rPr>
              <w:t>4</w:t>
            </w:r>
            <w:r>
              <w:rPr>
                <w:sz w:val="24"/>
                <w:highlight w:val="none"/>
              </w:rPr>
              <w:t>Nm</w:t>
            </w:r>
            <w:r>
              <w:rPr>
                <w:sz w:val="24"/>
                <w:highlight w:val="none"/>
                <w:vertAlign w:val="superscript"/>
              </w:rPr>
              <w:t>3</w:t>
            </w:r>
            <w:r>
              <w:rPr>
                <w:sz w:val="24"/>
                <w:highlight w:val="none"/>
              </w:rPr>
              <w:t>/h的空分装置3套。</w:t>
            </w:r>
          </w:p>
          <w:p w14:paraId="31A98E41">
            <w:pPr>
              <w:adjustRightInd w:val="0"/>
              <w:snapToGrid w:val="0"/>
              <w:spacing w:line="360" w:lineRule="auto"/>
              <w:ind w:firstLine="480"/>
              <w:rPr>
                <w:rFonts w:hint="eastAsia"/>
                <w:b w:val="0"/>
                <w:bCs/>
                <w:sz w:val="24"/>
                <w:highlight w:val="none"/>
                <w:lang w:eastAsia="zh-CN"/>
              </w:rPr>
            </w:pPr>
            <w:r>
              <w:rPr>
                <w:rFonts w:hint="eastAsia"/>
                <w:b w:val="0"/>
                <w:bCs/>
                <w:sz w:val="24"/>
                <w:highlight w:val="none"/>
                <w:lang w:val="en-US" w:eastAsia="zh-CN"/>
              </w:rPr>
              <w:t>本项目</w:t>
            </w:r>
            <w:r>
              <w:rPr>
                <w:rFonts w:hint="eastAsia"/>
                <w:b w:val="0"/>
                <w:bCs/>
                <w:sz w:val="24"/>
                <w:highlight w:val="none"/>
              </w:rPr>
              <w:t>改造前按照精制100%负荷进料推算得出精制分馏塔底油年产量63万吨/年左右，精制分馏塔底油经分馏塔底泵P208A/B升压，一部分作为回流返回分馏塔，一部分送至精制减压塔进料加热炉F202升温后送至精制减压塔T204</w:t>
            </w:r>
            <w:r>
              <w:rPr>
                <w:rFonts w:hint="eastAsia"/>
                <w:b w:val="0"/>
                <w:bCs/>
                <w:sz w:val="24"/>
                <w:highlight w:val="none"/>
                <w:lang w:eastAsia="zh-CN"/>
              </w:rPr>
              <w:t>。</w:t>
            </w:r>
          </w:p>
          <w:p w14:paraId="5B985469">
            <w:pPr>
              <w:spacing w:line="360" w:lineRule="auto"/>
              <w:ind w:firstLine="480"/>
              <w:rPr>
                <w:snapToGrid w:val="0"/>
                <w:sz w:val="24"/>
                <w:szCs w:val="24"/>
                <w:highlight w:val="none"/>
              </w:rPr>
            </w:pPr>
            <w:r>
              <w:rPr>
                <w:sz w:val="24"/>
                <w:highlight w:val="none"/>
              </w:rPr>
              <w:t>内蒙古伊泰化工有限责任公司120万吨/年精细化学品示范项目</w:t>
            </w:r>
            <w:r>
              <w:rPr>
                <w:snapToGrid w:val="0"/>
                <w:sz w:val="24"/>
                <w:szCs w:val="24"/>
                <w:highlight w:val="none"/>
              </w:rPr>
              <w:t>产品方案见表</w:t>
            </w:r>
            <w:r>
              <w:rPr>
                <w:rFonts w:hint="eastAsia"/>
                <w:snapToGrid w:val="0"/>
                <w:sz w:val="24"/>
                <w:szCs w:val="24"/>
                <w:highlight w:val="none"/>
                <w:lang w:val="en-US" w:eastAsia="zh-CN"/>
              </w:rPr>
              <w:t>3-3</w:t>
            </w:r>
            <w:r>
              <w:rPr>
                <w:snapToGrid w:val="0"/>
                <w:sz w:val="24"/>
                <w:szCs w:val="24"/>
                <w:highlight w:val="none"/>
              </w:rPr>
              <w:t>。</w:t>
            </w:r>
          </w:p>
          <w:p w14:paraId="1FEA2B37">
            <w:pPr>
              <w:adjustRightInd w:val="0"/>
              <w:snapToGrid w:val="0"/>
              <w:spacing w:line="360" w:lineRule="auto"/>
              <w:jc w:val="center"/>
              <w:rPr>
                <w:rFonts w:hint="eastAsia"/>
                <w:b/>
                <w:bCs w:val="0"/>
                <w:sz w:val="21"/>
                <w:szCs w:val="21"/>
                <w:highlight w:val="none"/>
              </w:rPr>
            </w:pPr>
            <w:r>
              <w:rPr>
                <w:rFonts w:hint="eastAsia"/>
                <w:b/>
                <w:bCs w:val="0"/>
                <w:sz w:val="21"/>
                <w:szCs w:val="21"/>
                <w:highlight w:val="none"/>
              </w:rPr>
              <w:t>表</w:t>
            </w:r>
            <w:r>
              <w:rPr>
                <w:rFonts w:hint="eastAsia"/>
                <w:b/>
                <w:bCs w:val="0"/>
                <w:sz w:val="21"/>
                <w:szCs w:val="21"/>
                <w:highlight w:val="none"/>
                <w:lang w:val="en-US" w:eastAsia="zh-CN"/>
              </w:rPr>
              <w:t xml:space="preserve">3-3   </w:t>
            </w:r>
            <w:r>
              <w:rPr>
                <w:rFonts w:hint="eastAsia"/>
                <w:b/>
                <w:bCs w:val="0"/>
                <w:sz w:val="21"/>
                <w:szCs w:val="21"/>
                <w:highlight w:val="none"/>
              </w:rPr>
              <w:t>现有项目产品方案一览表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2612"/>
              <w:gridCol w:w="2240"/>
              <w:gridCol w:w="2066"/>
            </w:tblGrid>
            <w:tr w14:paraId="602C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5D815A5F">
                  <w:pPr>
                    <w:jc w:val="center"/>
                    <w:rPr>
                      <w:snapToGrid w:val="0"/>
                      <w:szCs w:val="21"/>
                      <w:highlight w:val="none"/>
                    </w:rPr>
                  </w:pPr>
                  <w:r>
                    <w:rPr>
                      <w:snapToGrid w:val="0"/>
                      <w:szCs w:val="21"/>
                      <w:highlight w:val="none"/>
                    </w:rPr>
                    <w:t>序号</w:t>
                  </w:r>
                </w:p>
              </w:tc>
              <w:tc>
                <w:tcPr>
                  <w:tcW w:w="2612" w:type="dxa"/>
                  <w:noWrap w:val="0"/>
                  <w:vAlign w:val="center"/>
                </w:tcPr>
                <w:p w14:paraId="4BC2C535">
                  <w:pPr>
                    <w:jc w:val="center"/>
                    <w:rPr>
                      <w:snapToGrid w:val="0"/>
                      <w:szCs w:val="21"/>
                      <w:highlight w:val="none"/>
                    </w:rPr>
                  </w:pPr>
                  <w:r>
                    <w:rPr>
                      <w:snapToGrid w:val="0"/>
                      <w:szCs w:val="21"/>
                      <w:highlight w:val="none"/>
                    </w:rPr>
                    <w:t>产品</w:t>
                  </w:r>
                </w:p>
              </w:tc>
              <w:tc>
                <w:tcPr>
                  <w:tcW w:w="2240" w:type="dxa"/>
                  <w:noWrap w:val="0"/>
                  <w:vAlign w:val="center"/>
                </w:tcPr>
                <w:p w14:paraId="777C2E34">
                  <w:pPr>
                    <w:jc w:val="center"/>
                    <w:rPr>
                      <w:snapToGrid w:val="0"/>
                      <w:szCs w:val="21"/>
                      <w:highlight w:val="none"/>
                    </w:rPr>
                  </w:pPr>
                  <w:r>
                    <w:rPr>
                      <w:snapToGrid w:val="0"/>
                      <w:szCs w:val="21"/>
                      <w:highlight w:val="none"/>
                    </w:rPr>
                    <w:t>产量（万t/a）</w:t>
                  </w:r>
                </w:p>
              </w:tc>
              <w:tc>
                <w:tcPr>
                  <w:tcW w:w="2066" w:type="dxa"/>
                  <w:noWrap w:val="0"/>
                  <w:vAlign w:val="center"/>
                </w:tcPr>
                <w:p w14:paraId="02399EEA">
                  <w:pPr>
                    <w:jc w:val="center"/>
                    <w:rPr>
                      <w:snapToGrid w:val="0"/>
                      <w:szCs w:val="21"/>
                      <w:highlight w:val="none"/>
                    </w:rPr>
                  </w:pPr>
                  <w:r>
                    <w:rPr>
                      <w:snapToGrid w:val="0"/>
                      <w:szCs w:val="21"/>
                      <w:highlight w:val="none"/>
                    </w:rPr>
                    <w:t>备注</w:t>
                  </w:r>
                </w:p>
              </w:tc>
            </w:tr>
            <w:tr w14:paraId="223C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6931A3B5">
                  <w:pPr>
                    <w:jc w:val="center"/>
                    <w:rPr>
                      <w:snapToGrid w:val="0"/>
                      <w:szCs w:val="21"/>
                      <w:highlight w:val="none"/>
                    </w:rPr>
                  </w:pPr>
                  <w:r>
                    <w:rPr>
                      <w:snapToGrid w:val="0"/>
                      <w:szCs w:val="21"/>
                      <w:highlight w:val="none"/>
                    </w:rPr>
                    <w:t>1</w:t>
                  </w:r>
                </w:p>
              </w:tc>
              <w:tc>
                <w:tcPr>
                  <w:tcW w:w="2612" w:type="dxa"/>
                  <w:noWrap w:val="0"/>
                  <w:vAlign w:val="center"/>
                </w:tcPr>
                <w:p w14:paraId="53C87441">
                  <w:pPr>
                    <w:jc w:val="center"/>
                    <w:rPr>
                      <w:snapToGrid w:val="0"/>
                      <w:szCs w:val="21"/>
                      <w:highlight w:val="none"/>
                    </w:rPr>
                  </w:pPr>
                  <w:r>
                    <w:rPr>
                      <w:snapToGrid w:val="0"/>
                      <w:szCs w:val="21"/>
                      <w:highlight w:val="none"/>
                    </w:rPr>
                    <w:t>1#低芳溶剂</w:t>
                  </w:r>
                </w:p>
              </w:tc>
              <w:tc>
                <w:tcPr>
                  <w:tcW w:w="2240" w:type="dxa"/>
                  <w:noWrap w:val="0"/>
                  <w:vAlign w:val="center"/>
                </w:tcPr>
                <w:p w14:paraId="158CD197">
                  <w:pPr>
                    <w:jc w:val="center"/>
                    <w:rPr>
                      <w:snapToGrid w:val="0"/>
                      <w:szCs w:val="21"/>
                      <w:highlight w:val="none"/>
                    </w:rPr>
                  </w:pPr>
                  <w:r>
                    <w:rPr>
                      <w:snapToGrid w:val="0"/>
                      <w:szCs w:val="21"/>
                      <w:highlight w:val="none"/>
                    </w:rPr>
                    <w:t>25.46</w:t>
                  </w:r>
                </w:p>
              </w:tc>
              <w:tc>
                <w:tcPr>
                  <w:tcW w:w="2066" w:type="dxa"/>
                  <w:noWrap w:val="0"/>
                  <w:vAlign w:val="center"/>
                </w:tcPr>
                <w:p w14:paraId="15ECB23B">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3595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164D8E16">
                  <w:pPr>
                    <w:jc w:val="center"/>
                    <w:rPr>
                      <w:snapToGrid w:val="0"/>
                      <w:szCs w:val="21"/>
                      <w:highlight w:val="none"/>
                    </w:rPr>
                  </w:pPr>
                  <w:r>
                    <w:rPr>
                      <w:snapToGrid w:val="0"/>
                      <w:szCs w:val="21"/>
                      <w:highlight w:val="none"/>
                    </w:rPr>
                    <w:t>2</w:t>
                  </w:r>
                </w:p>
              </w:tc>
              <w:tc>
                <w:tcPr>
                  <w:tcW w:w="2612" w:type="dxa"/>
                  <w:noWrap w:val="0"/>
                  <w:vAlign w:val="center"/>
                </w:tcPr>
                <w:p w14:paraId="1EEE25DA">
                  <w:pPr>
                    <w:jc w:val="center"/>
                    <w:rPr>
                      <w:snapToGrid w:val="0"/>
                      <w:szCs w:val="21"/>
                      <w:highlight w:val="none"/>
                    </w:rPr>
                  </w:pPr>
                  <w:r>
                    <w:rPr>
                      <w:snapToGrid w:val="0"/>
                      <w:szCs w:val="21"/>
                      <w:highlight w:val="none"/>
                    </w:rPr>
                    <w:t>3#低芳溶剂</w:t>
                  </w:r>
                </w:p>
              </w:tc>
              <w:tc>
                <w:tcPr>
                  <w:tcW w:w="2240" w:type="dxa"/>
                  <w:noWrap w:val="0"/>
                  <w:vAlign w:val="center"/>
                </w:tcPr>
                <w:p w14:paraId="0EE943E0">
                  <w:pPr>
                    <w:jc w:val="center"/>
                    <w:rPr>
                      <w:snapToGrid w:val="0"/>
                      <w:szCs w:val="21"/>
                      <w:highlight w:val="none"/>
                    </w:rPr>
                  </w:pPr>
                  <w:r>
                    <w:rPr>
                      <w:snapToGrid w:val="0"/>
                      <w:szCs w:val="21"/>
                      <w:highlight w:val="none"/>
                    </w:rPr>
                    <w:t>17.29</w:t>
                  </w:r>
                </w:p>
              </w:tc>
              <w:tc>
                <w:tcPr>
                  <w:tcW w:w="2066" w:type="dxa"/>
                  <w:noWrap w:val="0"/>
                  <w:vAlign w:val="center"/>
                </w:tcPr>
                <w:p w14:paraId="23BC7F1A">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498C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656A4100">
                  <w:pPr>
                    <w:jc w:val="center"/>
                    <w:rPr>
                      <w:snapToGrid w:val="0"/>
                      <w:szCs w:val="21"/>
                      <w:highlight w:val="none"/>
                    </w:rPr>
                  </w:pPr>
                  <w:r>
                    <w:rPr>
                      <w:snapToGrid w:val="0"/>
                      <w:szCs w:val="21"/>
                      <w:highlight w:val="none"/>
                    </w:rPr>
                    <w:t>3</w:t>
                  </w:r>
                </w:p>
              </w:tc>
              <w:tc>
                <w:tcPr>
                  <w:tcW w:w="2612" w:type="dxa"/>
                  <w:noWrap w:val="0"/>
                  <w:vAlign w:val="center"/>
                </w:tcPr>
                <w:p w14:paraId="1571CC12">
                  <w:pPr>
                    <w:jc w:val="center"/>
                    <w:rPr>
                      <w:snapToGrid w:val="0"/>
                      <w:szCs w:val="21"/>
                      <w:highlight w:val="none"/>
                    </w:rPr>
                  </w:pPr>
                  <w:r>
                    <w:rPr>
                      <w:snapToGrid w:val="0"/>
                      <w:szCs w:val="21"/>
                      <w:highlight w:val="none"/>
                    </w:rPr>
                    <w:t>轻液体石蜡</w:t>
                  </w:r>
                </w:p>
              </w:tc>
              <w:tc>
                <w:tcPr>
                  <w:tcW w:w="2240" w:type="dxa"/>
                  <w:noWrap w:val="0"/>
                  <w:vAlign w:val="center"/>
                </w:tcPr>
                <w:p w14:paraId="78C87565">
                  <w:pPr>
                    <w:jc w:val="center"/>
                    <w:rPr>
                      <w:snapToGrid w:val="0"/>
                      <w:szCs w:val="21"/>
                      <w:highlight w:val="none"/>
                    </w:rPr>
                  </w:pPr>
                  <w:r>
                    <w:rPr>
                      <w:snapToGrid w:val="0"/>
                      <w:szCs w:val="21"/>
                      <w:highlight w:val="none"/>
                    </w:rPr>
                    <w:t>10.24</w:t>
                  </w:r>
                </w:p>
              </w:tc>
              <w:tc>
                <w:tcPr>
                  <w:tcW w:w="2066" w:type="dxa"/>
                  <w:noWrap w:val="0"/>
                  <w:vAlign w:val="center"/>
                </w:tcPr>
                <w:p w14:paraId="406E2206">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771C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5B7158BD">
                  <w:pPr>
                    <w:jc w:val="center"/>
                    <w:rPr>
                      <w:snapToGrid w:val="0"/>
                      <w:szCs w:val="21"/>
                      <w:highlight w:val="none"/>
                    </w:rPr>
                  </w:pPr>
                  <w:r>
                    <w:rPr>
                      <w:snapToGrid w:val="0"/>
                      <w:szCs w:val="21"/>
                      <w:highlight w:val="none"/>
                    </w:rPr>
                    <w:t>4</w:t>
                  </w:r>
                </w:p>
              </w:tc>
              <w:tc>
                <w:tcPr>
                  <w:tcW w:w="2612" w:type="dxa"/>
                  <w:noWrap w:val="0"/>
                  <w:vAlign w:val="center"/>
                </w:tcPr>
                <w:p w14:paraId="49073C7D">
                  <w:pPr>
                    <w:jc w:val="center"/>
                    <w:rPr>
                      <w:snapToGrid w:val="0"/>
                      <w:szCs w:val="21"/>
                      <w:highlight w:val="none"/>
                    </w:rPr>
                  </w:pPr>
                  <w:r>
                    <w:rPr>
                      <w:snapToGrid w:val="0"/>
                      <w:szCs w:val="21"/>
                      <w:highlight w:val="none"/>
                    </w:rPr>
                    <w:t>重液体石蜡</w:t>
                  </w:r>
                </w:p>
              </w:tc>
              <w:tc>
                <w:tcPr>
                  <w:tcW w:w="2240" w:type="dxa"/>
                  <w:noWrap w:val="0"/>
                  <w:vAlign w:val="center"/>
                </w:tcPr>
                <w:p w14:paraId="292530A3">
                  <w:pPr>
                    <w:jc w:val="center"/>
                    <w:rPr>
                      <w:snapToGrid w:val="0"/>
                      <w:szCs w:val="21"/>
                      <w:highlight w:val="none"/>
                    </w:rPr>
                  </w:pPr>
                  <w:r>
                    <w:rPr>
                      <w:snapToGrid w:val="0"/>
                      <w:szCs w:val="21"/>
                      <w:highlight w:val="none"/>
                    </w:rPr>
                    <w:t>24.67</w:t>
                  </w:r>
                </w:p>
              </w:tc>
              <w:tc>
                <w:tcPr>
                  <w:tcW w:w="2066" w:type="dxa"/>
                  <w:noWrap w:val="0"/>
                  <w:vAlign w:val="center"/>
                </w:tcPr>
                <w:p w14:paraId="62EB01C0">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25AE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1C2235EB">
                  <w:pPr>
                    <w:jc w:val="center"/>
                    <w:rPr>
                      <w:snapToGrid w:val="0"/>
                      <w:szCs w:val="21"/>
                      <w:highlight w:val="none"/>
                    </w:rPr>
                  </w:pPr>
                  <w:r>
                    <w:rPr>
                      <w:snapToGrid w:val="0"/>
                      <w:szCs w:val="21"/>
                      <w:highlight w:val="none"/>
                    </w:rPr>
                    <w:t>5</w:t>
                  </w:r>
                </w:p>
              </w:tc>
              <w:tc>
                <w:tcPr>
                  <w:tcW w:w="2612" w:type="dxa"/>
                  <w:noWrap w:val="0"/>
                  <w:vAlign w:val="center"/>
                </w:tcPr>
                <w:p w14:paraId="4DDE9900">
                  <w:pPr>
                    <w:jc w:val="center"/>
                    <w:rPr>
                      <w:snapToGrid w:val="0"/>
                      <w:szCs w:val="21"/>
                      <w:highlight w:val="none"/>
                    </w:rPr>
                  </w:pPr>
                  <w:r>
                    <w:rPr>
                      <w:snapToGrid w:val="0"/>
                      <w:szCs w:val="21"/>
                      <w:highlight w:val="none"/>
                    </w:rPr>
                    <w:t>十六烷值改性剂</w:t>
                  </w:r>
                </w:p>
              </w:tc>
              <w:tc>
                <w:tcPr>
                  <w:tcW w:w="2240" w:type="dxa"/>
                  <w:noWrap w:val="0"/>
                  <w:vAlign w:val="center"/>
                </w:tcPr>
                <w:p w14:paraId="28696E16">
                  <w:pPr>
                    <w:jc w:val="center"/>
                    <w:rPr>
                      <w:snapToGrid w:val="0"/>
                      <w:szCs w:val="21"/>
                      <w:highlight w:val="none"/>
                    </w:rPr>
                  </w:pPr>
                  <w:r>
                    <w:rPr>
                      <w:snapToGrid w:val="0"/>
                      <w:szCs w:val="21"/>
                      <w:highlight w:val="none"/>
                    </w:rPr>
                    <w:t>19.27</w:t>
                  </w:r>
                </w:p>
              </w:tc>
              <w:tc>
                <w:tcPr>
                  <w:tcW w:w="2066" w:type="dxa"/>
                  <w:noWrap w:val="0"/>
                  <w:vAlign w:val="center"/>
                </w:tcPr>
                <w:p w14:paraId="2E43766E">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3D2E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03D8F070">
                  <w:pPr>
                    <w:jc w:val="center"/>
                    <w:rPr>
                      <w:snapToGrid w:val="0"/>
                      <w:szCs w:val="21"/>
                      <w:highlight w:val="none"/>
                    </w:rPr>
                  </w:pPr>
                  <w:r>
                    <w:rPr>
                      <w:snapToGrid w:val="0"/>
                      <w:szCs w:val="21"/>
                      <w:highlight w:val="none"/>
                    </w:rPr>
                    <w:t>6</w:t>
                  </w:r>
                </w:p>
              </w:tc>
              <w:tc>
                <w:tcPr>
                  <w:tcW w:w="2612" w:type="dxa"/>
                  <w:noWrap w:val="0"/>
                  <w:vAlign w:val="center"/>
                </w:tcPr>
                <w:p w14:paraId="342A4123">
                  <w:pPr>
                    <w:jc w:val="center"/>
                    <w:rPr>
                      <w:snapToGrid w:val="0"/>
                      <w:szCs w:val="21"/>
                      <w:highlight w:val="none"/>
                    </w:rPr>
                  </w:pPr>
                  <w:r>
                    <w:rPr>
                      <w:snapToGrid w:val="0"/>
                      <w:szCs w:val="21"/>
                      <w:highlight w:val="none"/>
                    </w:rPr>
                    <w:t>LPG</w:t>
                  </w:r>
                </w:p>
              </w:tc>
              <w:tc>
                <w:tcPr>
                  <w:tcW w:w="2240" w:type="dxa"/>
                  <w:noWrap w:val="0"/>
                  <w:vAlign w:val="center"/>
                </w:tcPr>
                <w:p w14:paraId="47ED8341">
                  <w:pPr>
                    <w:jc w:val="center"/>
                    <w:rPr>
                      <w:snapToGrid w:val="0"/>
                      <w:szCs w:val="21"/>
                      <w:highlight w:val="none"/>
                    </w:rPr>
                  </w:pPr>
                  <w:r>
                    <w:rPr>
                      <w:snapToGrid w:val="0"/>
                      <w:szCs w:val="21"/>
                      <w:highlight w:val="none"/>
                    </w:rPr>
                    <w:t>8.23</w:t>
                  </w:r>
                </w:p>
              </w:tc>
              <w:tc>
                <w:tcPr>
                  <w:tcW w:w="2066" w:type="dxa"/>
                  <w:noWrap w:val="0"/>
                  <w:vAlign w:val="center"/>
                </w:tcPr>
                <w:p w14:paraId="0DAD2C12">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0831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65FF77BF">
                  <w:pPr>
                    <w:jc w:val="center"/>
                    <w:rPr>
                      <w:snapToGrid w:val="0"/>
                      <w:szCs w:val="21"/>
                      <w:highlight w:val="none"/>
                    </w:rPr>
                  </w:pPr>
                  <w:r>
                    <w:rPr>
                      <w:snapToGrid w:val="0"/>
                      <w:szCs w:val="21"/>
                      <w:highlight w:val="none"/>
                    </w:rPr>
                    <w:t>7</w:t>
                  </w:r>
                </w:p>
              </w:tc>
              <w:tc>
                <w:tcPr>
                  <w:tcW w:w="2612" w:type="dxa"/>
                  <w:noWrap w:val="0"/>
                  <w:vAlign w:val="center"/>
                </w:tcPr>
                <w:p w14:paraId="69FD1295">
                  <w:pPr>
                    <w:jc w:val="center"/>
                    <w:rPr>
                      <w:snapToGrid w:val="0"/>
                      <w:szCs w:val="21"/>
                      <w:highlight w:val="none"/>
                    </w:rPr>
                  </w:pPr>
                  <w:r>
                    <w:rPr>
                      <w:snapToGrid w:val="0"/>
                      <w:szCs w:val="21"/>
                      <w:highlight w:val="none"/>
                    </w:rPr>
                    <w:t>硫磺</w:t>
                  </w:r>
                </w:p>
              </w:tc>
              <w:tc>
                <w:tcPr>
                  <w:tcW w:w="2240" w:type="dxa"/>
                  <w:noWrap w:val="0"/>
                  <w:vAlign w:val="center"/>
                </w:tcPr>
                <w:p w14:paraId="2F3FD6BF">
                  <w:pPr>
                    <w:jc w:val="center"/>
                    <w:rPr>
                      <w:snapToGrid w:val="0"/>
                      <w:szCs w:val="21"/>
                      <w:highlight w:val="none"/>
                    </w:rPr>
                  </w:pPr>
                  <w:r>
                    <w:rPr>
                      <w:snapToGrid w:val="0"/>
                      <w:szCs w:val="21"/>
                      <w:highlight w:val="none"/>
                    </w:rPr>
                    <w:t>3.70</w:t>
                  </w:r>
                </w:p>
              </w:tc>
              <w:tc>
                <w:tcPr>
                  <w:tcW w:w="2066" w:type="dxa"/>
                  <w:noWrap w:val="0"/>
                  <w:vAlign w:val="center"/>
                </w:tcPr>
                <w:p w14:paraId="16A19C65">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347C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74908C06">
                  <w:pPr>
                    <w:jc w:val="center"/>
                    <w:rPr>
                      <w:snapToGrid w:val="0"/>
                      <w:szCs w:val="21"/>
                      <w:highlight w:val="none"/>
                    </w:rPr>
                  </w:pPr>
                  <w:r>
                    <w:rPr>
                      <w:snapToGrid w:val="0"/>
                      <w:szCs w:val="21"/>
                      <w:highlight w:val="none"/>
                    </w:rPr>
                    <w:t>8</w:t>
                  </w:r>
                </w:p>
              </w:tc>
              <w:tc>
                <w:tcPr>
                  <w:tcW w:w="2612" w:type="dxa"/>
                  <w:noWrap w:val="0"/>
                  <w:vAlign w:val="center"/>
                </w:tcPr>
                <w:p w14:paraId="084F5520">
                  <w:pPr>
                    <w:jc w:val="center"/>
                    <w:rPr>
                      <w:snapToGrid w:val="0"/>
                      <w:szCs w:val="21"/>
                      <w:highlight w:val="none"/>
                    </w:rPr>
                  </w:pPr>
                  <w:r>
                    <w:rPr>
                      <w:snapToGrid w:val="0"/>
                      <w:szCs w:val="21"/>
                      <w:highlight w:val="none"/>
                    </w:rPr>
                    <w:t>硫酸铵</w:t>
                  </w:r>
                </w:p>
              </w:tc>
              <w:tc>
                <w:tcPr>
                  <w:tcW w:w="2240" w:type="dxa"/>
                  <w:noWrap w:val="0"/>
                  <w:vAlign w:val="center"/>
                </w:tcPr>
                <w:p w14:paraId="517B75B2">
                  <w:pPr>
                    <w:jc w:val="center"/>
                    <w:rPr>
                      <w:snapToGrid w:val="0"/>
                      <w:szCs w:val="21"/>
                      <w:highlight w:val="none"/>
                    </w:rPr>
                  </w:pPr>
                  <w:r>
                    <w:rPr>
                      <w:snapToGrid w:val="0"/>
                      <w:szCs w:val="21"/>
                      <w:highlight w:val="none"/>
                    </w:rPr>
                    <w:t>5.11</w:t>
                  </w:r>
                </w:p>
              </w:tc>
              <w:tc>
                <w:tcPr>
                  <w:tcW w:w="2066" w:type="dxa"/>
                  <w:noWrap w:val="0"/>
                  <w:vAlign w:val="center"/>
                </w:tcPr>
                <w:p w14:paraId="6AE0A6AE">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3D3B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noWrap w:val="0"/>
                  <w:vAlign w:val="center"/>
                </w:tcPr>
                <w:p w14:paraId="756DC1EB">
                  <w:pPr>
                    <w:jc w:val="center"/>
                    <w:rPr>
                      <w:snapToGrid w:val="0"/>
                      <w:szCs w:val="21"/>
                      <w:highlight w:val="none"/>
                    </w:rPr>
                  </w:pPr>
                  <w:r>
                    <w:rPr>
                      <w:snapToGrid w:val="0"/>
                      <w:szCs w:val="21"/>
                      <w:highlight w:val="none"/>
                    </w:rPr>
                    <w:t>9</w:t>
                  </w:r>
                </w:p>
              </w:tc>
              <w:tc>
                <w:tcPr>
                  <w:tcW w:w="2612" w:type="dxa"/>
                  <w:noWrap w:val="0"/>
                  <w:vAlign w:val="center"/>
                </w:tcPr>
                <w:p w14:paraId="43C5AC56">
                  <w:pPr>
                    <w:jc w:val="center"/>
                    <w:rPr>
                      <w:snapToGrid w:val="0"/>
                      <w:szCs w:val="21"/>
                      <w:highlight w:val="none"/>
                    </w:rPr>
                  </w:pPr>
                  <w:r>
                    <w:rPr>
                      <w:snapToGrid w:val="0"/>
                      <w:szCs w:val="21"/>
                      <w:highlight w:val="none"/>
                    </w:rPr>
                    <w:t>混醇</w:t>
                  </w:r>
                </w:p>
              </w:tc>
              <w:tc>
                <w:tcPr>
                  <w:tcW w:w="2240" w:type="dxa"/>
                  <w:noWrap w:val="0"/>
                  <w:vAlign w:val="center"/>
                </w:tcPr>
                <w:p w14:paraId="0F6099EF">
                  <w:pPr>
                    <w:jc w:val="center"/>
                    <w:rPr>
                      <w:snapToGrid w:val="0"/>
                      <w:szCs w:val="21"/>
                      <w:highlight w:val="none"/>
                    </w:rPr>
                  </w:pPr>
                  <w:r>
                    <w:rPr>
                      <w:rFonts w:hint="eastAsia"/>
                      <w:snapToGrid w:val="0"/>
                      <w:szCs w:val="21"/>
                      <w:highlight w:val="none"/>
                    </w:rPr>
                    <w:t>2</w:t>
                  </w:r>
                  <w:r>
                    <w:rPr>
                      <w:snapToGrid w:val="0"/>
                      <w:szCs w:val="21"/>
                      <w:highlight w:val="none"/>
                    </w:rPr>
                    <w:t>.3</w:t>
                  </w:r>
                  <w:r>
                    <w:rPr>
                      <w:rFonts w:hint="eastAsia"/>
                      <w:snapToGrid w:val="0"/>
                      <w:szCs w:val="21"/>
                      <w:highlight w:val="none"/>
                    </w:rPr>
                    <w:t>0</w:t>
                  </w:r>
                </w:p>
              </w:tc>
              <w:tc>
                <w:tcPr>
                  <w:tcW w:w="2066" w:type="dxa"/>
                  <w:noWrap w:val="0"/>
                  <w:vAlign w:val="center"/>
                </w:tcPr>
                <w:p w14:paraId="25BDE6A6">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bookmarkEnd w:id="38"/>
            <w:bookmarkEnd w:id="39"/>
          </w:tbl>
          <w:p w14:paraId="5981E587">
            <w:pPr>
              <w:adjustRightInd w:val="0"/>
              <w:snapToGrid w:val="0"/>
              <w:spacing w:line="360" w:lineRule="auto"/>
              <w:ind w:firstLine="480"/>
              <w:rPr>
                <w:rFonts w:hint="default" w:eastAsia="宋体"/>
                <w:sz w:val="24"/>
                <w:highlight w:val="none"/>
                <w:lang w:val="en-US" w:eastAsia="zh-CN"/>
              </w:rPr>
            </w:pPr>
            <w:r>
              <w:rPr>
                <w:rFonts w:hint="eastAsia"/>
                <w:highlight w:val="none"/>
                <w:lang w:val="en-US" w:eastAsia="zh-CN"/>
              </w:rPr>
              <w:t>3.</w:t>
            </w:r>
            <w:r>
              <w:rPr>
                <w:rFonts w:hint="eastAsia"/>
                <w:sz w:val="24"/>
                <w:highlight w:val="none"/>
                <w:lang w:val="en-US" w:eastAsia="zh-CN"/>
              </w:rPr>
              <w:t>伊泰环保手续</w:t>
            </w:r>
          </w:p>
          <w:p w14:paraId="58DA507B">
            <w:pPr>
              <w:spacing w:line="360" w:lineRule="auto"/>
              <w:ind w:firstLine="480"/>
              <w:rPr>
                <w:sz w:val="24"/>
                <w:highlight w:val="none"/>
              </w:rPr>
            </w:pPr>
            <w:r>
              <w:rPr>
                <w:sz w:val="24"/>
                <w:highlight w:val="none"/>
              </w:rPr>
              <w:t>2011年8月，原内蒙古自治区环境保护厅以内环审</w:t>
            </w:r>
            <w:r>
              <w:rPr>
                <w:rFonts w:hint="eastAsia"/>
                <w:sz w:val="24"/>
                <w:highlight w:val="none"/>
                <w:lang w:eastAsia="zh-CN"/>
              </w:rPr>
              <w:t>﹝</w:t>
            </w:r>
            <w:r>
              <w:rPr>
                <w:sz w:val="24"/>
                <w:highlight w:val="none"/>
              </w:rPr>
              <w:t>2011</w:t>
            </w:r>
            <w:r>
              <w:rPr>
                <w:rFonts w:hint="eastAsia"/>
                <w:sz w:val="24"/>
                <w:highlight w:val="none"/>
                <w:lang w:eastAsia="zh-CN"/>
              </w:rPr>
              <w:t>﹞</w:t>
            </w:r>
            <w:r>
              <w:rPr>
                <w:sz w:val="24"/>
                <w:highlight w:val="none"/>
              </w:rPr>
              <w:t>240号文件出具了《关于内蒙古伊泰化工有限责任公司120万吨/年精细化学品项目环境影响报告书的批复》。</w:t>
            </w:r>
          </w:p>
          <w:p w14:paraId="12925C0C">
            <w:pPr>
              <w:spacing w:line="360" w:lineRule="auto"/>
              <w:ind w:firstLine="480"/>
              <w:rPr>
                <w:sz w:val="24"/>
                <w:highlight w:val="none"/>
              </w:rPr>
            </w:pPr>
            <w:r>
              <w:rPr>
                <w:sz w:val="24"/>
                <w:highlight w:val="none"/>
              </w:rPr>
              <w:t>2014年6月开工建设。</w:t>
            </w:r>
          </w:p>
          <w:p w14:paraId="05AD3185">
            <w:pPr>
              <w:spacing w:line="360" w:lineRule="auto"/>
              <w:ind w:firstLine="480"/>
              <w:rPr>
                <w:sz w:val="24"/>
                <w:highlight w:val="none"/>
              </w:rPr>
            </w:pPr>
            <w:r>
              <w:rPr>
                <w:sz w:val="24"/>
                <w:highlight w:val="none"/>
              </w:rPr>
              <w:t>2016年12月，原鄂尔多斯市环境保护局以鄂环评字</w:t>
            </w:r>
            <w:r>
              <w:rPr>
                <w:rFonts w:hint="eastAsia"/>
                <w:sz w:val="24"/>
                <w:highlight w:val="none"/>
                <w:lang w:eastAsia="zh-CN"/>
              </w:rPr>
              <w:t>﹝</w:t>
            </w:r>
            <w:r>
              <w:rPr>
                <w:sz w:val="24"/>
                <w:highlight w:val="none"/>
              </w:rPr>
              <w:t>2016</w:t>
            </w:r>
            <w:r>
              <w:rPr>
                <w:rFonts w:hint="eastAsia"/>
                <w:sz w:val="24"/>
                <w:highlight w:val="none"/>
                <w:lang w:eastAsia="zh-CN"/>
              </w:rPr>
              <w:t>﹞</w:t>
            </w:r>
            <w:r>
              <w:rPr>
                <w:sz w:val="24"/>
                <w:highlight w:val="none"/>
              </w:rPr>
              <w:t>162号文件出具了《关于内蒙古伊泰化工有限责任公司120万吨/年精细化学品示范项目（变更）环境影响报告书的批复》。</w:t>
            </w:r>
          </w:p>
          <w:p w14:paraId="388ABF1B">
            <w:pPr>
              <w:spacing w:line="360" w:lineRule="auto"/>
              <w:ind w:firstLine="480"/>
              <w:rPr>
                <w:sz w:val="24"/>
                <w:highlight w:val="none"/>
              </w:rPr>
            </w:pPr>
            <w:r>
              <w:rPr>
                <w:sz w:val="24"/>
                <w:highlight w:val="none"/>
              </w:rPr>
              <w:t>2017年6月</w:t>
            </w:r>
            <w:r>
              <w:rPr>
                <w:rFonts w:hint="eastAsia"/>
                <w:sz w:val="24"/>
                <w:highlight w:val="none"/>
                <w:lang w:eastAsia="zh-CN"/>
              </w:rPr>
              <w:t>，</w:t>
            </w:r>
            <w:r>
              <w:rPr>
                <w:sz w:val="24"/>
                <w:highlight w:val="none"/>
              </w:rPr>
              <w:t>项目投料生产。</w:t>
            </w:r>
          </w:p>
          <w:p w14:paraId="6F7F20F6">
            <w:pPr>
              <w:spacing w:line="360" w:lineRule="auto"/>
              <w:ind w:firstLine="480"/>
              <w:rPr>
                <w:sz w:val="24"/>
                <w:highlight w:val="none"/>
              </w:rPr>
            </w:pPr>
            <w:r>
              <w:rPr>
                <w:sz w:val="24"/>
                <w:highlight w:val="none"/>
              </w:rPr>
              <w:t>2017年9月，原鄂尔多斯市环境保护局以鄂环监字</w:t>
            </w:r>
            <w:r>
              <w:rPr>
                <w:rFonts w:hint="eastAsia"/>
                <w:sz w:val="24"/>
                <w:highlight w:val="none"/>
                <w:lang w:eastAsia="zh-CN"/>
              </w:rPr>
              <w:t>﹝</w:t>
            </w:r>
            <w:r>
              <w:rPr>
                <w:sz w:val="24"/>
                <w:highlight w:val="none"/>
              </w:rPr>
              <w:t>2017</w:t>
            </w:r>
            <w:r>
              <w:rPr>
                <w:rFonts w:hint="eastAsia"/>
                <w:sz w:val="24"/>
                <w:highlight w:val="none"/>
                <w:lang w:eastAsia="zh-CN"/>
              </w:rPr>
              <w:t>﹞</w:t>
            </w:r>
            <w:r>
              <w:rPr>
                <w:sz w:val="24"/>
                <w:highlight w:val="none"/>
              </w:rPr>
              <w:t>190号文件出具了《关于内蒙古伊泰化工有限责任公司120万吨/年精细化学品示范项目竣工环境保护验收意见的通知》。</w:t>
            </w:r>
          </w:p>
          <w:p w14:paraId="03999973">
            <w:pPr>
              <w:spacing w:line="360" w:lineRule="auto"/>
              <w:ind w:firstLine="480"/>
              <w:rPr>
                <w:sz w:val="24"/>
                <w:highlight w:val="none"/>
              </w:rPr>
            </w:pPr>
            <w:r>
              <w:rPr>
                <w:sz w:val="24"/>
                <w:highlight w:val="none"/>
              </w:rPr>
              <w:t>2018年8月，原鄂尔多斯市环境保护局以鄂环评字</w:t>
            </w:r>
            <w:r>
              <w:rPr>
                <w:rFonts w:hint="eastAsia"/>
                <w:sz w:val="24"/>
                <w:highlight w:val="none"/>
                <w:lang w:eastAsia="zh-CN"/>
              </w:rPr>
              <w:t>﹝</w:t>
            </w:r>
            <w:r>
              <w:rPr>
                <w:sz w:val="24"/>
                <w:highlight w:val="none"/>
              </w:rPr>
              <w:t>2018</w:t>
            </w:r>
            <w:r>
              <w:rPr>
                <w:rFonts w:hint="eastAsia"/>
                <w:sz w:val="24"/>
                <w:highlight w:val="none"/>
                <w:lang w:eastAsia="zh-CN"/>
              </w:rPr>
              <w:t>﹞</w:t>
            </w:r>
            <w:r>
              <w:rPr>
                <w:sz w:val="24"/>
                <w:highlight w:val="none"/>
              </w:rPr>
              <w:t>173号文件出具了《关于内蒙古伊泰化工有限责任公司120万吨/年精细化学品项目水处理及零排放整体系统工艺优化改造工程环境影响报告表的批复》。主要建设内容包括：对气化废水高密沉淀系统优化、新增备用气化废水高密沉淀系统；对合成废水厌氧系统优化、新增备用厌氧系统；新增</w:t>
            </w:r>
            <w:r>
              <w:rPr>
                <w:rFonts w:hint="eastAsia"/>
                <w:sz w:val="24"/>
                <w:highlight w:val="none"/>
              </w:rPr>
              <w:t>渣蜡、废活性炭</w:t>
            </w:r>
            <w:r>
              <w:rPr>
                <w:sz w:val="24"/>
                <w:highlight w:val="none"/>
              </w:rPr>
              <w:t>脱水机设施；对回用工序2高密沉淀系统优化、考虑备用回用工序2高密沉淀系统；对回用工序1及2备用反渗透系统优化；原含醇及脱碳废水增加混凝沉淀设施；对浓盐水处理装置药剂系统扩容改造；新增备用结晶分盐</w:t>
            </w:r>
            <w:r>
              <w:rPr>
                <w:rFonts w:hint="eastAsia"/>
                <w:sz w:val="24"/>
                <w:highlight w:val="none"/>
                <w:lang w:eastAsia="zh-CN"/>
              </w:rPr>
              <w:t>系统</w:t>
            </w:r>
            <w:r>
              <w:rPr>
                <w:sz w:val="24"/>
                <w:highlight w:val="none"/>
              </w:rPr>
              <w:t>；对原回用工序1</w:t>
            </w:r>
            <w:r>
              <w:rPr>
                <w:rFonts w:hint="eastAsia"/>
                <w:sz w:val="24"/>
                <w:highlight w:val="none"/>
                <w:lang w:eastAsia="zh-CN"/>
              </w:rPr>
              <w:t>进行</w:t>
            </w:r>
            <w:r>
              <w:rPr>
                <w:sz w:val="24"/>
                <w:highlight w:val="none"/>
              </w:rPr>
              <w:t>过滤预处理优化；新增浓盐水备用膜系统；新增成品盐仓库。</w:t>
            </w:r>
          </w:p>
          <w:p w14:paraId="23ED7D24">
            <w:pPr>
              <w:spacing w:line="360" w:lineRule="auto"/>
              <w:ind w:firstLine="480"/>
              <w:rPr>
                <w:sz w:val="24"/>
                <w:highlight w:val="none"/>
              </w:rPr>
            </w:pPr>
            <w:r>
              <w:rPr>
                <w:sz w:val="24"/>
                <w:highlight w:val="none"/>
              </w:rPr>
              <w:t>2018年8月</w:t>
            </w:r>
            <w:r>
              <w:rPr>
                <w:rFonts w:hint="eastAsia"/>
                <w:sz w:val="24"/>
                <w:highlight w:val="none"/>
                <w:lang w:eastAsia="zh-CN"/>
              </w:rPr>
              <w:t>，</w:t>
            </w:r>
            <w:r>
              <w:rPr>
                <w:sz w:val="24"/>
                <w:highlight w:val="none"/>
              </w:rPr>
              <w:t>内蒙古伊泰化工有限责任公司120万吨/年精细化学品项目水处理及零排放整体系统工艺优化改造工程开工建设，2019年4月试运行。</w:t>
            </w:r>
          </w:p>
          <w:p w14:paraId="0812EF02">
            <w:pPr>
              <w:spacing w:line="360" w:lineRule="auto"/>
              <w:ind w:firstLine="480"/>
              <w:rPr>
                <w:sz w:val="24"/>
                <w:highlight w:val="none"/>
              </w:rPr>
            </w:pPr>
            <w:r>
              <w:rPr>
                <w:sz w:val="24"/>
                <w:highlight w:val="none"/>
              </w:rPr>
              <w:t>2020年11月，完成内蒙古伊泰化工有限责任公司120万吨/年精细化学品项目水处理及零排放整体系统工艺优化改造工程竣工环境保护自主验收。</w:t>
            </w:r>
          </w:p>
          <w:p w14:paraId="3BF7A422">
            <w:pPr>
              <w:spacing w:line="360" w:lineRule="auto"/>
              <w:ind w:firstLine="480"/>
              <w:rPr>
                <w:rFonts w:hint="eastAsia"/>
                <w:sz w:val="24"/>
                <w:highlight w:val="none"/>
                <w:lang w:eastAsia="zh-CN"/>
              </w:rPr>
            </w:pPr>
            <w:r>
              <w:rPr>
                <w:rFonts w:hint="eastAsia"/>
                <w:sz w:val="24"/>
                <w:highlight w:val="none"/>
              </w:rPr>
              <w:t>2021年5月</w:t>
            </w:r>
            <w:r>
              <w:rPr>
                <w:sz w:val="24"/>
                <w:highlight w:val="none"/>
              </w:rPr>
              <w:t>，鄂尔多斯市生态环境局</w:t>
            </w:r>
            <w:r>
              <w:rPr>
                <w:rFonts w:hint="eastAsia"/>
                <w:sz w:val="24"/>
                <w:highlight w:val="none"/>
                <w:lang w:eastAsia="zh-CN"/>
              </w:rPr>
              <w:t>以</w:t>
            </w:r>
            <w:r>
              <w:rPr>
                <w:sz w:val="24"/>
                <w:highlight w:val="none"/>
              </w:rPr>
              <w:t>鄂环审字〔2021〕482号文件出具了《关于内蒙古伊泰化工有限责任公司气化装置协同处置生化污泥项目环境影响报告表的批复》</w:t>
            </w:r>
            <w:r>
              <w:rPr>
                <w:rFonts w:hint="eastAsia"/>
                <w:sz w:val="24"/>
                <w:highlight w:val="none"/>
                <w:lang w:eastAsia="zh-CN"/>
              </w:rPr>
              <w:t>。</w:t>
            </w:r>
          </w:p>
          <w:p w14:paraId="18C88C2C">
            <w:pPr>
              <w:spacing w:line="360" w:lineRule="auto"/>
              <w:ind w:firstLine="480"/>
              <w:rPr>
                <w:rFonts w:hint="eastAsia"/>
                <w:sz w:val="24"/>
                <w:highlight w:val="none"/>
                <w:lang w:eastAsia="zh-CN"/>
              </w:rPr>
            </w:pPr>
            <w:r>
              <w:rPr>
                <w:rFonts w:hint="eastAsia"/>
                <w:sz w:val="24"/>
                <w:highlight w:val="none"/>
                <w:lang w:val="en-US" w:eastAsia="zh-CN"/>
              </w:rPr>
              <w:t>2022年3月，</w:t>
            </w:r>
            <w:r>
              <w:rPr>
                <w:sz w:val="24"/>
                <w:highlight w:val="none"/>
              </w:rPr>
              <w:t>完成内蒙古伊泰化工有限责任公司气化装置协同处置生化污泥项目竣工环境保护自主验收</w:t>
            </w:r>
            <w:r>
              <w:rPr>
                <w:rFonts w:hint="eastAsia"/>
                <w:sz w:val="24"/>
                <w:highlight w:val="none"/>
                <w:lang w:eastAsia="zh-CN"/>
              </w:rPr>
              <w:t>。</w:t>
            </w:r>
          </w:p>
          <w:p w14:paraId="1D8E964D">
            <w:pPr>
              <w:spacing w:line="360" w:lineRule="auto"/>
              <w:ind w:firstLine="480"/>
              <w:rPr>
                <w:rFonts w:hint="default"/>
                <w:sz w:val="24"/>
                <w:highlight w:val="none"/>
                <w:lang w:val="en-US" w:eastAsia="zh-CN"/>
              </w:rPr>
            </w:pPr>
            <w:r>
              <w:rPr>
                <w:rFonts w:hint="eastAsia"/>
                <w:sz w:val="24"/>
                <w:highlight w:val="none"/>
                <w:lang w:val="en-US" w:eastAsia="zh-CN"/>
              </w:rPr>
              <w:t>排污许可证编号：91150625695922289F002V，有效期限：自2024年11月11日起至2029年11月10日止。</w:t>
            </w:r>
          </w:p>
          <w:p w14:paraId="3275D242">
            <w:pPr>
              <w:numPr>
                <w:ilvl w:val="0"/>
                <w:numId w:val="0"/>
              </w:numPr>
              <w:spacing w:line="360" w:lineRule="auto"/>
              <w:rPr>
                <w:rFonts w:hint="eastAsia"/>
                <w:b/>
                <w:bCs/>
                <w:sz w:val="24"/>
                <w:highlight w:val="none"/>
                <w:lang w:val="en-US" w:eastAsia="zh-CN"/>
              </w:rPr>
            </w:pPr>
            <w:bookmarkStart w:id="40" w:name="OLE_LINK18"/>
            <w:bookmarkStart w:id="41" w:name="OLE_LINK17"/>
            <w:r>
              <w:rPr>
                <w:rFonts w:hint="eastAsia"/>
                <w:b/>
                <w:bCs/>
                <w:sz w:val="24"/>
                <w:highlight w:val="none"/>
                <w:lang w:val="en-US" w:eastAsia="zh-CN"/>
              </w:rPr>
              <w:t>二、伊泰-巨鹏CO</w:t>
            </w:r>
            <w:r>
              <w:rPr>
                <w:rFonts w:hint="eastAsia"/>
                <w:b/>
                <w:bCs/>
                <w:sz w:val="24"/>
                <w:highlight w:val="none"/>
                <w:vertAlign w:val="subscript"/>
                <w:lang w:val="en-US" w:eastAsia="zh-CN"/>
              </w:rPr>
              <w:t>2</w:t>
            </w:r>
            <w:r>
              <w:rPr>
                <w:rFonts w:hint="eastAsia"/>
                <w:b/>
                <w:bCs/>
                <w:sz w:val="24"/>
                <w:highlight w:val="none"/>
                <w:lang w:val="en-US" w:eastAsia="zh-CN"/>
              </w:rPr>
              <w:t>和工业尾气生物发酵法制10万吨乙醇联产2万吨菌体蛋白项目</w:t>
            </w:r>
            <w:bookmarkEnd w:id="40"/>
            <w:bookmarkEnd w:id="41"/>
            <w:r>
              <w:rPr>
                <w:rFonts w:hint="eastAsia"/>
                <w:b/>
                <w:bCs/>
                <w:sz w:val="24"/>
                <w:highlight w:val="none"/>
                <w:lang w:val="en-US" w:eastAsia="zh-CN"/>
              </w:rPr>
              <w:t>基本情况</w:t>
            </w:r>
          </w:p>
          <w:p w14:paraId="4A60D07B">
            <w:pPr>
              <w:spacing w:line="360" w:lineRule="auto"/>
              <w:ind w:firstLine="480"/>
              <w:rPr>
                <w:rFonts w:hint="default" w:cs="Times New Roman"/>
                <w:snapToGrid w:val="0"/>
                <w:sz w:val="24"/>
                <w:szCs w:val="24"/>
                <w:highlight w:val="none"/>
                <w:lang w:val="en-US" w:eastAsia="zh-CN"/>
              </w:rPr>
            </w:pPr>
            <w:r>
              <w:rPr>
                <w:rFonts w:hint="eastAsia" w:cs="Times New Roman"/>
                <w:snapToGrid w:val="0"/>
                <w:sz w:val="24"/>
                <w:szCs w:val="24"/>
                <w:highlight w:val="none"/>
                <w:lang w:val="en-US" w:eastAsia="zh-CN"/>
              </w:rPr>
              <w:t>1.基本情况</w:t>
            </w:r>
          </w:p>
          <w:p w14:paraId="6F2783E2">
            <w:pPr>
              <w:spacing w:line="360" w:lineRule="auto"/>
              <w:ind w:firstLine="480"/>
              <w:rPr>
                <w:rFonts w:hint="eastAsia" w:ascii="Times New Roman" w:hAnsi="Times New Roman" w:eastAsia="宋体" w:cs="Times New Roman"/>
                <w:snapToGrid w:val="0"/>
                <w:sz w:val="24"/>
                <w:szCs w:val="24"/>
                <w:highlight w:val="none"/>
                <w:lang w:val="en-US" w:eastAsia="zh-CN"/>
              </w:rPr>
            </w:pPr>
            <w:r>
              <w:rPr>
                <w:rFonts w:hint="eastAsia" w:ascii="Times New Roman" w:hAnsi="Times New Roman" w:eastAsia="宋体" w:cs="Times New Roman"/>
                <w:snapToGrid w:val="0"/>
                <w:sz w:val="24"/>
                <w:szCs w:val="24"/>
                <w:highlight w:val="none"/>
                <w:lang w:val="en-US" w:eastAsia="zh-CN"/>
              </w:rPr>
              <w:t>项目类别：根据《建设项目环境影响评价分类管理名录（2021年版）》，本项目属于</w:t>
            </w:r>
            <w:r>
              <w:rPr>
                <w:rFonts w:hint="eastAsia" w:cs="Times New Roman"/>
                <w:snapToGrid w:val="0"/>
                <w:sz w:val="24"/>
                <w:szCs w:val="24"/>
                <w:highlight w:val="none"/>
                <w:lang w:val="en-US" w:eastAsia="zh-CN"/>
              </w:rPr>
              <w:t>“</w:t>
            </w:r>
            <w:r>
              <w:rPr>
                <w:rFonts w:hint="eastAsia" w:ascii="Times New Roman" w:hAnsi="Times New Roman" w:eastAsia="宋体" w:cs="Times New Roman"/>
                <w:snapToGrid w:val="0"/>
                <w:sz w:val="24"/>
                <w:szCs w:val="24"/>
                <w:highlight w:val="none"/>
                <w:lang w:val="en-US" w:eastAsia="zh-CN"/>
              </w:rPr>
              <w:t>二十三、化学原料和化学制品制造业26</w:t>
            </w:r>
            <w:r>
              <w:rPr>
                <w:rFonts w:hint="eastAsia" w:cs="Times New Roman"/>
                <w:snapToGrid w:val="0"/>
                <w:sz w:val="24"/>
                <w:szCs w:val="24"/>
                <w:highlight w:val="none"/>
                <w:lang w:val="en-US" w:eastAsia="zh-CN"/>
              </w:rPr>
              <w:t>”</w:t>
            </w:r>
            <w:r>
              <w:rPr>
                <w:rFonts w:hint="eastAsia" w:ascii="Times New Roman" w:hAnsi="Times New Roman" w:eastAsia="宋体" w:cs="Times New Roman"/>
                <w:snapToGrid w:val="0"/>
                <w:sz w:val="24"/>
                <w:szCs w:val="24"/>
                <w:highlight w:val="none"/>
                <w:lang w:val="en-US" w:eastAsia="zh-CN"/>
              </w:rPr>
              <w:t>中</w:t>
            </w:r>
            <w:r>
              <w:rPr>
                <w:rFonts w:hint="eastAsia" w:cs="Times New Roman"/>
                <w:snapToGrid w:val="0"/>
                <w:sz w:val="24"/>
                <w:szCs w:val="24"/>
                <w:highlight w:val="none"/>
                <w:lang w:val="en-US" w:eastAsia="zh-CN"/>
              </w:rPr>
              <w:t>“</w:t>
            </w:r>
            <w:r>
              <w:rPr>
                <w:rFonts w:hint="eastAsia" w:ascii="Times New Roman" w:hAnsi="Times New Roman" w:eastAsia="宋体" w:cs="Times New Roman"/>
                <w:snapToGrid w:val="0"/>
                <w:sz w:val="24"/>
                <w:szCs w:val="24"/>
                <w:highlight w:val="none"/>
                <w:lang w:val="en-US" w:eastAsia="zh-CN"/>
              </w:rPr>
              <w:t>基础化学原料制造261</w:t>
            </w:r>
            <w:r>
              <w:rPr>
                <w:rFonts w:hint="eastAsia" w:cs="Times New Roman"/>
                <w:snapToGrid w:val="0"/>
                <w:sz w:val="24"/>
                <w:szCs w:val="24"/>
                <w:highlight w:val="none"/>
                <w:lang w:val="en-US" w:eastAsia="zh-CN"/>
              </w:rPr>
              <w:t>”</w:t>
            </w:r>
            <w:r>
              <w:rPr>
                <w:rFonts w:hint="eastAsia" w:ascii="Times New Roman" w:hAnsi="Times New Roman" w:eastAsia="宋体" w:cs="Times New Roman"/>
                <w:snapToGrid w:val="0"/>
                <w:sz w:val="24"/>
                <w:szCs w:val="24"/>
                <w:highlight w:val="none"/>
                <w:lang w:val="en-US" w:eastAsia="zh-CN"/>
              </w:rPr>
              <w:t>。</w:t>
            </w:r>
          </w:p>
          <w:p w14:paraId="39167CFA">
            <w:pPr>
              <w:spacing w:line="360" w:lineRule="auto"/>
              <w:ind w:firstLine="480"/>
              <w:rPr>
                <w:rFonts w:hint="eastAsia" w:ascii="Times New Roman" w:hAnsi="Times New Roman" w:eastAsia="宋体" w:cs="Times New Roman"/>
                <w:snapToGrid w:val="0"/>
                <w:sz w:val="24"/>
                <w:szCs w:val="24"/>
                <w:highlight w:val="none"/>
                <w:lang w:val="en-US" w:eastAsia="zh-CN"/>
              </w:rPr>
            </w:pPr>
            <w:r>
              <w:rPr>
                <w:rFonts w:hint="eastAsia" w:ascii="Times New Roman" w:hAnsi="Times New Roman" w:eastAsia="宋体" w:cs="Times New Roman"/>
                <w:snapToGrid w:val="0"/>
                <w:sz w:val="24"/>
                <w:szCs w:val="24"/>
                <w:highlight w:val="none"/>
                <w:lang w:val="en-US" w:eastAsia="zh-CN"/>
              </w:rPr>
              <w:t>建设单位：内蒙古鹏泰生物科技有限公司。</w:t>
            </w:r>
          </w:p>
          <w:p w14:paraId="0EDB16DE">
            <w:pPr>
              <w:spacing w:line="360" w:lineRule="auto"/>
              <w:ind w:firstLine="480"/>
              <w:rPr>
                <w:rFonts w:hint="eastAsia" w:ascii="Times New Roman" w:hAnsi="Times New Roman" w:eastAsia="宋体" w:cs="Times New Roman"/>
                <w:snapToGrid w:val="0"/>
                <w:sz w:val="24"/>
                <w:szCs w:val="24"/>
                <w:highlight w:val="none"/>
                <w:lang w:val="en-US" w:eastAsia="zh-CN"/>
              </w:rPr>
            </w:pPr>
            <w:r>
              <w:rPr>
                <w:rFonts w:hint="eastAsia" w:ascii="Times New Roman" w:hAnsi="Times New Roman" w:eastAsia="宋体" w:cs="Times New Roman"/>
                <w:snapToGrid w:val="0"/>
                <w:sz w:val="24"/>
                <w:szCs w:val="24"/>
                <w:highlight w:val="none"/>
                <w:lang w:val="en-US" w:eastAsia="zh-CN"/>
              </w:rPr>
              <w:t>建设性质：新建。</w:t>
            </w:r>
          </w:p>
          <w:p w14:paraId="3F067742">
            <w:pPr>
              <w:spacing w:line="360" w:lineRule="auto"/>
              <w:ind w:firstLine="480"/>
              <w:rPr>
                <w:rFonts w:hint="eastAsia" w:ascii="Times New Roman" w:hAnsi="Times New Roman" w:eastAsia="宋体" w:cs="Times New Roman"/>
                <w:snapToGrid w:val="0"/>
                <w:sz w:val="24"/>
                <w:szCs w:val="24"/>
                <w:highlight w:val="none"/>
                <w:lang w:val="en-US" w:eastAsia="zh-CN"/>
              </w:rPr>
            </w:pPr>
            <w:r>
              <w:rPr>
                <w:rFonts w:hint="eastAsia" w:ascii="Times New Roman" w:hAnsi="Times New Roman" w:eastAsia="宋体" w:cs="Times New Roman"/>
                <w:snapToGrid w:val="0"/>
                <w:sz w:val="24"/>
                <w:szCs w:val="24"/>
                <w:highlight w:val="none"/>
                <w:lang w:val="en-US" w:eastAsia="zh-CN"/>
              </w:rPr>
              <w:t>建设地点：</w:t>
            </w:r>
            <w:bookmarkStart w:id="42" w:name="OLE_LINK20"/>
            <w:r>
              <w:rPr>
                <w:rFonts w:hint="eastAsia" w:ascii="Times New Roman" w:hAnsi="Times New Roman" w:eastAsia="宋体" w:cs="Times New Roman"/>
                <w:snapToGrid w:val="0"/>
                <w:sz w:val="24"/>
                <w:szCs w:val="24"/>
                <w:highlight w:val="none"/>
                <w:lang w:val="en-US" w:eastAsia="zh-CN"/>
              </w:rPr>
              <w:t>内蒙古自治区</w:t>
            </w:r>
            <w:bookmarkStart w:id="43" w:name="OLE_LINK6"/>
            <w:r>
              <w:rPr>
                <w:rFonts w:hint="eastAsia" w:ascii="Times New Roman" w:hAnsi="Times New Roman" w:eastAsia="宋体" w:cs="Times New Roman"/>
                <w:snapToGrid w:val="0"/>
                <w:sz w:val="24"/>
                <w:szCs w:val="24"/>
                <w:highlight w:val="none"/>
                <w:lang w:val="en-US" w:eastAsia="zh-CN"/>
              </w:rPr>
              <w:t>鄂尔多斯</w:t>
            </w:r>
            <w:bookmarkEnd w:id="43"/>
            <w:r>
              <w:rPr>
                <w:rFonts w:hint="eastAsia" w:ascii="Times New Roman" w:hAnsi="Times New Roman" w:eastAsia="宋体" w:cs="Times New Roman"/>
                <w:snapToGrid w:val="0"/>
                <w:sz w:val="24"/>
                <w:szCs w:val="24"/>
                <w:highlight w:val="none"/>
                <w:lang w:val="en-US" w:eastAsia="zh-CN"/>
              </w:rPr>
              <w:t>市杭锦旗，鄂尔多斯杭锦经济开发区独贵塔拉</w:t>
            </w:r>
            <w:bookmarkEnd w:id="42"/>
            <w:r>
              <w:rPr>
                <w:rFonts w:hint="eastAsia" w:ascii="Times New Roman" w:hAnsi="Times New Roman" w:eastAsia="宋体" w:cs="Times New Roman"/>
                <w:snapToGrid w:val="0"/>
                <w:sz w:val="24"/>
                <w:szCs w:val="24"/>
                <w:highlight w:val="none"/>
                <w:lang w:val="en-US" w:eastAsia="zh-CN"/>
              </w:rPr>
              <w:t>产业园（南</w:t>
            </w:r>
            <w:r>
              <w:rPr>
                <w:rFonts w:hint="eastAsia" w:cs="Times New Roman"/>
                <w:snapToGrid w:val="0"/>
                <w:sz w:val="24"/>
                <w:szCs w:val="24"/>
                <w:highlight w:val="none"/>
                <w:lang w:val="en-US" w:eastAsia="zh-CN"/>
              </w:rPr>
              <w:t>项目</w:t>
            </w:r>
            <w:r>
              <w:rPr>
                <w:rFonts w:hint="eastAsia" w:ascii="Times New Roman" w:hAnsi="Times New Roman" w:eastAsia="宋体" w:cs="Times New Roman"/>
                <w:snapToGrid w:val="0"/>
                <w:sz w:val="24"/>
                <w:szCs w:val="24"/>
                <w:highlight w:val="none"/>
                <w:lang w:val="en-US" w:eastAsia="zh-CN"/>
              </w:rPr>
              <w:t>区）。</w:t>
            </w:r>
          </w:p>
          <w:p w14:paraId="48530CB3">
            <w:pPr>
              <w:spacing w:line="360" w:lineRule="auto"/>
              <w:ind w:firstLine="480"/>
              <w:rPr>
                <w:rFonts w:hint="eastAsia" w:ascii="Times New Roman" w:hAnsi="Times New Roman" w:eastAsia="宋体" w:cs="Times New Roman"/>
                <w:snapToGrid w:val="0"/>
                <w:sz w:val="24"/>
                <w:szCs w:val="24"/>
                <w:highlight w:val="none"/>
                <w:lang w:val="en-US" w:eastAsia="zh-CN"/>
              </w:rPr>
            </w:pPr>
            <w:r>
              <w:rPr>
                <w:rFonts w:hint="eastAsia" w:ascii="Times New Roman" w:hAnsi="Times New Roman" w:eastAsia="宋体" w:cs="Times New Roman"/>
                <w:snapToGrid w:val="0"/>
                <w:sz w:val="24"/>
                <w:szCs w:val="24"/>
                <w:highlight w:val="none"/>
                <w:lang w:val="en-US" w:eastAsia="zh-CN"/>
              </w:rPr>
              <w:t>总投资：73000万元。其中环保投资6210万元，占总投资的8.51%。</w:t>
            </w:r>
          </w:p>
          <w:p w14:paraId="4F26EC7C">
            <w:pPr>
              <w:spacing w:line="360" w:lineRule="auto"/>
              <w:ind w:firstLine="480"/>
              <w:rPr>
                <w:rFonts w:hint="eastAsia" w:ascii="Times New Roman" w:hAnsi="Times New Roman" w:eastAsia="宋体" w:cs="Times New Roman"/>
                <w:snapToGrid w:val="0"/>
                <w:sz w:val="24"/>
                <w:szCs w:val="24"/>
                <w:highlight w:val="none"/>
                <w:lang w:val="en-US" w:eastAsia="zh-CN"/>
              </w:rPr>
            </w:pPr>
            <w:r>
              <w:rPr>
                <w:rFonts w:hint="eastAsia" w:ascii="Times New Roman" w:hAnsi="Times New Roman" w:eastAsia="宋体" w:cs="Times New Roman"/>
                <w:snapToGrid w:val="0"/>
                <w:sz w:val="24"/>
                <w:szCs w:val="24"/>
                <w:highlight w:val="none"/>
                <w:lang w:val="en-US" w:eastAsia="zh-CN"/>
              </w:rPr>
              <w:t>占地面积：206712.91m</w:t>
            </w:r>
            <w:r>
              <w:rPr>
                <w:rFonts w:hint="eastAsia" w:ascii="Times New Roman" w:hAnsi="Times New Roman" w:eastAsia="宋体" w:cs="Times New Roman"/>
                <w:snapToGrid w:val="0"/>
                <w:sz w:val="24"/>
                <w:szCs w:val="24"/>
                <w:highlight w:val="none"/>
                <w:vertAlign w:val="superscript"/>
                <w:lang w:val="en-US" w:eastAsia="zh-CN"/>
              </w:rPr>
              <w:t>2</w:t>
            </w:r>
            <w:r>
              <w:rPr>
                <w:rFonts w:hint="eastAsia" w:ascii="Times New Roman" w:hAnsi="Times New Roman" w:eastAsia="宋体" w:cs="Times New Roman"/>
                <w:snapToGrid w:val="0"/>
                <w:sz w:val="24"/>
                <w:szCs w:val="24"/>
                <w:highlight w:val="none"/>
                <w:lang w:val="en-US" w:eastAsia="zh-CN"/>
              </w:rPr>
              <w:t>。</w:t>
            </w:r>
          </w:p>
          <w:p w14:paraId="2A6D6824">
            <w:pPr>
              <w:spacing w:line="360" w:lineRule="auto"/>
              <w:ind w:firstLine="480"/>
              <w:rPr>
                <w:rFonts w:hint="eastAsia" w:ascii="Times New Roman" w:hAnsi="Times New Roman" w:eastAsia="宋体" w:cs="Times New Roman"/>
                <w:snapToGrid w:val="0"/>
                <w:sz w:val="24"/>
                <w:szCs w:val="24"/>
                <w:highlight w:val="none"/>
                <w:lang w:val="en-US" w:eastAsia="zh-CN"/>
              </w:rPr>
            </w:pPr>
            <w:r>
              <w:rPr>
                <w:rFonts w:hint="eastAsia" w:ascii="Times New Roman" w:hAnsi="Times New Roman" w:eastAsia="宋体" w:cs="Times New Roman"/>
                <w:snapToGrid w:val="0"/>
                <w:sz w:val="24"/>
                <w:szCs w:val="24"/>
                <w:highlight w:val="none"/>
                <w:lang w:val="en-US" w:eastAsia="zh-CN"/>
              </w:rPr>
              <w:t>全厂定员：49人。</w:t>
            </w:r>
          </w:p>
          <w:p w14:paraId="1280AD28">
            <w:pPr>
              <w:spacing w:line="360" w:lineRule="auto"/>
              <w:ind w:firstLine="480"/>
              <w:rPr>
                <w:rFonts w:hint="eastAsia" w:ascii="Times New Roman" w:hAnsi="Times New Roman" w:eastAsia="宋体" w:cs="Times New Roman"/>
                <w:snapToGrid w:val="0"/>
                <w:sz w:val="24"/>
                <w:szCs w:val="24"/>
                <w:highlight w:val="none"/>
                <w:lang w:val="en-US" w:eastAsia="zh-CN"/>
              </w:rPr>
            </w:pPr>
            <w:r>
              <w:rPr>
                <w:rFonts w:hint="eastAsia" w:ascii="Times New Roman" w:hAnsi="Times New Roman" w:eastAsia="宋体" w:cs="Times New Roman"/>
                <w:snapToGrid w:val="0"/>
                <w:sz w:val="24"/>
                <w:szCs w:val="24"/>
                <w:highlight w:val="none"/>
                <w:lang w:val="en-US" w:eastAsia="zh-CN"/>
              </w:rPr>
              <w:t>运行时间：8000h。</w:t>
            </w:r>
          </w:p>
          <w:p w14:paraId="25A1590B">
            <w:pPr>
              <w:spacing w:line="360" w:lineRule="auto"/>
              <w:ind w:firstLine="480"/>
              <w:rPr>
                <w:rFonts w:hint="eastAsia" w:cs="Times New Roman"/>
                <w:snapToGrid w:val="0"/>
                <w:sz w:val="24"/>
                <w:szCs w:val="24"/>
                <w:highlight w:val="none"/>
                <w:lang w:val="en-US" w:eastAsia="zh-CN"/>
              </w:rPr>
            </w:pPr>
            <w:r>
              <w:rPr>
                <w:rFonts w:hint="eastAsia" w:cs="Times New Roman"/>
                <w:snapToGrid w:val="0"/>
                <w:sz w:val="24"/>
                <w:szCs w:val="24"/>
                <w:highlight w:val="none"/>
                <w:lang w:val="en-US" w:eastAsia="zh-CN"/>
              </w:rPr>
              <w:t>2.建设规模</w:t>
            </w:r>
          </w:p>
          <w:p w14:paraId="451055FE">
            <w:pPr>
              <w:spacing w:line="360" w:lineRule="auto"/>
              <w:ind w:firstLine="480"/>
              <w:rPr>
                <w:rFonts w:hint="eastAsia" w:ascii="Times New Roman" w:hAnsi="Times New Roman" w:eastAsia="宋体" w:cs="Times New Roman"/>
                <w:snapToGrid w:val="0"/>
                <w:sz w:val="24"/>
                <w:szCs w:val="24"/>
                <w:highlight w:val="none"/>
                <w:lang w:val="en-US" w:eastAsia="zh-CN"/>
              </w:rPr>
            </w:pPr>
            <w:r>
              <w:rPr>
                <w:rFonts w:hint="eastAsia" w:ascii="Times New Roman" w:hAnsi="Times New Roman" w:eastAsia="宋体" w:cs="Times New Roman"/>
                <w:snapToGrid w:val="0"/>
                <w:sz w:val="24"/>
                <w:szCs w:val="24"/>
                <w:highlight w:val="none"/>
                <w:lang w:val="en-US" w:eastAsia="zh-CN"/>
              </w:rPr>
              <w:t>本项目以内蒙古伊泰化工有限责任公司120万吨/年精细化学品示范项目净化装置未变换净化气、化学品合成装置合成脱碳尾气为原料，采用巨鹏生物科技有限公司发酵法原料气制乙醇技术，生产11.6万吨/年乙醇联产1.68万吨/年菌体蛋白。</w:t>
            </w:r>
          </w:p>
          <w:p w14:paraId="5083DB1C">
            <w:pPr>
              <w:adjustRightInd w:val="0"/>
              <w:snapToGrid w:val="0"/>
              <w:spacing w:line="360" w:lineRule="auto"/>
              <w:jc w:val="center"/>
              <w:rPr>
                <w:rFonts w:hint="eastAsia"/>
                <w:b/>
                <w:bCs w:val="0"/>
                <w:sz w:val="21"/>
                <w:szCs w:val="21"/>
                <w:highlight w:val="none"/>
                <w:lang w:val="en-US" w:eastAsia="zh-CN"/>
              </w:rPr>
            </w:pPr>
            <w:r>
              <w:rPr>
                <w:rFonts w:hint="eastAsia"/>
                <w:b/>
                <w:bCs w:val="0"/>
                <w:sz w:val="21"/>
                <w:szCs w:val="21"/>
                <w:highlight w:val="none"/>
                <w:lang w:val="en-US" w:eastAsia="zh-CN"/>
              </w:rPr>
              <w:t>表3.4   现有项目产品方案</w:t>
            </w:r>
          </w:p>
          <w:tbl>
            <w:tblPr>
              <w:tblStyle w:val="58"/>
              <w:tblW w:w="49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097"/>
              <w:gridCol w:w="1185"/>
              <w:gridCol w:w="2611"/>
              <w:gridCol w:w="1649"/>
              <w:gridCol w:w="879"/>
            </w:tblGrid>
            <w:tr w14:paraId="37D7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Align w:val="center"/>
                </w:tcPr>
                <w:p w14:paraId="7DE26704">
                  <w:pPr>
                    <w:pStyle w:val="56"/>
                    <w:rPr>
                      <w:rFonts w:cs="Times New Roman"/>
                      <w:highlight w:val="none"/>
                    </w:rPr>
                  </w:pPr>
                  <w:r>
                    <w:rPr>
                      <w:rFonts w:cs="Times New Roman"/>
                      <w:highlight w:val="none"/>
                    </w:rPr>
                    <w:t>序号</w:t>
                  </w:r>
                </w:p>
              </w:tc>
              <w:tc>
                <w:tcPr>
                  <w:tcW w:w="672" w:type="pct"/>
                  <w:vAlign w:val="center"/>
                </w:tcPr>
                <w:p w14:paraId="5FAEF91B">
                  <w:pPr>
                    <w:pStyle w:val="56"/>
                    <w:rPr>
                      <w:rFonts w:cs="Times New Roman"/>
                      <w:highlight w:val="none"/>
                    </w:rPr>
                  </w:pPr>
                  <w:r>
                    <w:rPr>
                      <w:rFonts w:cs="Times New Roman"/>
                      <w:highlight w:val="none"/>
                    </w:rPr>
                    <w:t>产品名称</w:t>
                  </w:r>
                </w:p>
              </w:tc>
              <w:tc>
                <w:tcPr>
                  <w:tcW w:w="726" w:type="pct"/>
                  <w:vAlign w:val="center"/>
                </w:tcPr>
                <w:p w14:paraId="3EDEA452">
                  <w:pPr>
                    <w:pStyle w:val="56"/>
                    <w:rPr>
                      <w:rFonts w:cs="Times New Roman"/>
                      <w:highlight w:val="none"/>
                    </w:rPr>
                  </w:pPr>
                  <w:r>
                    <w:rPr>
                      <w:rFonts w:cs="Times New Roman"/>
                      <w:highlight w:val="none"/>
                    </w:rPr>
                    <w:t>产量（t/a）</w:t>
                  </w:r>
                </w:p>
              </w:tc>
              <w:tc>
                <w:tcPr>
                  <w:tcW w:w="1599" w:type="pct"/>
                  <w:vAlign w:val="center"/>
                </w:tcPr>
                <w:p w14:paraId="7DB08EAE">
                  <w:pPr>
                    <w:pStyle w:val="56"/>
                    <w:rPr>
                      <w:rFonts w:cs="Times New Roman"/>
                      <w:highlight w:val="none"/>
                    </w:rPr>
                  </w:pPr>
                  <w:r>
                    <w:rPr>
                      <w:rFonts w:cs="Times New Roman"/>
                      <w:highlight w:val="none"/>
                    </w:rPr>
                    <w:t>执行标准</w:t>
                  </w:r>
                </w:p>
              </w:tc>
              <w:tc>
                <w:tcPr>
                  <w:tcW w:w="1010" w:type="pct"/>
                  <w:vAlign w:val="center"/>
                </w:tcPr>
                <w:p w14:paraId="12FB39F5">
                  <w:pPr>
                    <w:pStyle w:val="56"/>
                    <w:rPr>
                      <w:rFonts w:cs="Times New Roman"/>
                      <w:highlight w:val="none"/>
                    </w:rPr>
                  </w:pPr>
                  <w:r>
                    <w:rPr>
                      <w:rFonts w:cs="Times New Roman"/>
                      <w:highlight w:val="none"/>
                    </w:rPr>
                    <w:t>存储方式及位置</w:t>
                  </w:r>
                </w:p>
              </w:tc>
              <w:tc>
                <w:tcPr>
                  <w:tcW w:w="538" w:type="pct"/>
                  <w:vAlign w:val="center"/>
                </w:tcPr>
                <w:p w14:paraId="10DFD979">
                  <w:pPr>
                    <w:pStyle w:val="56"/>
                    <w:rPr>
                      <w:rFonts w:cs="Times New Roman"/>
                      <w:highlight w:val="none"/>
                    </w:rPr>
                  </w:pPr>
                  <w:r>
                    <w:rPr>
                      <w:rFonts w:cs="Times New Roman"/>
                      <w:highlight w:val="none"/>
                    </w:rPr>
                    <w:t>备注</w:t>
                  </w:r>
                </w:p>
              </w:tc>
            </w:tr>
            <w:tr w14:paraId="377B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Align w:val="center"/>
                </w:tcPr>
                <w:p w14:paraId="78A815DA">
                  <w:pPr>
                    <w:pStyle w:val="56"/>
                    <w:rPr>
                      <w:rFonts w:cs="Times New Roman"/>
                      <w:highlight w:val="none"/>
                    </w:rPr>
                  </w:pPr>
                  <w:r>
                    <w:rPr>
                      <w:rFonts w:cs="Times New Roman"/>
                      <w:highlight w:val="none"/>
                    </w:rPr>
                    <w:t>1</w:t>
                  </w:r>
                </w:p>
              </w:tc>
              <w:tc>
                <w:tcPr>
                  <w:tcW w:w="672" w:type="pct"/>
                  <w:vAlign w:val="center"/>
                </w:tcPr>
                <w:p w14:paraId="43B2B830">
                  <w:pPr>
                    <w:pStyle w:val="56"/>
                    <w:rPr>
                      <w:rFonts w:cs="Times New Roman"/>
                      <w:highlight w:val="none"/>
                    </w:rPr>
                  </w:pPr>
                  <w:r>
                    <w:rPr>
                      <w:rFonts w:cs="Times New Roman"/>
                      <w:highlight w:val="none"/>
                    </w:rPr>
                    <w:t>乙醇</w:t>
                  </w:r>
                </w:p>
              </w:tc>
              <w:tc>
                <w:tcPr>
                  <w:tcW w:w="726" w:type="pct"/>
                  <w:vAlign w:val="center"/>
                </w:tcPr>
                <w:p w14:paraId="01D223DC">
                  <w:pPr>
                    <w:widowControl/>
                    <w:adjustRightInd w:val="0"/>
                    <w:snapToGrid w:val="0"/>
                    <w:spacing w:line="240" w:lineRule="auto"/>
                    <w:ind w:firstLine="0" w:firstLineChars="0"/>
                    <w:jc w:val="center"/>
                    <w:rPr>
                      <w:rFonts w:cs="Times New Roman"/>
                      <w:kern w:val="0"/>
                      <w:sz w:val="21"/>
                      <w:szCs w:val="21"/>
                      <w:highlight w:val="none"/>
                    </w:rPr>
                  </w:pPr>
                  <w:r>
                    <w:rPr>
                      <w:rFonts w:cs="Times New Roman"/>
                      <w:kern w:val="0"/>
                      <w:sz w:val="21"/>
                      <w:szCs w:val="21"/>
                      <w:highlight w:val="none"/>
                    </w:rPr>
                    <w:t>116280.00</w:t>
                  </w:r>
                </w:p>
              </w:tc>
              <w:tc>
                <w:tcPr>
                  <w:tcW w:w="1599" w:type="pct"/>
                  <w:vAlign w:val="center"/>
                </w:tcPr>
                <w:p w14:paraId="556776DE">
                  <w:pPr>
                    <w:pStyle w:val="56"/>
                    <w:rPr>
                      <w:rFonts w:cs="Times New Roman"/>
                      <w:highlight w:val="none"/>
                    </w:rPr>
                  </w:pPr>
                  <w:r>
                    <w:rPr>
                      <w:rFonts w:cs="Times New Roman"/>
                      <w:highlight w:val="none"/>
                    </w:rPr>
                    <w:t>《工业用乙醇》（GB/T6820-2016）99.5%乙醇优等品</w:t>
                  </w:r>
                </w:p>
              </w:tc>
              <w:tc>
                <w:tcPr>
                  <w:tcW w:w="1010" w:type="pct"/>
                  <w:vAlign w:val="center"/>
                </w:tcPr>
                <w:p w14:paraId="611C4331">
                  <w:pPr>
                    <w:pStyle w:val="56"/>
                    <w:rPr>
                      <w:rFonts w:cs="Times New Roman"/>
                      <w:highlight w:val="none"/>
                    </w:rPr>
                  </w:pPr>
                  <w:r>
                    <w:rPr>
                      <w:rFonts w:cs="Times New Roman"/>
                      <w:highlight w:val="none"/>
                    </w:rPr>
                    <w:t>储罐/产品罐区</w:t>
                  </w:r>
                </w:p>
              </w:tc>
              <w:tc>
                <w:tcPr>
                  <w:tcW w:w="538" w:type="pct"/>
                  <w:vAlign w:val="center"/>
                </w:tcPr>
                <w:p w14:paraId="2F2DFB52">
                  <w:pPr>
                    <w:pStyle w:val="56"/>
                    <w:rPr>
                      <w:rFonts w:cs="Times New Roman"/>
                      <w:highlight w:val="none"/>
                    </w:rPr>
                  </w:pPr>
                  <w:r>
                    <w:rPr>
                      <w:rFonts w:cs="Times New Roman"/>
                      <w:highlight w:val="none"/>
                    </w:rPr>
                    <w:t>产品，外售</w:t>
                  </w:r>
                </w:p>
              </w:tc>
            </w:tr>
            <w:tr w14:paraId="6216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Align w:val="center"/>
                </w:tcPr>
                <w:p w14:paraId="710BAE61">
                  <w:pPr>
                    <w:pStyle w:val="56"/>
                    <w:rPr>
                      <w:rFonts w:cs="Times New Roman"/>
                      <w:highlight w:val="none"/>
                    </w:rPr>
                  </w:pPr>
                  <w:r>
                    <w:rPr>
                      <w:rFonts w:cs="Times New Roman"/>
                      <w:highlight w:val="none"/>
                    </w:rPr>
                    <w:t>2</w:t>
                  </w:r>
                </w:p>
              </w:tc>
              <w:tc>
                <w:tcPr>
                  <w:tcW w:w="672" w:type="pct"/>
                  <w:vAlign w:val="center"/>
                </w:tcPr>
                <w:p w14:paraId="2F60D3ED">
                  <w:pPr>
                    <w:pStyle w:val="56"/>
                    <w:rPr>
                      <w:rFonts w:cs="Times New Roman"/>
                      <w:highlight w:val="none"/>
                    </w:rPr>
                  </w:pPr>
                  <w:r>
                    <w:rPr>
                      <w:rFonts w:cs="Times New Roman"/>
                      <w:highlight w:val="none"/>
                    </w:rPr>
                    <w:t>菌体蛋白</w:t>
                  </w:r>
                </w:p>
              </w:tc>
              <w:tc>
                <w:tcPr>
                  <w:tcW w:w="726" w:type="pct"/>
                  <w:vAlign w:val="center"/>
                </w:tcPr>
                <w:p w14:paraId="01BA5D57">
                  <w:pPr>
                    <w:widowControl/>
                    <w:adjustRightInd w:val="0"/>
                    <w:snapToGrid w:val="0"/>
                    <w:spacing w:line="240" w:lineRule="auto"/>
                    <w:ind w:firstLine="0" w:firstLineChars="0"/>
                    <w:jc w:val="center"/>
                    <w:rPr>
                      <w:rFonts w:cs="Times New Roman"/>
                      <w:kern w:val="0"/>
                      <w:sz w:val="21"/>
                      <w:szCs w:val="21"/>
                      <w:highlight w:val="none"/>
                    </w:rPr>
                  </w:pPr>
                  <w:r>
                    <w:rPr>
                      <w:rFonts w:cs="Times New Roman"/>
                      <w:kern w:val="0"/>
                      <w:sz w:val="21"/>
                      <w:szCs w:val="21"/>
                      <w:highlight w:val="none"/>
                    </w:rPr>
                    <w:t>16864.00</w:t>
                  </w:r>
                </w:p>
              </w:tc>
              <w:tc>
                <w:tcPr>
                  <w:tcW w:w="1599" w:type="pct"/>
                  <w:vAlign w:val="center"/>
                </w:tcPr>
                <w:p w14:paraId="5ED4D0FB">
                  <w:pPr>
                    <w:pStyle w:val="56"/>
                    <w:rPr>
                      <w:rFonts w:cs="Times New Roman"/>
                      <w:highlight w:val="none"/>
                    </w:rPr>
                  </w:pPr>
                  <w:r>
                    <w:rPr>
                      <w:rFonts w:cs="Times New Roman"/>
                      <w:highlight w:val="none"/>
                    </w:rPr>
                    <w:t>参照执行《巨鹏生物科技有限公司企业标准》（Q/JP SCP01-2024）</w:t>
                  </w:r>
                </w:p>
              </w:tc>
              <w:tc>
                <w:tcPr>
                  <w:tcW w:w="1010" w:type="pct"/>
                  <w:vAlign w:val="center"/>
                </w:tcPr>
                <w:p w14:paraId="317B1979">
                  <w:pPr>
                    <w:pStyle w:val="56"/>
                    <w:rPr>
                      <w:rFonts w:cs="Times New Roman"/>
                      <w:highlight w:val="none"/>
                    </w:rPr>
                  </w:pPr>
                  <w:r>
                    <w:rPr>
                      <w:rFonts w:cs="Times New Roman"/>
                      <w:highlight w:val="none"/>
                    </w:rPr>
                    <w:t>袋装/菌体蛋白仓库</w:t>
                  </w:r>
                </w:p>
              </w:tc>
              <w:tc>
                <w:tcPr>
                  <w:tcW w:w="538" w:type="pct"/>
                  <w:vAlign w:val="center"/>
                </w:tcPr>
                <w:p w14:paraId="338A394A">
                  <w:pPr>
                    <w:pStyle w:val="56"/>
                    <w:rPr>
                      <w:rFonts w:cs="Times New Roman"/>
                      <w:highlight w:val="none"/>
                    </w:rPr>
                  </w:pPr>
                  <w:r>
                    <w:rPr>
                      <w:rFonts w:cs="Times New Roman"/>
                      <w:highlight w:val="none"/>
                    </w:rPr>
                    <w:t>产品，外售</w:t>
                  </w:r>
                </w:p>
              </w:tc>
            </w:tr>
            <w:tr w14:paraId="31D6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Align w:val="center"/>
                </w:tcPr>
                <w:p w14:paraId="7E30D565">
                  <w:pPr>
                    <w:pStyle w:val="56"/>
                    <w:rPr>
                      <w:rFonts w:cs="Times New Roman"/>
                      <w:highlight w:val="none"/>
                    </w:rPr>
                  </w:pPr>
                  <w:r>
                    <w:rPr>
                      <w:rFonts w:cs="Times New Roman"/>
                      <w:highlight w:val="none"/>
                    </w:rPr>
                    <w:t>3</w:t>
                  </w:r>
                </w:p>
              </w:tc>
              <w:tc>
                <w:tcPr>
                  <w:tcW w:w="672" w:type="pct"/>
                  <w:vAlign w:val="center"/>
                </w:tcPr>
                <w:p w14:paraId="79ED04CE">
                  <w:pPr>
                    <w:pStyle w:val="56"/>
                    <w:rPr>
                      <w:rFonts w:cs="Times New Roman"/>
                      <w:highlight w:val="none"/>
                    </w:rPr>
                  </w:pPr>
                  <w:r>
                    <w:rPr>
                      <w:rFonts w:cs="Times New Roman"/>
                      <w:highlight w:val="none"/>
                    </w:rPr>
                    <w:t>醇基液体燃料</w:t>
                  </w:r>
                </w:p>
              </w:tc>
              <w:tc>
                <w:tcPr>
                  <w:tcW w:w="726" w:type="pct"/>
                  <w:vAlign w:val="center"/>
                </w:tcPr>
                <w:p w14:paraId="17B20CEB">
                  <w:pPr>
                    <w:widowControl/>
                    <w:adjustRightInd w:val="0"/>
                    <w:snapToGrid w:val="0"/>
                    <w:spacing w:line="240" w:lineRule="auto"/>
                    <w:ind w:firstLine="0" w:firstLineChars="0"/>
                    <w:jc w:val="center"/>
                    <w:rPr>
                      <w:rFonts w:cs="Times New Roman"/>
                      <w:kern w:val="0"/>
                      <w:sz w:val="21"/>
                      <w:szCs w:val="21"/>
                      <w:highlight w:val="none"/>
                    </w:rPr>
                  </w:pPr>
                  <w:r>
                    <w:rPr>
                      <w:rFonts w:cs="Times New Roman"/>
                      <w:kern w:val="0"/>
                      <w:sz w:val="21"/>
                      <w:szCs w:val="21"/>
                      <w:highlight w:val="none"/>
                    </w:rPr>
                    <w:t>2608.00</w:t>
                  </w:r>
                </w:p>
              </w:tc>
              <w:tc>
                <w:tcPr>
                  <w:tcW w:w="1599" w:type="pct"/>
                  <w:vAlign w:val="center"/>
                </w:tcPr>
                <w:p w14:paraId="3445FD69">
                  <w:pPr>
                    <w:pStyle w:val="56"/>
                    <w:rPr>
                      <w:rFonts w:cs="Times New Roman"/>
                      <w:highlight w:val="none"/>
                    </w:rPr>
                  </w:pPr>
                  <w:r>
                    <w:rPr>
                      <w:rFonts w:cs="Times New Roman"/>
                      <w:highlight w:val="none"/>
                    </w:rPr>
                    <w:t>《醇基液体燃料》（GB16663-1996）二级标准</w:t>
                  </w:r>
                </w:p>
              </w:tc>
              <w:tc>
                <w:tcPr>
                  <w:tcW w:w="1010" w:type="pct"/>
                  <w:vAlign w:val="center"/>
                </w:tcPr>
                <w:p w14:paraId="27CB6423">
                  <w:pPr>
                    <w:pStyle w:val="56"/>
                    <w:rPr>
                      <w:rFonts w:cs="Times New Roman"/>
                      <w:highlight w:val="none"/>
                    </w:rPr>
                  </w:pPr>
                  <w:r>
                    <w:rPr>
                      <w:rFonts w:cs="Times New Roman"/>
                      <w:highlight w:val="none"/>
                    </w:rPr>
                    <w:t>储罐/产品罐区</w:t>
                  </w:r>
                </w:p>
              </w:tc>
              <w:tc>
                <w:tcPr>
                  <w:tcW w:w="538" w:type="pct"/>
                  <w:vAlign w:val="center"/>
                </w:tcPr>
                <w:p w14:paraId="0A4F1E73">
                  <w:pPr>
                    <w:pStyle w:val="56"/>
                    <w:rPr>
                      <w:rFonts w:hint="eastAsia" w:eastAsia="宋体" w:cs="Times New Roman"/>
                      <w:highlight w:val="none"/>
                      <w:lang w:eastAsia="zh-CN"/>
                    </w:rPr>
                  </w:pPr>
                  <w:r>
                    <w:rPr>
                      <w:rFonts w:cs="Times New Roman"/>
                      <w:highlight w:val="none"/>
                    </w:rPr>
                    <w:t>副产品，外售</w:t>
                  </w:r>
                  <w:r>
                    <w:rPr>
                      <w:rFonts w:hint="eastAsia" w:cs="Times New Roman"/>
                      <w:highlight w:val="none"/>
                      <w:lang w:eastAsia="zh-CN"/>
                    </w:rPr>
                    <w:t>。</w:t>
                  </w:r>
                </w:p>
              </w:tc>
            </w:tr>
          </w:tbl>
          <w:p w14:paraId="3BC4ACEB">
            <w:pPr>
              <w:numPr>
                <w:ilvl w:val="0"/>
                <w:numId w:val="0"/>
              </w:numPr>
              <w:spacing w:line="360" w:lineRule="auto"/>
              <w:ind w:firstLine="480" w:firstLineChars="200"/>
              <w:rPr>
                <w:rFonts w:hint="eastAsia"/>
                <w:sz w:val="24"/>
                <w:highlight w:val="none"/>
                <w:lang w:val="en-US" w:eastAsia="zh-CN"/>
              </w:rPr>
            </w:pPr>
            <w:r>
              <w:rPr>
                <w:rFonts w:hint="eastAsia"/>
                <w:sz w:val="24"/>
                <w:highlight w:val="none"/>
                <w:lang w:val="en-US" w:eastAsia="zh-CN"/>
              </w:rPr>
              <w:t>3.鹏泰环保手续</w:t>
            </w:r>
          </w:p>
          <w:p w14:paraId="11FEEC1B">
            <w:pPr>
              <w:spacing w:line="360" w:lineRule="auto"/>
              <w:ind w:firstLine="480"/>
              <w:rPr>
                <w:rFonts w:hint="eastAsia"/>
                <w:sz w:val="24"/>
                <w:highlight w:val="none"/>
                <w:lang w:val="en-US" w:eastAsia="zh-CN"/>
              </w:rPr>
            </w:pPr>
            <w:r>
              <w:rPr>
                <w:rFonts w:hint="eastAsia"/>
                <w:sz w:val="24"/>
                <w:highlight w:val="none"/>
                <w:lang w:val="en-US" w:eastAsia="zh-CN"/>
              </w:rPr>
              <w:t>2025年6月9日，鄂尔多斯生态环境局以内环审﹝2025﹞90号文件出具了《关于伊泰-巨鹏CO</w:t>
            </w:r>
            <w:r>
              <w:rPr>
                <w:rFonts w:hint="eastAsia"/>
                <w:sz w:val="24"/>
                <w:highlight w:val="none"/>
                <w:vertAlign w:val="subscript"/>
                <w:lang w:val="en-US" w:eastAsia="zh-CN"/>
              </w:rPr>
              <w:t>2</w:t>
            </w:r>
            <w:r>
              <w:rPr>
                <w:rFonts w:hint="eastAsia"/>
                <w:sz w:val="24"/>
                <w:highlight w:val="none"/>
                <w:lang w:val="en-US" w:eastAsia="zh-CN"/>
              </w:rPr>
              <w:t>和工业尾气生物发酵法制10万吨乙醇联产2万吨菌体蛋白项目环境影响报告书的批复》。</w:t>
            </w:r>
          </w:p>
          <w:p w14:paraId="70B84391">
            <w:pPr>
              <w:spacing w:line="360" w:lineRule="auto"/>
              <w:ind w:firstLine="480"/>
              <w:rPr>
                <w:rFonts w:hint="default"/>
                <w:sz w:val="24"/>
                <w:highlight w:val="none"/>
                <w:lang w:val="en-US" w:eastAsia="zh-CN"/>
              </w:rPr>
            </w:pPr>
            <w:r>
              <w:rPr>
                <w:rFonts w:hint="default" w:ascii="Times New Roman" w:hAnsi="Times New Roman" w:eastAsia="宋体" w:cs="Times New Roman"/>
                <w:snapToGrid w:val="0"/>
                <w:sz w:val="24"/>
                <w:szCs w:val="24"/>
                <w:highlight w:val="none"/>
                <w:lang w:val="en-US" w:eastAsia="zh-CN"/>
              </w:rPr>
              <w:t>正在建设中，还未投产、未进行验收工作</w:t>
            </w:r>
            <w:r>
              <w:rPr>
                <w:rFonts w:hint="eastAsia" w:cs="Times New Roman"/>
                <w:snapToGrid w:val="0"/>
                <w:sz w:val="24"/>
                <w:szCs w:val="24"/>
                <w:highlight w:val="none"/>
                <w:lang w:val="en-US" w:eastAsia="zh-CN"/>
              </w:rPr>
              <w:t>。无污染物产排情况。</w:t>
            </w:r>
          </w:p>
          <w:p w14:paraId="3A7970C6">
            <w:pPr>
              <w:numPr>
                <w:ilvl w:val="0"/>
                <w:numId w:val="0"/>
              </w:numPr>
              <w:adjustRightInd w:val="0"/>
              <w:snapToGrid w:val="0"/>
              <w:spacing w:line="360" w:lineRule="auto"/>
              <w:ind w:firstLine="0"/>
              <w:rPr>
                <w:b/>
                <w:sz w:val="24"/>
                <w:highlight w:val="none"/>
              </w:rPr>
            </w:pPr>
            <w:bookmarkStart w:id="44" w:name="_Toc71147195"/>
            <w:r>
              <w:rPr>
                <w:rFonts w:hint="eastAsia"/>
                <w:b/>
                <w:bCs/>
                <w:sz w:val="24"/>
                <w:highlight w:val="none"/>
                <w:lang w:val="en-US" w:eastAsia="zh-CN"/>
              </w:rPr>
              <w:t>三、</w:t>
            </w:r>
            <w:r>
              <w:rPr>
                <w:b/>
                <w:bCs/>
                <w:sz w:val="24"/>
                <w:highlight w:val="none"/>
              </w:rPr>
              <w:t>120万吨/年精细化学品示范</w:t>
            </w:r>
            <w:r>
              <w:rPr>
                <w:b/>
                <w:sz w:val="24"/>
                <w:highlight w:val="none"/>
              </w:rPr>
              <w:t>项目主要污染物排放</w:t>
            </w:r>
            <w:r>
              <w:rPr>
                <w:rFonts w:hint="eastAsia"/>
                <w:b/>
                <w:sz w:val="24"/>
                <w:highlight w:val="none"/>
                <w:lang w:eastAsia="zh-CN"/>
              </w:rPr>
              <w:t>情况</w:t>
            </w:r>
            <w:r>
              <w:rPr>
                <w:b/>
                <w:sz w:val="24"/>
                <w:highlight w:val="none"/>
              </w:rPr>
              <w:t>及采取的环保措施</w:t>
            </w:r>
            <w:r>
              <w:rPr>
                <w:rFonts w:hint="eastAsia"/>
                <w:b/>
                <w:sz w:val="24"/>
                <w:highlight w:val="none"/>
                <w:lang w:eastAsia="zh-CN"/>
              </w:rPr>
              <w:t>情</w:t>
            </w:r>
            <w:r>
              <w:rPr>
                <w:b/>
                <w:sz w:val="24"/>
                <w:highlight w:val="none"/>
              </w:rPr>
              <w:t>况</w:t>
            </w:r>
          </w:p>
          <w:p w14:paraId="2CD0FCF6">
            <w:pPr>
              <w:spacing w:line="360" w:lineRule="auto"/>
              <w:ind w:firstLine="480"/>
              <w:rPr>
                <w:sz w:val="24"/>
                <w:szCs w:val="24"/>
                <w:highlight w:val="none"/>
              </w:rPr>
            </w:pPr>
            <w:r>
              <w:rPr>
                <w:sz w:val="24"/>
                <w:szCs w:val="24"/>
                <w:highlight w:val="none"/>
              </w:rPr>
              <w:t>1</w:t>
            </w:r>
            <w:r>
              <w:rPr>
                <w:rFonts w:hint="eastAsia"/>
                <w:sz w:val="24"/>
                <w:szCs w:val="24"/>
                <w:highlight w:val="none"/>
                <w:lang w:val="en-US" w:eastAsia="zh-CN"/>
              </w:rPr>
              <w:t>.</w:t>
            </w:r>
            <w:r>
              <w:rPr>
                <w:sz w:val="24"/>
                <w:szCs w:val="24"/>
                <w:highlight w:val="none"/>
              </w:rPr>
              <w:t>废气</w:t>
            </w:r>
          </w:p>
          <w:p w14:paraId="7015085E">
            <w:pPr>
              <w:spacing w:line="360" w:lineRule="auto"/>
              <w:ind w:firstLine="480"/>
              <w:rPr>
                <w:sz w:val="24"/>
                <w:szCs w:val="24"/>
                <w:highlight w:val="none"/>
              </w:rPr>
            </w:pPr>
            <w:r>
              <w:rPr>
                <w:sz w:val="24"/>
                <w:szCs w:val="24"/>
                <w:highlight w:val="none"/>
              </w:rPr>
              <w:t>废气根据《内蒙古伊泰化工有限责任公司</w:t>
            </w:r>
            <w:r>
              <w:rPr>
                <w:rFonts w:hint="eastAsia"/>
                <w:sz w:val="24"/>
                <w:szCs w:val="24"/>
                <w:highlight w:val="none"/>
                <w:lang w:val="en-US" w:eastAsia="zh-CN"/>
              </w:rPr>
              <w:t>自行检测</w:t>
            </w:r>
            <w:r>
              <w:rPr>
                <w:sz w:val="24"/>
                <w:szCs w:val="24"/>
                <w:highlight w:val="none"/>
              </w:rPr>
              <w:t>报告</w:t>
            </w:r>
            <w:r>
              <w:rPr>
                <w:rFonts w:hint="eastAsia"/>
                <w:sz w:val="24"/>
                <w:szCs w:val="24"/>
                <w:highlight w:val="none"/>
                <w:lang w:eastAsia="zh-CN"/>
              </w:rPr>
              <w:t>（</w:t>
            </w:r>
            <w:r>
              <w:rPr>
                <w:rFonts w:hint="eastAsia"/>
                <w:sz w:val="24"/>
                <w:szCs w:val="24"/>
                <w:highlight w:val="none"/>
                <w:lang w:val="en-US" w:eastAsia="zh-CN"/>
              </w:rPr>
              <w:t>四季度</w:t>
            </w:r>
            <w:r>
              <w:rPr>
                <w:rFonts w:hint="eastAsia"/>
                <w:sz w:val="24"/>
                <w:szCs w:val="24"/>
                <w:highlight w:val="none"/>
                <w:lang w:eastAsia="zh-CN"/>
              </w:rPr>
              <w:t>）</w:t>
            </w:r>
            <w:r>
              <w:rPr>
                <w:sz w:val="24"/>
                <w:szCs w:val="24"/>
                <w:highlight w:val="none"/>
              </w:rPr>
              <w:t>》（</w:t>
            </w:r>
            <w:r>
              <w:rPr>
                <w:rFonts w:hint="eastAsia"/>
                <w:sz w:val="24"/>
                <w:szCs w:val="24"/>
                <w:highlight w:val="none"/>
              </w:rPr>
              <w:t>鄂尔多斯市环境监测检验有限公司</w:t>
            </w:r>
            <w:r>
              <w:rPr>
                <w:sz w:val="24"/>
                <w:szCs w:val="24"/>
                <w:highlight w:val="none"/>
              </w:rPr>
              <w:t>编制，20</w:t>
            </w:r>
            <w:r>
              <w:rPr>
                <w:rFonts w:hint="eastAsia"/>
                <w:sz w:val="24"/>
                <w:szCs w:val="24"/>
                <w:highlight w:val="none"/>
                <w:lang w:val="en-US" w:eastAsia="zh-CN"/>
              </w:rPr>
              <w:t>24</w:t>
            </w:r>
            <w:r>
              <w:rPr>
                <w:sz w:val="24"/>
                <w:szCs w:val="24"/>
                <w:highlight w:val="none"/>
              </w:rPr>
              <w:t>年</w:t>
            </w:r>
            <w:r>
              <w:rPr>
                <w:rFonts w:hint="eastAsia"/>
                <w:sz w:val="24"/>
                <w:szCs w:val="24"/>
                <w:highlight w:val="none"/>
                <w:lang w:val="en-US" w:eastAsia="zh-CN"/>
              </w:rPr>
              <w:t>11</w:t>
            </w:r>
            <w:r>
              <w:rPr>
                <w:sz w:val="24"/>
                <w:szCs w:val="24"/>
                <w:highlight w:val="none"/>
              </w:rPr>
              <w:t>月</w:t>
            </w:r>
            <w:r>
              <w:rPr>
                <w:rFonts w:hint="eastAsia"/>
                <w:sz w:val="24"/>
                <w:szCs w:val="24"/>
                <w:highlight w:val="none"/>
                <w:lang w:val="en-US" w:eastAsia="zh-CN"/>
              </w:rPr>
              <w:t>6日</w:t>
            </w:r>
            <w:r>
              <w:rPr>
                <w:sz w:val="24"/>
                <w:szCs w:val="24"/>
                <w:highlight w:val="none"/>
              </w:rPr>
              <w:t>），现有项目废气主要污染物排放见表</w:t>
            </w:r>
            <w:r>
              <w:rPr>
                <w:rFonts w:hint="eastAsia"/>
                <w:sz w:val="24"/>
                <w:szCs w:val="24"/>
                <w:highlight w:val="none"/>
                <w:lang w:val="en-US" w:eastAsia="zh-CN"/>
              </w:rPr>
              <w:t>3-5</w:t>
            </w:r>
            <w:r>
              <w:rPr>
                <w:sz w:val="24"/>
                <w:szCs w:val="24"/>
                <w:highlight w:val="none"/>
              </w:rPr>
              <w:t>（1），达标分析见表</w:t>
            </w:r>
            <w:r>
              <w:rPr>
                <w:rFonts w:hint="eastAsia"/>
                <w:sz w:val="24"/>
                <w:szCs w:val="24"/>
                <w:highlight w:val="none"/>
                <w:lang w:val="en-US" w:eastAsia="zh-CN"/>
              </w:rPr>
              <w:t>3-5</w:t>
            </w:r>
            <w:r>
              <w:rPr>
                <w:sz w:val="24"/>
                <w:szCs w:val="24"/>
                <w:highlight w:val="none"/>
              </w:rPr>
              <w:t>（2）。</w:t>
            </w:r>
          </w:p>
          <w:p w14:paraId="4BD7317D">
            <w:pPr>
              <w:spacing w:line="360" w:lineRule="auto"/>
              <w:ind w:firstLine="480"/>
              <w:outlineLvl w:val="3"/>
              <w:rPr>
                <w:sz w:val="24"/>
                <w:szCs w:val="24"/>
                <w:highlight w:val="none"/>
              </w:rPr>
            </w:pPr>
            <w:r>
              <w:rPr>
                <w:sz w:val="24"/>
                <w:szCs w:val="24"/>
                <w:highlight w:val="none"/>
              </w:rPr>
              <w:t>2</w:t>
            </w:r>
            <w:r>
              <w:rPr>
                <w:rFonts w:hint="eastAsia"/>
                <w:sz w:val="24"/>
                <w:szCs w:val="24"/>
                <w:highlight w:val="none"/>
                <w:lang w:val="en-US" w:eastAsia="zh-CN"/>
              </w:rPr>
              <w:t>.</w:t>
            </w:r>
            <w:r>
              <w:rPr>
                <w:sz w:val="24"/>
                <w:szCs w:val="24"/>
                <w:highlight w:val="none"/>
              </w:rPr>
              <w:t>废水</w:t>
            </w:r>
          </w:p>
          <w:p w14:paraId="365D3C77">
            <w:pPr>
              <w:spacing w:line="360" w:lineRule="auto"/>
              <w:ind w:firstLine="480"/>
              <w:rPr>
                <w:sz w:val="24"/>
                <w:szCs w:val="24"/>
                <w:highlight w:val="none"/>
              </w:rPr>
            </w:pPr>
            <w:r>
              <w:rPr>
                <w:sz w:val="24"/>
                <w:szCs w:val="24"/>
                <w:highlight w:val="none"/>
              </w:rPr>
              <w:t>依据环评报告，现有项目废水主要污染物排放及采取的环保措施见表</w:t>
            </w:r>
            <w:r>
              <w:rPr>
                <w:rFonts w:hint="eastAsia"/>
                <w:sz w:val="24"/>
                <w:szCs w:val="24"/>
                <w:highlight w:val="none"/>
                <w:lang w:val="en-US" w:eastAsia="zh-CN"/>
              </w:rPr>
              <w:t>3-5</w:t>
            </w:r>
            <w:r>
              <w:rPr>
                <w:sz w:val="24"/>
                <w:szCs w:val="24"/>
                <w:highlight w:val="none"/>
              </w:rPr>
              <w:t>。</w:t>
            </w:r>
          </w:p>
          <w:p w14:paraId="2D877DF8">
            <w:pPr>
              <w:spacing w:line="360" w:lineRule="auto"/>
              <w:ind w:firstLine="480"/>
              <w:rPr>
                <w:sz w:val="24"/>
                <w:szCs w:val="24"/>
                <w:highlight w:val="none"/>
              </w:rPr>
            </w:pPr>
            <w:r>
              <w:rPr>
                <w:sz w:val="24"/>
                <w:szCs w:val="24"/>
                <w:highlight w:val="none"/>
              </w:rPr>
              <w:t>现有项目污水处理设施分为</w:t>
            </w:r>
            <w:r>
              <w:rPr>
                <w:rFonts w:hint="eastAsia"/>
                <w:sz w:val="24"/>
                <w:szCs w:val="24"/>
                <w:highlight w:val="none"/>
                <w:lang w:eastAsia="zh-CN"/>
              </w:rPr>
              <w:t>污水处理厂</w:t>
            </w:r>
            <w:r>
              <w:rPr>
                <w:sz w:val="24"/>
                <w:szCs w:val="24"/>
                <w:highlight w:val="none"/>
              </w:rPr>
              <w:t>（预处理单元、污水生化处理单元、污泥处理单元、臭气处理单元）、废水处理及回用（包括生化合格出水处理单元、清净废水处理单元）、高含盐水蒸发及结晶（膜浓缩单元、蒸发预处理单元、蒸发结晶单元）。最终实现废水全部回用、结晶盐资源化利用。</w:t>
            </w:r>
          </w:p>
          <w:p w14:paraId="497F1822">
            <w:pPr>
              <w:spacing w:line="360" w:lineRule="auto"/>
              <w:ind w:firstLine="480"/>
              <w:rPr>
                <w:sz w:val="24"/>
                <w:szCs w:val="24"/>
                <w:highlight w:val="none"/>
              </w:rPr>
            </w:pPr>
            <w:r>
              <w:rPr>
                <w:sz w:val="24"/>
                <w:szCs w:val="24"/>
                <w:highlight w:val="none"/>
              </w:rPr>
              <w:t>根据《内蒙古伊泰化工有限责任公司120万吨/年精细化学品项目水处理及零排放整体系统工艺优化改造工程竣工环境保护验收监测报告表》（鄂尔多斯市环境监测检验有限公司编制，2019年10月），废水处理及回用出水回用水水质满足《污水综合排放标准》（GB8978-1996）一级标准要求。</w:t>
            </w:r>
          </w:p>
          <w:p w14:paraId="49BBE01B">
            <w:pPr>
              <w:spacing w:line="360" w:lineRule="auto"/>
              <w:ind w:firstLine="480"/>
              <w:rPr>
                <w:sz w:val="24"/>
                <w:szCs w:val="24"/>
                <w:highlight w:val="none"/>
              </w:rPr>
            </w:pPr>
            <w:r>
              <w:rPr>
                <w:sz w:val="24"/>
                <w:szCs w:val="24"/>
                <w:highlight w:val="none"/>
              </w:rPr>
              <w:t>废水处理及回用出口回用水水质见表</w:t>
            </w:r>
            <w:r>
              <w:rPr>
                <w:rFonts w:hint="eastAsia"/>
                <w:sz w:val="24"/>
                <w:szCs w:val="24"/>
                <w:highlight w:val="none"/>
                <w:lang w:val="en-US" w:eastAsia="zh-CN"/>
              </w:rPr>
              <w:t>3-6</w:t>
            </w:r>
            <w:r>
              <w:rPr>
                <w:sz w:val="24"/>
                <w:szCs w:val="24"/>
                <w:highlight w:val="none"/>
              </w:rPr>
              <w:t>和表</w:t>
            </w:r>
            <w:r>
              <w:rPr>
                <w:rFonts w:hint="eastAsia"/>
                <w:sz w:val="24"/>
                <w:szCs w:val="24"/>
                <w:highlight w:val="none"/>
                <w:lang w:val="en-US" w:eastAsia="zh-CN"/>
              </w:rPr>
              <w:t>3-7</w:t>
            </w:r>
            <w:r>
              <w:rPr>
                <w:sz w:val="24"/>
                <w:szCs w:val="24"/>
                <w:highlight w:val="none"/>
              </w:rPr>
              <w:t>。</w:t>
            </w:r>
          </w:p>
          <w:p w14:paraId="321380F9">
            <w:pPr>
              <w:pStyle w:val="11"/>
              <w:spacing w:before="0" w:after="0" w:line="360" w:lineRule="auto"/>
              <w:ind w:right="0" w:firstLine="0" w:firstLineChars="0"/>
              <w:rPr>
                <w:rFonts w:hint="default" w:ascii="Times New Roman" w:hAnsi="Times New Roman"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四</w:t>
            </w:r>
            <w:r>
              <w:rPr>
                <w:rFonts w:hint="default" w:ascii="Times New Roman" w:hAnsi="Times New Roman" w:cs="Times New Roman"/>
                <w:b/>
                <w:bCs/>
                <w:sz w:val="24"/>
                <w:szCs w:val="24"/>
                <w:highlight w:val="none"/>
                <w:lang w:val="en-US" w:eastAsia="zh-CN"/>
              </w:rPr>
              <w:t>、现有工程存在的环境问题及整改措施</w:t>
            </w:r>
            <w:bookmarkEnd w:id="44"/>
          </w:p>
          <w:p w14:paraId="32F8ADFD">
            <w:pPr>
              <w:pStyle w:val="11"/>
              <w:spacing w:before="0" w:after="0" w:line="360" w:lineRule="auto"/>
              <w:ind w:right="0" w:firstLine="480" w:firstLineChars="200"/>
              <w:rPr>
                <w:rFonts w:hint="default" w:ascii="Times New Roman" w:hAnsi="Times New Roman" w:cs="Times New Roman"/>
                <w:snapToGrid w:val="0"/>
                <w:sz w:val="24"/>
                <w:szCs w:val="24"/>
                <w:highlight w:val="none"/>
                <w:lang w:val="en-US" w:eastAsia="zh-CN"/>
              </w:rPr>
            </w:pPr>
            <w:r>
              <w:rPr>
                <w:rFonts w:hint="default" w:ascii="Times New Roman" w:hAnsi="Times New Roman" w:cs="Times New Roman"/>
                <w:snapToGrid w:val="0"/>
                <w:sz w:val="24"/>
                <w:szCs w:val="24"/>
                <w:highlight w:val="none"/>
                <w:lang w:val="en-US" w:eastAsia="zh-CN"/>
              </w:rPr>
              <w:t>《</w:t>
            </w:r>
            <w:r>
              <w:rPr>
                <w:rFonts w:hint="default" w:ascii="Times New Roman" w:hAnsi="Times New Roman" w:cs="Times New Roman"/>
                <w:bCs/>
                <w:sz w:val="24"/>
                <w:highlight w:val="none"/>
                <w:lang w:val="en-US" w:eastAsia="zh-CN"/>
              </w:rPr>
              <w:t>伊泰-巨鹏CO</w:t>
            </w:r>
            <w:r>
              <w:rPr>
                <w:rFonts w:hint="default" w:ascii="Times New Roman" w:hAnsi="Times New Roman" w:cs="Times New Roman"/>
                <w:bCs/>
                <w:sz w:val="24"/>
                <w:highlight w:val="none"/>
                <w:vertAlign w:val="subscript"/>
                <w:lang w:val="en-US" w:eastAsia="zh-CN"/>
              </w:rPr>
              <w:t>2</w:t>
            </w:r>
            <w:r>
              <w:rPr>
                <w:rFonts w:hint="default" w:ascii="Times New Roman" w:hAnsi="Times New Roman" w:cs="Times New Roman"/>
                <w:bCs/>
                <w:sz w:val="24"/>
                <w:highlight w:val="none"/>
                <w:lang w:val="en-US" w:eastAsia="zh-CN"/>
              </w:rPr>
              <w:t>和工业尾气生物发酵法制 10万吨乙醇联产2万吨菌体蛋白项目</w:t>
            </w:r>
            <w:r>
              <w:rPr>
                <w:rFonts w:hint="default" w:ascii="Times New Roman" w:hAnsi="Times New Roman" w:cs="Times New Roman"/>
                <w:snapToGrid w:val="0"/>
                <w:sz w:val="24"/>
                <w:szCs w:val="24"/>
                <w:highlight w:val="none"/>
                <w:lang w:val="en-US" w:eastAsia="zh-CN"/>
              </w:rPr>
              <w:t>》</w:t>
            </w:r>
            <w:r>
              <w:rPr>
                <w:rFonts w:hint="default" w:ascii="Times New Roman" w:hAnsi="Times New Roman" w:eastAsia="宋体" w:cs="Times New Roman"/>
                <w:snapToGrid w:val="0"/>
                <w:sz w:val="24"/>
                <w:szCs w:val="24"/>
                <w:highlight w:val="none"/>
                <w:lang w:val="en-US" w:eastAsia="zh-CN"/>
              </w:rPr>
              <w:t>正在建设中，还未投产、未进行验收工作。不存在排污情况</w:t>
            </w:r>
            <w:r>
              <w:rPr>
                <w:rFonts w:hint="default" w:ascii="Times New Roman" w:hAnsi="Times New Roman" w:cs="Times New Roman"/>
                <w:snapToGrid w:val="0"/>
                <w:sz w:val="24"/>
                <w:szCs w:val="24"/>
                <w:highlight w:val="none"/>
                <w:lang w:val="en-US" w:eastAsia="zh-CN"/>
              </w:rPr>
              <w:t>。</w:t>
            </w:r>
          </w:p>
          <w:p w14:paraId="427E976E">
            <w:pPr>
              <w:pStyle w:val="11"/>
              <w:spacing w:before="0" w:after="0" w:line="360" w:lineRule="auto"/>
              <w:ind w:right="0" w:firstLine="480" w:firstLineChars="200"/>
              <w:rPr>
                <w:rFonts w:hint="default" w:ascii="Times New Roman" w:hAnsi="Times New Roman" w:eastAsia="宋体" w:cs="Times New Roman"/>
                <w:snapToGrid w:val="0"/>
                <w:sz w:val="24"/>
                <w:szCs w:val="24"/>
                <w:highlight w:val="none"/>
                <w:lang w:val="en-US" w:eastAsia="zh-CN"/>
              </w:rPr>
            </w:pPr>
            <w:r>
              <w:rPr>
                <w:rFonts w:hint="default" w:ascii="Times New Roman" w:hAnsi="Times New Roman" w:cs="Times New Roman"/>
                <w:snapToGrid w:val="0"/>
                <w:sz w:val="24"/>
                <w:szCs w:val="24"/>
                <w:highlight w:val="none"/>
                <w:lang w:val="en-US" w:eastAsia="zh-CN"/>
              </w:rPr>
              <w:t>《</w:t>
            </w:r>
            <w:r>
              <w:rPr>
                <w:rFonts w:hint="default" w:ascii="Times New Roman" w:hAnsi="Times New Roman" w:eastAsia="宋体" w:cs="Times New Roman"/>
                <w:bCs/>
                <w:sz w:val="24"/>
                <w:highlight w:val="none"/>
                <w:lang w:val="en-US" w:eastAsia="zh-CN"/>
              </w:rPr>
              <w:t>内蒙古伊泰化工有限责任公司120万吨/年精细化工项目</w:t>
            </w:r>
            <w:r>
              <w:rPr>
                <w:rFonts w:hint="default" w:ascii="Times New Roman" w:hAnsi="Times New Roman" w:cs="Times New Roman"/>
                <w:snapToGrid w:val="0"/>
                <w:sz w:val="24"/>
                <w:szCs w:val="24"/>
                <w:highlight w:val="none"/>
                <w:lang w:val="en-US" w:eastAsia="zh-CN"/>
              </w:rPr>
              <w:t>》</w:t>
            </w:r>
            <w:r>
              <w:rPr>
                <w:rFonts w:hint="default" w:ascii="Times New Roman" w:hAnsi="Times New Roman" w:eastAsia="宋体" w:cs="Times New Roman"/>
                <w:snapToGrid w:val="0"/>
                <w:sz w:val="24"/>
                <w:szCs w:val="24"/>
                <w:highlight w:val="none"/>
                <w:lang w:val="en-US" w:eastAsia="zh-CN"/>
              </w:rPr>
              <w:t>经过验收并取得排污许可，经过实际调查不存在现有环境污染问题。</w:t>
            </w:r>
          </w:p>
        </w:tc>
      </w:tr>
    </w:tbl>
    <w:p w14:paraId="60C67637">
      <w:pPr>
        <w:ind w:firstLine="420"/>
        <w:jc w:val="center"/>
        <w:rPr>
          <w:b/>
          <w:bCs/>
          <w:szCs w:val="21"/>
          <w:highlight w:val="none"/>
        </w:rPr>
        <w:sectPr>
          <w:pgSz w:w="11906" w:h="16838"/>
          <w:pgMar w:top="1701" w:right="1701" w:bottom="1701" w:left="1701" w:header="851" w:footer="1077" w:gutter="0"/>
          <w:pgNumType w:fmt="decimal"/>
          <w:cols w:space="720" w:num="1"/>
          <w:docGrid w:linePitch="312" w:charSpace="0"/>
        </w:sectPr>
      </w:pPr>
    </w:p>
    <w:p w14:paraId="3D2BA66F">
      <w:pPr>
        <w:ind w:firstLine="420"/>
        <w:jc w:val="center"/>
        <w:rPr>
          <w:szCs w:val="21"/>
          <w:highlight w:val="none"/>
        </w:rPr>
      </w:pPr>
      <w:r>
        <w:rPr>
          <w:b/>
          <w:bCs/>
          <w:szCs w:val="21"/>
          <w:highlight w:val="none"/>
        </w:rPr>
        <w:t>表</w:t>
      </w:r>
      <w:r>
        <w:rPr>
          <w:rFonts w:hint="eastAsia"/>
          <w:b/>
          <w:bCs/>
          <w:szCs w:val="21"/>
          <w:highlight w:val="none"/>
          <w:lang w:val="en-US" w:eastAsia="zh-CN"/>
        </w:rPr>
        <w:t>3-5</w:t>
      </w:r>
      <w:r>
        <w:rPr>
          <w:rFonts w:hint="eastAsia"/>
          <w:b/>
          <w:bCs/>
          <w:szCs w:val="21"/>
          <w:highlight w:val="none"/>
          <w:lang w:eastAsia="zh-CN"/>
        </w:rPr>
        <w:t>（</w:t>
      </w:r>
      <w:r>
        <w:rPr>
          <w:b/>
          <w:bCs/>
          <w:szCs w:val="21"/>
          <w:highlight w:val="none"/>
        </w:rPr>
        <w:t>1</w:t>
      </w:r>
      <w:r>
        <w:rPr>
          <w:rFonts w:hint="eastAsia"/>
          <w:b/>
          <w:bCs/>
          <w:szCs w:val="21"/>
          <w:highlight w:val="none"/>
          <w:lang w:eastAsia="zh-CN"/>
        </w:rPr>
        <w:t>）</w:t>
      </w:r>
      <w:r>
        <w:rPr>
          <w:rFonts w:hint="eastAsia"/>
          <w:b/>
          <w:bCs/>
          <w:szCs w:val="21"/>
          <w:highlight w:val="none"/>
          <w:lang w:val="en-US" w:eastAsia="zh-CN"/>
        </w:rPr>
        <w:t xml:space="preserve">   </w:t>
      </w:r>
      <w:r>
        <w:rPr>
          <w:b/>
          <w:bCs/>
          <w:szCs w:val="21"/>
          <w:highlight w:val="none"/>
        </w:rPr>
        <w:t>现有项目废气污染物排放</w:t>
      </w:r>
      <w:r>
        <w:rPr>
          <w:rFonts w:hint="eastAsia"/>
          <w:b/>
          <w:bCs/>
          <w:szCs w:val="21"/>
          <w:highlight w:val="none"/>
          <w:lang w:eastAsia="zh-CN"/>
        </w:rPr>
        <w:t>情况</w:t>
      </w:r>
      <w:r>
        <w:rPr>
          <w:b/>
          <w:bCs/>
          <w:szCs w:val="21"/>
          <w:highlight w:val="none"/>
        </w:rPr>
        <w:t>一览表</w:t>
      </w:r>
    </w:p>
    <w:tbl>
      <w:tblPr>
        <w:tblStyle w:val="19"/>
        <w:tblW w:w="13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918"/>
        <w:gridCol w:w="1000"/>
        <w:gridCol w:w="3320"/>
        <w:gridCol w:w="3101"/>
        <w:gridCol w:w="664"/>
        <w:gridCol w:w="673"/>
        <w:gridCol w:w="348"/>
        <w:gridCol w:w="508"/>
        <w:gridCol w:w="444"/>
        <w:gridCol w:w="673"/>
        <w:gridCol w:w="1165"/>
      </w:tblGrid>
      <w:tr w14:paraId="106C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blHeader/>
          <w:jc w:val="center"/>
        </w:trPr>
        <w:tc>
          <w:tcPr>
            <w:tcW w:w="0" w:type="auto"/>
            <w:gridSpan w:val="2"/>
            <w:vMerge w:val="restart"/>
            <w:noWrap w:val="0"/>
            <w:tcMar>
              <w:left w:w="28" w:type="dxa"/>
              <w:right w:w="28" w:type="dxa"/>
            </w:tcMar>
            <w:vAlign w:val="center"/>
          </w:tcPr>
          <w:p w14:paraId="01B2A67A">
            <w:pPr>
              <w:jc w:val="center"/>
              <w:rPr>
                <w:sz w:val="21"/>
                <w:szCs w:val="21"/>
                <w:highlight w:val="none"/>
              </w:rPr>
            </w:pPr>
            <w:r>
              <w:rPr>
                <w:sz w:val="21"/>
                <w:szCs w:val="21"/>
                <w:highlight w:val="none"/>
              </w:rPr>
              <w:t>装置名称</w:t>
            </w:r>
          </w:p>
        </w:tc>
        <w:tc>
          <w:tcPr>
            <w:tcW w:w="0" w:type="auto"/>
            <w:vMerge w:val="restart"/>
            <w:noWrap w:val="0"/>
            <w:vAlign w:val="center"/>
          </w:tcPr>
          <w:p w14:paraId="47172F8D">
            <w:pPr>
              <w:jc w:val="center"/>
              <w:rPr>
                <w:sz w:val="21"/>
                <w:szCs w:val="21"/>
                <w:highlight w:val="none"/>
              </w:rPr>
            </w:pPr>
            <w:r>
              <w:rPr>
                <w:sz w:val="21"/>
                <w:szCs w:val="21"/>
                <w:highlight w:val="none"/>
              </w:rPr>
              <w:t>污染源</w:t>
            </w:r>
          </w:p>
        </w:tc>
        <w:tc>
          <w:tcPr>
            <w:tcW w:w="0" w:type="auto"/>
            <w:vMerge w:val="restart"/>
            <w:noWrap w:val="0"/>
            <w:tcMar>
              <w:left w:w="28" w:type="dxa"/>
              <w:right w:w="28" w:type="dxa"/>
            </w:tcMar>
            <w:vAlign w:val="center"/>
          </w:tcPr>
          <w:p w14:paraId="5426735D">
            <w:pPr>
              <w:jc w:val="center"/>
              <w:rPr>
                <w:sz w:val="21"/>
                <w:szCs w:val="21"/>
                <w:highlight w:val="none"/>
              </w:rPr>
            </w:pPr>
            <w:r>
              <w:rPr>
                <w:sz w:val="21"/>
                <w:szCs w:val="21"/>
                <w:highlight w:val="none"/>
              </w:rPr>
              <w:t>主要污染物名称</w:t>
            </w:r>
          </w:p>
        </w:tc>
        <w:tc>
          <w:tcPr>
            <w:tcW w:w="0" w:type="auto"/>
            <w:vMerge w:val="restart"/>
            <w:noWrap w:val="0"/>
            <w:tcMar>
              <w:left w:w="28" w:type="dxa"/>
              <w:right w:w="28" w:type="dxa"/>
            </w:tcMar>
            <w:vAlign w:val="center"/>
          </w:tcPr>
          <w:p w14:paraId="67257648">
            <w:pPr>
              <w:jc w:val="center"/>
              <w:rPr>
                <w:sz w:val="21"/>
                <w:szCs w:val="21"/>
                <w:highlight w:val="none"/>
              </w:rPr>
            </w:pPr>
            <w:r>
              <w:rPr>
                <w:sz w:val="21"/>
                <w:szCs w:val="21"/>
                <w:highlight w:val="none"/>
              </w:rPr>
              <w:t>治理措施</w:t>
            </w:r>
          </w:p>
        </w:tc>
        <w:tc>
          <w:tcPr>
            <w:tcW w:w="0" w:type="auto"/>
            <w:gridSpan w:val="2"/>
            <w:noWrap w:val="0"/>
            <w:tcMar>
              <w:left w:w="28" w:type="dxa"/>
              <w:right w:w="28" w:type="dxa"/>
            </w:tcMar>
            <w:vAlign w:val="center"/>
          </w:tcPr>
          <w:p w14:paraId="01544EEE">
            <w:pPr>
              <w:jc w:val="center"/>
              <w:rPr>
                <w:sz w:val="21"/>
                <w:szCs w:val="21"/>
                <w:highlight w:val="none"/>
              </w:rPr>
            </w:pPr>
            <w:r>
              <w:rPr>
                <w:sz w:val="21"/>
                <w:szCs w:val="21"/>
                <w:highlight w:val="none"/>
              </w:rPr>
              <w:t>主要污染物排放</w:t>
            </w:r>
          </w:p>
        </w:tc>
        <w:tc>
          <w:tcPr>
            <w:tcW w:w="0" w:type="auto"/>
            <w:gridSpan w:val="3"/>
            <w:noWrap w:val="0"/>
            <w:tcMar>
              <w:left w:w="28" w:type="dxa"/>
              <w:right w:w="28" w:type="dxa"/>
            </w:tcMar>
            <w:vAlign w:val="center"/>
          </w:tcPr>
          <w:p w14:paraId="57F21276">
            <w:pPr>
              <w:jc w:val="center"/>
              <w:rPr>
                <w:sz w:val="21"/>
                <w:szCs w:val="21"/>
                <w:highlight w:val="none"/>
              </w:rPr>
            </w:pPr>
            <w:r>
              <w:rPr>
                <w:sz w:val="21"/>
                <w:szCs w:val="21"/>
                <w:highlight w:val="none"/>
              </w:rPr>
              <w:t>排气筒</w:t>
            </w:r>
          </w:p>
        </w:tc>
        <w:tc>
          <w:tcPr>
            <w:tcW w:w="0" w:type="auto"/>
            <w:vMerge w:val="restart"/>
            <w:noWrap w:val="0"/>
            <w:vAlign w:val="center"/>
          </w:tcPr>
          <w:p w14:paraId="0822ECA0">
            <w:pPr>
              <w:jc w:val="center"/>
              <w:rPr>
                <w:sz w:val="21"/>
                <w:szCs w:val="21"/>
                <w:highlight w:val="none"/>
              </w:rPr>
            </w:pPr>
            <w:r>
              <w:rPr>
                <w:sz w:val="21"/>
                <w:szCs w:val="21"/>
                <w:highlight w:val="none"/>
              </w:rPr>
              <w:t>排放规律</w:t>
            </w:r>
          </w:p>
        </w:tc>
        <w:tc>
          <w:tcPr>
            <w:tcW w:w="0" w:type="auto"/>
            <w:vMerge w:val="restart"/>
            <w:noWrap w:val="0"/>
            <w:vAlign w:val="center"/>
          </w:tcPr>
          <w:p w14:paraId="511BF051">
            <w:pPr>
              <w:jc w:val="center"/>
              <w:rPr>
                <w:sz w:val="21"/>
                <w:szCs w:val="21"/>
                <w:highlight w:val="none"/>
              </w:rPr>
            </w:pPr>
            <w:r>
              <w:rPr>
                <w:sz w:val="21"/>
                <w:szCs w:val="21"/>
                <w:highlight w:val="none"/>
              </w:rPr>
              <w:t>排放去向</w:t>
            </w:r>
          </w:p>
        </w:tc>
      </w:tr>
      <w:tr w14:paraId="66269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blHeader/>
          <w:jc w:val="center"/>
        </w:trPr>
        <w:tc>
          <w:tcPr>
            <w:tcW w:w="0" w:type="auto"/>
            <w:gridSpan w:val="2"/>
            <w:vMerge w:val="continue"/>
            <w:noWrap w:val="0"/>
            <w:tcMar>
              <w:left w:w="28" w:type="dxa"/>
              <w:right w:w="28" w:type="dxa"/>
            </w:tcMar>
            <w:vAlign w:val="center"/>
          </w:tcPr>
          <w:p w14:paraId="2885E1AA">
            <w:pPr>
              <w:jc w:val="center"/>
              <w:rPr>
                <w:b/>
                <w:sz w:val="21"/>
                <w:szCs w:val="21"/>
                <w:highlight w:val="none"/>
              </w:rPr>
            </w:pPr>
          </w:p>
        </w:tc>
        <w:tc>
          <w:tcPr>
            <w:tcW w:w="0" w:type="auto"/>
            <w:vMerge w:val="continue"/>
            <w:noWrap w:val="0"/>
            <w:vAlign w:val="center"/>
          </w:tcPr>
          <w:p w14:paraId="0744D5F6">
            <w:pPr>
              <w:jc w:val="center"/>
              <w:rPr>
                <w:b/>
                <w:sz w:val="21"/>
                <w:szCs w:val="21"/>
                <w:highlight w:val="none"/>
              </w:rPr>
            </w:pPr>
          </w:p>
        </w:tc>
        <w:tc>
          <w:tcPr>
            <w:tcW w:w="0" w:type="auto"/>
            <w:vMerge w:val="continue"/>
            <w:noWrap w:val="0"/>
            <w:tcMar>
              <w:left w:w="28" w:type="dxa"/>
              <w:right w:w="28" w:type="dxa"/>
            </w:tcMar>
            <w:vAlign w:val="center"/>
          </w:tcPr>
          <w:p w14:paraId="4AFFA35B">
            <w:pPr>
              <w:jc w:val="center"/>
              <w:rPr>
                <w:sz w:val="21"/>
                <w:szCs w:val="21"/>
                <w:highlight w:val="none"/>
              </w:rPr>
            </w:pPr>
          </w:p>
        </w:tc>
        <w:tc>
          <w:tcPr>
            <w:tcW w:w="0" w:type="auto"/>
            <w:vMerge w:val="continue"/>
            <w:noWrap w:val="0"/>
            <w:tcMar>
              <w:left w:w="28" w:type="dxa"/>
              <w:right w:w="28" w:type="dxa"/>
            </w:tcMar>
            <w:vAlign w:val="center"/>
          </w:tcPr>
          <w:p w14:paraId="4F10C06C">
            <w:pPr>
              <w:jc w:val="center"/>
              <w:rPr>
                <w:sz w:val="21"/>
                <w:szCs w:val="21"/>
                <w:highlight w:val="none"/>
              </w:rPr>
            </w:pPr>
          </w:p>
        </w:tc>
        <w:tc>
          <w:tcPr>
            <w:tcW w:w="0" w:type="auto"/>
            <w:noWrap w:val="0"/>
            <w:tcMar>
              <w:left w:w="28" w:type="dxa"/>
              <w:right w:w="28" w:type="dxa"/>
            </w:tcMar>
            <w:vAlign w:val="center"/>
          </w:tcPr>
          <w:p w14:paraId="4078F6E7">
            <w:pPr>
              <w:jc w:val="center"/>
              <w:rPr>
                <w:sz w:val="21"/>
                <w:szCs w:val="21"/>
                <w:highlight w:val="none"/>
              </w:rPr>
            </w:pPr>
            <w:r>
              <w:rPr>
                <w:sz w:val="21"/>
                <w:szCs w:val="21"/>
                <w:highlight w:val="none"/>
              </w:rPr>
              <w:t>烟气量</w:t>
            </w:r>
          </w:p>
          <w:p w14:paraId="3C7B803B">
            <w:pPr>
              <w:pStyle w:val="6"/>
              <w:ind w:firstLine="0" w:firstLineChars="0"/>
              <w:jc w:val="center"/>
              <w:rPr>
                <w:rFonts w:ascii="Times New Roman"/>
                <w:sz w:val="21"/>
                <w:szCs w:val="21"/>
                <w:highlight w:val="none"/>
              </w:rPr>
            </w:pPr>
            <w:r>
              <w:rPr>
                <w:rFonts w:ascii="Times New Roman"/>
                <w:kern w:val="2"/>
                <w:sz w:val="21"/>
                <w:szCs w:val="21"/>
                <w:highlight w:val="none"/>
              </w:rPr>
              <w:t>m</w:t>
            </w:r>
            <w:r>
              <w:rPr>
                <w:rFonts w:ascii="Times New Roman"/>
                <w:kern w:val="2"/>
                <w:sz w:val="21"/>
                <w:szCs w:val="21"/>
                <w:highlight w:val="none"/>
                <w:vertAlign w:val="superscript"/>
              </w:rPr>
              <w:t>3</w:t>
            </w:r>
            <w:r>
              <w:rPr>
                <w:rFonts w:ascii="Times New Roman"/>
                <w:kern w:val="2"/>
                <w:sz w:val="21"/>
                <w:szCs w:val="21"/>
                <w:highlight w:val="none"/>
              </w:rPr>
              <w:t>/h</w:t>
            </w:r>
          </w:p>
        </w:tc>
        <w:tc>
          <w:tcPr>
            <w:tcW w:w="0" w:type="auto"/>
            <w:noWrap w:val="0"/>
            <w:tcMar>
              <w:left w:w="28" w:type="dxa"/>
              <w:right w:w="28" w:type="dxa"/>
            </w:tcMar>
            <w:vAlign w:val="center"/>
          </w:tcPr>
          <w:p w14:paraId="24C474B3">
            <w:pPr>
              <w:jc w:val="center"/>
              <w:rPr>
                <w:sz w:val="21"/>
                <w:szCs w:val="21"/>
                <w:highlight w:val="none"/>
              </w:rPr>
            </w:pPr>
            <w:r>
              <w:rPr>
                <w:sz w:val="21"/>
                <w:szCs w:val="21"/>
                <w:highlight w:val="none"/>
              </w:rPr>
              <w:t>浓度</w:t>
            </w:r>
          </w:p>
          <w:p w14:paraId="782F4A01">
            <w:pPr>
              <w:jc w:val="center"/>
              <w:rPr>
                <w:sz w:val="21"/>
                <w:szCs w:val="21"/>
                <w:highlight w:val="none"/>
              </w:rPr>
            </w:pPr>
            <w:r>
              <w:rPr>
                <w:sz w:val="21"/>
                <w:szCs w:val="21"/>
                <w:highlight w:val="none"/>
              </w:rPr>
              <w:t>mg/m</w:t>
            </w:r>
            <w:r>
              <w:rPr>
                <w:sz w:val="21"/>
                <w:szCs w:val="21"/>
                <w:highlight w:val="none"/>
                <w:vertAlign w:val="superscript"/>
              </w:rPr>
              <w:t>3</w:t>
            </w:r>
          </w:p>
        </w:tc>
        <w:tc>
          <w:tcPr>
            <w:tcW w:w="0" w:type="auto"/>
            <w:noWrap w:val="0"/>
            <w:tcMar>
              <w:left w:w="28" w:type="dxa"/>
              <w:right w:w="28" w:type="dxa"/>
            </w:tcMar>
            <w:vAlign w:val="center"/>
          </w:tcPr>
          <w:p w14:paraId="5C970CFD">
            <w:pPr>
              <w:jc w:val="center"/>
              <w:rPr>
                <w:sz w:val="21"/>
                <w:szCs w:val="21"/>
                <w:highlight w:val="none"/>
              </w:rPr>
            </w:pPr>
            <w:r>
              <w:rPr>
                <w:sz w:val="21"/>
                <w:szCs w:val="21"/>
                <w:highlight w:val="none"/>
              </w:rPr>
              <w:t>个数</w:t>
            </w:r>
          </w:p>
        </w:tc>
        <w:tc>
          <w:tcPr>
            <w:tcW w:w="0" w:type="auto"/>
            <w:noWrap w:val="0"/>
            <w:vAlign w:val="center"/>
          </w:tcPr>
          <w:p w14:paraId="48C11BD0">
            <w:pPr>
              <w:jc w:val="center"/>
              <w:rPr>
                <w:sz w:val="21"/>
                <w:szCs w:val="21"/>
                <w:highlight w:val="none"/>
              </w:rPr>
            </w:pPr>
            <w:r>
              <w:rPr>
                <w:sz w:val="21"/>
                <w:szCs w:val="21"/>
                <w:highlight w:val="none"/>
              </w:rPr>
              <w:t>高度</w:t>
            </w:r>
          </w:p>
          <w:p w14:paraId="01E59730">
            <w:pPr>
              <w:jc w:val="center"/>
              <w:rPr>
                <w:sz w:val="21"/>
                <w:szCs w:val="21"/>
                <w:highlight w:val="none"/>
              </w:rPr>
            </w:pPr>
            <w:r>
              <w:rPr>
                <w:sz w:val="21"/>
                <w:szCs w:val="21"/>
                <w:highlight w:val="none"/>
              </w:rPr>
              <w:t>m</w:t>
            </w:r>
          </w:p>
        </w:tc>
        <w:tc>
          <w:tcPr>
            <w:tcW w:w="0" w:type="auto"/>
            <w:noWrap w:val="0"/>
            <w:tcMar>
              <w:left w:w="28" w:type="dxa"/>
              <w:right w:w="28" w:type="dxa"/>
            </w:tcMar>
            <w:vAlign w:val="center"/>
          </w:tcPr>
          <w:p w14:paraId="2FC336FD">
            <w:pPr>
              <w:jc w:val="center"/>
              <w:rPr>
                <w:sz w:val="21"/>
                <w:szCs w:val="21"/>
                <w:highlight w:val="none"/>
              </w:rPr>
            </w:pPr>
            <w:r>
              <w:rPr>
                <w:sz w:val="21"/>
                <w:szCs w:val="21"/>
                <w:highlight w:val="none"/>
              </w:rPr>
              <w:t>直径</w:t>
            </w:r>
          </w:p>
          <w:p w14:paraId="1D17E11E">
            <w:pPr>
              <w:jc w:val="center"/>
              <w:rPr>
                <w:sz w:val="21"/>
                <w:szCs w:val="21"/>
                <w:highlight w:val="none"/>
              </w:rPr>
            </w:pPr>
            <w:r>
              <w:rPr>
                <w:sz w:val="21"/>
                <w:szCs w:val="21"/>
                <w:highlight w:val="none"/>
              </w:rPr>
              <w:t>m</w:t>
            </w:r>
          </w:p>
        </w:tc>
        <w:tc>
          <w:tcPr>
            <w:tcW w:w="0" w:type="auto"/>
            <w:vMerge w:val="continue"/>
            <w:noWrap w:val="0"/>
            <w:vAlign w:val="center"/>
          </w:tcPr>
          <w:p w14:paraId="6239C49B">
            <w:pPr>
              <w:jc w:val="center"/>
              <w:rPr>
                <w:sz w:val="21"/>
                <w:szCs w:val="21"/>
                <w:highlight w:val="none"/>
              </w:rPr>
            </w:pPr>
          </w:p>
        </w:tc>
        <w:tc>
          <w:tcPr>
            <w:tcW w:w="0" w:type="auto"/>
            <w:vMerge w:val="continue"/>
            <w:noWrap w:val="0"/>
            <w:vAlign w:val="center"/>
          </w:tcPr>
          <w:p w14:paraId="67A03EC3">
            <w:pPr>
              <w:jc w:val="center"/>
              <w:rPr>
                <w:sz w:val="21"/>
                <w:szCs w:val="21"/>
                <w:highlight w:val="none"/>
              </w:rPr>
            </w:pPr>
          </w:p>
        </w:tc>
      </w:tr>
      <w:tr w14:paraId="1795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blHeader/>
          <w:jc w:val="center"/>
        </w:trPr>
        <w:tc>
          <w:tcPr>
            <w:tcW w:w="0" w:type="auto"/>
            <w:vMerge w:val="restart"/>
            <w:noWrap w:val="0"/>
            <w:tcMar>
              <w:left w:w="28" w:type="dxa"/>
              <w:right w:w="28" w:type="dxa"/>
            </w:tcMar>
            <w:vAlign w:val="center"/>
          </w:tcPr>
          <w:p w14:paraId="7DC321FB">
            <w:pPr>
              <w:widowControl/>
              <w:snapToGrid w:val="0"/>
              <w:jc w:val="center"/>
              <w:rPr>
                <w:sz w:val="21"/>
                <w:szCs w:val="21"/>
                <w:highlight w:val="none"/>
              </w:rPr>
            </w:pPr>
            <w:r>
              <w:rPr>
                <w:sz w:val="21"/>
                <w:szCs w:val="21"/>
                <w:highlight w:val="none"/>
              </w:rPr>
              <w:t>净化装置</w:t>
            </w:r>
          </w:p>
        </w:tc>
        <w:tc>
          <w:tcPr>
            <w:tcW w:w="0" w:type="auto"/>
            <w:vMerge w:val="restart"/>
            <w:noWrap w:val="0"/>
            <w:vAlign w:val="center"/>
          </w:tcPr>
          <w:p w14:paraId="0EA0161E">
            <w:pPr>
              <w:jc w:val="center"/>
              <w:rPr>
                <w:sz w:val="21"/>
                <w:szCs w:val="21"/>
                <w:highlight w:val="none"/>
              </w:rPr>
            </w:pPr>
            <w:r>
              <w:rPr>
                <w:sz w:val="21"/>
                <w:szCs w:val="21"/>
                <w:highlight w:val="none"/>
              </w:rPr>
              <w:t>低温甲醇洗单元</w:t>
            </w:r>
          </w:p>
        </w:tc>
        <w:tc>
          <w:tcPr>
            <w:tcW w:w="0" w:type="auto"/>
            <w:noWrap w:val="0"/>
            <w:vAlign w:val="center"/>
          </w:tcPr>
          <w:p w14:paraId="65A7DB1E">
            <w:pPr>
              <w:jc w:val="center"/>
              <w:rPr>
                <w:sz w:val="21"/>
                <w:szCs w:val="21"/>
                <w:highlight w:val="none"/>
              </w:rPr>
            </w:pPr>
            <w:r>
              <w:rPr>
                <w:sz w:val="21"/>
                <w:szCs w:val="21"/>
                <w:highlight w:val="none"/>
              </w:rPr>
              <w:t>低温甲醇洗尾气</w:t>
            </w:r>
          </w:p>
        </w:tc>
        <w:tc>
          <w:tcPr>
            <w:tcW w:w="0" w:type="auto"/>
            <w:noWrap w:val="0"/>
            <w:tcMar>
              <w:left w:w="28" w:type="dxa"/>
              <w:right w:w="28" w:type="dxa"/>
            </w:tcMar>
            <w:vAlign w:val="center"/>
          </w:tcPr>
          <w:p w14:paraId="69228FBE">
            <w:pPr>
              <w:jc w:val="center"/>
              <w:rPr>
                <w:sz w:val="21"/>
                <w:szCs w:val="21"/>
                <w:highlight w:val="none"/>
                <w:lang w:val="pt-BR"/>
              </w:rPr>
            </w:pPr>
            <w:r>
              <w:rPr>
                <w:sz w:val="21"/>
                <w:szCs w:val="21"/>
                <w:highlight w:val="none"/>
                <w:lang w:val="pt-BR"/>
              </w:rPr>
              <w:t>H</w:t>
            </w:r>
            <w:r>
              <w:rPr>
                <w:sz w:val="21"/>
                <w:szCs w:val="21"/>
                <w:highlight w:val="none"/>
                <w:vertAlign w:val="subscript"/>
                <w:lang w:val="pt-BR"/>
              </w:rPr>
              <w:t>2</w:t>
            </w:r>
            <w:r>
              <w:rPr>
                <w:sz w:val="21"/>
                <w:szCs w:val="21"/>
                <w:highlight w:val="none"/>
                <w:lang w:val="pt-BR"/>
              </w:rPr>
              <w:t>S</w:t>
            </w:r>
          </w:p>
          <w:p w14:paraId="72035985">
            <w:pPr>
              <w:jc w:val="center"/>
              <w:rPr>
                <w:sz w:val="21"/>
                <w:szCs w:val="21"/>
                <w:highlight w:val="none"/>
                <w:lang w:val="pt-BR"/>
              </w:rPr>
            </w:pPr>
            <w:r>
              <w:rPr>
                <w:sz w:val="21"/>
                <w:szCs w:val="21"/>
                <w:highlight w:val="none"/>
                <w:lang w:val="pt-BR"/>
              </w:rPr>
              <w:t>CH</w:t>
            </w:r>
            <w:r>
              <w:rPr>
                <w:sz w:val="21"/>
                <w:szCs w:val="21"/>
                <w:highlight w:val="none"/>
                <w:vertAlign w:val="subscript"/>
                <w:lang w:val="pt-BR"/>
              </w:rPr>
              <w:t>3</w:t>
            </w:r>
            <w:r>
              <w:rPr>
                <w:sz w:val="21"/>
                <w:szCs w:val="21"/>
                <w:highlight w:val="none"/>
                <w:lang w:val="pt-BR"/>
              </w:rPr>
              <w:t>OH</w:t>
            </w:r>
          </w:p>
        </w:tc>
        <w:tc>
          <w:tcPr>
            <w:tcW w:w="0" w:type="auto"/>
            <w:noWrap w:val="0"/>
            <w:tcMar>
              <w:left w:w="28" w:type="dxa"/>
              <w:right w:w="28" w:type="dxa"/>
            </w:tcMar>
            <w:vAlign w:val="center"/>
          </w:tcPr>
          <w:p w14:paraId="3282A526">
            <w:pPr>
              <w:jc w:val="center"/>
              <w:rPr>
                <w:sz w:val="21"/>
                <w:szCs w:val="21"/>
                <w:highlight w:val="none"/>
                <w:lang w:val="es-ES"/>
              </w:rPr>
            </w:pPr>
            <w:r>
              <w:rPr>
                <w:sz w:val="21"/>
                <w:szCs w:val="21"/>
                <w:highlight w:val="none"/>
                <w:lang w:val="es-ES"/>
              </w:rPr>
              <w:t>/</w:t>
            </w:r>
          </w:p>
        </w:tc>
        <w:tc>
          <w:tcPr>
            <w:tcW w:w="0" w:type="auto"/>
            <w:noWrap w:val="0"/>
            <w:tcMar>
              <w:left w:w="28" w:type="dxa"/>
              <w:right w:w="28" w:type="dxa"/>
            </w:tcMar>
            <w:vAlign w:val="center"/>
          </w:tcPr>
          <w:p w14:paraId="461C7616">
            <w:pPr>
              <w:jc w:val="center"/>
              <w:rPr>
                <w:sz w:val="21"/>
                <w:szCs w:val="21"/>
                <w:highlight w:val="none"/>
                <w:lang w:val="pt-BR"/>
              </w:rPr>
            </w:pPr>
            <w:r>
              <w:rPr>
                <w:sz w:val="21"/>
                <w:szCs w:val="21"/>
                <w:highlight w:val="none"/>
                <w:lang w:val="pt-BR"/>
              </w:rPr>
              <w:t>/</w:t>
            </w:r>
          </w:p>
        </w:tc>
        <w:tc>
          <w:tcPr>
            <w:tcW w:w="0" w:type="auto"/>
            <w:noWrap w:val="0"/>
            <w:tcMar>
              <w:left w:w="28" w:type="dxa"/>
              <w:right w:w="28" w:type="dxa"/>
            </w:tcMar>
            <w:vAlign w:val="center"/>
          </w:tcPr>
          <w:p w14:paraId="10E2D60B">
            <w:pPr>
              <w:jc w:val="center"/>
              <w:rPr>
                <w:sz w:val="21"/>
                <w:szCs w:val="21"/>
                <w:highlight w:val="none"/>
              </w:rPr>
            </w:pPr>
            <w:r>
              <w:rPr>
                <w:sz w:val="21"/>
                <w:szCs w:val="21"/>
                <w:highlight w:val="none"/>
              </w:rPr>
              <w:t>/</w:t>
            </w:r>
          </w:p>
        </w:tc>
        <w:tc>
          <w:tcPr>
            <w:tcW w:w="0" w:type="auto"/>
            <w:noWrap w:val="0"/>
            <w:tcMar>
              <w:left w:w="28" w:type="dxa"/>
              <w:right w:w="28" w:type="dxa"/>
            </w:tcMar>
            <w:vAlign w:val="center"/>
          </w:tcPr>
          <w:p w14:paraId="7AA28DF0">
            <w:pPr>
              <w:jc w:val="center"/>
              <w:rPr>
                <w:sz w:val="21"/>
                <w:szCs w:val="21"/>
                <w:highlight w:val="none"/>
              </w:rPr>
            </w:pPr>
            <w:r>
              <w:rPr>
                <w:sz w:val="21"/>
                <w:szCs w:val="21"/>
                <w:highlight w:val="none"/>
              </w:rPr>
              <w:t>/</w:t>
            </w:r>
          </w:p>
        </w:tc>
        <w:tc>
          <w:tcPr>
            <w:tcW w:w="0" w:type="auto"/>
            <w:noWrap w:val="0"/>
            <w:vAlign w:val="center"/>
          </w:tcPr>
          <w:p w14:paraId="6CF9AC30">
            <w:pPr>
              <w:jc w:val="center"/>
              <w:rPr>
                <w:sz w:val="21"/>
                <w:szCs w:val="21"/>
                <w:highlight w:val="none"/>
              </w:rPr>
            </w:pPr>
            <w:r>
              <w:rPr>
                <w:sz w:val="21"/>
                <w:szCs w:val="21"/>
                <w:highlight w:val="none"/>
              </w:rPr>
              <w:t>/</w:t>
            </w:r>
          </w:p>
        </w:tc>
        <w:tc>
          <w:tcPr>
            <w:tcW w:w="0" w:type="auto"/>
            <w:noWrap w:val="0"/>
            <w:tcMar>
              <w:left w:w="28" w:type="dxa"/>
              <w:right w:w="28" w:type="dxa"/>
            </w:tcMar>
            <w:vAlign w:val="center"/>
          </w:tcPr>
          <w:p w14:paraId="4EA8DAE8">
            <w:pPr>
              <w:jc w:val="center"/>
              <w:rPr>
                <w:sz w:val="21"/>
                <w:szCs w:val="21"/>
                <w:highlight w:val="none"/>
              </w:rPr>
            </w:pPr>
            <w:r>
              <w:rPr>
                <w:sz w:val="21"/>
                <w:szCs w:val="21"/>
                <w:highlight w:val="none"/>
              </w:rPr>
              <w:t>/</w:t>
            </w:r>
          </w:p>
        </w:tc>
        <w:tc>
          <w:tcPr>
            <w:tcW w:w="0" w:type="auto"/>
            <w:noWrap w:val="0"/>
            <w:vAlign w:val="center"/>
          </w:tcPr>
          <w:p w14:paraId="2EF6F569">
            <w:pPr>
              <w:jc w:val="center"/>
              <w:rPr>
                <w:sz w:val="21"/>
                <w:szCs w:val="21"/>
                <w:highlight w:val="none"/>
              </w:rPr>
            </w:pPr>
            <w:r>
              <w:rPr>
                <w:sz w:val="21"/>
                <w:szCs w:val="21"/>
                <w:highlight w:val="none"/>
              </w:rPr>
              <w:t>连续</w:t>
            </w:r>
          </w:p>
        </w:tc>
        <w:tc>
          <w:tcPr>
            <w:tcW w:w="0" w:type="auto"/>
            <w:noWrap w:val="0"/>
            <w:vAlign w:val="center"/>
          </w:tcPr>
          <w:p w14:paraId="5FB777E5">
            <w:pPr>
              <w:jc w:val="center"/>
              <w:rPr>
                <w:sz w:val="21"/>
                <w:szCs w:val="21"/>
                <w:highlight w:val="none"/>
              </w:rPr>
            </w:pPr>
            <w:r>
              <w:rPr>
                <w:sz w:val="21"/>
                <w:szCs w:val="21"/>
                <w:highlight w:val="none"/>
              </w:rPr>
              <w:t>经锅炉烟囱排入大气</w:t>
            </w:r>
          </w:p>
        </w:tc>
      </w:tr>
      <w:tr w14:paraId="0362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blHeader/>
          <w:jc w:val="center"/>
        </w:trPr>
        <w:tc>
          <w:tcPr>
            <w:tcW w:w="0" w:type="auto"/>
            <w:vMerge w:val="continue"/>
            <w:noWrap w:val="0"/>
            <w:tcMar>
              <w:left w:w="28" w:type="dxa"/>
              <w:right w:w="28" w:type="dxa"/>
            </w:tcMar>
            <w:vAlign w:val="center"/>
          </w:tcPr>
          <w:p w14:paraId="674E7A8F">
            <w:pPr>
              <w:widowControl/>
              <w:snapToGrid w:val="0"/>
              <w:jc w:val="center"/>
              <w:rPr>
                <w:sz w:val="21"/>
                <w:szCs w:val="21"/>
                <w:highlight w:val="none"/>
              </w:rPr>
            </w:pPr>
          </w:p>
        </w:tc>
        <w:tc>
          <w:tcPr>
            <w:tcW w:w="0" w:type="auto"/>
            <w:vMerge w:val="continue"/>
            <w:noWrap w:val="0"/>
            <w:vAlign w:val="center"/>
          </w:tcPr>
          <w:p w14:paraId="6904E8A0">
            <w:pPr>
              <w:jc w:val="center"/>
              <w:rPr>
                <w:sz w:val="21"/>
                <w:szCs w:val="21"/>
                <w:highlight w:val="none"/>
              </w:rPr>
            </w:pPr>
          </w:p>
        </w:tc>
        <w:tc>
          <w:tcPr>
            <w:tcW w:w="0" w:type="auto"/>
            <w:noWrap w:val="0"/>
            <w:vAlign w:val="center"/>
          </w:tcPr>
          <w:p w14:paraId="2106D71F">
            <w:pPr>
              <w:jc w:val="center"/>
              <w:rPr>
                <w:sz w:val="21"/>
                <w:szCs w:val="21"/>
                <w:highlight w:val="none"/>
              </w:rPr>
            </w:pPr>
            <w:r>
              <w:rPr>
                <w:sz w:val="21"/>
                <w:szCs w:val="21"/>
                <w:highlight w:val="none"/>
              </w:rPr>
              <w:t>低温甲醇洗酸性气</w:t>
            </w:r>
          </w:p>
        </w:tc>
        <w:tc>
          <w:tcPr>
            <w:tcW w:w="0" w:type="auto"/>
            <w:noWrap w:val="0"/>
            <w:tcMar>
              <w:left w:w="28" w:type="dxa"/>
              <w:right w:w="28" w:type="dxa"/>
            </w:tcMar>
            <w:vAlign w:val="center"/>
          </w:tcPr>
          <w:p w14:paraId="2FA37C6D">
            <w:pPr>
              <w:jc w:val="center"/>
              <w:rPr>
                <w:sz w:val="21"/>
                <w:szCs w:val="21"/>
                <w:highlight w:val="none"/>
              </w:rPr>
            </w:pPr>
            <w:r>
              <w:rPr>
                <w:sz w:val="21"/>
                <w:szCs w:val="21"/>
                <w:highlight w:val="none"/>
                <w:lang w:val="pt-BR"/>
              </w:rPr>
              <w:t>H</w:t>
            </w:r>
            <w:r>
              <w:rPr>
                <w:sz w:val="21"/>
                <w:szCs w:val="21"/>
                <w:highlight w:val="none"/>
                <w:vertAlign w:val="subscript"/>
                <w:lang w:val="pt-BR"/>
              </w:rPr>
              <w:t>2</w:t>
            </w:r>
            <w:r>
              <w:rPr>
                <w:sz w:val="21"/>
                <w:szCs w:val="21"/>
                <w:highlight w:val="none"/>
                <w:lang w:val="pt-BR"/>
              </w:rPr>
              <w:t>、N</w:t>
            </w:r>
            <w:r>
              <w:rPr>
                <w:sz w:val="21"/>
                <w:szCs w:val="21"/>
                <w:highlight w:val="none"/>
                <w:vertAlign w:val="subscript"/>
                <w:lang w:val="pt-BR"/>
              </w:rPr>
              <w:t>2</w:t>
            </w:r>
            <w:r>
              <w:rPr>
                <w:sz w:val="21"/>
                <w:szCs w:val="21"/>
                <w:highlight w:val="none"/>
                <w:lang w:val="pt-BR"/>
              </w:rPr>
              <w:t>、</w:t>
            </w:r>
            <w:r>
              <w:rPr>
                <w:sz w:val="21"/>
                <w:szCs w:val="21"/>
                <w:highlight w:val="none"/>
              </w:rPr>
              <w:t>CO</w:t>
            </w:r>
            <w:r>
              <w:rPr>
                <w:sz w:val="21"/>
                <w:szCs w:val="21"/>
                <w:highlight w:val="none"/>
                <w:lang w:val="pt-BR"/>
              </w:rPr>
              <w:t>、</w:t>
            </w:r>
            <w:r>
              <w:rPr>
                <w:sz w:val="21"/>
                <w:szCs w:val="21"/>
                <w:highlight w:val="none"/>
              </w:rPr>
              <w:t>CO</w:t>
            </w:r>
            <w:r>
              <w:rPr>
                <w:sz w:val="21"/>
                <w:szCs w:val="21"/>
                <w:highlight w:val="none"/>
                <w:vertAlign w:val="subscript"/>
              </w:rPr>
              <w:t>2</w:t>
            </w:r>
            <w:r>
              <w:rPr>
                <w:sz w:val="21"/>
                <w:szCs w:val="21"/>
                <w:highlight w:val="none"/>
                <w:lang w:val="pt-BR"/>
              </w:rPr>
              <w:t>、</w:t>
            </w:r>
            <w:r>
              <w:rPr>
                <w:sz w:val="21"/>
                <w:szCs w:val="21"/>
                <w:highlight w:val="none"/>
              </w:rPr>
              <w:t>H</w:t>
            </w:r>
            <w:r>
              <w:rPr>
                <w:sz w:val="21"/>
                <w:szCs w:val="21"/>
                <w:highlight w:val="none"/>
                <w:vertAlign w:val="subscript"/>
              </w:rPr>
              <w:t>2</w:t>
            </w:r>
            <w:r>
              <w:rPr>
                <w:sz w:val="21"/>
                <w:szCs w:val="21"/>
                <w:highlight w:val="none"/>
              </w:rPr>
              <w:t>S</w:t>
            </w:r>
            <w:r>
              <w:rPr>
                <w:sz w:val="21"/>
                <w:szCs w:val="21"/>
                <w:highlight w:val="none"/>
                <w:lang w:val="pt-BR"/>
              </w:rPr>
              <w:t>、</w:t>
            </w:r>
            <w:r>
              <w:rPr>
                <w:sz w:val="21"/>
                <w:szCs w:val="21"/>
                <w:highlight w:val="none"/>
              </w:rPr>
              <w:t>CH</w:t>
            </w:r>
            <w:r>
              <w:rPr>
                <w:sz w:val="21"/>
                <w:szCs w:val="21"/>
                <w:highlight w:val="none"/>
                <w:vertAlign w:val="subscript"/>
              </w:rPr>
              <w:t>3</w:t>
            </w:r>
            <w:r>
              <w:rPr>
                <w:sz w:val="21"/>
                <w:szCs w:val="21"/>
                <w:highlight w:val="none"/>
              </w:rPr>
              <w:t>OH</w:t>
            </w:r>
            <w:r>
              <w:rPr>
                <w:sz w:val="21"/>
                <w:szCs w:val="21"/>
                <w:highlight w:val="none"/>
                <w:lang w:val="pt-BR"/>
              </w:rPr>
              <w:t>、</w:t>
            </w:r>
            <w:r>
              <w:rPr>
                <w:sz w:val="21"/>
                <w:szCs w:val="21"/>
                <w:highlight w:val="none"/>
              </w:rPr>
              <w:t>HCN</w:t>
            </w:r>
          </w:p>
        </w:tc>
        <w:tc>
          <w:tcPr>
            <w:tcW w:w="0" w:type="auto"/>
            <w:noWrap w:val="0"/>
            <w:tcMar>
              <w:left w:w="28" w:type="dxa"/>
              <w:right w:w="28" w:type="dxa"/>
            </w:tcMar>
            <w:vAlign w:val="center"/>
          </w:tcPr>
          <w:p w14:paraId="140F6B51">
            <w:pPr>
              <w:jc w:val="center"/>
              <w:rPr>
                <w:sz w:val="21"/>
                <w:szCs w:val="21"/>
                <w:highlight w:val="none"/>
              </w:rPr>
            </w:pPr>
            <w:r>
              <w:rPr>
                <w:sz w:val="21"/>
                <w:szCs w:val="21"/>
                <w:highlight w:val="none"/>
              </w:rPr>
              <w:t>送净化装置硫回收单元</w:t>
            </w:r>
          </w:p>
        </w:tc>
        <w:tc>
          <w:tcPr>
            <w:tcW w:w="0" w:type="auto"/>
            <w:noWrap w:val="0"/>
            <w:tcMar>
              <w:left w:w="28" w:type="dxa"/>
              <w:right w:w="28" w:type="dxa"/>
            </w:tcMar>
            <w:vAlign w:val="center"/>
          </w:tcPr>
          <w:p w14:paraId="7E092D75">
            <w:pPr>
              <w:jc w:val="center"/>
              <w:rPr>
                <w:sz w:val="21"/>
                <w:szCs w:val="21"/>
                <w:highlight w:val="none"/>
                <w:lang w:val="pt-BR"/>
              </w:rPr>
            </w:pPr>
            <w:r>
              <w:rPr>
                <w:sz w:val="21"/>
                <w:szCs w:val="21"/>
                <w:highlight w:val="none"/>
                <w:lang w:val="pt-BR"/>
              </w:rPr>
              <w:t>/</w:t>
            </w:r>
          </w:p>
        </w:tc>
        <w:tc>
          <w:tcPr>
            <w:tcW w:w="0" w:type="auto"/>
            <w:noWrap w:val="0"/>
            <w:tcMar>
              <w:left w:w="28" w:type="dxa"/>
              <w:right w:w="28" w:type="dxa"/>
            </w:tcMar>
            <w:vAlign w:val="center"/>
          </w:tcPr>
          <w:p w14:paraId="0FB601CA">
            <w:pPr>
              <w:jc w:val="center"/>
              <w:rPr>
                <w:sz w:val="21"/>
                <w:szCs w:val="21"/>
                <w:highlight w:val="none"/>
              </w:rPr>
            </w:pPr>
            <w:r>
              <w:rPr>
                <w:sz w:val="21"/>
                <w:szCs w:val="21"/>
                <w:highlight w:val="none"/>
              </w:rPr>
              <w:t>/</w:t>
            </w:r>
          </w:p>
        </w:tc>
        <w:tc>
          <w:tcPr>
            <w:tcW w:w="0" w:type="auto"/>
            <w:noWrap w:val="0"/>
            <w:tcMar>
              <w:left w:w="28" w:type="dxa"/>
              <w:right w:w="28" w:type="dxa"/>
            </w:tcMar>
            <w:vAlign w:val="center"/>
          </w:tcPr>
          <w:p w14:paraId="605FD5F1">
            <w:pPr>
              <w:jc w:val="center"/>
              <w:rPr>
                <w:sz w:val="21"/>
                <w:szCs w:val="21"/>
                <w:highlight w:val="none"/>
              </w:rPr>
            </w:pPr>
            <w:r>
              <w:rPr>
                <w:sz w:val="21"/>
                <w:szCs w:val="21"/>
                <w:highlight w:val="none"/>
              </w:rPr>
              <w:t>/</w:t>
            </w:r>
          </w:p>
        </w:tc>
        <w:tc>
          <w:tcPr>
            <w:tcW w:w="0" w:type="auto"/>
            <w:noWrap w:val="0"/>
            <w:vAlign w:val="center"/>
          </w:tcPr>
          <w:p w14:paraId="6FF9980F">
            <w:pPr>
              <w:jc w:val="center"/>
              <w:rPr>
                <w:sz w:val="21"/>
                <w:szCs w:val="21"/>
                <w:highlight w:val="none"/>
              </w:rPr>
            </w:pPr>
            <w:r>
              <w:rPr>
                <w:sz w:val="21"/>
                <w:szCs w:val="21"/>
                <w:highlight w:val="none"/>
              </w:rPr>
              <w:t>/</w:t>
            </w:r>
          </w:p>
        </w:tc>
        <w:tc>
          <w:tcPr>
            <w:tcW w:w="0" w:type="auto"/>
            <w:noWrap w:val="0"/>
            <w:tcMar>
              <w:left w:w="28" w:type="dxa"/>
              <w:right w:w="28" w:type="dxa"/>
            </w:tcMar>
            <w:vAlign w:val="center"/>
          </w:tcPr>
          <w:p w14:paraId="69F401C4">
            <w:pPr>
              <w:jc w:val="center"/>
              <w:rPr>
                <w:sz w:val="21"/>
                <w:szCs w:val="21"/>
                <w:highlight w:val="none"/>
              </w:rPr>
            </w:pPr>
            <w:r>
              <w:rPr>
                <w:sz w:val="21"/>
                <w:szCs w:val="21"/>
                <w:highlight w:val="none"/>
              </w:rPr>
              <w:t>/</w:t>
            </w:r>
          </w:p>
        </w:tc>
        <w:tc>
          <w:tcPr>
            <w:tcW w:w="0" w:type="auto"/>
            <w:noWrap w:val="0"/>
            <w:vAlign w:val="center"/>
          </w:tcPr>
          <w:p w14:paraId="570246C8">
            <w:pPr>
              <w:jc w:val="center"/>
              <w:rPr>
                <w:sz w:val="21"/>
                <w:szCs w:val="21"/>
                <w:highlight w:val="none"/>
              </w:rPr>
            </w:pPr>
            <w:r>
              <w:rPr>
                <w:sz w:val="21"/>
                <w:szCs w:val="21"/>
                <w:highlight w:val="none"/>
              </w:rPr>
              <w:t>连续</w:t>
            </w:r>
          </w:p>
        </w:tc>
        <w:tc>
          <w:tcPr>
            <w:tcW w:w="0" w:type="auto"/>
            <w:noWrap w:val="0"/>
            <w:vAlign w:val="center"/>
          </w:tcPr>
          <w:p w14:paraId="33E4548F">
            <w:pPr>
              <w:jc w:val="center"/>
              <w:rPr>
                <w:sz w:val="21"/>
                <w:szCs w:val="21"/>
                <w:highlight w:val="none"/>
              </w:rPr>
            </w:pPr>
            <w:r>
              <w:rPr>
                <w:sz w:val="21"/>
                <w:szCs w:val="21"/>
                <w:highlight w:val="none"/>
              </w:rPr>
              <w:t>送净化装置硫回收单元</w:t>
            </w:r>
          </w:p>
        </w:tc>
      </w:tr>
      <w:tr w14:paraId="7EF9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0" w:type="auto"/>
            <w:vMerge w:val="continue"/>
            <w:noWrap w:val="0"/>
            <w:tcMar>
              <w:left w:w="28" w:type="dxa"/>
              <w:right w:w="28" w:type="dxa"/>
            </w:tcMar>
            <w:vAlign w:val="center"/>
          </w:tcPr>
          <w:p w14:paraId="36EDBC17">
            <w:pPr>
              <w:widowControl/>
              <w:snapToGrid w:val="0"/>
              <w:jc w:val="center"/>
              <w:rPr>
                <w:sz w:val="21"/>
                <w:szCs w:val="21"/>
                <w:highlight w:val="none"/>
              </w:rPr>
            </w:pPr>
          </w:p>
        </w:tc>
        <w:tc>
          <w:tcPr>
            <w:tcW w:w="0" w:type="auto"/>
            <w:noWrap w:val="0"/>
            <w:vAlign w:val="center"/>
          </w:tcPr>
          <w:p w14:paraId="41D2AB06">
            <w:pPr>
              <w:jc w:val="center"/>
              <w:rPr>
                <w:sz w:val="21"/>
                <w:szCs w:val="21"/>
                <w:highlight w:val="none"/>
              </w:rPr>
            </w:pPr>
            <w:r>
              <w:rPr>
                <w:sz w:val="21"/>
                <w:szCs w:val="21"/>
                <w:highlight w:val="none"/>
              </w:rPr>
              <w:t>硫回收单元</w:t>
            </w:r>
          </w:p>
        </w:tc>
        <w:tc>
          <w:tcPr>
            <w:tcW w:w="0" w:type="auto"/>
            <w:noWrap w:val="0"/>
            <w:vAlign w:val="center"/>
          </w:tcPr>
          <w:p w14:paraId="2D228770">
            <w:pPr>
              <w:jc w:val="center"/>
              <w:rPr>
                <w:sz w:val="21"/>
                <w:szCs w:val="21"/>
                <w:highlight w:val="none"/>
              </w:rPr>
            </w:pPr>
            <w:r>
              <w:rPr>
                <w:sz w:val="21"/>
                <w:szCs w:val="21"/>
                <w:highlight w:val="none"/>
              </w:rPr>
              <w:t>硫回收尾气</w:t>
            </w:r>
          </w:p>
        </w:tc>
        <w:tc>
          <w:tcPr>
            <w:tcW w:w="0" w:type="auto"/>
            <w:noWrap w:val="0"/>
            <w:tcMar>
              <w:left w:w="28" w:type="dxa"/>
              <w:right w:w="28" w:type="dxa"/>
            </w:tcMar>
            <w:vAlign w:val="center"/>
          </w:tcPr>
          <w:p w14:paraId="017DA347">
            <w:pPr>
              <w:jc w:val="center"/>
              <w:rPr>
                <w:sz w:val="21"/>
                <w:szCs w:val="21"/>
                <w:highlight w:val="none"/>
              </w:rPr>
            </w:pPr>
            <w:r>
              <w:rPr>
                <w:sz w:val="21"/>
                <w:szCs w:val="21"/>
                <w:highlight w:val="none"/>
              </w:rPr>
              <w:t>SO</w:t>
            </w:r>
            <w:r>
              <w:rPr>
                <w:sz w:val="21"/>
                <w:szCs w:val="21"/>
                <w:highlight w:val="none"/>
                <w:vertAlign w:val="subscript"/>
              </w:rPr>
              <w:t>2</w:t>
            </w:r>
          </w:p>
          <w:p w14:paraId="6F3D4878">
            <w:pPr>
              <w:jc w:val="center"/>
              <w:rPr>
                <w:sz w:val="21"/>
                <w:szCs w:val="21"/>
                <w:highlight w:val="none"/>
              </w:rPr>
            </w:pPr>
            <w:r>
              <w:rPr>
                <w:sz w:val="21"/>
                <w:szCs w:val="21"/>
                <w:highlight w:val="none"/>
              </w:rPr>
              <w:t>NOx</w:t>
            </w:r>
          </w:p>
        </w:tc>
        <w:tc>
          <w:tcPr>
            <w:tcW w:w="0" w:type="auto"/>
            <w:noWrap w:val="0"/>
            <w:tcMar>
              <w:left w:w="28" w:type="dxa"/>
              <w:right w:w="28" w:type="dxa"/>
            </w:tcMar>
            <w:vAlign w:val="center"/>
          </w:tcPr>
          <w:p w14:paraId="0524233F">
            <w:pPr>
              <w:jc w:val="center"/>
              <w:rPr>
                <w:sz w:val="21"/>
                <w:szCs w:val="21"/>
                <w:highlight w:val="none"/>
              </w:rPr>
            </w:pPr>
            <w:r>
              <w:rPr>
                <w:sz w:val="21"/>
                <w:szCs w:val="21"/>
                <w:highlight w:val="none"/>
              </w:rPr>
              <w:t>/</w:t>
            </w:r>
          </w:p>
        </w:tc>
        <w:tc>
          <w:tcPr>
            <w:tcW w:w="0" w:type="auto"/>
            <w:noWrap w:val="0"/>
            <w:tcMar>
              <w:left w:w="28" w:type="dxa"/>
              <w:right w:w="28" w:type="dxa"/>
            </w:tcMar>
            <w:vAlign w:val="center"/>
          </w:tcPr>
          <w:p w14:paraId="28F6265D">
            <w:pPr>
              <w:jc w:val="center"/>
              <w:rPr>
                <w:sz w:val="21"/>
                <w:szCs w:val="21"/>
                <w:highlight w:val="none"/>
              </w:rPr>
            </w:pPr>
            <w:r>
              <w:rPr>
                <w:sz w:val="21"/>
                <w:szCs w:val="21"/>
                <w:highlight w:val="none"/>
              </w:rPr>
              <w:t>22981</w:t>
            </w:r>
          </w:p>
        </w:tc>
        <w:tc>
          <w:tcPr>
            <w:tcW w:w="0" w:type="auto"/>
            <w:noWrap w:val="0"/>
            <w:tcMar>
              <w:left w:w="28" w:type="dxa"/>
              <w:right w:w="28" w:type="dxa"/>
            </w:tcMar>
            <w:vAlign w:val="center"/>
          </w:tcPr>
          <w:p w14:paraId="2CBB5675">
            <w:pPr>
              <w:jc w:val="center"/>
              <w:rPr>
                <w:sz w:val="21"/>
                <w:szCs w:val="21"/>
                <w:highlight w:val="none"/>
              </w:rPr>
            </w:pPr>
            <w:r>
              <w:rPr>
                <w:sz w:val="21"/>
                <w:szCs w:val="21"/>
                <w:highlight w:val="none"/>
              </w:rPr>
              <w:t>8.1</w:t>
            </w:r>
          </w:p>
          <w:p w14:paraId="17128683">
            <w:pPr>
              <w:jc w:val="center"/>
              <w:rPr>
                <w:sz w:val="21"/>
                <w:szCs w:val="21"/>
                <w:highlight w:val="none"/>
              </w:rPr>
            </w:pPr>
            <w:r>
              <w:rPr>
                <w:sz w:val="21"/>
                <w:szCs w:val="21"/>
                <w:highlight w:val="none"/>
              </w:rPr>
              <w:t>44.2</w:t>
            </w:r>
          </w:p>
        </w:tc>
        <w:tc>
          <w:tcPr>
            <w:tcW w:w="0" w:type="auto"/>
            <w:noWrap w:val="0"/>
            <w:tcMar>
              <w:left w:w="28" w:type="dxa"/>
              <w:right w:w="28" w:type="dxa"/>
            </w:tcMar>
            <w:vAlign w:val="center"/>
          </w:tcPr>
          <w:p w14:paraId="45377536">
            <w:pPr>
              <w:jc w:val="center"/>
              <w:rPr>
                <w:sz w:val="21"/>
                <w:szCs w:val="21"/>
                <w:highlight w:val="none"/>
              </w:rPr>
            </w:pPr>
            <w:r>
              <w:rPr>
                <w:sz w:val="21"/>
                <w:szCs w:val="21"/>
                <w:highlight w:val="none"/>
              </w:rPr>
              <w:t>1</w:t>
            </w:r>
          </w:p>
        </w:tc>
        <w:tc>
          <w:tcPr>
            <w:tcW w:w="0" w:type="auto"/>
            <w:noWrap w:val="0"/>
            <w:vAlign w:val="center"/>
          </w:tcPr>
          <w:p w14:paraId="4121F56D">
            <w:pPr>
              <w:jc w:val="center"/>
              <w:rPr>
                <w:sz w:val="21"/>
                <w:szCs w:val="21"/>
                <w:highlight w:val="none"/>
              </w:rPr>
            </w:pPr>
            <w:r>
              <w:rPr>
                <w:sz w:val="21"/>
                <w:szCs w:val="21"/>
                <w:highlight w:val="none"/>
              </w:rPr>
              <w:t>70</w:t>
            </w:r>
          </w:p>
        </w:tc>
        <w:tc>
          <w:tcPr>
            <w:tcW w:w="0" w:type="auto"/>
            <w:noWrap w:val="0"/>
            <w:tcMar>
              <w:left w:w="28" w:type="dxa"/>
              <w:right w:w="28" w:type="dxa"/>
            </w:tcMar>
            <w:vAlign w:val="center"/>
          </w:tcPr>
          <w:p w14:paraId="739C0CA3">
            <w:pPr>
              <w:jc w:val="center"/>
              <w:rPr>
                <w:sz w:val="21"/>
                <w:szCs w:val="21"/>
                <w:highlight w:val="none"/>
              </w:rPr>
            </w:pPr>
            <w:r>
              <w:rPr>
                <w:sz w:val="21"/>
                <w:szCs w:val="21"/>
                <w:highlight w:val="none"/>
              </w:rPr>
              <w:t>1.2</w:t>
            </w:r>
          </w:p>
        </w:tc>
        <w:tc>
          <w:tcPr>
            <w:tcW w:w="0" w:type="auto"/>
            <w:noWrap w:val="0"/>
            <w:vAlign w:val="center"/>
          </w:tcPr>
          <w:p w14:paraId="4D16B653">
            <w:pPr>
              <w:jc w:val="center"/>
              <w:rPr>
                <w:sz w:val="21"/>
                <w:szCs w:val="21"/>
                <w:highlight w:val="none"/>
              </w:rPr>
            </w:pPr>
            <w:r>
              <w:rPr>
                <w:sz w:val="21"/>
                <w:szCs w:val="21"/>
                <w:highlight w:val="none"/>
              </w:rPr>
              <w:t>连续</w:t>
            </w:r>
          </w:p>
        </w:tc>
        <w:tc>
          <w:tcPr>
            <w:tcW w:w="0" w:type="auto"/>
            <w:noWrap w:val="0"/>
            <w:vAlign w:val="center"/>
          </w:tcPr>
          <w:p w14:paraId="4E662BC9">
            <w:pPr>
              <w:jc w:val="center"/>
              <w:rPr>
                <w:sz w:val="21"/>
                <w:szCs w:val="21"/>
                <w:highlight w:val="none"/>
              </w:rPr>
            </w:pPr>
            <w:r>
              <w:rPr>
                <w:sz w:val="21"/>
                <w:szCs w:val="21"/>
                <w:highlight w:val="none"/>
              </w:rPr>
              <w:t>排入大气</w:t>
            </w:r>
          </w:p>
        </w:tc>
      </w:tr>
      <w:tr w14:paraId="098B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blHeader/>
          <w:jc w:val="center"/>
        </w:trPr>
        <w:tc>
          <w:tcPr>
            <w:tcW w:w="0" w:type="auto"/>
            <w:vMerge w:val="continue"/>
            <w:noWrap w:val="0"/>
            <w:tcMar>
              <w:left w:w="28" w:type="dxa"/>
              <w:right w:w="28" w:type="dxa"/>
            </w:tcMar>
            <w:vAlign w:val="center"/>
          </w:tcPr>
          <w:p w14:paraId="6C372D87">
            <w:pPr>
              <w:widowControl/>
              <w:snapToGrid w:val="0"/>
              <w:jc w:val="center"/>
              <w:rPr>
                <w:sz w:val="21"/>
                <w:szCs w:val="21"/>
                <w:highlight w:val="none"/>
              </w:rPr>
            </w:pPr>
          </w:p>
        </w:tc>
        <w:tc>
          <w:tcPr>
            <w:tcW w:w="0" w:type="auto"/>
            <w:noWrap w:val="0"/>
            <w:vAlign w:val="center"/>
          </w:tcPr>
          <w:p w14:paraId="329B9449">
            <w:pPr>
              <w:jc w:val="center"/>
              <w:rPr>
                <w:sz w:val="21"/>
                <w:szCs w:val="21"/>
                <w:highlight w:val="none"/>
              </w:rPr>
            </w:pPr>
            <w:r>
              <w:rPr>
                <w:sz w:val="21"/>
                <w:szCs w:val="21"/>
                <w:highlight w:val="none"/>
              </w:rPr>
              <w:t>酸性水汽提单元</w:t>
            </w:r>
          </w:p>
        </w:tc>
        <w:tc>
          <w:tcPr>
            <w:tcW w:w="0" w:type="auto"/>
            <w:noWrap w:val="0"/>
            <w:vAlign w:val="center"/>
          </w:tcPr>
          <w:p w14:paraId="6F067AE8">
            <w:pPr>
              <w:jc w:val="center"/>
              <w:rPr>
                <w:rFonts w:hint="eastAsia" w:eastAsia="宋体"/>
                <w:sz w:val="21"/>
                <w:szCs w:val="21"/>
                <w:highlight w:val="none"/>
                <w:lang w:eastAsia="zh-CN"/>
              </w:rPr>
            </w:pPr>
            <w:r>
              <w:rPr>
                <w:sz w:val="21"/>
                <w:szCs w:val="21"/>
                <w:highlight w:val="none"/>
              </w:rPr>
              <w:t>汽提塔酸性气</w:t>
            </w:r>
            <w:r>
              <w:rPr>
                <w:rFonts w:hint="eastAsia"/>
                <w:sz w:val="21"/>
                <w:szCs w:val="21"/>
                <w:highlight w:val="none"/>
                <w:lang w:eastAsia="zh-CN"/>
              </w:rPr>
              <w:t>体</w:t>
            </w:r>
          </w:p>
        </w:tc>
        <w:tc>
          <w:tcPr>
            <w:tcW w:w="0" w:type="auto"/>
            <w:noWrap w:val="0"/>
            <w:tcMar>
              <w:left w:w="28" w:type="dxa"/>
              <w:right w:w="28" w:type="dxa"/>
            </w:tcMar>
            <w:vAlign w:val="center"/>
          </w:tcPr>
          <w:p w14:paraId="6FCF4951">
            <w:pPr>
              <w:jc w:val="center"/>
              <w:rPr>
                <w:sz w:val="21"/>
                <w:szCs w:val="21"/>
                <w:highlight w:val="none"/>
                <w:lang w:val="pt-BR"/>
              </w:rPr>
            </w:pPr>
            <w:r>
              <w:rPr>
                <w:sz w:val="21"/>
                <w:szCs w:val="21"/>
                <w:highlight w:val="none"/>
                <w:lang w:val="pt-BR"/>
              </w:rPr>
              <w:t>H</w:t>
            </w:r>
            <w:r>
              <w:rPr>
                <w:sz w:val="21"/>
                <w:szCs w:val="21"/>
                <w:highlight w:val="none"/>
                <w:vertAlign w:val="subscript"/>
                <w:lang w:val="pt-BR"/>
              </w:rPr>
              <w:t>2</w:t>
            </w:r>
            <w:r>
              <w:rPr>
                <w:sz w:val="21"/>
                <w:szCs w:val="21"/>
                <w:highlight w:val="none"/>
                <w:lang w:val="pt-BR"/>
              </w:rPr>
              <w:t>、CO、CO</w:t>
            </w:r>
            <w:r>
              <w:rPr>
                <w:sz w:val="21"/>
                <w:szCs w:val="21"/>
                <w:highlight w:val="none"/>
                <w:vertAlign w:val="subscript"/>
                <w:lang w:val="pt-BR"/>
              </w:rPr>
              <w:t>2</w:t>
            </w:r>
            <w:r>
              <w:rPr>
                <w:sz w:val="21"/>
                <w:szCs w:val="21"/>
                <w:highlight w:val="none"/>
                <w:lang w:val="pt-BR"/>
              </w:rPr>
              <w:t>、N</w:t>
            </w:r>
            <w:r>
              <w:rPr>
                <w:sz w:val="21"/>
                <w:szCs w:val="21"/>
                <w:highlight w:val="none"/>
                <w:vertAlign w:val="subscript"/>
                <w:lang w:val="pt-BR"/>
              </w:rPr>
              <w:t>2</w:t>
            </w:r>
            <w:r>
              <w:rPr>
                <w:sz w:val="21"/>
                <w:szCs w:val="21"/>
                <w:highlight w:val="none"/>
                <w:lang w:val="pt-BR"/>
              </w:rPr>
              <w:t>、CH</w:t>
            </w:r>
            <w:r>
              <w:rPr>
                <w:sz w:val="21"/>
                <w:szCs w:val="21"/>
                <w:highlight w:val="none"/>
                <w:vertAlign w:val="subscript"/>
                <w:lang w:val="pt-BR"/>
              </w:rPr>
              <w:t>4</w:t>
            </w:r>
            <w:r>
              <w:rPr>
                <w:sz w:val="21"/>
                <w:szCs w:val="21"/>
                <w:highlight w:val="none"/>
                <w:lang w:val="pt-BR"/>
              </w:rPr>
              <w:t>、H</w:t>
            </w:r>
            <w:r>
              <w:rPr>
                <w:sz w:val="21"/>
                <w:szCs w:val="21"/>
                <w:highlight w:val="none"/>
                <w:vertAlign w:val="subscript"/>
                <w:lang w:val="pt-BR"/>
              </w:rPr>
              <w:t>2</w:t>
            </w:r>
            <w:r>
              <w:rPr>
                <w:sz w:val="21"/>
                <w:szCs w:val="21"/>
                <w:highlight w:val="none"/>
                <w:lang w:val="pt-BR"/>
              </w:rPr>
              <w:t>S+COS、Ar、NH</w:t>
            </w:r>
            <w:r>
              <w:rPr>
                <w:sz w:val="21"/>
                <w:szCs w:val="21"/>
                <w:highlight w:val="none"/>
                <w:vertAlign w:val="subscript"/>
                <w:lang w:val="pt-BR"/>
              </w:rPr>
              <w:t>3</w:t>
            </w:r>
            <w:r>
              <w:rPr>
                <w:sz w:val="21"/>
                <w:szCs w:val="21"/>
                <w:highlight w:val="none"/>
                <w:lang w:val="pt-BR"/>
              </w:rPr>
              <w:t>、HCN</w:t>
            </w:r>
          </w:p>
        </w:tc>
        <w:tc>
          <w:tcPr>
            <w:tcW w:w="0" w:type="auto"/>
            <w:noWrap w:val="0"/>
            <w:tcMar>
              <w:left w:w="28" w:type="dxa"/>
              <w:right w:w="28" w:type="dxa"/>
            </w:tcMar>
            <w:vAlign w:val="center"/>
          </w:tcPr>
          <w:p w14:paraId="27994214">
            <w:pPr>
              <w:jc w:val="center"/>
              <w:rPr>
                <w:sz w:val="21"/>
                <w:szCs w:val="21"/>
                <w:highlight w:val="none"/>
              </w:rPr>
            </w:pPr>
            <w:r>
              <w:rPr>
                <w:sz w:val="21"/>
                <w:szCs w:val="21"/>
                <w:highlight w:val="none"/>
              </w:rPr>
              <w:t>送净化装置硫回收单元</w:t>
            </w:r>
          </w:p>
        </w:tc>
        <w:tc>
          <w:tcPr>
            <w:tcW w:w="0" w:type="auto"/>
            <w:noWrap w:val="0"/>
            <w:tcMar>
              <w:left w:w="28" w:type="dxa"/>
              <w:right w:w="28" w:type="dxa"/>
            </w:tcMar>
            <w:vAlign w:val="center"/>
          </w:tcPr>
          <w:p w14:paraId="218C1625">
            <w:pPr>
              <w:jc w:val="center"/>
              <w:rPr>
                <w:sz w:val="21"/>
                <w:szCs w:val="21"/>
                <w:highlight w:val="none"/>
                <w:lang w:val="pt-BR"/>
              </w:rPr>
            </w:pPr>
            <w:r>
              <w:rPr>
                <w:sz w:val="21"/>
                <w:szCs w:val="21"/>
                <w:highlight w:val="none"/>
                <w:lang w:val="pt-BR"/>
              </w:rPr>
              <w:t>/</w:t>
            </w:r>
          </w:p>
        </w:tc>
        <w:tc>
          <w:tcPr>
            <w:tcW w:w="0" w:type="auto"/>
            <w:noWrap w:val="0"/>
            <w:tcMar>
              <w:left w:w="28" w:type="dxa"/>
              <w:right w:w="28" w:type="dxa"/>
            </w:tcMar>
            <w:vAlign w:val="center"/>
          </w:tcPr>
          <w:p w14:paraId="05009B09">
            <w:pPr>
              <w:jc w:val="center"/>
              <w:rPr>
                <w:sz w:val="21"/>
                <w:szCs w:val="21"/>
                <w:highlight w:val="none"/>
              </w:rPr>
            </w:pPr>
            <w:r>
              <w:rPr>
                <w:sz w:val="21"/>
                <w:szCs w:val="21"/>
                <w:highlight w:val="none"/>
              </w:rPr>
              <w:t>/</w:t>
            </w:r>
          </w:p>
        </w:tc>
        <w:tc>
          <w:tcPr>
            <w:tcW w:w="0" w:type="auto"/>
            <w:noWrap w:val="0"/>
            <w:tcMar>
              <w:left w:w="28" w:type="dxa"/>
              <w:right w:w="28" w:type="dxa"/>
            </w:tcMar>
            <w:vAlign w:val="center"/>
          </w:tcPr>
          <w:p w14:paraId="0605073A">
            <w:pPr>
              <w:jc w:val="center"/>
              <w:rPr>
                <w:sz w:val="21"/>
                <w:szCs w:val="21"/>
                <w:highlight w:val="none"/>
              </w:rPr>
            </w:pPr>
            <w:r>
              <w:rPr>
                <w:sz w:val="21"/>
                <w:szCs w:val="21"/>
                <w:highlight w:val="none"/>
              </w:rPr>
              <w:t>/</w:t>
            </w:r>
          </w:p>
        </w:tc>
        <w:tc>
          <w:tcPr>
            <w:tcW w:w="0" w:type="auto"/>
            <w:noWrap w:val="0"/>
            <w:vAlign w:val="center"/>
          </w:tcPr>
          <w:p w14:paraId="650A4AA9">
            <w:pPr>
              <w:jc w:val="center"/>
              <w:rPr>
                <w:sz w:val="21"/>
                <w:szCs w:val="21"/>
                <w:highlight w:val="none"/>
              </w:rPr>
            </w:pPr>
            <w:r>
              <w:rPr>
                <w:sz w:val="21"/>
                <w:szCs w:val="21"/>
                <w:highlight w:val="none"/>
              </w:rPr>
              <w:t>/</w:t>
            </w:r>
          </w:p>
        </w:tc>
        <w:tc>
          <w:tcPr>
            <w:tcW w:w="0" w:type="auto"/>
            <w:noWrap w:val="0"/>
            <w:tcMar>
              <w:left w:w="28" w:type="dxa"/>
              <w:right w:w="28" w:type="dxa"/>
            </w:tcMar>
            <w:vAlign w:val="center"/>
          </w:tcPr>
          <w:p w14:paraId="2B22D5CC">
            <w:pPr>
              <w:jc w:val="center"/>
              <w:rPr>
                <w:sz w:val="21"/>
                <w:szCs w:val="21"/>
                <w:highlight w:val="none"/>
              </w:rPr>
            </w:pPr>
            <w:r>
              <w:rPr>
                <w:sz w:val="21"/>
                <w:szCs w:val="21"/>
                <w:highlight w:val="none"/>
              </w:rPr>
              <w:t>/</w:t>
            </w:r>
          </w:p>
        </w:tc>
        <w:tc>
          <w:tcPr>
            <w:tcW w:w="0" w:type="auto"/>
            <w:noWrap w:val="0"/>
            <w:vAlign w:val="center"/>
          </w:tcPr>
          <w:p w14:paraId="1CB4BD64">
            <w:pPr>
              <w:jc w:val="center"/>
              <w:rPr>
                <w:sz w:val="21"/>
                <w:szCs w:val="21"/>
                <w:highlight w:val="none"/>
              </w:rPr>
            </w:pPr>
            <w:r>
              <w:rPr>
                <w:sz w:val="21"/>
                <w:szCs w:val="21"/>
                <w:highlight w:val="none"/>
              </w:rPr>
              <w:t>连续</w:t>
            </w:r>
          </w:p>
        </w:tc>
        <w:tc>
          <w:tcPr>
            <w:tcW w:w="0" w:type="auto"/>
            <w:noWrap w:val="0"/>
            <w:vAlign w:val="center"/>
          </w:tcPr>
          <w:p w14:paraId="351046B2">
            <w:pPr>
              <w:jc w:val="center"/>
              <w:rPr>
                <w:sz w:val="21"/>
                <w:szCs w:val="21"/>
                <w:highlight w:val="none"/>
              </w:rPr>
            </w:pPr>
            <w:r>
              <w:rPr>
                <w:sz w:val="21"/>
                <w:szCs w:val="21"/>
                <w:highlight w:val="none"/>
              </w:rPr>
              <w:t>送净化装置硫回收单元</w:t>
            </w:r>
          </w:p>
        </w:tc>
      </w:tr>
      <w:tr w14:paraId="6387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exact"/>
          <w:tblHeader/>
          <w:jc w:val="center"/>
        </w:trPr>
        <w:tc>
          <w:tcPr>
            <w:tcW w:w="0" w:type="auto"/>
            <w:vMerge w:val="restart"/>
            <w:noWrap w:val="0"/>
            <w:tcMar>
              <w:left w:w="28" w:type="dxa"/>
              <w:right w:w="28" w:type="dxa"/>
            </w:tcMar>
            <w:vAlign w:val="center"/>
          </w:tcPr>
          <w:p w14:paraId="69496427">
            <w:pPr>
              <w:widowControl/>
              <w:snapToGrid w:val="0"/>
              <w:jc w:val="center"/>
              <w:rPr>
                <w:sz w:val="21"/>
                <w:szCs w:val="21"/>
                <w:highlight w:val="none"/>
              </w:rPr>
            </w:pPr>
            <w:r>
              <w:rPr>
                <w:sz w:val="21"/>
                <w:szCs w:val="21"/>
                <w:highlight w:val="none"/>
              </w:rPr>
              <w:t>化学品合成装置</w:t>
            </w:r>
          </w:p>
        </w:tc>
        <w:tc>
          <w:tcPr>
            <w:tcW w:w="0" w:type="auto"/>
            <w:vMerge w:val="restart"/>
            <w:noWrap w:val="0"/>
            <w:vAlign w:val="center"/>
          </w:tcPr>
          <w:p w14:paraId="4B1F25DC">
            <w:pPr>
              <w:jc w:val="center"/>
              <w:rPr>
                <w:sz w:val="21"/>
                <w:szCs w:val="21"/>
                <w:highlight w:val="none"/>
              </w:rPr>
            </w:pPr>
            <w:r>
              <w:rPr>
                <w:sz w:val="21"/>
                <w:szCs w:val="21"/>
                <w:highlight w:val="none"/>
              </w:rPr>
              <w:t>催化剂还原单元</w:t>
            </w:r>
          </w:p>
        </w:tc>
        <w:tc>
          <w:tcPr>
            <w:tcW w:w="0" w:type="auto"/>
            <w:noWrap w:val="0"/>
            <w:vAlign w:val="center"/>
          </w:tcPr>
          <w:p w14:paraId="4AA55B1A">
            <w:pPr>
              <w:jc w:val="center"/>
              <w:rPr>
                <w:sz w:val="21"/>
                <w:szCs w:val="21"/>
                <w:highlight w:val="none"/>
              </w:rPr>
            </w:pPr>
            <w:r>
              <w:rPr>
                <w:sz w:val="21"/>
                <w:szCs w:val="21"/>
                <w:highlight w:val="none"/>
              </w:rPr>
              <w:t>催化剂输送罐废气</w:t>
            </w:r>
          </w:p>
        </w:tc>
        <w:tc>
          <w:tcPr>
            <w:tcW w:w="0" w:type="auto"/>
            <w:noWrap w:val="0"/>
            <w:tcMar>
              <w:left w:w="28" w:type="dxa"/>
              <w:right w:w="28" w:type="dxa"/>
            </w:tcMar>
            <w:vAlign w:val="center"/>
          </w:tcPr>
          <w:p w14:paraId="37C225E7">
            <w:pPr>
              <w:jc w:val="center"/>
              <w:rPr>
                <w:sz w:val="21"/>
                <w:szCs w:val="21"/>
                <w:highlight w:val="none"/>
              </w:rPr>
            </w:pPr>
            <w:r>
              <w:rPr>
                <w:sz w:val="21"/>
                <w:szCs w:val="21"/>
                <w:highlight w:val="none"/>
              </w:rPr>
              <w:t>颗粒物</w:t>
            </w:r>
          </w:p>
        </w:tc>
        <w:tc>
          <w:tcPr>
            <w:tcW w:w="0" w:type="auto"/>
            <w:noWrap w:val="0"/>
            <w:tcMar>
              <w:left w:w="28" w:type="dxa"/>
              <w:right w:w="28" w:type="dxa"/>
            </w:tcMar>
            <w:vAlign w:val="center"/>
          </w:tcPr>
          <w:p w14:paraId="73C2FE84">
            <w:pPr>
              <w:jc w:val="center"/>
              <w:rPr>
                <w:sz w:val="21"/>
                <w:szCs w:val="21"/>
                <w:highlight w:val="none"/>
              </w:rPr>
            </w:pPr>
            <w:r>
              <w:rPr>
                <w:sz w:val="21"/>
                <w:szCs w:val="21"/>
                <w:highlight w:val="none"/>
              </w:rPr>
              <w:t>布袋除尘器除尘</w:t>
            </w:r>
          </w:p>
        </w:tc>
        <w:tc>
          <w:tcPr>
            <w:tcW w:w="0" w:type="auto"/>
            <w:noWrap w:val="0"/>
            <w:tcMar>
              <w:left w:w="28" w:type="dxa"/>
              <w:right w:w="28" w:type="dxa"/>
            </w:tcMar>
            <w:vAlign w:val="center"/>
          </w:tcPr>
          <w:p w14:paraId="1DBC5A6A">
            <w:pPr>
              <w:jc w:val="center"/>
              <w:rPr>
                <w:sz w:val="21"/>
                <w:szCs w:val="21"/>
                <w:highlight w:val="none"/>
              </w:rPr>
            </w:pPr>
            <w:r>
              <w:rPr>
                <w:sz w:val="21"/>
                <w:szCs w:val="21"/>
                <w:highlight w:val="none"/>
              </w:rPr>
              <w:t>465</w:t>
            </w:r>
          </w:p>
        </w:tc>
        <w:tc>
          <w:tcPr>
            <w:tcW w:w="0" w:type="auto"/>
            <w:noWrap w:val="0"/>
            <w:tcMar>
              <w:left w:w="28" w:type="dxa"/>
              <w:right w:w="28" w:type="dxa"/>
            </w:tcMar>
            <w:vAlign w:val="center"/>
          </w:tcPr>
          <w:p w14:paraId="1E9312C1">
            <w:pPr>
              <w:jc w:val="center"/>
              <w:rPr>
                <w:sz w:val="21"/>
                <w:szCs w:val="21"/>
                <w:highlight w:val="none"/>
              </w:rPr>
            </w:pPr>
            <w:r>
              <w:rPr>
                <w:sz w:val="21"/>
                <w:szCs w:val="21"/>
                <w:highlight w:val="none"/>
              </w:rPr>
              <w:t>57.0</w:t>
            </w:r>
          </w:p>
        </w:tc>
        <w:tc>
          <w:tcPr>
            <w:tcW w:w="0" w:type="auto"/>
            <w:noWrap w:val="0"/>
            <w:tcMar>
              <w:left w:w="28" w:type="dxa"/>
              <w:right w:w="28" w:type="dxa"/>
            </w:tcMar>
            <w:vAlign w:val="center"/>
          </w:tcPr>
          <w:p w14:paraId="038F116B">
            <w:pPr>
              <w:jc w:val="center"/>
              <w:rPr>
                <w:sz w:val="21"/>
                <w:szCs w:val="21"/>
                <w:highlight w:val="none"/>
              </w:rPr>
            </w:pPr>
            <w:r>
              <w:rPr>
                <w:sz w:val="21"/>
                <w:szCs w:val="21"/>
                <w:highlight w:val="none"/>
              </w:rPr>
              <w:t>1</w:t>
            </w:r>
          </w:p>
        </w:tc>
        <w:tc>
          <w:tcPr>
            <w:tcW w:w="0" w:type="auto"/>
            <w:noWrap w:val="0"/>
            <w:vAlign w:val="center"/>
          </w:tcPr>
          <w:p w14:paraId="2B8F6E6E">
            <w:pPr>
              <w:jc w:val="center"/>
              <w:rPr>
                <w:sz w:val="21"/>
                <w:szCs w:val="21"/>
                <w:highlight w:val="none"/>
              </w:rPr>
            </w:pPr>
            <w:r>
              <w:rPr>
                <w:sz w:val="21"/>
                <w:szCs w:val="21"/>
                <w:highlight w:val="none"/>
              </w:rPr>
              <w:t>25</w:t>
            </w:r>
          </w:p>
        </w:tc>
        <w:tc>
          <w:tcPr>
            <w:tcW w:w="0" w:type="auto"/>
            <w:noWrap w:val="0"/>
            <w:tcMar>
              <w:left w:w="28" w:type="dxa"/>
              <w:right w:w="28" w:type="dxa"/>
            </w:tcMar>
            <w:vAlign w:val="center"/>
          </w:tcPr>
          <w:p w14:paraId="31ADDA2E">
            <w:pPr>
              <w:jc w:val="center"/>
              <w:rPr>
                <w:sz w:val="21"/>
                <w:szCs w:val="21"/>
                <w:highlight w:val="none"/>
              </w:rPr>
            </w:pPr>
            <w:r>
              <w:rPr>
                <w:sz w:val="21"/>
                <w:szCs w:val="21"/>
                <w:highlight w:val="none"/>
              </w:rPr>
              <w:t>0.4</w:t>
            </w:r>
          </w:p>
        </w:tc>
        <w:tc>
          <w:tcPr>
            <w:tcW w:w="0" w:type="auto"/>
            <w:noWrap w:val="0"/>
            <w:vAlign w:val="center"/>
          </w:tcPr>
          <w:p w14:paraId="386FF497">
            <w:pPr>
              <w:jc w:val="center"/>
              <w:rPr>
                <w:sz w:val="21"/>
                <w:szCs w:val="21"/>
                <w:highlight w:val="none"/>
              </w:rPr>
            </w:pPr>
            <w:r>
              <w:rPr>
                <w:sz w:val="21"/>
                <w:szCs w:val="21"/>
                <w:highlight w:val="none"/>
              </w:rPr>
              <w:t>间断</w:t>
            </w:r>
          </w:p>
        </w:tc>
        <w:tc>
          <w:tcPr>
            <w:tcW w:w="0" w:type="auto"/>
            <w:noWrap w:val="0"/>
            <w:vAlign w:val="center"/>
          </w:tcPr>
          <w:p w14:paraId="2749E8C4">
            <w:pPr>
              <w:jc w:val="center"/>
              <w:rPr>
                <w:sz w:val="21"/>
                <w:szCs w:val="21"/>
                <w:highlight w:val="none"/>
              </w:rPr>
            </w:pPr>
            <w:r>
              <w:rPr>
                <w:sz w:val="21"/>
                <w:szCs w:val="21"/>
                <w:highlight w:val="none"/>
              </w:rPr>
              <w:t>排入大气</w:t>
            </w:r>
          </w:p>
        </w:tc>
      </w:tr>
      <w:tr w14:paraId="2CA2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tblHeader/>
          <w:jc w:val="center"/>
        </w:trPr>
        <w:tc>
          <w:tcPr>
            <w:tcW w:w="0" w:type="auto"/>
            <w:vMerge w:val="continue"/>
            <w:noWrap w:val="0"/>
            <w:tcMar>
              <w:left w:w="28" w:type="dxa"/>
              <w:right w:w="28" w:type="dxa"/>
            </w:tcMar>
            <w:vAlign w:val="center"/>
          </w:tcPr>
          <w:p w14:paraId="4BDD176A">
            <w:pPr>
              <w:widowControl/>
              <w:snapToGrid w:val="0"/>
              <w:jc w:val="center"/>
              <w:rPr>
                <w:sz w:val="21"/>
                <w:szCs w:val="21"/>
                <w:highlight w:val="none"/>
              </w:rPr>
            </w:pPr>
          </w:p>
        </w:tc>
        <w:tc>
          <w:tcPr>
            <w:tcW w:w="0" w:type="auto"/>
            <w:vMerge w:val="continue"/>
            <w:noWrap w:val="0"/>
            <w:vAlign w:val="center"/>
          </w:tcPr>
          <w:p w14:paraId="7C009F1C">
            <w:pPr>
              <w:jc w:val="center"/>
              <w:rPr>
                <w:sz w:val="21"/>
                <w:szCs w:val="21"/>
                <w:highlight w:val="none"/>
              </w:rPr>
            </w:pPr>
          </w:p>
        </w:tc>
        <w:tc>
          <w:tcPr>
            <w:tcW w:w="0" w:type="auto"/>
            <w:noWrap w:val="0"/>
            <w:vAlign w:val="center"/>
          </w:tcPr>
          <w:p w14:paraId="57AD4860">
            <w:pPr>
              <w:jc w:val="center"/>
              <w:rPr>
                <w:sz w:val="21"/>
                <w:szCs w:val="21"/>
                <w:highlight w:val="none"/>
              </w:rPr>
            </w:pPr>
            <w:r>
              <w:rPr>
                <w:sz w:val="21"/>
                <w:szCs w:val="21"/>
                <w:highlight w:val="none"/>
              </w:rPr>
              <w:t>催化剂储仓废气</w:t>
            </w:r>
          </w:p>
        </w:tc>
        <w:tc>
          <w:tcPr>
            <w:tcW w:w="0" w:type="auto"/>
            <w:noWrap w:val="0"/>
            <w:tcMar>
              <w:left w:w="28" w:type="dxa"/>
              <w:right w:w="28" w:type="dxa"/>
            </w:tcMar>
            <w:vAlign w:val="center"/>
          </w:tcPr>
          <w:p w14:paraId="5286280B">
            <w:pPr>
              <w:jc w:val="center"/>
              <w:rPr>
                <w:sz w:val="21"/>
                <w:szCs w:val="21"/>
                <w:highlight w:val="none"/>
              </w:rPr>
            </w:pPr>
            <w:r>
              <w:rPr>
                <w:sz w:val="21"/>
                <w:szCs w:val="21"/>
                <w:highlight w:val="none"/>
              </w:rPr>
              <w:t>颗粒物</w:t>
            </w:r>
          </w:p>
        </w:tc>
        <w:tc>
          <w:tcPr>
            <w:tcW w:w="0" w:type="auto"/>
            <w:noWrap w:val="0"/>
            <w:tcMar>
              <w:left w:w="28" w:type="dxa"/>
              <w:right w:w="28" w:type="dxa"/>
            </w:tcMar>
            <w:vAlign w:val="center"/>
          </w:tcPr>
          <w:p w14:paraId="7AD08D3D">
            <w:pPr>
              <w:jc w:val="center"/>
              <w:rPr>
                <w:sz w:val="21"/>
                <w:szCs w:val="21"/>
                <w:highlight w:val="none"/>
              </w:rPr>
            </w:pPr>
            <w:r>
              <w:rPr>
                <w:sz w:val="21"/>
                <w:szCs w:val="21"/>
                <w:highlight w:val="none"/>
              </w:rPr>
              <w:t>布袋除尘器除尘</w:t>
            </w:r>
          </w:p>
        </w:tc>
        <w:tc>
          <w:tcPr>
            <w:tcW w:w="0" w:type="auto"/>
            <w:noWrap w:val="0"/>
            <w:tcMar>
              <w:left w:w="28" w:type="dxa"/>
              <w:right w:w="28" w:type="dxa"/>
            </w:tcMar>
            <w:vAlign w:val="center"/>
          </w:tcPr>
          <w:p w14:paraId="0FEB0F16">
            <w:pPr>
              <w:jc w:val="center"/>
              <w:rPr>
                <w:sz w:val="21"/>
                <w:szCs w:val="21"/>
                <w:highlight w:val="none"/>
              </w:rPr>
            </w:pPr>
            <w:r>
              <w:rPr>
                <w:sz w:val="21"/>
                <w:szCs w:val="21"/>
                <w:highlight w:val="none"/>
              </w:rPr>
              <w:t>1182</w:t>
            </w:r>
          </w:p>
        </w:tc>
        <w:tc>
          <w:tcPr>
            <w:tcW w:w="0" w:type="auto"/>
            <w:noWrap w:val="0"/>
            <w:tcMar>
              <w:left w:w="28" w:type="dxa"/>
              <w:right w:w="28" w:type="dxa"/>
            </w:tcMar>
            <w:vAlign w:val="center"/>
          </w:tcPr>
          <w:p w14:paraId="79F6D6A7">
            <w:pPr>
              <w:jc w:val="center"/>
              <w:rPr>
                <w:sz w:val="21"/>
                <w:szCs w:val="21"/>
                <w:highlight w:val="none"/>
              </w:rPr>
            </w:pPr>
            <w:r>
              <w:rPr>
                <w:sz w:val="21"/>
                <w:szCs w:val="21"/>
                <w:highlight w:val="none"/>
              </w:rPr>
              <w:t>39.9</w:t>
            </w:r>
          </w:p>
        </w:tc>
        <w:tc>
          <w:tcPr>
            <w:tcW w:w="0" w:type="auto"/>
            <w:noWrap w:val="0"/>
            <w:tcMar>
              <w:left w:w="28" w:type="dxa"/>
              <w:right w:w="28" w:type="dxa"/>
            </w:tcMar>
            <w:vAlign w:val="center"/>
          </w:tcPr>
          <w:p w14:paraId="69D031D4">
            <w:pPr>
              <w:jc w:val="center"/>
              <w:rPr>
                <w:sz w:val="21"/>
                <w:szCs w:val="21"/>
                <w:highlight w:val="none"/>
              </w:rPr>
            </w:pPr>
            <w:r>
              <w:rPr>
                <w:sz w:val="21"/>
                <w:szCs w:val="21"/>
                <w:highlight w:val="none"/>
              </w:rPr>
              <w:t>1</w:t>
            </w:r>
          </w:p>
        </w:tc>
        <w:tc>
          <w:tcPr>
            <w:tcW w:w="0" w:type="auto"/>
            <w:noWrap w:val="0"/>
            <w:vAlign w:val="center"/>
          </w:tcPr>
          <w:p w14:paraId="32797889">
            <w:pPr>
              <w:jc w:val="center"/>
              <w:rPr>
                <w:sz w:val="21"/>
                <w:szCs w:val="21"/>
                <w:highlight w:val="none"/>
              </w:rPr>
            </w:pPr>
            <w:r>
              <w:rPr>
                <w:sz w:val="21"/>
                <w:szCs w:val="21"/>
                <w:highlight w:val="none"/>
              </w:rPr>
              <w:t>25</w:t>
            </w:r>
          </w:p>
        </w:tc>
        <w:tc>
          <w:tcPr>
            <w:tcW w:w="0" w:type="auto"/>
            <w:noWrap w:val="0"/>
            <w:tcMar>
              <w:left w:w="28" w:type="dxa"/>
              <w:right w:w="28" w:type="dxa"/>
            </w:tcMar>
            <w:vAlign w:val="center"/>
          </w:tcPr>
          <w:p w14:paraId="31C514BC">
            <w:pPr>
              <w:jc w:val="center"/>
              <w:rPr>
                <w:sz w:val="21"/>
                <w:szCs w:val="21"/>
                <w:highlight w:val="none"/>
              </w:rPr>
            </w:pPr>
            <w:r>
              <w:rPr>
                <w:sz w:val="21"/>
                <w:szCs w:val="21"/>
                <w:highlight w:val="none"/>
              </w:rPr>
              <w:t>0.4</w:t>
            </w:r>
          </w:p>
        </w:tc>
        <w:tc>
          <w:tcPr>
            <w:tcW w:w="0" w:type="auto"/>
            <w:noWrap w:val="0"/>
            <w:vAlign w:val="center"/>
          </w:tcPr>
          <w:p w14:paraId="73E0AADE">
            <w:pPr>
              <w:jc w:val="center"/>
              <w:rPr>
                <w:sz w:val="21"/>
                <w:szCs w:val="21"/>
                <w:highlight w:val="none"/>
              </w:rPr>
            </w:pPr>
            <w:r>
              <w:rPr>
                <w:sz w:val="21"/>
                <w:szCs w:val="21"/>
                <w:highlight w:val="none"/>
              </w:rPr>
              <w:t>间断</w:t>
            </w:r>
          </w:p>
        </w:tc>
        <w:tc>
          <w:tcPr>
            <w:tcW w:w="0" w:type="auto"/>
            <w:noWrap w:val="0"/>
            <w:vAlign w:val="center"/>
          </w:tcPr>
          <w:p w14:paraId="75F1EF49">
            <w:pPr>
              <w:jc w:val="center"/>
              <w:rPr>
                <w:sz w:val="21"/>
                <w:szCs w:val="21"/>
                <w:highlight w:val="none"/>
              </w:rPr>
            </w:pPr>
            <w:r>
              <w:rPr>
                <w:sz w:val="21"/>
                <w:szCs w:val="21"/>
                <w:highlight w:val="none"/>
              </w:rPr>
              <w:t>排入大气</w:t>
            </w:r>
          </w:p>
        </w:tc>
      </w:tr>
      <w:tr w14:paraId="24BE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0" w:type="auto"/>
            <w:vMerge w:val="continue"/>
            <w:noWrap w:val="0"/>
            <w:tcMar>
              <w:left w:w="28" w:type="dxa"/>
              <w:right w:w="28" w:type="dxa"/>
            </w:tcMar>
            <w:vAlign w:val="center"/>
          </w:tcPr>
          <w:p w14:paraId="3823EE78">
            <w:pPr>
              <w:widowControl/>
              <w:snapToGrid w:val="0"/>
              <w:jc w:val="center"/>
              <w:rPr>
                <w:sz w:val="21"/>
                <w:szCs w:val="21"/>
                <w:highlight w:val="none"/>
              </w:rPr>
            </w:pPr>
          </w:p>
        </w:tc>
        <w:tc>
          <w:tcPr>
            <w:tcW w:w="0" w:type="auto"/>
            <w:vMerge w:val="continue"/>
            <w:noWrap w:val="0"/>
            <w:vAlign w:val="center"/>
          </w:tcPr>
          <w:p w14:paraId="71A047C3">
            <w:pPr>
              <w:jc w:val="center"/>
              <w:rPr>
                <w:sz w:val="21"/>
                <w:szCs w:val="21"/>
                <w:highlight w:val="none"/>
              </w:rPr>
            </w:pPr>
          </w:p>
        </w:tc>
        <w:tc>
          <w:tcPr>
            <w:tcW w:w="0" w:type="auto"/>
            <w:noWrap w:val="0"/>
            <w:vAlign w:val="center"/>
          </w:tcPr>
          <w:p w14:paraId="1ABC0E13">
            <w:pPr>
              <w:jc w:val="center"/>
              <w:rPr>
                <w:sz w:val="21"/>
                <w:szCs w:val="21"/>
                <w:highlight w:val="none"/>
              </w:rPr>
            </w:pPr>
            <w:r>
              <w:rPr>
                <w:sz w:val="21"/>
                <w:szCs w:val="21"/>
                <w:highlight w:val="none"/>
              </w:rPr>
              <w:t>催化剂给料罐废气</w:t>
            </w:r>
          </w:p>
        </w:tc>
        <w:tc>
          <w:tcPr>
            <w:tcW w:w="0" w:type="auto"/>
            <w:noWrap w:val="0"/>
            <w:tcMar>
              <w:left w:w="28" w:type="dxa"/>
              <w:right w:w="28" w:type="dxa"/>
            </w:tcMar>
            <w:vAlign w:val="center"/>
          </w:tcPr>
          <w:p w14:paraId="6EA56CE7">
            <w:pPr>
              <w:jc w:val="center"/>
              <w:rPr>
                <w:sz w:val="21"/>
                <w:szCs w:val="21"/>
                <w:highlight w:val="none"/>
              </w:rPr>
            </w:pPr>
            <w:r>
              <w:rPr>
                <w:sz w:val="21"/>
                <w:szCs w:val="21"/>
                <w:highlight w:val="none"/>
              </w:rPr>
              <w:t>颗粒物</w:t>
            </w:r>
          </w:p>
        </w:tc>
        <w:tc>
          <w:tcPr>
            <w:tcW w:w="0" w:type="auto"/>
            <w:noWrap w:val="0"/>
            <w:tcMar>
              <w:left w:w="28" w:type="dxa"/>
              <w:right w:w="28" w:type="dxa"/>
            </w:tcMar>
            <w:vAlign w:val="center"/>
          </w:tcPr>
          <w:p w14:paraId="03A335E7">
            <w:pPr>
              <w:jc w:val="center"/>
              <w:rPr>
                <w:sz w:val="21"/>
                <w:szCs w:val="21"/>
                <w:highlight w:val="none"/>
              </w:rPr>
            </w:pPr>
            <w:r>
              <w:rPr>
                <w:sz w:val="21"/>
                <w:szCs w:val="21"/>
                <w:highlight w:val="none"/>
              </w:rPr>
              <w:t>布袋除尘器除尘</w:t>
            </w:r>
          </w:p>
        </w:tc>
        <w:tc>
          <w:tcPr>
            <w:tcW w:w="0" w:type="auto"/>
            <w:noWrap w:val="0"/>
            <w:tcMar>
              <w:left w:w="28" w:type="dxa"/>
              <w:right w:w="28" w:type="dxa"/>
            </w:tcMar>
            <w:vAlign w:val="center"/>
          </w:tcPr>
          <w:p w14:paraId="642FEE7E">
            <w:pPr>
              <w:jc w:val="center"/>
              <w:rPr>
                <w:sz w:val="21"/>
                <w:szCs w:val="21"/>
                <w:highlight w:val="none"/>
              </w:rPr>
            </w:pPr>
            <w:r>
              <w:rPr>
                <w:sz w:val="21"/>
                <w:szCs w:val="21"/>
                <w:highlight w:val="none"/>
              </w:rPr>
              <w:t>1044</w:t>
            </w:r>
          </w:p>
        </w:tc>
        <w:tc>
          <w:tcPr>
            <w:tcW w:w="0" w:type="auto"/>
            <w:noWrap w:val="0"/>
            <w:tcMar>
              <w:left w:w="28" w:type="dxa"/>
              <w:right w:w="28" w:type="dxa"/>
            </w:tcMar>
            <w:vAlign w:val="center"/>
          </w:tcPr>
          <w:p w14:paraId="005338D0">
            <w:pPr>
              <w:jc w:val="center"/>
              <w:rPr>
                <w:sz w:val="21"/>
                <w:szCs w:val="21"/>
                <w:highlight w:val="none"/>
              </w:rPr>
            </w:pPr>
            <w:r>
              <w:rPr>
                <w:sz w:val="21"/>
                <w:szCs w:val="21"/>
                <w:highlight w:val="none"/>
              </w:rPr>
              <w:t>33.9</w:t>
            </w:r>
          </w:p>
        </w:tc>
        <w:tc>
          <w:tcPr>
            <w:tcW w:w="0" w:type="auto"/>
            <w:noWrap w:val="0"/>
            <w:tcMar>
              <w:left w:w="28" w:type="dxa"/>
              <w:right w:w="28" w:type="dxa"/>
            </w:tcMar>
            <w:vAlign w:val="center"/>
          </w:tcPr>
          <w:p w14:paraId="0AF55DBE">
            <w:pPr>
              <w:jc w:val="center"/>
              <w:rPr>
                <w:sz w:val="21"/>
                <w:szCs w:val="21"/>
                <w:highlight w:val="none"/>
              </w:rPr>
            </w:pPr>
            <w:r>
              <w:rPr>
                <w:sz w:val="21"/>
                <w:szCs w:val="21"/>
                <w:highlight w:val="none"/>
              </w:rPr>
              <w:t>1</w:t>
            </w:r>
          </w:p>
        </w:tc>
        <w:tc>
          <w:tcPr>
            <w:tcW w:w="0" w:type="auto"/>
            <w:noWrap w:val="0"/>
            <w:vAlign w:val="center"/>
          </w:tcPr>
          <w:p w14:paraId="376A463B">
            <w:pPr>
              <w:jc w:val="center"/>
              <w:rPr>
                <w:sz w:val="21"/>
                <w:szCs w:val="21"/>
                <w:highlight w:val="none"/>
              </w:rPr>
            </w:pPr>
            <w:r>
              <w:rPr>
                <w:sz w:val="21"/>
                <w:szCs w:val="21"/>
                <w:highlight w:val="none"/>
              </w:rPr>
              <w:t>25</w:t>
            </w:r>
          </w:p>
        </w:tc>
        <w:tc>
          <w:tcPr>
            <w:tcW w:w="0" w:type="auto"/>
            <w:noWrap w:val="0"/>
            <w:tcMar>
              <w:left w:w="28" w:type="dxa"/>
              <w:right w:w="28" w:type="dxa"/>
            </w:tcMar>
            <w:vAlign w:val="center"/>
          </w:tcPr>
          <w:p w14:paraId="17C5B6E1">
            <w:pPr>
              <w:jc w:val="center"/>
              <w:rPr>
                <w:sz w:val="21"/>
                <w:szCs w:val="21"/>
                <w:highlight w:val="none"/>
              </w:rPr>
            </w:pPr>
            <w:r>
              <w:rPr>
                <w:sz w:val="21"/>
                <w:szCs w:val="21"/>
                <w:highlight w:val="none"/>
              </w:rPr>
              <w:t>0.4</w:t>
            </w:r>
          </w:p>
        </w:tc>
        <w:tc>
          <w:tcPr>
            <w:tcW w:w="0" w:type="auto"/>
            <w:noWrap w:val="0"/>
            <w:vAlign w:val="center"/>
          </w:tcPr>
          <w:p w14:paraId="0356561D">
            <w:pPr>
              <w:jc w:val="center"/>
              <w:rPr>
                <w:sz w:val="21"/>
                <w:szCs w:val="21"/>
                <w:highlight w:val="none"/>
              </w:rPr>
            </w:pPr>
            <w:r>
              <w:rPr>
                <w:sz w:val="21"/>
                <w:szCs w:val="21"/>
                <w:highlight w:val="none"/>
              </w:rPr>
              <w:t>间断</w:t>
            </w:r>
          </w:p>
        </w:tc>
        <w:tc>
          <w:tcPr>
            <w:tcW w:w="0" w:type="auto"/>
            <w:noWrap w:val="0"/>
            <w:vAlign w:val="center"/>
          </w:tcPr>
          <w:p w14:paraId="236E3832">
            <w:pPr>
              <w:jc w:val="center"/>
              <w:rPr>
                <w:sz w:val="21"/>
                <w:szCs w:val="21"/>
                <w:highlight w:val="none"/>
              </w:rPr>
            </w:pPr>
            <w:r>
              <w:rPr>
                <w:sz w:val="21"/>
                <w:szCs w:val="21"/>
                <w:highlight w:val="none"/>
              </w:rPr>
              <w:t>排入大气</w:t>
            </w:r>
          </w:p>
        </w:tc>
      </w:tr>
      <w:tr w14:paraId="78C2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0" w:type="auto"/>
            <w:vMerge w:val="continue"/>
            <w:noWrap w:val="0"/>
            <w:tcMar>
              <w:left w:w="28" w:type="dxa"/>
              <w:right w:w="28" w:type="dxa"/>
            </w:tcMar>
            <w:vAlign w:val="center"/>
          </w:tcPr>
          <w:p w14:paraId="43BAA37D">
            <w:pPr>
              <w:widowControl/>
              <w:snapToGrid w:val="0"/>
              <w:jc w:val="center"/>
              <w:rPr>
                <w:sz w:val="21"/>
                <w:szCs w:val="21"/>
                <w:highlight w:val="none"/>
              </w:rPr>
            </w:pPr>
          </w:p>
        </w:tc>
        <w:tc>
          <w:tcPr>
            <w:tcW w:w="0" w:type="auto"/>
            <w:vMerge w:val="restart"/>
            <w:noWrap w:val="0"/>
            <w:vAlign w:val="center"/>
          </w:tcPr>
          <w:p w14:paraId="5C5CCB31">
            <w:pPr>
              <w:jc w:val="center"/>
              <w:rPr>
                <w:sz w:val="21"/>
                <w:szCs w:val="21"/>
                <w:highlight w:val="none"/>
              </w:rPr>
            </w:pPr>
            <w:r>
              <w:rPr>
                <w:sz w:val="21"/>
                <w:szCs w:val="21"/>
                <w:highlight w:val="none"/>
              </w:rPr>
              <w:t>蜡过滤单元</w:t>
            </w:r>
          </w:p>
        </w:tc>
        <w:tc>
          <w:tcPr>
            <w:tcW w:w="0" w:type="auto"/>
            <w:noWrap w:val="0"/>
            <w:vAlign w:val="center"/>
          </w:tcPr>
          <w:p w14:paraId="1F63069D">
            <w:pPr>
              <w:jc w:val="center"/>
              <w:rPr>
                <w:sz w:val="21"/>
                <w:szCs w:val="21"/>
                <w:highlight w:val="none"/>
              </w:rPr>
            </w:pPr>
            <w:r>
              <w:rPr>
                <w:sz w:val="21"/>
                <w:szCs w:val="21"/>
                <w:highlight w:val="none"/>
              </w:rPr>
              <w:t>助剂拆袋系统废气</w:t>
            </w:r>
          </w:p>
        </w:tc>
        <w:tc>
          <w:tcPr>
            <w:tcW w:w="0" w:type="auto"/>
            <w:noWrap w:val="0"/>
            <w:tcMar>
              <w:left w:w="28" w:type="dxa"/>
              <w:right w:w="28" w:type="dxa"/>
            </w:tcMar>
            <w:vAlign w:val="center"/>
          </w:tcPr>
          <w:p w14:paraId="6A6703AE">
            <w:pPr>
              <w:jc w:val="center"/>
              <w:rPr>
                <w:sz w:val="21"/>
                <w:szCs w:val="21"/>
                <w:highlight w:val="none"/>
                <w:lang w:val="pt-BR"/>
              </w:rPr>
            </w:pPr>
            <w:r>
              <w:rPr>
                <w:sz w:val="21"/>
                <w:szCs w:val="21"/>
                <w:highlight w:val="none"/>
              </w:rPr>
              <w:t>颗粒物</w:t>
            </w:r>
          </w:p>
        </w:tc>
        <w:tc>
          <w:tcPr>
            <w:tcW w:w="0" w:type="auto"/>
            <w:noWrap w:val="0"/>
            <w:tcMar>
              <w:left w:w="28" w:type="dxa"/>
              <w:right w:w="28" w:type="dxa"/>
            </w:tcMar>
            <w:vAlign w:val="center"/>
          </w:tcPr>
          <w:p w14:paraId="61FFDA28">
            <w:pPr>
              <w:jc w:val="center"/>
              <w:rPr>
                <w:sz w:val="21"/>
                <w:szCs w:val="21"/>
                <w:highlight w:val="none"/>
              </w:rPr>
            </w:pPr>
            <w:r>
              <w:rPr>
                <w:sz w:val="21"/>
                <w:szCs w:val="21"/>
                <w:highlight w:val="none"/>
              </w:rPr>
              <w:t>布袋除尘器除尘</w:t>
            </w:r>
          </w:p>
        </w:tc>
        <w:tc>
          <w:tcPr>
            <w:tcW w:w="0" w:type="auto"/>
            <w:noWrap w:val="0"/>
            <w:tcMar>
              <w:left w:w="28" w:type="dxa"/>
              <w:right w:w="28" w:type="dxa"/>
            </w:tcMar>
            <w:vAlign w:val="center"/>
          </w:tcPr>
          <w:p w14:paraId="554EDD6D">
            <w:pPr>
              <w:jc w:val="center"/>
              <w:rPr>
                <w:sz w:val="21"/>
                <w:szCs w:val="21"/>
                <w:highlight w:val="none"/>
              </w:rPr>
            </w:pPr>
            <w:r>
              <w:rPr>
                <w:sz w:val="21"/>
                <w:szCs w:val="21"/>
                <w:highlight w:val="none"/>
              </w:rPr>
              <w:t>242</w:t>
            </w:r>
          </w:p>
        </w:tc>
        <w:tc>
          <w:tcPr>
            <w:tcW w:w="0" w:type="auto"/>
            <w:noWrap w:val="0"/>
            <w:tcMar>
              <w:left w:w="28" w:type="dxa"/>
              <w:right w:w="28" w:type="dxa"/>
            </w:tcMar>
            <w:vAlign w:val="center"/>
          </w:tcPr>
          <w:p w14:paraId="2870611F">
            <w:pPr>
              <w:jc w:val="center"/>
              <w:rPr>
                <w:sz w:val="21"/>
                <w:szCs w:val="21"/>
                <w:highlight w:val="none"/>
              </w:rPr>
            </w:pPr>
            <w:r>
              <w:rPr>
                <w:sz w:val="21"/>
                <w:szCs w:val="21"/>
                <w:highlight w:val="none"/>
              </w:rPr>
              <w:t>48.2</w:t>
            </w:r>
          </w:p>
        </w:tc>
        <w:tc>
          <w:tcPr>
            <w:tcW w:w="0" w:type="auto"/>
            <w:noWrap w:val="0"/>
            <w:tcMar>
              <w:left w:w="28" w:type="dxa"/>
              <w:right w:w="28" w:type="dxa"/>
            </w:tcMar>
            <w:vAlign w:val="center"/>
          </w:tcPr>
          <w:p w14:paraId="2959C6EF">
            <w:pPr>
              <w:jc w:val="center"/>
              <w:rPr>
                <w:sz w:val="21"/>
                <w:szCs w:val="21"/>
                <w:highlight w:val="none"/>
              </w:rPr>
            </w:pPr>
            <w:r>
              <w:rPr>
                <w:sz w:val="21"/>
                <w:szCs w:val="21"/>
                <w:highlight w:val="none"/>
              </w:rPr>
              <w:t>1</w:t>
            </w:r>
          </w:p>
        </w:tc>
        <w:tc>
          <w:tcPr>
            <w:tcW w:w="0" w:type="auto"/>
            <w:noWrap w:val="0"/>
            <w:vAlign w:val="center"/>
          </w:tcPr>
          <w:p w14:paraId="12DD4834">
            <w:pPr>
              <w:jc w:val="center"/>
              <w:rPr>
                <w:sz w:val="21"/>
                <w:szCs w:val="21"/>
                <w:highlight w:val="none"/>
              </w:rPr>
            </w:pPr>
            <w:r>
              <w:rPr>
                <w:sz w:val="21"/>
                <w:szCs w:val="21"/>
                <w:highlight w:val="none"/>
              </w:rPr>
              <w:t>15</w:t>
            </w:r>
          </w:p>
        </w:tc>
        <w:tc>
          <w:tcPr>
            <w:tcW w:w="0" w:type="auto"/>
            <w:noWrap w:val="0"/>
            <w:tcMar>
              <w:left w:w="28" w:type="dxa"/>
              <w:right w:w="28" w:type="dxa"/>
            </w:tcMar>
            <w:vAlign w:val="center"/>
          </w:tcPr>
          <w:p w14:paraId="396862B7">
            <w:pPr>
              <w:jc w:val="center"/>
              <w:rPr>
                <w:sz w:val="21"/>
                <w:szCs w:val="21"/>
                <w:highlight w:val="none"/>
              </w:rPr>
            </w:pPr>
            <w:r>
              <w:rPr>
                <w:sz w:val="21"/>
                <w:szCs w:val="21"/>
                <w:highlight w:val="none"/>
              </w:rPr>
              <w:t>0.35</w:t>
            </w:r>
          </w:p>
        </w:tc>
        <w:tc>
          <w:tcPr>
            <w:tcW w:w="0" w:type="auto"/>
            <w:noWrap w:val="0"/>
            <w:vAlign w:val="center"/>
          </w:tcPr>
          <w:p w14:paraId="5F56370D">
            <w:pPr>
              <w:jc w:val="center"/>
              <w:rPr>
                <w:sz w:val="21"/>
                <w:szCs w:val="21"/>
                <w:highlight w:val="none"/>
              </w:rPr>
            </w:pPr>
            <w:r>
              <w:rPr>
                <w:sz w:val="21"/>
                <w:szCs w:val="21"/>
                <w:highlight w:val="none"/>
              </w:rPr>
              <w:t>间断</w:t>
            </w:r>
          </w:p>
        </w:tc>
        <w:tc>
          <w:tcPr>
            <w:tcW w:w="0" w:type="auto"/>
            <w:noWrap w:val="0"/>
            <w:vAlign w:val="center"/>
          </w:tcPr>
          <w:p w14:paraId="224B3C32">
            <w:pPr>
              <w:jc w:val="center"/>
              <w:rPr>
                <w:sz w:val="21"/>
                <w:szCs w:val="21"/>
                <w:highlight w:val="none"/>
              </w:rPr>
            </w:pPr>
            <w:r>
              <w:rPr>
                <w:sz w:val="21"/>
                <w:szCs w:val="21"/>
                <w:highlight w:val="none"/>
              </w:rPr>
              <w:t>排入大气</w:t>
            </w:r>
          </w:p>
        </w:tc>
      </w:tr>
      <w:tr w14:paraId="4A2E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0" w:type="auto"/>
            <w:vMerge w:val="continue"/>
            <w:noWrap w:val="0"/>
            <w:tcMar>
              <w:left w:w="28" w:type="dxa"/>
              <w:right w:w="28" w:type="dxa"/>
            </w:tcMar>
            <w:vAlign w:val="center"/>
          </w:tcPr>
          <w:p w14:paraId="4EF99ECA">
            <w:pPr>
              <w:widowControl/>
              <w:snapToGrid w:val="0"/>
              <w:jc w:val="center"/>
              <w:rPr>
                <w:sz w:val="21"/>
                <w:szCs w:val="21"/>
                <w:highlight w:val="none"/>
              </w:rPr>
            </w:pPr>
          </w:p>
        </w:tc>
        <w:tc>
          <w:tcPr>
            <w:tcW w:w="0" w:type="auto"/>
            <w:vMerge w:val="continue"/>
            <w:noWrap w:val="0"/>
            <w:vAlign w:val="center"/>
          </w:tcPr>
          <w:p w14:paraId="5202F276">
            <w:pPr>
              <w:jc w:val="center"/>
              <w:rPr>
                <w:sz w:val="21"/>
                <w:szCs w:val="21"/>
                <w:highlight w:val="none"/>
              </w:rPr>
            </w:pPr>
          </w:p>
        </w:tc>
        <w:tc>
          <w:tcPr>
            <w:tcW w:w="0" w:type="auto"/>
            <w:noWrap w:val="0"/>
            <w:vAlign w:val="center"/>
          </w:tcPr>
          <w:p w14:paraId="64F6E5C4">
            <w:pPr>
              <w:jc w:val="center"/>
              <w:rPr>
                <w:sz w:val="21"/>
                <w:szCs w:val="21"/>
                <w:highlight w:val="none"/>
              </w:rPr>
            </w:pPr>
            <w:r>
              <w:rPr>
                <w:sz w:val="21"/>
                <w:szCs w:val="21"/>
                <w:highlight w:val="none"/>
              </w:rPr>
              <w:t>硅藻土储仓</w:t>
            </w:r>
          </w:p>
        </w:tc>
        <w:tc>
          <w:tcPr>
            <w:tcW w:w="0" w:type="auto"/>
            <w:noWrap w:val="0"/>
            <w:tcMar>
              <w:left w:w="28" w:type="dxa"/>
              <w:right w:w="28" w:type="dxa"/>
            </w:tcMar>
            <w:vAlign w:val="center"/>
          </w:tcPr>
          <w:p w14:paraId="5173962F">
            <w:pPr>
              <w:jc w:val="center"/>
              <w:rPr>
                <w:sz w:val="21"/>
                <w:szCs w:val="21"/>
                <w:highlight w:val="none"/>
                <w:lang w:val="pt-BR"/>
              </w:rPr>
            </w:pPr>
            <w:r>
              <w:rPr>
                <w:sz w:val="21"/>
                <w:szCs w:val="21"/>
                <w:highlight w:val="none"/>
              </w:rPr>
              <w:t>颗粒物</w:t>
            </w:r>
          </w:p>
        </w:tc>
        <w:tc>
          <w:tcPr>
            <w:tcW w:w="0" w:type="auto"/>
            <w:noWrap w:val="0"/>
            <w:tcMar>
              <w:left w:w="28" w:type="dxa"/>
              <w:right w:w="28" w:type="dxa"/>
            </w:tcMar>
            <w:vAlign w:val="center"/>
          </w:tcPr>
          <w:p w14:paraId="7FA35DD9">
            <w:pPr>
              <w:jc w:val="center"/>
              <w:rPr>
                <w:sz w:val="21"/>
                <w:szCs w:val="21"/>
                <w:highlight w:val="none"/>
              </w:rPr>
            </w:pPr>
            <w:r>
              <w:rPr>
                <w:sz w:val="21"/>
                <w:szCs w:val="21"/>
                <w:highlight w:val="none"/>
              </w:rPr>
              <w:t>布袋除尘器除尘</w:t>
            </w:r>
          </w:p>
        </w:tc>
        <w:tc>
          <w:tcPr>
            <w:tcW w:w="0" w:type="auto"/>
            <w:noWrap w:val="0"/>
            <w:tcMar>
              <w:left w:w="28" w:type="dxa"/>
              <w:right w:w="28" w:type="dxa"/>
            </w:tcMar>
            <w:vAlign w:val="center"/>
          </w:tcPr>
          <w:p w14:paraId="2385EA90">
            <w:pPr>
              <w:jc w:val="center"/>
              <w:rPr>
                <w:sz w:val="21"/>
                <w:szCs w:val="21"/>
                <w:highlight w:val="none"/>
              </w:rPr>
            </w:pPr>
            <w:r>
              <w:rPr>
                <w:sz w:val="21"/>
                <w:szCs w:val="21"/>
                <w:highlight w:val="none"/>
              </w:rPr>
              <w:t>372</w:t>
            </w:r>
          </w:p>
        </w:tc>
        <w:tc>
          <w:tcPr>
            <w:tcW w:w="0" w:type="auto"/>
            <w:noWrap w:val="0"/>
            <w:tcMar>
              <w:left w:w="28" w:type="dxa"/>
              <w:right w:w="28" w:type="dxa"/>
            </w:tcMar>
            <w:vAlign w:val="center"/>
          </w:tcPr>
          <w:p w14:paraId="1E4B046F">
            <w:pPr>
              <w:jc w:val="center"/>
              <w:rPr>
                <w:sz w:val="21"/>
                <w:szCs w:val="21"/>
                <w:highlight w:val="none"/>
              </w:rPr>
            </w:pPr>
            <w:r>
              <w:rPr>
                <w:sz w:val="21"/>
                <w:szCs w:val="21"/>
                <w:highlight w:val="none"/>
              </w:rPr>
              <w:t>36.2</w:t>
            </w:r>
          </w:p>
        </w:tc>
        <w:tc>
          <w:tcPr>
            <w:tcW w:w="0" w:type="auto"/>
            <w:noWrap w:val="0"/>
            <w:tcMar>
              <w:left w:w="28" w:type="dxa"/>
              <w:right w:w="28" w:type="dxa"/>
            </w:tcMar>
            <w:vAlign w:val="center"/>
          </w:tcPr>
          <w:p w14:paraId="6119F84B">
            <w:pPr>
              <w:jc w:val="center"/>
              <w:rPr>
                <w:sz w:val="21"/>
                <w:szCs w:val="21"/>
                <w:highlight w:val="none"/>
              </w:rPr>
            </w:pPr>
            <w:r>
              <w:rPr>
                <w:sz w:val="21"/>
                <w:szCs w:val="21"/>
                <w:highlight w:val="none"/>
              </w:rPr>
              <w:t>1</w:t>
            </w:r>
          </w:p>
        </w:tc>
        <w:tc>
          <w:tcPr>
            <w:tcW w:w="0" w:type="auto"/>
            <w:noWrap w:val="0"/>
            <w:vAlign w:val="center"/>
          </w:tcPr>
          <w:p w14:paraId="1A36DB19">
            <w:pPr>
              <w:jc w:val="center"/>
              <w:rPr>
                <w:sz w:val="21"/>
                <w:szCs w:val="21"/>
                <w:highlight w:val="none"/>
              </w:rPr>
            </w:pPr>
            <w:r>
              <w:rPr>
                <w:sz w:val="21"/>
                <w:szCs w:val="21"/>
                <w:highlight w:val="none"/>
              </w:rPr>
              <w:t>23</w:t>
            </w:r>
          </w:p>
        </w:tc>
        <w:tc>
          <w:tcPr>
            <w:tcW w:w="0" w:type="auto"/>
            <w:noWrap w:val="0"/>
            <w:tcMar>
              <w:left w:w="28" w:type="dxa"/>
              <w:right w:w="28" w:type="dxa"/>
            </w:tcMar>
            <w:vAlign w:val="center"/>
          </w:tcPr>
          <w:p w14:paraId="067FA570">
            <w:pPr>
              <w:jc w:val="center"/>
              <w:rPr>
                <w:sz w:val="21"/>
                <w:szCs w:val="21"/>
                <w:highlight w:val="none"/>
              </w:rPr>
            </w:pPr>
            <w:r>
              <w:rPr>
                <w:sz w:val="21"/>
                <w:szCs w:val="21"/>
                <w:highlight w:val="none"/>
              </w:rPr>
              <w:t>0.2</w:t>
            </w:r>
          </w:p>
        </w:tc>
        <w:tc>
          <w:tcPr>
            <w:tcW w:w="0" w:type="auto"/>
            <w:noWrap w:val="0"/>
            <w:vAlign w:val="center"/>
          </w:tcPr>
          <w:p w14:paraId="5E039B79">
            <w:pPr>
              <w:jc w:val="center"/>
              <w:rPr>
                <w:sz w:val="21"/>
                <w:szCs w:val="21"/>
                <w:highlight w:val="none"/>
              </w:rPr>
            </w:pPr>
            <w:r>
              <w:rPr>
                <w:sz w:val="21"/>
                <w:szCs w:val="21"/>
                <w:highlight w:val="none"/>
              </w:rPr>
              <w:t>间断</w:t>
            </w:r>
          </w:p>
        </w:tc>
        <w:tc>
          <w:tcPr>
            <w:tcW w:w="0" w:type="auto"/>
            <w:noWrap w:val="0"/>
            <w:vAlign w:val="center"/>
          </w:tcPr>
          <w:p w14:paraId="0328FA86">
            <w:pPr>
              <w:jc w:val="center"/>
              <w:rPr>
                <w:sz w:val="21"/>
                <w:szCs w:val="21"/>
                <w:highlight w:val="none"/>
              </w:rPr>
            </w:pPr>
            <w:r>
              <w:rPr>
                <w:sz w:val="21"/>
                <w:szCs w:val="21"/>
                <w:highlight w:val="none"/>
              </w:rPr>
              <w:t>排入大气</w:t>
            </w:r>
          </w:p>
        </w:tc>
      </w:tr>
      <w:tr w14:paraId="6220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0" w:type="auto"/>
            <w:vMerge w:val="continue"/>
            <w:noWrap w:val="0"/>
            <w:tcMar>
              <w:left w:w="28" w:type="dxa"/>
              <w:right w:w="28" w:type="dxa"/>
            </w:tcMar>
            <w:vAlign w:val="center"/>
          </w:tcPr>
          <w:p w14:paraId="0ACB314F">
            <w:pPr>
              <w:widowControl/>
              <w:snapToGrid w:val="0"/>
              <w:jc w:val="center"/>
              <w:rPr>
                <w:sz w:val="21"/>
                <w:szCs w:val="21"/>
                <w:highlight w:val="none"/>
              </w:rPr>
            </w:pPr>
          </w:p>
        </w:tc>
        <w:tc>
          <w:tcPr>
            <w:tcW w:w="0" w:type="auto"/>
            <w:vMerge w:val="continue"/>
            <w:noWrap w:val="0"/>
            <w:vAlign w:val="center"/>
          </w:tcPr>
          <w:p w14:paraId="2045A054">
            <w:pPr>
              <w:jc w:val="center"/>
              <w:rPr>
                <w:sz w:val="21"/>
                <w:szCs w:val="21"/>
                <w:highlight w:val="none"/>
              </w:rPr>
            </w:pPr>
          </w:p>
        </w:tc>
        <w:tc>
          <w:tcPr>
            <w:tcW w:w="0" w:type="auto"/>
            <w:noWrap w:val="0"/>
            <w:vAlign w:val="center"/>
          </w:tcPr>
          <w:p w14:paraId="2F7DBF2C">
            <w:pPr>
              <w:jc w:val="center"/>
              <w:rPr>
                <w:sz w:val="21"/>
                <w:szCs w:val="21"/>
                <w:highlight w:val="none"/>
              </w:rPr>
            </w:pPr>
            <w:r>
              <w:rPr>
                <w:sz w:val="21"/>
                <w:szCs w:val="21"/>
                <w:highlight w:val="none"/>
              </w:rPr>
              <w:t>白土储仓</w:t>
            </w:r>
          </w:p>
        </w:tc>
        <w:tc>
          <w:tcPr>
            <w:tcW w:w="0" w:type="auto"/>
            <w:noWrap w:val="0"/>
            <w:tcMar>
              <w:left w:w="28" w:type="dxa"/>
              <w:right w:w="28" w:type="dxa"/>
            </w:tcMar>
            <w:vAlign w:val="center"/>
          </w:tcPr>
          <w:p w14:paraId="743D7E79">
            <w:pPr>
              <w:jc w:val="center"/>
              <w:rPr>
                <w:sz w:val="21"/>
                <w:szCs w:val="21"/>
                <w:highlight w:val="none"/>
                <w:lang w:val="pt-BR"/>
              </w:rPr>
            </w:pPr>
            <w:r>
              <w:rPr>
                <w:sz w:val="21"/>
                <w:szCs w:val="21"/>
                <w:highlight w:val="none"/>
              </w:rPr>
              <w:t>颗粒物</w:t>
            </w:r>
          </w:p>
        </w:tc>
        <w:tc>
          <w:tcPr>
            <w:tcW w:w="0" w:type="auto"/>
            <w:noWrap w:val="0"/>
            <w:tcMar>
              <w:left w:w="28" w:type="dxa"/>
              <w:right w:w="28" w:type="dxa"/>
            </w:tcMar>
            <w:vAlign w:val="center"/>
          </w:tcPr>
          <w:p w14:paraId="4A50DD19">
            <w:pPr>
              <w:jc w:val="center"/>
              <w:rPr>
                <w:sz w:val="21"/>
                <w:szCs w:val="21"/>
                <w:highlight w:val="none"/>
              </w:rPr>
            </w:pPr>
            <w:r>
              <w:rPr>
                <w:sz w:val="21"/>
                <w:szCs w:val="21"/>
                <w:highlight w:val="none"/>
              </w:rPr>
              <w:t>布袋除尘器除尘</w:t>
            </w:r>
          </w:p>
        </w:tc>
        <w:tc>
          <w:tcPr>
            <w:tcW w:w="0" w:type="auto"/>
            <w:noWrap w:val="0"/>
            <w:tcMar>
              <w:left w:w="28" w:type="dxa"/>
              <w:right w:w="28" w:type="dxa"/>
            </w:tcMar>
            <w:vAlign w:val="center"/>
          </w:tcPr>
          <w:p w14:paraId="3DE35EAD">
            <w:pPr>
              <w:jc w:val="center"/>
              <w:rPr>
                <w:sz w:val="21"/>
                <w:szCs w:val="21"/>
                <w:highlight w:val="none"/>
              </w:rPr>
            </w:pPr>
            <w:r>
              <w:rPr>
                <w:sz w:val="21"/>
                <w:szCs w:val="21"/>
                <w:highlight w:val="none"/>
              </w:rPr>
              <w:t>235</w:t>
            </w:r>
          </w:p>
        </w:tc>
        <w:tc>
          <w:tcPr>
            <w:tcW w:w="0" w:type="auto"/>
            <w:noWrap w:val="0"/>
            <w:tcMar>
              <w:left w:w="28" w:type="dxa"/>
              <w:right w:w="28" w:type="dxa"/>
            </w:tcMar>
            <w:vAlign w:val="center"/>
          </w:tcPr>
          <w:p w14:paraId="16866E0B">
            <w:pPr>
              <w:jc w:val="center"/>
              <w:rPr>
                <w:sz w:val="21"/>
                <w:szCs w:val="21"/>
                <w:highlight w:val="none"/>
              </w:rPr>
            </w:pPr>
            <w:r>
              <w:rPr>
                <w:sz w:val="21"/>
                <w:szCs w:val="21"/>
                <w:highlight w:val="none"/>
              </w:rPr>
              <w:t>48.1</w:t>
            </w:r>
          </w:p>
        </w:tc>
        <w:tc>
          <w:tcPr>
            <w:tcW w:w="0" w:type="auto"/>
            <w:noWrap w:val="0"/>
            <w:tcMar>
              <w:left w:w="28" w:type="dxa"/>
              <w:right w:w="28" w:type="dxa"/>
            </w:tcMar>
            <w:vAlign w:val="center"/>
          </w:tcPr>
          <w:p w14:paraId="6C1A6C54">
            <w:pPr>
              <w:jc w:val="center"/>
              <w:rPr>
                <w:sz w:val="21"/>
                <w:szCs w:val="21"/>
                <w:highlight w:val="none"/>
              </w:rPr>
            </w:pPr>
            <w:r>
              <w:rPr>
                <w:sz w:val="21"/>
                <w:szCs w:val="21"/>
                <w:highlight w:val="none"/>
              </w:rPr>
              <w:t>1</w:t>
            </w:r>
          </w:p>
        </w:tc>
        <w:tc>
          <w:tcPr>
            <w:tcW w:w="0" w:type="auto"/>
            <w:noWrap w:val="0"/>
            <w:vAlign w:val="center"/>
          </w:tcPr>
          <w:p w14:paraId="06B60D9F">
            <w:pPr>
              <w:jc w:val="center"/>
              <w:rPr>
                <w:sz w:val="21"/>
                <w:szCs w:val="21"/>
                <w:highlight w:val="none"/>
              </w:rPr>
            </w:pPr>
            <w:r>
              <w:rPr>
                <w:sz w:val="21"/>
                <w:szCs w:val="21"/>
                <w:highlight w:val="none"/>
              </w:rPr>
              <w:t>23</w:t>
            </w:r>
          </w:p>
        </w:tc>
        <w:tc>
          <w:tcPr>
            <w:tcW w:w="0" w:type="auto"/>
            <w:noWrap w:val="0"/>
            <w:tcMar>
              <w:left w:w="28" w:type="dxa"/>
              <w:right w:w="28" w:type="dxa"/>
            </w:tcMar>
            <w:vAlign w:val="center"/>
          </w:tcPr>
          <w:p w14:paraId="3E6A3BA6">
            <w:pPr>
              <w:jc w:val="center"/>
              <w:rPr>
                <w:sz w:val="21"/>
                <w:szCs w:val="21"/>
                <w:highlight w:val="none"/>
              </w:rPr>
            </w:pPr>
            <w:r>
              <w:rPr>
                <w:sz w:val="21"/>
                <w:szCs w:val="21"/>
                <w:highlight w:val="none"/>
              </w:rPr>
              <w:t>0.2</w:t>
            </w:r>
          </w:p>
        </w:tc>
        <w:tc>
          <w:tcPr>
            <w:tcW w:w="0" w:type="auto"/>
            <w:noWrap w:val="0"/>
            <w:vAlign w:val="center"/>
          </w:tcPr>
          <w:p w14:paraId="6E1774D9">
            <w:pPr>
              <w:jc w:val="center"/>
              <w:rPr>
                <w:sz w:val="21"/>
                <w:szCs w:val="21"/>
                <w:highlight w:val="none"/>
              </w:rPr>
            </w:pPr>
            <w:r>
              <w:rPr>
                <w:sz w:val="21"/>
                <w:szCs w:val="21"/>
                <w:highlight w:val="none"/>
              </w:rPr>
              <w:t>间断</w:t>
            </w:r>
          </w:p>
        </w:tc>
        <w:tc>
          <w:tcPr>
            <w:tcW w:w="0" w:type="auto"/>
            <w:noWrap w:val="0"/>
            <w:vAlign w:val="center"/>
          </w:tcPr>
          <w:p w14:paraId="430A8EFA">
            <w:pPr>
              <w:jc w:val="center"/>
              <w:rPr>
                <w:sz w:val="21"/>
                <w:szCs w:val="21"/>
                <w:highlight w:val="none"/>
              </w:rPr>
            </w:pPr>
            <w:r>
              <w:rPr>
                <w:sz w:val="21"/>
                <w:szCs w:val="21"/>
                <w:highlight w:val="none"/>
              </w:rPr>
              <w:t>排入大气</w:t>
            </w:r>
          </w:p>
        </w:tc>
      </w:tr>
      <w:tr w14:paraId="5FC7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jc w:val="center"/>
        </w:trPr>
        <w:tc>
          <w:tcPr>
            <w:tcW w:w="0" w:type="auto"/>
            <w:vMerge w:val="continue"/>
            <w:noWrap w:val="0"/>
            <w:tcMar>
              <w:left w:w="28" w:type="dxa"/>
              <w:right w:w="28" w:type="dxa"/>
            </w:tcMar>
            <w:vAlign w:val="center"/>
          </w:tcPr>
          <w:p w14:paraId="717E28E6">
            <w:pPr>
              <w:widowControl/>
              <w:snapToGrid w:val="0"/>
              <w:jc w:val="center"/>
              <w:rPr>
                <w:sz w:val="21"/>
                <w:szCs w:val="21"/>
                <w:highlight w:val="none"/>
              </w:rPr>
            </w:pPr>
          </w:p>
        </w:tc>
        <w:tc>
          <w:tcPr>
            <w:tcW w:w="0" w:type="auto"/>
            <w:vMerge w:val="restart"/>
            <w:noWrap w:val="0"/>
            <w:vAlign w:val="center"/>
          </w:tcPr>
          <w:p w14:paraId="79FAA2A3">
            <w:pPr>
              <w:jc w:val="center"/>
              <w:rPr>
                <w:sz w:val="21"/>
                <w:szCs w:val="21"/>
                <w:highlight w:val="none"/>
              </w:rPr>
            </w:pPr>
            <w:r>
              <w:rPr>
                <w:sz w:val="21"/>
                <w:szCs w:val="21"/>
                <w:highlight w:val="none"/>
              </w:rPr>
              <w:t>尾气脱碳单元</w:t>
            </w:r>
          </w:p>
        </w:tc>
        <w:tc>
          <w:tcPr>
            <w:tcW w:w="0" w:type="auto"/>
            <w:noWrap w:val="0"/>
            <w:vAlign w:val="center"/>
          </w:tcPr>
          <w:p w14:paraId="24FF7182">
            <w:pPr>
              <w:jc w:val="center"/>
              <w:rPr>
                <w:rFonts w:hint="eastAsia" w:eastAsia="宋体"/>
                <w:sz w:val="21"/>
                <w:szCs w:val="21"/>
                <w:highlight w:val="none"/>
                <w:lang w:eastAsia="zh-CN"/>
              </w:rPr>
            </w:pPr>
            <w:r>
              <w:rPr>
                <w:sz w:val="21"/>
                <w:szCs w:val="21"/>
                <w:highlight w:val="none"/>
              </w:rPr>
              <w:t>闪</w:t>
            </w:r>
            <w:r>
              <w:rPr>
                <w:rFonts w:hint="eastAsia"/>
                <w:sz w:val="21"/>
                <w:szCs w:val="21"/>
                <w:highlight w:val="none"/>
                <w:lang w:eastAsia="zh-CN"/>
              </w:rPr>
              <w:t>蒸汽</w:t>
            </w:r>
          </w:p>
        </w:tc>
        <w:tc>
          <w:tcPr>
            <w:tcW w:w="0" w:type="auto"/>
            <w:noWrap w:val="0"/>
            <w:tcMar>
              <w:left w:w="28" w:type="dxa"/>
              <w:right w:w="28" w:type="dxa"/>
            </w:tcMar>
            <w:vAlign w:val="center"/>
          </w:tcPr>
          <w:p w14:paraId="65540CF6">
            <w:pPr>
              <w:jc w:val="center"/>
              <w:rPr>
                <w:sz w:val="21"/>
                <w:szCs w:val="21"/>
                <w:highlight w:val="none"/>
                <w:lang w:val="pt-BR"/>
              </w:rPr>
            </w:pPr>
            <w:r>
              <w:rPr>
                <w:sz w:val="21"/>
                <w:szCs w:val="21"/>
                <w:highlight w:val="none"/>
                <w:lang w:val="pt-BR"/>
              </w:rPr>
              <w:t>H</w:t>
            </w:r>
            <w:r>
              <w:rPr>
                <w:sz w:val="21"/>
                <w:szCs w:val="21"/>
                <w:highlight w:val="none"/>
                <w:vertAlign w:val="subscript"/>
                <w:lang w:val="pt-BR"/>
              </w:rPr>
              <w:t>2</w:t>
            </w:r>
            <w:r>
              <w:rPr>
                <w:sz w:val="21"/>
                <w:szCs w:val="21"/>
                <w:highlight w:val="none"/>
                <w:lang w:val="pt-BR"/>
              </w:rPr>
              <w:t>、CO、CO</w:t>
            </w:r>
            <w:r>
              <w:rPr>
                <w:sz w:val="21"/>
                <w:szCs w:val="21"/>
                <w:highlight w:val="none"/>
                <w:vertAlign w:val="subscript"/>
                <w:lang w:val="pt-BR"/>
              </w:rPr>
              <w:t>2</w:t>
            </w:r>
            <w:r>
              <w:rPr>
                <w:sz w:val="21"/>
                <w:szCs w:val="21"/>
                <w:highlight w:val="none"/>
                <w:lang w:val="pt-BR"/>
              </w:rPr>
              <w:t>、CH</w:t>
            </w:r>
            <w:r>
              <w:rPr>
                <w:sz w:val="21"/>
                <w:szCs w:val="21"/>
                <w:highlight w:val="none"/>
                <w:vertAlign w:val="subscript"/>
                <w:lang w:val="pt-BR"/>
              </w:rPr>
              <w:t>4</w:t>
            </w:r>
            <w:r>
              <w:rPr>
                <w:sz w:val="21"/>
                <w:szCs w:val="21"/>
                <w:highlight w:val="none"/>
                <w:lang w:val="pt-BR"/>
              </w:rPr>
              <w:t>、N</w:t>
            </w:r>
            <w:r>
              <w:rPr>
                <w:sz w:val="21"/>
                <w:szCs w:val="21"/>
                <w:highlight w:val="none"/>
                <w:vertAlign w:val="subscript"/>
                <w:lang w:val="pt-BR"/>
              </w:rPr>
              <w:t>2</w:t>
            </w:r>
            <w:r>
              <w:rPr>
                <w:sz w:val="21"/>
                <w:szCs w:val="21"/>
                <w:highlight w:val="none"/>
                <w:lang w:val="pt-BR"/>
              </w:rPr>
              <w:t>、C</w:t>
            </w:r>
            <w:r>
              <w:rPr>
                <w:sz w:val="21"/>
                <w:szCs w:val="21"/>
                <w:highlight w:val="none"/>
                <w:vertAlign w:val="subscript"/>
                <w:lang w:val="pt-BR"/>
              </w:rPr>
              <w:t>2</w:t>
            </w:r>
            <w:r>
              <w:rPr>
                <w:sz w:val="21"/>
                <w:szCs w:val="21"/>
                <w:highlight w:val="none"/>
                <w:lang w:val="pt-BR"/>
              </w:rPr>
              <w:t>H</w:t>
            </w:r>
            <w:r>
              <w:rPr>
                <w:sz w:val="21"/>
                <w:szCs w:val="21"/>
                <w:highlight w:val="none"/>
                <w:vertAlign w:val="subscript"/>
                <w:lang w:val="pt-BR"/>
              </w:rPr>
              <w:t>4</w:t>
            </w:r>
            <w:r>
              <w:rPr>
                <w:sz w:val="21"/>
                <w:szCs w:val="21"/>
                <w:highlight w:val="none"/>
                <w:lang w:val="pt-BR"/>
              </w:rPr>
              <w:t>、C</w:t>
            </w:r>
            <w:r>
              <w:rPr>
                <w:sz w:val="21"/>
                <w:szCs w:val="21"/>
                <w:highlight w:val="none"/>
                <w:vertAlign w:val="subscript"/>
                <w:lang w:val="pt-BR"/>
              </w:rPr>
              <w:t>2</w:t>
            </w:r>
            <w:r>
              <w:rPr>
                <w:sz w:val="21"/>
                <w:szCs w:val="21"/>
                <w:highlight w:val="none"/>
                <w:lang w:val="pt-BR"/>
              </w:rPr>
              <w:t>H</w:t>
            </w:r>
            <w:r>
              <w:rPr>
                <w:sz w:val="21"/>
                <w:szCs w:val="21"/>
                <w:highlight w:val="none"/>
                <w:vertAlign w:val="subscript"/>
                <w:lang w:val="pt-BR"/>
              </w:rPr>
              <w:t>6</w:t>
            </w:r>
            <w:r>
              <w:rPr>
                <w:sz w:val="21"/>
                <w:szCs w:val="21"/>
                <w:highlight w:val="none"/>
                <w:lang w:val="pt-BR"/>
              </w:rPr>
              <w:t>、C</w:t>
            </w:r>
            <w:r>
              <w:rPr>
                <w:sz w:val="21"/>
                <w:szCs w:val="21"/>
                <w:highlight w:val="none"/>
                <w:vertAlign w:val="subscript"/>
                <w:lang w:val="pt-BR"/>
              </w:rPr>
              <w:t>3</w:t>
            </w:r>
            <w:r>
              <w:rPr>
                <w:sz w:val="21"/>
                <w:szCs w:val="21"/>
                <w:highlight w:val="none"/>
                <w:lang w:val="pt-BR"/>
              </w:rPr>
              <w:t>H</w:t>
            </w:r>
            <w:r>
              <w:rPr>
                <w:sz w:val="21"/>
                <w:szCs w:val="21"/>
                <w:highlight w:val="none"/>
                <w:vertAlign w:val="subscript"/>
                <w:lang w:val="pt-BR"/>
              </w:rPr>
              <w:t>6</w:t>
            </w:r>
            <w:r>
              <w:rPr>
                <w:sz w:val="21"/>
                <w:szCs w:val="21"/>
                <w:highlight w:val="none"/>
                <w:lang w:val="pt-BR"/>
              </w:rPr>
              <w:t>、C</w:t>
            </w:r>
            <w:r>
              <w:rPr>
                <w:sz w:val="21"/>
                <w:szCs w:val="21"/>
                <w:highlight w:val="none"/>
                <w:vertAlign w:val="subscript"/>
                <w:lang w:val="pt-BR"/>
              </w:rPr>
              <w:t>3</w:t>
            </w:r>
            <w:r>
              <w:rPr>
                <w:sz w:val="21"/>
                <w:szCs w:val="21"/>
                <w:highlight w:val="none"/>
                <w:lang w:val="pt-BR"/>
              </w:rPr>
              <w:t>H</w:t>
            </w:r>
            <w:r>
              <w:rPr>
                <w:sz w:val="21"/>
                <w:szCs w:val="21"/>
                <w:highlight w:val="none"/>
                <w:vertAlign w:val="subscript"/>
                <w:lang w:val="pt-BR"/>
              </w:rPr>
              <w:t>8</w:t>
            </w:r>
            <w:r>
              <w:rPr>
                <w:sz w:val="21"/>
                <w:szCs w:val="21"/>
                <w:highlight w:val="none"/>
                <w:lang w:val="pt-BR"/>
              </w:rPr>
              <w:t>、C</w:t>
            </w:r>
            <w:r>
              <w:rPr>
                <w:sz w:val="21"/>
                <w:szCs w:val="21"/>
                <w:highlight w:val="none"/>
                <w:vertAlign w:val="subscript"/>
                <w:lang w:val="pt-BR"/>
              </w:rPr>
              <w:t>4</w:t>
            </w:r>
            <w:r>
              <w:rPr>
                <w:sz w:val="21"/>
                <w:szCs w:val="21"/>
                <w:highlight w:val="none"/>
                <w:lang w:val="pt-BR"/>
              </w:rPr>
              <w:t>H</w:t>
            </w:r>
            <w:r>
              <w:rPr>
                <w:sz w:val="21"/>
                <w:szCs w:val="21"/>
                <w:highlight w:val="none"/>
                <w:vertAlign w:val="subscript"/>
                <w:lang w:val="pt-BR"/>
              </w:rPr>
              <w:t>8</w:t>
            </w:r>
            <w:r>
              <w:rPr>
                <w:sz w:val="21"/>
                <w:szCs w:val="21"/>
                <w:highlight w:val="none"/>
                <w:lang w:val="pt-BR"/>
              </w:rPr>
              <w:t>、C</w:t>
            </w:r>
            <w:r>
              <w:rPr>
                <w:sz w:val="21"/>
                <w:szCs w:val="21"/>
                <w:highlight w:val="none"/>
                <w:vertAlign w:val="subscript"/>
                <w:lang w:val="pt-BR"/>
              </w:rPr>
              <w:t>4</w:t>
            </w:r>
            <w:r>
              <w:rPr>
                <w:sz w:val="21"/>
                <w:szCs w:val="21"/>
                <w:highlight w:val="none"/>
                <w:lang w:val="pt-BR"/>
              </w:rPr>
              <w:t>H</w:t>
            </w:r>
            <w:r>
              <w:rPr>
                <w:sz w:val="21"/>
                <w:szCs w:val="21"/>
                <w:highlight w:val="none"/>
                <w:vertAlign w:val="subscript"/>
                <w:lang w:val="pt-BR"/>
              </w:rPr>
              <w:t>10</w:t>
            </w:r>
            <w:r>
              <w:rPr>
                <w:sz w:val="21"/>
                <w:szCs w:val="21"/>
                <w:highlight w:val="none"/>
                <w:lang w:val="pt-BR"/>
              </w:rPr>
              <w:t>、C</w:t>
            </w:r>
            <w:r>
              <w:rPr>
                <w:sz w:val="21"/>
                <w:szCs w:val="21"/>
                <w:highlight w:val="none"/>
                <w:vertAlign w:val="subscript"/>
                <w:lang w:val="pt-BR"/>
              </w:rPr>
              <w:t>5</w:t>
            </w:r>
            <w:r>
              <w:rPr>
                <w:sz w:val="21"/>
                <w:szCs w:val="21"/>
                <w:highlight w:val="none"/>
                <w:vertAlign w:val="superscript"/>
                <w:lang w:val="pt-BR"/>
              </w:rPr>
              <w:t>+</w:t>
            </w:r>
          </w:p>
        </w:tc>
        <w:tc>
          <w:tcPr>
            <w:tcW w:w="0" w:type="auto"/>
            <w:noWrap w:val="0"/>
            <w:tcMar>
              <w:left w:w="28" w:type="dxa"/>
              <w:right w:w="28" w:type="dxa"/>
            </w:tcMar>
            <w:vAlign w:val="center"/>
          </w:tcPr>
          <w:p w14:paraId="42F86011">
            <w:pPr>
              <w:jc w:val="center"/>
              <w:rPr>
                <w:sz w:val="21"/>
                <w:szCs w:val="21"/>
                <w:highlight w:val="none"/>
              </w:rPr>
            </w:pPr>
            <w:r>
              <w:rPr>
                <w:sz w:val="21"/>
                <w:szCs w:val="21"/>
                <w:highlight w:val="none"/>
              </w:rPr>
              <w:t>去全厂燃料气管网</w:t>
            </w:r>
          </w:p>
        </w:tc>
        <w:tc>
          <w:tcPr>
            <w:tcW w:w="0" w:type="auto"/>
            <w:noWrap w:val="0"/>
            <w:tcMar>
              <w:left w:w="28" w:type="dxa"/>
              <w:right w:w="28" w:type="dxa"/>
            </w:tcMar>
            <w:vAlign w:val="center"/>
          </w:tcPr>
          <w:p w14:paraId="45F7EA75">
            <w:pPr>
              <w:jc w:val="center"/>
              <w:rPr>
                <w:sz w:val="21"/>
                <w:szCs w:val="21"/>
                <w:highlight w:val="none"/>
                <w:lang w:val="pt-BR"/>
              </w:rPr>
            </w:pPr>
            <w:r>
              <w:rPr>
                <w:sz w:val="21"/>
                <w:szCs w:val="21"/>
                <w:highlight w:val="none"/>
                <w:lang w:val="pt-BR"/>
              </w:rPr>
              <w:t>/</w:t>
            </w:r>
          </w:p>
        </w:tc>
        <w:tc>
          <w:tcPr>
            <w:tcW w:w="0" w:type="auto"/>
            <w:noWrap w:val="0"/>
            <w:tcMar>
              <w:left w:w="28" w:type="dxa"/>
              <w:right w:w="28" w:type="dxa"/>
            </w:tcMar>
            <w:vAlign w:val="center"/>
          </w:tcPr>
          <w:p w14:paraId="351A692D">
            <w:pPr>
              <w:jc w:val="center"/>
              <w:rPr>
                <w:sz w:val="21"/>
                <w:szCs w:val="21"/>
                <w:highlight w:val="none"/>
              </w:rPr>
            </w:pPr>
            <w:r>
              <w:rPr>
                <w:sz w:val="21"/>
                <w:szCs w:val="21"/>
                <w:highlight w:val="none"/>
              </w:rPr>
              <w:t>/</w:t>
            </w:r>
          </w:p>
        </w:tc>
        <w:tc>
          <w:tcPr>
            <w:tcW w:w="0" w:type="auto"/>
            <w:noWrap w:val="0"/>
            <w:tcMar>
              <w:left w:w="28" w:type="dxa"/>
              <w:right w:w="28" w:type="dxa"/>
            </w:tcMar>
            <w:vAlign w:val="center"/>
          </w:tcPr>
          <w:p w14:paraId="412D4584">
            <w:pPr>
              <w:jc w:val="center"/>
              <w:rPr>
                <w:sz w:val="21"/>
                <w:szCs w:val="21"/>
                <w:highlight w:val="none"/>
              </w:rPr>
            </w:pPr>
            <w:r>
              <w:rPr>
                <w:sz w:val="21"/>
                <w:szCs w:val="21"/>
                <w:highlight w:val="none"/>
              </w:rPr>
              <w:t>/</w:t>
            </w:r>
          </w:p>
        </w:tc>
        <w:tc>
          <w:tcPr>
            <w:tcW w:w="0" w:type="auto"/>
            <w:noWrap w:val="0"/>
            <w:vAlign w:val="center"/>
          </w:tcPr>
          <w:p w14:paraId="53EF092A">
            <w:pPr>
              <w:jc w:val="center"/>
              <w:rPr>
                <w:sz w:val="21"/>
                <w:szCs w:val="21"/>
                <w:highlight w:val="none"/>
              </w:rPr>
            </w:pPr>
            <w:r>
              <w:rPr>
                <w:sz w:val="21"/>
                <w:szCs w:val="21"/>
                <w:highlight w:val="none"/>
              </w:rPr>
              <w:t>/</w:t>
            </w:r>
          </w:p>
        </w:tc>
        <w:tc>
          <w:tcPr>
            <w:tcW w:w="0" w:type="auto"/>
            <w:noWrap w:val="0"/>
            <w:tcMar>
              <w:left w:w="28" w:type="dxa"/>
              <w:right w:w="28" w:type="dxa"/>
            </w:tcMar>
            <w:vAlign w:val="center"/>
          </w:tcPr>
          <w:p w14:paraId="3038AC52">
            <w:pPr>
              <w:jc w:val="center"/>
              <w:rPr>
                <w:sz w:val="21"/>
                <w:szCs w:val="21"/>
                <w:highlight w:val="none"/>
              </w:rPr>
            </w:pPr>
            <w:r>
              <w:rPr>
                <w:sz w:val="21"/>
                <w:szCs w:val="21"/>
                <w:highlight w:val="none"/>
              </w:rPr>
              <w:t>/</w:t>
            </w:r>
          </w:p>
        </w:tc>
        <w:tc>
          <w:tcPr>
            <w:tcW w:w="0" w:type="auto"/>
            <w:noWrap w:val="0"/>
            <w:vAlign w:val="center"/>
          </w:tcPr>
          <w:p w14:paraId="7370BC62">
            <w:pPr>
              <w:jc w:val="center"/>
              <w:rPr>
                <w:sz w:val="21"/>
                <w:szCs w:val="21"/>
                <w:highlight w:val="none"/>
              </w:rPr>
            </w:pPr>
            <w:r>
              <w:rPr>
                <w:sz w:val="21"/>
                <w:szCs w:val="21"/>
                <w:highlight w:val="none"/>
              </w:rPr>
              <w:t>连续</w:t>
            </w:r>
          </w:p>
        </w:tc>
        <w:tc>
          <w:tcPr>
            <w:tcW w:w="0" w:type="auto"/>
            <w:noWrap w:val="0"/>
            <w:vAlign w:val="center"/>
          </w:tcPr>
          <w:p w14:paraId="0F038A34">
            <w:pPr>
              <w:jc w:val="center"/>
              <w:rPr>
                <w:sz w:val="21"/>
                <w:szCs w:val="21"/>
                <w:highlight w:val="none"/>
              </w:rPr>
            </w:pPr>
            <w:r>
              <w:rPr>
                <w:sz w:val="21"/>
                <w:szCs w:val="21"/>
                <w:highlight w:val="none"/>
              </w:rPr>
              <w:t>去全厂燃料气管网</w:t>
            </w:r>
          </w:p>
        </w:tc>
      </w:tr>
      <w:tr w14:paraId="13E4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0" w:type="auto"/>
            <w:vMerge w:val="continue"/>
            <w:noWrap w:val="0"/>
            <w:tcMar>
              <w:left w:w="28" w:type="dxa"/>
              <w:right w:w="28" w:type="dxa"/>
            </w:tcMar>
            <w:vAlign w:val="center"/>
          </w:tcPr>
          <w:p w14:paraId="075BFE60">
            <w:pPr>
              <w:widowControl/>
              <w:snapToGrid w:val="0"/>
              <w:jc w:val="center"/>
              <w:rPr>
                <w:sz w:val="21"/>
                <w:szCs w:val="21"/>
                <w:highlight w:val="none"/>
              </w:rPr>
            </w:pPr>
          </w:p>
        </w:tc>
        <w:tc>
          <w:tcPr>
            <w:tcW w:w="0" w:type="auto"/>
            <w:vMerge w:val="continue"/>
            <w:noWrap w:val="0"/>
            <w:vAlign w:val="center"/>
          </w:tcPr>
          <w:p w14:paraId="3E644CF2">
            <w:pPr>
              <w:jc w:val="center"/>
              <w:rPr>
                <w:sz w:val="21"/>
                <w:szCs w:val="21"/>
                <w:highlight w:val="none"/>
              </w:rPr>
            </w:pPr>
          </w:p>
        </w:tc>
        <w:tc>
          <w:tcPr>
            <w:tcW w:w="0" w:type="auto"/>
            <w:noWrap w:val="0"/>
            <w:vAlign w:val="center"/>
          </w:tcPr>
          <w:p w14:paraId="7DD55A8D">
            <w:pPr>
              <w:jc w:val="center"/>
              <w:rPr>
                <w:sz w:val="21"/>
                <w:szCs w:val="21"/>
                <w:highlight w:val="none"/>
              </w:rPr>
            </w:pPr>
            <w:r>
              <w:rPr>
                <w:sz w:val="21"/>
                <w:szCs w:val="21"/>
                <w:highlight w:val="none"/>
              </w:rPr>
              <w:t>再生气</w:t>
            </w:r>
          </w:p>
        </w:tc>
        <w:tc>
          <w:tcPr>
            <w:tcW w:w="0" w:type="auto"/>
            <w:noWrap w:val="0"/>
            <w:tcMar>
              <w:left w:w="28" w:type="dxa"/>
              <w:right w:w="28" w:type="dxa"/>
            </w:tcMar>
            <w:vAlign w:val="center"/>
          </w:tcPr>
          <w:p w14:paraId="137523B5">
            <w:pPr>
              <w:jc w:val="center"/>
              <w:rPr>
                <w:sz w:val="21"/>
                <w:szCs w:val="21"/>
                <w:highlight w:val="none"/>
              </w:rPr>
            </w:pPr>
            <w:r>
              <w:rPr>
                <w:sz w:val="21"/>
                <w:szCs w:val="21"/>
                <w:highlight w:val="none"/>
              </w:rPr>
              <w:t>NMHC</w:t>
            </w:r>
          </w:p>
        </w:tc>
        <w:tc>
          <w:tcPr>
            <w:tcW w:w="0" w:type="auto"/>
            <w:noWrap w:val="0"/>
            <w:tcMar>
              <w:left w:w="28" w:type="dxa"/>
              <w:right w:w="28" w:type="dxa"/>
            </w:tcMar>
            <w:vAlign w:val="center"/>
          </w:tcPr>
          <w:p w14:paraId="5456A2F6">
            <w:pPr>
              <w:jc w:val="center"/>
              <w:rPr>
                <w:sz w:val="21"/>
                <w:szCs w:val="21"/>
                <w:highlight w:val="none"/>
              </w:rPr>
            </w:pPr>
            <w:r>
              <w:rPr>
                <w:sz w:val="21"/>
                <w:szCs w:val="21"/>
                <w:highlight w:val="none"/>
              </w:rPr>
              <w:t>/</w:t>
            </w:r>
          </w:p>
        </w:tc>
        <w:tc>
          <w:tcPr>
            <w:tcW w:w="0" w:type="auto"/>
            <w:noWrap w:val="0"/>
            <w:tcMar>
              <w:left w:w="28" w:type="dxa"/>
              <w:right w:w="28" w:type="dxa"/>
            </w:tcMar>
            <w:vAlign w:val="center"/>
          </w:tcPr>
          <w:p w14:paraId="081283C4">
            <w:pPr>
              <w:jc w:val="center"/>
              <w:rPr>
                <w:sz w:val="21"/>
                <w:szCs w:val="21"/>
                <w:highlight w:val="none"/>
              </w:rPr>
            </w:pPr>
            <w:r>
              <w:rPr>
                <w:sz w:val="21"/>
                <w:szCs w:val="21"/>
                <w:highlight w:val="none"/>
                <w:lang w:val="pt-BR"/>
              </w:rPr>
              <w:t>/</w:t>
            </w:r>
          </w:p>
        </w:tc>
        <w:tc>
          <w:tcPr>
            <w:tcW w:w="0" w:type="auto"/>
            <w:noWrap w:val="0"/>
            <w:tcMar>
              <w:left w:w="28" w:type="dxa"/>
              <w:right w:w="28" w:type="dxa"/>
            </w:tcMar>
            <w:vAlign w:val="center"/>
          </w:tcPr>
          <w:p w14:paraId="1F523E03">
            <w:pPr>
              <w:jc w:val="center"/>
              <w:rPr>
                <w:sz w:val="21"/>
                <w:szCs w:val="21"/>
                <w:highlight w:val="none"/>
              </w:rPr>
            </w:pPr>
            <w:r>
              <w:rPr>
                <w:sz w:val="21"/>
                <w:szCs w:val="21"/>
                <w:highlight w:val="none"/>
              </w:rPr>
              <w:t>51.3</w:t>
            </w:r>
          </w:p>
        </w:tc>
        <w:tc>
          <w:tcPr>
            <w:tcW w:w="0" w:type="auto"/>
            <w:noWrap w:val="0"/>
            <w:tcMar>
              <w:left w:w="28" w:type="dxa"/>
              <w:right w:w="28" w:type="dxa"/>
            </w:tcMar>
            <w:vAlign w:val="center"/>
          </w:tcPr>
          <w:p w14:paraId="0104B2ED">
            <w:pPr>
              <w:jc w:val="center"/>
              <w:rPr>
                <w:sz w:val="21"/>
                <w:szCs w:val="21"/>
                <w:highlight w:val="none"/>
              </w:rPr>
            </w:pPr>
            <w:r>
              <w:rPr>
                <w:sz w:val="21"/>
                <w:szCs w:val="21"/>
                <w:highlight w:val="none"/>
              </w:rPr>
              <w:t>1</w:t>
            </w:r>
          </w:p>
        </w:tc>
        <w:tc>
          <w:tcPr>
            <w:tcW w:w="0" w:type="auto"/>
            <w:noWrap w:val="0"/>
            <w:vAlign w:val="center"/>
          </w:tcPr>
          <w:p w14:paraId="46759718">
            <w:pPr>
              <w:jc w:val="center"/>
              <w:rPr>
                <w:sz w:val="21"/>
                <w:szCs w:val="21"/>
                <w:highlight w:val="none"/>
              </w:rPr>
            </w:pPr>
            <w:r>
              <w:rPr>
                <w:sz w:val="21"/>
                <w:szCs w:val="21"/>
                <w:highlight w:val="none"/>
              </w:rPr>
              <w:t>90</w:t>
            </w:r>
          </w:p>
        </w:tc>
        <w:tc>
          <w:tcPr>
            <w:tcW w:w="0" w:type="auto"/>
            <w:noWrap w:val="0"/>
            <w:tcMar>
              <w:left w:w="28" w:type="dxa"/>
              <w:right w:w="28" w:type="dxa"/>
            </w:tcMar>
            <w:vAlign w:val="center"/>
          </w:tcPr>
          <w:p w14:paraId="323FCDB1">
            <w:pPr>
              <w:jc w:val="center"/>
              <w:rPr>
                <w:sz w:val="21"/>
                <w:szCs w:val="21"/>
                <w:highlight w:val="none"/>
              </w:rPr>
            </w:pPr>
            <w:r>
              <w:rPr>
                <w:sz w:val="21"/>
                <w:szCs w:val="21"/>
                <w:highlight w:val="none"/>
              </w:rPr>
              <w:t>1.1</w:t>
            </w:r>
          </w:p>
        </w:tc>
        <w:tc>
          <w:tcPr>
            <w:tcW w:w="0" w:type="auto"/>
            <w:noWrap w:val="0"/>
            <w:vAlign w:val="center"/>
          </w:tcPr>
          <w:p w14:paraId="52A5595E">
            <w:pPr>
              <w:jc w:val="center"/>
              <w:rPr>
                <w:sz w:val="21"/>
                <w:szCs w:val="21"/>
                <w:highlight w:val="none"/>
              </w:rPr>
            </w:pPr>
            <w:r>
              <w:rPr>
                <w:sz w:val="21"/>
                <w:szCs w:val="21"/>
                <w:highlight w:val="none"/>
              </w:rPr>
              <w:t>连续</w:t>
            </w:r>
          </w:p>
        </w:tc>
        <w:tc>
          <w:tcPr>
            <w:tcW w:w="0" w:type="auto"/>
            <w:noWrap w:val="0"/>
            <w:vAlign w:val="center"/>
          </w:tcPr>
          <w:p w14:paraId="042E06ED">
            <w:pPr>
              <w:jc w:val="center"/>
              <w:rPr>
                <w:sz w:val="21"/>
                <w:szCs w:val="21"/>
                <w:highlight w:val="none"/>
              </w:rPr>
            </w:pPr>
            <w:r>
              <w:rPr>
                <w:sz w:val="21"/>
                <w:szCs w:val="21"/>
                <w:highlight w:val="none"/>
              </w:rPr>
              <w:t>排入大气</w:t>
            </w:r>
          </w:p>
        </w:tc>
      </w:tr>
      <w:tr w14:paraId="3E8B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blHeader/>
          <w:jc w:val="center"/>
        </w:trPr>
        <w:tc>
          <w:tcPr>
            <w:tcW w:w="0" w:type="auto"/>
            <w:vMerge w:val="restart"/>
            <w:noWrap w:val="0"/>
            <w:tcMar>
              <w:left w:w="28" w:type="dxa"/>
              <w:right w:w="28" w:type="dxa"/>
            </w:tcMar>
            <w:vAlign w:val="center"/>
          </w:tcPr>
          <w:p w14:paraId="7F87BFCF">
            <w:pPr>
              <w:widowControl/>
              <w:snapToGrid w:val="0"/>
              <w:jc w:val="center"/>
              <w:rPr>
                <w:sz w:val="21"/>
                <w:szCs w:val="21"/>
                <w:highlight w:val="none"/>
              </w:rPr>
            </w:pPr>
            <w:r>
              <w:rPr>
                <w:sz w:val="21"/>
                <w:szCs w:val="21"/>
                <w:highlight w:val="none"/>
              </w:rPr>
              <w:t>化学品加工装置</w:t>
            </w:r>
          </w:p>
        </w:tc>
        <w:tc>
          <w:tcPr>
            <w:tcW w:w="0" w:type="auto"/>
            <w:noWrap w:val="0"/>
            <w:vAlign w:val="center"/>
          </w:tcPr>
          <w:p w14:paraId="6DA0596D">
            <w:pPr>
              <w:jc w:val="center"/>
              <w:rPr>
                <w:sz w:val="21"/>
                <w:szCs w:val="21"/>
                <w:highlight w:val="none"/>
              </w:rPr>
            </w:pPr>
            <w:r>
              <w:rPr>
                <w:sz w:val="21"/>
                <w:szCs w:val="21"/>
                <w:highlight w:val="none"/>
              </w:rPr>
              <w:t>加氢精制单元</w:t>
            </w:r>
          </w:p>
        </w:tc>
        <w:tc>
          <w:tcPr>
            <w:tcW w:w="0" w:type="auto"/>
            <w:noWrap w:val="0"/>
            <w:vAlign w:val="center"/>
          </w:tcPr>
          <w:p w14:paraId="70EBDC22">
            <w:pPr>
              <w:jc w:val="center"/>
              <w:rPr>
                <w:sz w:val="21"/>
                <w:szCs w:val="21"/>
                <w:highlight w:val="none"/>
              </w:rPr>
            </w:pPr>
            <w:r>
              <w:rPr>
                <w:sz w:val="21"/>
                <w:szCs w:val="21"/>
                <w:highlight w:val="none"/>
              </w:rPr>
              <w:t>加热炉烟气</w:t>
            </w:r>
          </w:p>
        </w:tc>
        <w:tc>
          <w:tcPr>
            <w:tcW w:w="0" w:type="auto"/>
            <w:noWrap w:val="0"/>
            <w:tcMar>
              <w:left w:w="28" w:type="dxa"/>
              <w:right w:w="28" w:type="dxa"/>
            </w:tcMar>
            <w:vAlign w:val="center"/>
          </w:tcPr>
          <w:p w14:paraId="7010177F">
            <w:pPr>
              <w:jc w:val="center"/>
              <w:rPr>
                <w:sz w:val="21"/>
                <w:szCs w:val="21"/>
                <w:highlight w:val="none"/>
              </w:rPr>
            </w:pPr>
            <w:r>
              <w:rPr>
                <w:sz w:val="21"/>
                <w:szCs w:val="21"/>
                <w:highlight w:val="none"/>
              </w:rPr>
              <w:t>烟尘</w:t>
            </w:r>
          </w:p>
          <w:p w14:paraId="10F92A14">
            <w:pPr>
              <w:jc w:val="center"/>
              <w:rPr>
                <w:sz w:val="21"/>
                <w:szCs w:val="21"/>
                <w:highlight w:val="none"/>
              </w:rPr>
            </w:pPr>
            <w:r>
              <w:rPr>
                <w:sz w:val="21"/>
                <w:szCs w:val="21"/>
                <w:highlight w:val="none"/>
              </w:rPr>
              <w:t>NOx</w:t>
            </w:r>
          </w:p>
          <w:p w14:paraId="398E1072">
            <w:pPr>
              <w:pStyle w:val="6"/>
              <w:ind w:firstLine="0" w:firstLineChars="0"/>
              <w:jc w:val="center"/>
              <w:rPr>
                <w:rFonts w:ascii="Times New Roman"/>
                <w:sz w:val="21"/>
                <w:szCs w:val="21"/>
                <w:highlight w:val="none"/>
              </w:rPr>
            </w:pPr>
            <w:r>
              <w:rPr>
                <w:rFonts w:ascii="Times New Roman"/>
                <w:kern w:val="2"/>
                <w:sz w:val="21"/>
                <w:szCs w:val="21"/>
                <w:highlight w:val="none"/>
              </w:rPr>
              <w:t>SO</w:t>
            </w:r>
            <w:r>
              <w:rPr>
                <w:rFonts w:ascii="Times New Roman"/>
                <w:kern w:val="2"/>
                <w:sz w:val="21"/>
                <w:szCs w:val="21"/>
                <w:highlight w:val="none"/>
                <w:vertAlign w:val="subscript"/>
              </w:rPr>
              <w:t>2</w:t>
            </w:r>
          </w:p>
        </w:tc>
        <w:tc>
          <w:tcPr>
            <w:tcW w:w="0" w:type="auto"/>
            <w:noWrap w:val="0"/>
            <w:tcMar>
              <w:left w:w="28" w:type="dxa"/>
              <w:right w:w="28" w:type="dxa"/>
            </w:tcMar>
            <w:vAlign w:val="center"/>
          </w:tcPr>
          <w:p w14:paraId="4675DE47">
            <w:pPr>
              <w:jc w:val="center"/>
              <w:rPr>
                <w:sz w:val="21"/>
                <w:szCs w:val="21"/>
                <w:highlight w:val="none"/>
              </w:rPr>
            </w:pPr>
            <w:r>
              <w:rPr>
                <w:sz w:val="21"/>
                <w:szCs w:val="21"/>
                <w:highlight w:val="none"/>
              </w:rPr>
              <w:t>/</w:t>
            </w:r>
          </w:p>
        </w:tc>
        <w:tc>
          <w:tcPr>
            <w:tcW w:w="0" w:type="auto"/>
            <w:noWrap w:val="0"/>
            <w:tcMar>
              <w:left w:w="28" w:type="dxa"/>
              <w:right w:w="28" w:type="dxa"/>
            </w:tcMar>
            <w:vAlign w:val="center"/>
          </w:tcPr>
          <w:p w14:paraId="07F57800">
            <w:pPr>
              <w:jc w:val="center"/>
              <w:rPr>
                <w:sz w:val="21"/>
                <w:szCs w:val="21"/>
                <w:highlight w:val="none"/>
              </w:rPr>
            </w:pPr>
            <w:r>
              <w:rPr>
                <w:sz w:val="21"/>
                <w:szCs w:val="21"/>
                <w:highlight w:val="none"/>
              </w:rPr>
              <w:t>39583</w:t>
            </w:r>
          </w:p>
        </w:tc>
        <w:tc>
          <w:tcPr>
            <w:tcW w:w="0" w:type="auto"/>
            <w:noWrap w:val="0"/>
            <w:tcMar>
              <w:left w:w="28" w:type="dxa"/>
              <w:right w:w="28" w:type="dxa"/>
            </w:tcMar>
            <w:vAlign w:val="center"/>
          </w:tcPr>
          <w:p w14:paraId="2D0FB5A4">
            <w:pPr>
              <w:jc w:val="center"/>
              <w:rPr>
                <w:sz w:val="21"/>
                <w:szCs w:val="21"/>
                <w:highlight w:val="none"/>
              </w:rPr>
            </w:pPr>
            <w:r>
              <w:rPr>
                <w:sz w:val="21"/>
                <w:szCs w:val="21"/>
                <w:highlight w:val="none"/>
              </w:rPr>
              <w:t>10.4</w:t>
            </w:r>
          </w:p>
          <w:p w14:paraId="47C4CB11">
            <w:pPr>
              <w:jc w:val="center"/>
              <w:rPr>
                <w:sz w:val="21"/>
                <w:szCs w:val="21"/>
                <w:highlight w:val="none"/>
              </w:rPr>
            </w:pPr>
            <w:r>
              <w:rPr>
                <w:sz w:val="21"/>
                <w:szCs w:val="21"/>
                <w:highlight w:val="none"/>
              </w:rPr>
              <w:t>98.3</w:t>
            </w:r>
          </w:p>
          <w:p w14:paraId="31E31758">
            <w:pPr>
              <w:jc w:val="center"/>
              <w:rPr>
                <w:sz w:val="21"/>
                <w:szCs w:val="21"/>
                <w:highlight w:val="none"/>
              </w:rPr>
            </w:pPr>
            <w:r>
              <w:rPr>
                <w:sz w:val="21"/>
                <w:szCs w:val="21"/>
                <w:highlight w:val="none"/>
              </w:rPr>
              <w:t>4.4</w:t>
            </w:r>
          </w:p>
        </w:tc>
        <w:tc>
          <w:tcPr>
            <w:tcW w:w="0" w:type="auto"/>
            <w:noWrap w:val="0"/>
            <w:tcMar>
              <w:left w:w="28" w:type="dxa"/>
              <w:right w:w="28" w:type="dxa"/>
            </w:tcMar>
            <w:vAlign w:val="center"/>
          </w:tcPr>
          <w:p w14:paraId="00327BC8">
            <w:pPr>
              <w:jc w:val="center"/>
              <w:rPr>
                <w:sz w:val="21"/>
                <w:szCs w:val="21"/>
                <w:highlight w:val="none"/>
              </w:rPr>
            </w:pPr>
            <w:r>
              <w:rPr>
                <w:sz w:val="21"/>
                <w:szCs w:val="21"/>
                <w:highlight w:val="none"/>
              </w:rPr>
              <w:t>1</w:t>
            </w:r>
          </w:p>
        </w:tc>
        <w:tc>
          <w:tcPr>
            <w:tcW w:w="0" w:type="auto"/>
            <w:noWrap w:val="0"/>
            <w:vAlign w:val="center"/>
          </w:tcPr>
          <w:p w14:paraId="127286B8">
            <w:pPr>
              <w:jc w:val="center"/>
              <w:rPr>
                <w:sz w:val="21"/>
                <w:szCs w:val="21"/>
                <w:highlight w:val="none"/>
              </w:rPr>
            </w:pPr>
            <w:r>
              <w:rPr>
                <w:sz w:val="21"/>
                <w:szCs w:val="21"/>
                <w:highlight w:val="none"/>
              </w:rPr>
              <w:t>50</w:t>
            </w:r>
          </w:p>
        </w:tc>
        <w:tc>
          <w:tcPr>
            <w:tcW w:w="0" w:type="auto"/>
            <w:noWrap w:val="0"/>
            <w:tcMar>
              <w:left w:w="28" w:type="dxa"/>
              <w:right w:w="28" w:type="dxa"/>
            </w:tcMar>
            <w:vAlign w:val="center"/>
          </w:tcPr>
          <w:p w14:paraId="25336B1F">
            <w:pPr>
              <w:jc w:val="center"/>
              <w:rPr>
                <w:sz w:val="21"/>
                <w:szCs w:val="21"/>
                <w:highlight w:val="none"/>
              </w:rPr>
            </w:pPr>
            <w:r>
              <w:rPr>
                <w:sz w:val="21"/>
                <w:szCs w:val="21"/>
                <w:highlight w:val="none"/>
              </w:rPr>
              <w:t>1.7</w:t>
            </w:r>
          </w:p>
        </w:tc>
        <w:tc>
          <w:tcPr>
            <w:tcW w:w="0" w:type="auto"/>
            <w:noWrap w:val="0"/>
            <w:vAlign w:val="center"/>
          </w:tcPr>
          <w:p w14:paraId="35052685">
            <w:pPr>
              <w:jc w:val="center"/>
              <w:rPr>
                <w:sz w:val="21"/>
                <w:szCs w:val="21"/>
                <w:highlight w:val="none"/>
              </w:rPr>
            </w:pPr>
            <w:r>
              <w:rPr>
                <w:sz w:val="21"/>
                <w:szCs w:val="21"/>
                <w:highlight w:val="none"/>
              </w:rPr>
              <w:t>连续</w:t>
            </w:r>
          </w:p>
        </w:tc>
        <w:tc>
          <w:tcPr>
            <w:tcW w:w="0" w:type="auto"/>
            <w:noWrap w:val="0"/>
            <w:vAlign w:val="center"/>
          </w:tcPr>
          <w:p w14:paraId="4B1891EA">
            <w:pPr>
              <w:jc w:val="center"/>
              <w:rPr>
                <w:sz w:val="21"/>
                <w:szCs w:val="21"/>
                <w:highlight w:val="none"/>
              </w:rPr>
            </w:pPr>
            <w:r>
              <w:rPr>
                <w:sz w:val="21"/>
                <w:szCs w:val="21"/>
                <w:highlight w:val="none"/>
              </w:rPr>
              <w:t>排入大气</w:t>
            </w:r>
          </w:p>
        </w:tc>
      </w:tr>
      <w:tr w14:paraId="6678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blHeader/>
          <w:jc w:val="center"/>
        </w:trPr>
        <w:tc>
          <w:tcPr>
            <w:tcW w:w="0" w:type="auto"/>
            <w:vMerge w:val="continue"/>
            <w:noWrap w:val="0"/>
            <w:tcMar>
              <w:left w:w="28" w:type="dxa"/>
              <w:right w:w="28" w:type="dxa"/>
            </w:tcMar>
            <w:vAlign w:val="center"/>
          </w:tcPr>
          <w:p w14:paraId="7919B2DE">
            <w:pPr>
              <w:widowControl/>
              <w:snapToGrid w:val="0"/>
              <w:jc w:val="center"/>
              <w:rPr>
                <w:sz w:val="21"/>
                <w:szCs w:val="21"/>
                <w:highlight w:val="none"/>
              </w:rPr>
            </w:pPr>
          </w:p>
        </w:tc>
        <w:tc>
          <w:tcPr>
            <w:tcW w:w="0" w:type="auto"/>
            <w:noWrap w:val="0"/>
            <w:vAlign w:val="center"/>
          </w:tcPr>
          <w:p w14:paraId="24C3A64E">
            <w:pPr>
              <w:jc w:val="center"/>
              <w:rPr>
                <w:sz w:val="21"/>
                <w:szCs w:val="21"/>
                <w:highlight w:val="none"/>
              </w:rPr>
            </w:pPr>
            <w:r>
              <w:rPr>
                <w:sz w:val="21"/>
                <w:szCs w:val="21"/>
                <w:highlight w:val="none"/>
              </w:rPr>
              <w:t>加氢裂化单元</w:t>
            </w:r>
          </w:p>
        </w:tc>
        <w:tc>
          <w:tcPr>
            <w:tcW w:w="0" w:type="auto"/>
            <w:noWrap w:val="0"/>
            <w:vAlign w:val="center"/>
          </w:tcPr>
          <w:p w14:paraId="1C55D61E">
            <w:pPr>
              <w:jc w:val="center"/>
              <w:rPr>
                <w:sz w:val="21"/>
                <w:szCs w:val="21"/>
                <w:highlight w:val="none"/>
              </w:rPr>
            </w:pPr>
            <w:r>
              <w:rPr>
                <w:sz w:val="21"/>
                <w:szCs w:val="21"/>
                <w:highlight w:val="none"/>
              </w:rPr>
              <w:t>加热炉烟气</w:t>
            </w:r>
          </w:p>
        </w:tc>
        <w:tc>
          <w:tcPr>
            <w:tcW w:w="0" w:type="auto"/>
            <w:noWrap w:val="0"/>
            <w:tcMar>
              <w:left w:w="28" w:type="dxa"/>
              <w:right w:w="28" w:type="dxa"/>
            </w:tcMar>
            <w:vAlign w:val="center"/>
          </w:tcPr>
          <w:p w14:paraId="640A8F92">
            <w:pPr>
              <w:jc w:val="center"/>
              <w:rPr>
                <w:sz w:val="21"/>
                <w:szCs w:val="21"/>
                <w:highlight w:val="none"/>
              </w:rPr>
            </w:pPr>
            <w:r>
              <w:rPr>
                <w:sz w:val="21"/>
                <w:szCs w:val="21"/>
                <w:highlight w:val="none"/>
              </w:rPr>
              <w:t>烟尘</w:t>
            </w:r>
          </w:p>
          <w:p w14:paraId="6701BD85">
            <w:pPr>
              <w:jc w:val="center"/>
              <w:rPr>
                <w:sz w:val="21"/>
                <w:szCs w:val="21"/>
                <w:highlight w:val="none"/>
              </w:rPr>
            </w:pPr>
            <w:r>
              <w:rPr>
                <w:sz w:val="21"/>
                <w:szCs w:val="21"/>
                <w:highlight w:val="none"/>
              </w:rPr>
              <w:t>NOx</w:t>
            </w:r>
          </w:p>
          <w:p w14:paraId="74675F8B">
            <w:pPr>
              <w:pStyle w:val="6"/>
              <w:ind w:firstLine="0" w:firstLineChars="0"/>
              <w:jc w:val="center"/>
              <w:rPr>
                <w:rFonts w:ascii="Times New Roman"/>
                <w:sz w:val="21"/>
                <w:szCs w:val="21"/>
                <w:highlight w:val="none"/>
              </w:rPr>
            </w:pPr>
            <w:r>
              <w:rPr>
                <w:rFonts w:ascii="Times New Roman"/>
                <w:kern w:val="2"/>
                <w:sz w:val="21"/>
                <w:szCs w:val="21"/>
                <w:highlight w:val="none"/>
              </w:rPr>
              <w:t>SO</w:t>
            </w:r>
            <w:r>
              <w:rPr>
                <w:rFonts w:ascii="Times New Roman"/>
                <w:kern w:val="2"/>
                <w:sz w:val="21"/>
                <w:szCs w:val="21"/>
                <w:highlight w:val="none"/>
                <w:vertAlign w:val="subscript"/>
              </w:rPr>
              <w:t>2</w:t>
            </w:r>
          </w:p>
        </w:tc>
        <w:tc>
          <w:tcPr>
            <w:tcW w:w="0" w:type="auto"/>
            <w:noWrap w:val="0"/>
            <w:tcMar>
              <w:left w:w="28" w:type="dxa"/>
              <w:right w:w="28" w:type="dxa"/>
            </w:tcMar>
            <w:vAlign w:val="center"/>
          </w:tcPr>
          <w:p w14:paraId="29401670">
            <w:pPr>
              <w:jc w:val="center"/>
              <w:rPr>
                <w:sz w:val="21"/>
                <w:szCs w:val="21"/>
                <w:highlight w:val="none"/>
              </w:rPr>
            </w:pPr>
            <w:r>
              <w:rPr>
                <w:sz w:val="21"/>
                <w:szCs w:val="21"/>
                <w:highlight w:val="none"/>
              </w:rPr>
              <w:t>/</w:t>
            </w:r>
          </w:p>
        </w:tc>
        <w:tc>
          <w:tcPr>
            <w:tcW w:w="0" w:type="auto"/>
            <w:noWrap w:val="0"/>
            <w:tcMar>
              <w:left w:w="28" w:type="dxa"/>
              <w:right w:w="28" w:type="dxa"/>
            </w:tcMar>
            <w:vAlign w:val="center"/>
          </w:tcPr>
          <w:p w14:paraId="7590A550">
            <w:pPr>
              <w:jc w:val="center"/>
              <w:rPr>
                <w:sz w:val="21"/>
                <w:szCs w:val="21"/>
                <w:highlight w:val="none"/>
              </w:rPr>
            </w:pPr>
            <w:r>
              <w:rPr>
                <w:sz w:val="21"/>
                <w:szCs w:val="21"/>
                <w:highlight w:val="none"/>
              </w:rPr>
              <w:t>41585</w:t>
            </w:r>
          </w:p>
        </w:tc>
        <w:tc>
          <w:tcPr>
            <w:tcW w:w="0" w:type="auto"/>
            <w:noWrap w:val="0"/>
            <w:tcMar>
              <w:left w:w="28" w:type="dxa"/>
              <w:right w:w="28" w:type="dxa"/>
            </w:tcMar>
            <w:vAlign w:val="center"/>
          </w:tcPr>
          <w:p w14:paraId="6A794EDA">
            <w:pPr>
              <w:jc w:val="center"/>
              <w:rPr>
                <w:sz w:val="21"/>
                <w:szCs w:val="21"/>
                <w:highlight w:val="none"/>
              </w:rPr>
            </w:pPr>
            <w:r>
              <w:rPr>
                <w:sz w:val="21"/>
                <w:szCs w:val="21"/>
                <w:highlight w:val="none"/>
              </w:rPr>
              <w:t>8.3</w:t>
            </w:r>
          </w:p>
          <w:p w14:paraId="506348F2">
            <w:pPr>
              <w:jc w:val="center"/>
              <w:rPr>
                <w:sz w:val="21"/>
                <w:szCs w:val="21"/>
                <w:highlight w:val="none"/>
              </w:rPr>
            </w:pPr>
            <w:r>
              <w:rPr>
                <w:sz w:val="21"/>
                <w:szCs w:val="21"/>
                <w:highlight w:val="none"/>
              </w:rPr>
              <w:t>97.4</w:t>
            </w:r>
          </w:p>
          <w:p w14:paraId="7692FC78">
            <w:pPr>
              <w:jc w:val="center"/>
              <w:rPr>
                <w:sz w:val="21"/>
                <w:szCs w:val="21"/>
                <w:highlight w:val="none"/>
              </w:rPr>
            </w:pPr>
            <w:r>
              <w:rPr>
                <w:sz w:val="21"/>
                <w:szCs w:val="21"/>
                <w:highlight w:val="none"/>
              </w:rPr>
              <w:t>4.1</w:t>
            </w:r>
          </w:p>
        </w:tc>
        <w:tc>
          <w:tcPr>
            <w:tcW w:w="0" w:type="auto"/>
            <w:noWrap w:val="0"/>
            <w:tcMar>
              <w:left w:w="28" w:type="dxa"/>
              <w:right w:w="28" w:type="dxa"/>
            </w:tcMar>
            <w:vAlign w:val="center"/>
          </w:tcPr>
          <w:p w14:paraId="02EC1E5D">
            <w:pPr>
              <w:jc w:val="center"/>
              <w:rPr>
                <w:sz w:val="21"/>
                <w:szCs w:val="21"/>
                <w:highlight w:val="none"/>
              </w:rPr>
            </w:pPr>
            <w:r>
              <w:rPr>
                <w:sz w:val="21"/>
                <w:szCs w:val="21"/>
                <w:highlight w:val="none"/>
              </w:rPr>
              <w:t>1</w:t>
            </w:r>
          </w:p>
        </w:tc>
        <w:tc>
          <w:tcPr>
            <w:tcW w:w="0" w:type="auto"/>
            <w:noWrap w:val="0"/>
            <w:vAlign w:val="center"/>
          </w:tcPr>
          <w:p w14:paraId="585DB670">
            <w:pPr>
              <w:jc w:val="center"/>
              <w:rPr>
                <w:sz w:val="21"/>
                <w:szCs w:val="21"/>
                <w:highlight w:val="none"/>
              </w:rPr>
            </w:pPr>
            <w:r>
              <w:rPr>
                <w:sz w:val="21"/>
                <w:szCs w:val="21"/>
                <w:highlight w:val="none"/>
              </w:rPr>
              <w:t>53</w:t>
            </w:r>
          </w:p>
        </w:tc>
        <w:tc>
          <w:tcPr>
            <w:tcW w:w="0" w:type="auto"/>
            <w:noWrap w:val="0"/>
            <w:tcMar>
              <w:left w:w="28" w:type="dxa"/>
              <w:right w:w="28" w:type="dxa"/>
            </w:tcMar>
            <w:vAlign w:val="center"/>
          </w:tcPr>
          <w:p w14:paraId="3D32467C">
            <w:pPr>
              <w:jc w:val="center"/>
              <w:rPr>
                <w:sz w:val="21"/>
                <w:szCs w:val="21"/>
                <w:highlight w:val="none"/>
              </w:rPr>
            </w:pPr>
            <w:r>
              <w:rPr>
                <w:sz w:val="21"/>
                <w:szCs w:val="21"/>
                <w:highlight w:val="none"/>
              </w:rPr>
              <w:t>1.4</w:t>
            </w:r>
          </w:p>
        </w:tc>
        <w:tc>
          <w:tcPr>
            <w:tcW w:w="0" w:type="auto"/>
            <w:noWrap w:val="0"/>
            <w:vAlign w:val="center"/>
          </w:tcPr>
          <w:p w14:paraId="6CC4BD6E">
            <w:pPr>
              <w:jc w:val="center"/>
              <w:rPr>
                <w:sz w:val="21"/>
                <w:szCs w:val="21"/>
                <w:highlight w:val="none"/>
              </w:rPr>
            </w:pPr>
            <w:r>
              <w:rPr>
                <w:sz w:val="21"/>
                <w:szCs w:val="21"/>
                <w:highlight w:val="none"/>
              </w:rPr>
              <w:t>连续</w:t>
            </w:r>
          </w:p>
        </w:tc>
        <w:tc>
          <w:tcPr>
            <w:tcW w:w="0" w:type="auto"/>
            <w:noWrap w:val="0"/>
            <w:vAlign w:val="center"/>
          </w:tcPr>
          <w:p w14:paraId="36BD3ACE">
            <w:pPr>
              <w:jc w:val="center"/>
              <w:rPr>
                <w:sz w:val="21"/>
                <w:szCs w:val="21"/>
                <w:highlight w:val="none"/>
              </w:rPr>
            </w:pPr>
            <w:r>
              <w:rPr>
                <w:sz w:val="21"/>
                <w:szCs w:val="21"/>
                <w:highlight w:val="none"/>
              </w:rPr>
              <w:t>排入大气</w:t>
            </w:r>
          </w:p>
        </w:tc>
      </w:tr>
      <w:tr w14:paraId="4AAD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blHeader/>
          <w:jc w:val="center"/>
        </w:trPr>
        <w:tc>
          <w:tcPr>
            <w:tcW w:w="0" w:type="auto"/>
            <w:noWrap w:val="0"/>
            <w:tcMar>
              <w:left w:w="28" w:type="dxa"/>
              <w:right w:w="28" w:type="dxa"/>
            </w:tcMar>
            <w:vAlign w:val="center"/>
          </w:tcPr>
          <w:p w14:paraId="5E5E6B37">
            <w:pPr>
              <w:widowControl/>
              <w:snapToGrid w:val="0"/>
              <w:jc w:val="center"/>
              <w:rPr>
                <w:sz w:val="21"/>
                <w:szCs w:val="21"/>
                <w:highlight w:val="none"/>
              </w:rPr>
            </w:pPr>
            <w:r>
              <w:rPr>
                <w:sz w:val="21"/>
                <w:szCs w:val="21"/>
                <w:highlight w:val="none"/>
              </w:rPr>
              <w:t>尾气制氢装置</w:t>
            </w:r>
          </w:p>
        </w:tc>
        <w:tc>
          <w:tcPr>
            <w:tcW w:w="0" w:type="auto"/>
            <w:noWrap w:val="0"/>
            <w:vAlign w:val="center"/>
          </w:tcPr>
          <w:p w14:paraId="677918AF">
            <w:pPr>
              <w:jc w:val="center"/>
              <w:rPr>
                <w:sz w:val="21"/>
                <w:szCs w:val="21"/>
                <w:highlight w:val="none"/>
              </w:rPr>
            </w:pPr>
            <w:r>
              <w:rPr>
                <w:sz w:val="21"/>
                <w:szCs w:val="21"/>
                <w:highlight w:val="none"/>
              </w:rPr>
              <w:t>尾气转化单元</w:t>
            </w:r>
          </w:p>
        </w:tc>
        <w:tc>
          <w:tcPr>
            <w:tcW w:w="0" w:type="auto"/>
            <w:noWrap w:val="0"/>
            <w:vAlign w:val="center"/>
          </w:tcPr>
          <w:p w14:paraId="0DDE8E29">
            <w:pPr>
              <w:jc w:val="center"/>
              <w:rPr>
                <w:sz w:val="21"/>
                <w:szCs w:val="21"/>
                <w:highlight w:val="none"/>
              </w:rPr>
            </w:pPr>
            <w:r>
              <w:rPr>
                <w:sz w:val="21"/>
                <w:szCs w:val="21"/>
                <w:highlight w:val="none"/>
              </w:rPr>
              <w:t>加热炉烟气</w:t>
            </w:r>
          </w:p>
        </w:tc>
        <w:tc>
          <w:tcPr>
            <w:tcW w:w="0" w:type="auto"/>
            <w:noWrap w:val="0"/>
            <w:tcMar>
              <w:left w:w="28" w:type="dxa"/>
              <w:right w:w="28" w:type="dxa"/>
            </w:tcMar>
            <w:vAlign w:val="center"/>
          </w:tcPr>
          <w:p w14:paraId="7C96E7BB">
            <w:pPr>
              <w:jc w:val="center"/>
              <w:rPr>
                <w:sz w:val="21"/>
                <w:szCs w:val="21"/>
                <w:highlight w:val="none"/>
              </w:rPr>
            </w:pPr>
            <w:r>
              <w:rPr>
                <w:sz w:val="21"/>
                <w:szCs w:val="21"/>
                <w:highlight w:val="none"/>
              </w:rPr>
              <w:t>烟尘</w:t>
            </w:r>
          </w:p>
          <w:p w14:paraId="1C943499">
            <w:pPr>
              <w:jc w:val="center"/>
              <w:rPr>
                <w:sz w:val="21"/>
                <w:szCs w:val="21"/>
                <w:highlight w:val="none"/>
              </w:rPr>
            </w:pPr>
            <w:r>
              <w:rPr>
                <w:sz w:val="21"/>
                <w:szCs w:val="21"/>
                <w:highlight w:val="none"/>
              </w:rPr>
              <w:t>NOx</w:t>
            </w:r>
          </w:p>
          <w:p w14:paraId="1F4CB218">
            <w:pPr>
              <w:jc w:val="center"/>
              <w:rPr>
                <w:sz w:val="21"/>
                <w:szCs w:val="21"/>
                <w:highlight w:val="none"/>
                <w:vertAlign w:val="subscript"/>
              </w:rPr>
            </w:pPr>
            <w:r>
              <w:rPr>
                <w:sz w:val="21"/>
                <w:szCs w:val="21"/>
                <w:highlight w:val="none"/>
              </w:rPr>
              <w:t>SO</w:t>
            </w:r>
            <w:r>
              <w:rPr>
                <w:sz w:val="21"/>
                <w:szCs w:val="21"/>
                <w:highlight w:val="none"/>
                <w:vertAlign w:val="subscript"/>
              </w:rPr>
              <w:t>2</w:t>
            </w:r>
          </w:p>
        </w:tc>
        <w:tc>
          <w:tcPr>
            <w:tcW w:w="0" w:type="auto"/>
            <w:noWrap w:val="0"/>
            <w:tcMar>
              <w:left w:w="28" w:type="dxa"/>
              <w:right w:w="28" w:type="dxa"/>
            </w:tcMar>
            <w:vAlign w:val="center"/>
          </w:tcPr>
          <w:p w14:paraId="2DAD8916">
            <w:pPr>
              <w:jc w:val="center"/>
              <w:rPr>
                <w:sz w:val="21"/>
                <w:szCs w:val="21"/>
                <w:highlight w:val="none"/>
              </w:rPr>
            </w:pPr>
            <w:r>
              <w:rPr>
                <w:sz w:val="21"/>
                <w:szCs w:val="21"/>
                <w:highlight w:val="none"/>
              </w:rPr>
              <w:t>/</w:t>
            </w:r>
          </w:p>
        </w:tc>
        <w:tc>
          <w:tcPr>
            <w:tcW w:w="0" w:type="auto"/>
            <w:noWrap w:val="0"/>
            <w:tcMar>
              <w:left w:w="28" w:type="dxa"/>
              <w:right w:w="28" w:type="dxa"/>
            </w:tcMar>
            <w:vAlign w:val="center"/>
          </w:tcPr>
          <w:p w14:paraId="17307D4C">
            <w:pPr>
              <w:jc w:val="center"/>
              <w:rPr>
                <w:sz w:val="21"/>
                <w:szCs w:val="21"/>
                <w:highlight w:val="none"/>
              </w:rPr>
            </w:pPr>
            <w:r>
              <w:rPr>
                <w:sz w:val="21"/>
                <w:szCs w:val="21"/>
                <w:highlight w:val="none"/>
              </w:rPr>
              <w:t>36330</w:t>
            </w:r>
          </w:p>
        </w:tc>
        <w:tc>
          <w:tcPr>
            <w:tcW w:w="0" w:type="auto"/>
            <w:noWrap w:val="0"/>
            <w:tcMar>
              <w:left w:w="28" w:type="dxa"/>
              <w:right w:w="28" w:type="dxa"/>
            </w:tcMar>
            <w:vAlign w:val="center"/>
          </w:tcPr>
          <w:p w14:paraId="6EDF48C1">
            <w:pPr>
              <w:jc w:val="center"/>
              <w:rPr>
                <w:sz w:val="21"/>
                <w:szCs w:val="21"/>
                <w:highlight w:val="none"/>
              </w:rPr>
            </w:pPr>
            <w:r>
              <w:rPr>
                <w:sz w:val="21"/>
                <w:szCs w:val="21"/>
                <w:highlight w:val="none"/>
              </w:rPr>
              <w:t>4.4</w:t>
            </w:r>
          </w:p>
          <w:p w14:paraId="7CF649B3">
            <w:pPr>
              <w:jc w:val="center"/>
              <w:rPr>
                <w:sz w:val="21"/>
                <w:szCs w:val="21"/>
                <w:highlight w:val="none"/>
              </w:rPr>
            </w:pPr>
            <w:r>
              <w:rPr>
                <w:sz w:val="21"/>
                <w:szCs w:val="21"/>
                <w:highlight w:val="none"/>
              </w:rPr>
              <w:t>50.0</w:t>
            </w:r>
          </w:p>
          <w:p w14:paraId="2F299FC1">
            <w:pPr>
              <w:jc w:val="center"/>
              <w:rPr>
                <w:sz w:val="21"/>
                <w:szCs w:val="21"/>
                <w:highlight w:val="none"/>
              </w:rPr>
            </w:pPr>
            <w:r>
              <w:rPr>
                <w:sz w:val="21"/>
                <w:szCs w:val="21"/>
                <w:highlight w:val="none"/>
              </w:rPr>
              <w:t>4.2</w:t>
            </w:r>
          </w:p>
        </w:tc>
        <w:tc>
          <w:tcPr>
            <w:tcW w:w="0" w:type="auto"/>
            <w:noWrap w:val="0"/>
            <w:tcMar>
              <w:left w:w="28" w:type="dxa"/>
              <w:right w:w="28" w:type="dxa"/>
            </w:tcMar>
            <w:vAlign w:val="center"/>
          </w:tcPr>
          <w:p w14:paraId="4860EA2E">
            <w:pPr>
              <w:jc w:val="center"/>
              <w:rPr>
                <w:sz w:val="21"/>
                <w:szCs w:val="21"/>
                <w:highlight w:val="none"/>
              </w:rPr>
            </w:pPr>
            <w:r>
              <w:rPr>
                <w:sz w:val="21"/>
                <w:szCs w:val="21"/>
                <w:highlight w:val="none"/>
              </w:rPr>
              <w:t>1</w:t>
            </w:r>
          </w:p>
        </w:tc>
        <w:tc>
          <w:tcPr>
            <w:tcW w:w="0" w:type="auto"/>
            <w:noWrap w:val="0"/>
            <w:vAlign w:val="center"/>
          </w:tcPr>
          <w:p w14:paraId="76FFFE27">
            <w:pPr>
              <w:jc w:val="center"/>
              <w:rPr>
                <w:sz w:val="21"/>
                <w:szCs w:val="21"/>
                <w:highlight w:val="none"/>
              </w:rPr>
            </w:pPr>
            <w:r>
              <w:rPr>
                <w:sz w:val="21"/>
                <w:szCs w:val="21"/>
                <w:highlight w:val="none"/>
              </w:rPr>
              <w:t>60</w:t>
            </w:r>
          </w:p>
        </w:tc>
        <w:tc>
          <w:tcPr>
            <w:tcW w:w="0" w:type="auto"/>
            <w:noWrap w:val="0"/>
            <w:tcMar>
              <w:left w:w="28" w:type="dxa"/>
              <w:right w:w="28" w:type="dxa"/>
            </w:tcMar>
            <w:vAlign w:val="center"/>
          </w:tcPr>
          <w:p w14:paraId="32DAFAF8">
            <w:pPr>
              <w:jc w:val="center"/>
              <w:rPr>
                <w:sz w:val="21"/>
                <w:szCs w:val="21"/>
                <w:highlight w:val="none"/>
              </w:rPr>
            </w:pPr>
            <w:r>
              <w:rPr>
                <w:sz w:val="21"/>
                <w:szCs w:val="21"/>
                <w:highlight w:val="none"/>
              </w:rPr>
              <w:t>0.8</w:t>
            </w:r>
          </w:p>
        </w:tc>
        <w:tc>
          <w:tcPr>
            <w:tcW w:w="0" w:type="auto"/>
            <w:noWrap w:val="0"/>
            <w:vAlign w:val="center"/>
          </w:tcPr>
          <w:p w14:paraId="6A820E44">
            <w:pPr>
              <w:jc w:val="center"/>
              <w:rPr>
                <w:sz w:val="21"/>
                <w:szCs w:val="21"/>
                <w:highlight w:val="none"/>
              </w:rPr>
            </w:pPr>
            <w:r>
              <w:rPr>
                <w:sz w:val="21"/>
                <w:szCs w:val="21"/>
                <w:highlight w:val="none"/>
              </w:rPr>
              <w:t>连续</w:t>
            </w:r>
          </w:p>
        </w:tc>
        <w:tc>
          <w:tcPr>
            <w:tcW w:w="0" w:type="auto"/>
            <w:noWrap w:val="0"/>
            <w:vAlign w:val="center"/>
          </w:tcPr>
          <w:p w14:paraId="212DAD1D">
            <w:pPr>
              <w:jc w:val="center"/>
              <w:rPr>
                <w:sz w:val="21"/>
                <w:szCs w:val="21"/>
                <w:highlight w:val="none"/>
              </w:rPr>
            </w:pPr>
            <w:r>
              <w:rPr>
                <w:sz w:val="21"/>
                <w:szCs w:val="21"/>
                <w:highlight w:val="none"/>
              </w:rPr>
              <w:t>排入大气</w:t>
            </w:r>
          </w:p>
        </w:tc>
      </w:tr>
      <w:tr w14:paraId="6F2F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blHeader/>
          <w:jc w:val="center"/>
        </w:trPr>
        <w:tc>
          <w:tcPr>
            <w:tcW w:w="0" w:type="auto"/>
            <w:gridSpan w:val="2"/>
            <w:noWrap w:val="0"/>
            <w:tcMar>
              <w:left w:w="28" w:type="dxa"/>
              <w:right w:w="28" w:type="dxa"/>
            </w:tcMar>
            <w:vAlign w:val="center"/>
          </w:tcPr>
          <w:p w14:paraId="5490B752">
            <w:pPr>
              <w:jc w:val="center"/>
              <w:rPr>
                <w:rFonts w:hint="eastAsia" w:eastAsia="宋体"/>
                <w:sz w:val="21"/>
                <w:szCs w:val="21"/>
                <w:highlight w:val="none"/>
                <w:lang w:val="en-US" w:eastAsia="zh-CN"/>
              </w:rPr>
            </w:pPr>
            <w:r>
              <w:rPr>
                <w:sz w:val="21"/>
                <w:szCs w:val="21"/>
                <w:highlight w:val="none"/>
              </w:rPr>
              <w:t>污水处理</w:t>
            </w:r>
            <w:r>
              <w:rPr>
                <w:rFonts w:hint="eastAsia"/>
                <w:sz w:val="21"/>
                <w:szCs w:val="21"/>
                <w:highlight w:val="none"/>
                <w:lang w:val="en-US" w:eastAsia="zh-CN"/>
              </w:rPr>
              <w:t>厂</w:t>
            </w:r>
          </w:p>
        </w:tc>
        <w:tc>
          <w:tcPr>
            <w:tcW w:w="0" w:type="auto"/>
            <w:noWrap w:val="0"/>
            <w:vAlign w:val="center"/>
          </w:tcPr>
          <w:p w14:paraId="3400CAA8">
            <w:pPr>
              <w:jc w:val="center"/>
              <w:rPr>
                <w:sz w:val="21"/>
                <w:szCs w:val="21"/>
                <w:highlight w:val="none"/>
              </w:rPr>
            </w:pPr>
            <w:r>
              <w:rPr>
                <w:sz w:val="21"/>
                <w:szCs w:val="21"/>
                <w:highlight w:val="none"/>
              </w:rPr>
              <w:t>臭气</w:t>
            </w:r>
          </w:p>
        </w:tc>
        <w:tc>
          <w:tcPr>
            <w:tcW w:w="0" w:type="auto"/>
            <w:noWrap w:val="0"/>
            <w:tcMar>
              <w:left w:w="28" w:type="dxa"/>
              <w:right w:w="28" w:type="dxa"/>
            </w:tcMar>
            <w:vAlign w:val="center"/>
          </w:tcPr>
          <w:p w14:paraId="07D5F337">
            <w:pPr>
              <w:jc w:val="center"/>
              <w:rPr>
                <w:sz w:val="21"/>
                <w:szCs w:val="21"/>
                <w:highlight w:val="none"/>
              </w:rPr>
            </w:pPr>
            <w:r>
              <w:rPr>
                <w:sz w:val="21"/>
                <w:szCs w:val="21"/>
                <w:highlight w:val="none"/>
                <w:lang w:val="pt-BR"/>
              </w:rPr>
              <w:t>H</w:t>
            </w:r>
            <w:r>
              <w:rPr>
                <w:sz w:val="21"/>
                <w:szCs w:val="21"/>
                <w:highlight w:val="none"/>
                <w:vertAlign w:val="subscript"/>
                <w:lang w:val="pt-BR"/>
              </w:rPr>
              <w:t>2</w:t>
            </w:r>
            <w:r>
              <w:rPr>
                <w:sz w:val="21"/>
                <w:szCs w:val="21"/>
                <w:highlight w:val="none"/>
                <w:lang w:val="pt-BR"/>
              </w:rPr>
              <w:t>S</w:t>
            </w:r>
          </w:p>
          <w:p w14:paraId="2073C3A6">
            <w:pPr>
              <w:jc w:val="center"/>
              <w:rPr>
                <w:sz w:val="21"/>
                <w:szCs w:val="21"/>
                <w:highlight w:val="none"/>
              </w:rPr>
            </w:pPr>
            <w:r>
              <w:rPr>
                <w:sz w:val="21"/>
                <w:szCs w:val="21"/>
                <w:highlight w:val="none"/>
              </w:rPr>
              <w:t>NH</w:t>
            </w:r>
            <w:r>
              <w:rPr>
                <w:sz w:val="21"/>
                <w:szCs w:val="21"/>
                <w:highlight w:val="none"/>
                <w:vertAlign w:val="subscript"/>
              </w:rPr>
              <w:t>3</w:t>
            </w:r>
          </w:p>
          <w:p w14:paraId="176B8B82">
            <w:pPr>
              <w:jc w:val="center"/>
              <w:rPr>
                <w:sz w:val="21"/>
                <w:szCs w:val="21"/>
                <w:highlight w:val="none"/>
              </w:rPr>
            </w:pPr>
            <w:r>
              <w:rPr>
                <w:sz w:val="21"/>
                <w:szCs w:val="21"/>
                <w:highlight w:val="none"/>
              </w:rPr>
              <w:t>臭气</w:t>
            </w:r>
          </w:p>
        </w:tc>
        <w:tc>
          <w:tcPr>
            <w:tcW w:w="0" w:type="auto"/>
            <w:noWrap w:val="0"/>
            <w:tcMar>
              <w:left w:w="28" w:type="dxa"/>
              <w:right w:w="28" w:type="dxa"/>
            </w:tcMar>
            <w:vAlign w:val="center"/>
          </w:tcPr>
          <w:p w14:paraId="06EFB6CE">
            <w:pPr>
              <w:jc w:val="center"/>
              <w:rPr>
                <w:sz w:val="21"/>
                <w:szCs w:val="21"/>
                <w:highlight w:val="none"/>
              </w:rPr>
            </w:pPr>
            <w:r>
              <w:rPr>
                <w:sz w:val="21"/>
                <w:szCs w:val="21"/>
                <w:highlight w:val="none"/>
              </w:rPr>
              <w:t>产生的恶臭气体通过对构筑物封闭加盖</w:t>
            </w:r>
            <w:r>
              <w:rPr>
                <w:rFonts w:hint="eastAsia"/>
                <w:sz w:val="21"/>
                <w:szCs w:val="21"/>
                <w:highlight w:val="none"/>
                <w:lang w:val="en-US" w:eastAsia="zh-CN"/>
              </w:rPr>
              <w:t>的</w:t>
            </w:r>
            <w:r>
              <w:rPr>
                <w:sz w:val="21"/>
                <w:szCs w:val="21"/>
                <w:highlight w:val="none"/>
              </w:rPr>
              <w:t>收集系统收集后，采用生物法处理。</w:t>
            </w:r>
          </w:p>
        </w:tc>
        <w:tc>
          <w:tcPr>
            <w:tcW w:w="0" w:type="auto"/>
            <w:noWrap w:val="0"/>
            <w:tcMar>
              <w:left w:w="28" w:type="dxa"/>
              <w:right w:w="28" w:type="dxa"/>
            </w:tcMar>
            <w:vAlign w:val="center"/>
          </w:tcPr>
          <w:p w14:paraId="2A54F70A">
            <w:pPr>
              <w:jc w:val="center"/>
              <w:rPr>
                <w:sz w:val="21"/>
                <w:szCs w:val="21"/>
                <w:highlight w:val="none"/>
              </w:rPr>
            </w:pPr>
            <w:r>
              <w:rPr>
                <w:sz w:val="21"/>
                <w:szCs w:val="21"/>
                <w:highlight w:val="none"/>
              </w:rPr>
              <w:t>46982</w:t>
            </w:r>
          </w:p>
        </w:tc>
        <w:tc>
          <w:tcPr>
            <w:tcW w:w="0" w:type="auto"/>
            <w:noWrap w:val="0"/>
            <w:tcMar>
              <w:left w:w="28" w:type="dxa"/>
              <w:right w:w="28" w:type="dxa"/>
            </w:tcMar>
            <w:vAlign w:val="center"/>
          </w:tcPr>
          <w:p w14:paraId="48A52618">
            <w:pPr>
              <w:jc w:val="center"/>
              <w:rPr>
                <w:sz w:val="21"/>
                <w:szCs w:val="21"/>
                <w:highlight w:val="none"/>
              </w:rPr>
            </w:pPr>
            <w:r>
              <w:rPr>
                <w:sz w:val="21"/>
                <w:szCs w:val="21"/>
                <w:highlight w:val="none"/>
              </w:rPr>
              <w:t>0.0006</w:t>
            </w:r>
          </w:p>
          <w:p w14:paraId="28523570">
            <w:pPr>
              <w:jc w:val="center"/>
              <w:rPr>
                <w:sz w:val="21"/>
                <w:szCs w:val="21"/>
                <w:highlight w:val="none"/>
              </w:rPr>
            </w:pPr>
            <w:r>
              <w:rPr>
                <w:sz w:val="21"/>
                <w:szCs w:val="21"/>
                <w:highlight w:val="none"/>
              </w:rPr>
              <w:t>0.2</w:t>
            </w:r>
          </w:p>
          <w:p w14:paraId="580F3E3C">
            <w:pPr>
              <w:jc w:val="center"/>
              <w:rPr>
                <w:sz w:val="21"/>
                <w:szCs w:val="21"/>
                <w:highlight w:val="none"/>
              </w:rPr>
            </w:pPr>
            <w:r>
              <w:rPr>
                <w:sz w:val="21"/>
                <w:szCs w:val="21"/>
                <w:highlight w:val="none"/>
              </w:rPr>
              <w:t>309</w:t>
            </w:r>
          </w:p>
        </w:tc>
        <w:tc>
          <w:tcPr>
            <w:tcW w:w="0" w:type="auto"/>
            <w:noWrap w:val="0"/>
            <w:tcMar>
              <w:left w:w="28" w:type="dxa"/>
              <w:right w:w="28" w:type="dxa"/>
            </w:tcMar>
            <w:vAlign w:val="center"/>
          </w:tcPr>
          <w:p w14:paraId="4199965A">
            <w:pPr>
              <w:jc w:val="center"/>
              <w:rPr>
                <w:sz w:val="21"/>
                <w:szCs w:val="21"/>
                <w:highlight w:val="none"/>
              </w:rPr>
            </w:pPr>
            <w:r>
              <w:rPr>
                <w:sz w:val="21"/>
                <w:szCs w:val="21"/>
                <w:highlight w:val="none"/>
              </w:rPr>
              <w:t>1</w:t>
            </w:r>
          </w:p>
        </w:tc>
        <w:tc>
          <w:tcPr>
            <w:tcW w:w="0" w:type="auto"/>
            <w:noWrap w:val="0"/>
            <w:vAlign w:val="center"/>
          </w:tcPr>
          <w:p w14:paraId="6AB6AA33">
            <w:pPr>
              <w:jc w:val="center"/>
              <w:rPr>
                <w:sz w:val="21"/>
                <w:szCs w:val="21"/>
                <w:highlight w:val="none"/>
              </w:rPr>
            </w:pPr>
            <w:r>
              <w:rPr>
                <w:sz w:val="21"/>
                <w:szCs w:val="21"/>
                <w:highlight w:val="none"/>
              </w:rPr>
              <w:t>25</w:t>
            </w:r>
          </w:p>
        </w:tc>
        <w:tc>
          <w:tcPr>
            <w:tcW w:w="0" w:type="auto"/>
            <w:noWrap w:val="0"/>
            <w:tcMar>
              <w:left w:w="28" w:type="dxa"/>
              <w:right w:w="28" w:type="dxa"/>
            </w:tcMar>
            <w:vAlign w:val="center"/>
          </w:tcPr>
          <w:p w14:paraId="14CEE770">
            <w:pPr>
              <w:jc w:val="center"/>
              <w:rPr>
                <w:sz w:val="21"/>
                <w:szCs w:val="21"/>
                <w:highlight w:val="none"/>
              </w:rPr>
            </w:pPr>
            <w:r>
              <w:rPr>
                <w:sz w:val="21"/>
                <w:szCs w:val="21"/>
                <w:highlight w:val="none"/>
              </w:rPr>
              <w:t>0.3</w:t>
            </w:r>
          </w:p>
        </w:tc>
        <w:tc>
          <w:tcPr>
            <w:tcW w:w="0" w:type="auto"/>
            <w:noWrap w:val="0"/>
            <w:vAlign w:val="center"/>
          </w:tcPr>
          <w:p w14:paraId="5E9664A7">
            <w:pPr>
              <w:jc w:val="center"/>
              <w:rPr>
                <w:sz w:val="21"/>
                <w:szCs w:val="21"/>
                <w:highlight w:val="none"/>
              </w:rPr>
            </w:pPr>
            <w:r>
              <w:rPr>
                <w:sz w:val="21"/>
                <w:szCs w:val="21"/>
                <w:highlight w:val="none"/>
              </w:rPr>
              <w:t>连续</w:t>
            </w:r>
          </w:p>
        </w:tc>
        <w:tc>
          <w:tcPr>
            <w:tcW w:w="0" w:type="auto"/>
            <w:noWrap w:val="0"/>
            <w:vAlign w:val="center"/>
          </w:tcPr>
          <w:p w14:paraId="536DA742">
            <w:pPr>
              <w:jc w:val="center"/>
              <w:rPr>
                <w:sz w:val="21"/>
                <w:szCs w:val="21"/>
                <w:highlight w:val="none"/>
              </w:rPr>
            </w:pPr>
            <w:r>
              <w:rPr>
                <w:sz w:val="21"/>
                <w:szCs w:val="21"/>
                <w:highlight w:val="none"/>
              </w:rPr>
              <w:t>排入大气</w:t>
            </w:r>
          </w:p>
        </w:tc>
      </w:tr>
    </w:tbl>
    <w:p w14:paraId="7AD81582">
      <w:pPr>
        <w:ind w:firstLine="420"/>
        <w:jc w:val="center"/>
        <w:rPr>
          <w:szCs w:val="21"/>
          <w:highlight w:val="none"/>
        </w:rPr>
      </w:pPr>
      <w:r>
        <w:rPr>
          <w:b/>
          <w:bCs/>
          <w:szCs w:val="21"/>
          <w:highlight w:val="none"/>
        </w:rPr>
        <w:t>表</w:t>
      </w:r>
      <w:r>
        <w:rPr>
          <w:rFonts w:hint="eastAsia"/>
          <w:b/>
          <w:bCs/>
          <w:szCs w:val="21"/>
          <w:highlight w:val="none"/>
          <w:lang w:val="en-US" w:eastAsia="zh-CN"/>
        </w:rPr>
        <w:t>3-5</w:t>
      </w:r>
      <w:r>
        <w:rPr>
          <w:b/>
          <w:bCs/>
          <w:szCs w:val="21"/>
          <w:highlight w:val="none"/>
        </w:rPr>
        <w:t>（2）</w:t>
      </w:r>
      <w:r>
        <w:rPr>
          <w:rFonts w:hint="eastAsia"/>
          <w:b/>
          <w:bCs/>
          <w:szCs w:val="21"/>
          <w:highlight w:val="none"/>
          <w:lang w:val="en-US" w:eastAsia="zh-CN"/>
        </w:rPr>
        <w:t xml:space="preserve">   </w:t>
      </w:r>
      <w:r>
        <w:rPr>
          <w:b/>
          <w:bCs/>
          <w:szCs w:val="21"/>
          <w:highlight w:val="none"/>
        </w:rPr>
        <w:t>现有项目废气污染物排放达标分析一览表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98"/>
        <w:gridCol w:w="1202"/>
        <w:gridCol w:w="847"/>
        <w:gridCol w:w="1064"/>
        <w:gridCol w:w="775"/>
        <w:gridCol w:w="1012"/>
        <w:gridCol w:w="426"/>
        <w:gridCol w:w="531"/>
        <w:gridCol w:w="717"/>
        <w:gridCol w:w="775"/>
        <w:gridCol w:w="1107"/>
        <w:gridCol w:w="689"/>
        <w:gridCol w:w="3069"/>
      </w:tblGrid>
      <w:tr w14:paraId="2704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gridSpan w:val="2"/>
            <w:vMerge w:val="restart"/>
            <w:noWrap w:val="0"/>
            <w:vAlign w:val="center"/>
          </w:tcPr>
          <w:p w14:paraId="70B0D502">
            <w:pPr>
              <w:pStyle w:val="6"/>
              <w:ind w:firstLine="0" w:firstLineChars="0"/>
              <w:jc w:val="center"/>
              <w:rPr>
                <w:rFonts w:ascii="Times New Roman"/>
                <w:sz w:val="21"/>
                <w:szCs w:val="21"/>
                <w:highlight w:val="none"/>
              </w:rPr>
            </w:pPr>
            <w:r>
              <w:rPr>
                <w:rFonts w:ascii="Times New Roman"/>
                <w:kern w:val="2"/>
                <w:sz w:val="21"/>
                <w:szCs w:val="21"/>
                <w:highlight w:val="none"/>
              </w:rPr>
              <w:t>装置名称</w:t>
            </w:r>
          </w:p>
        </w:tc>
        <w:tc>
          <w:tcPr>
            <w:tcW w:w="1202" w:type="dxa"/>
            <w:vMerge w:val="restart"/>
            <w:noWrap w:val="0"/>
            <w:vAlign w:val="center"/>
          </w:tcPr>
          <w:p w14:paraId="007D18EC">
            <w:pPr>
              <w:pStyle w:val="6"/>
              <w:ind w:firstLine="0" w:firstLineChars="0"/>
              <w:jc w:val="center"/>
              <w:rPr>
                <w:rFonts w:ascii="Times New Roman"/>
                <w:kern w:val="2"/>
                <w:sz w:val="21"/>
                <w:szCs w:val="21"/>
                <w:highlight w:val="none"/>
              </w:rPr>
            </w:pPr>
            <w:r>
              <w:rPr>
                <w:rFonts w:ascii="Times New Roman"/>
                <w:kern w:val="2"/>
                <w:sz w:val="21"/>
                <w:szCs w:val="21"/>
                <w:highlight w:val="none"/>
              </w:rPr>
              <w:t>污染源</w:t>
            </w:r>
          </w:p>
        </w:tc>
        <w:tc>
          <w:tcPr>
            <w:tcW w:w="781" w:type="dxa"/>
            <w:vMerge w:val="restart"/>
            <w:noWrap w:val="0"/>
            <w:vAlign w:val="center"/>
          </w:tcPr>
          <w:p w14:paraId="07E76104">
            <w:pPr>
              <w:jc w:val="center"/>
              <w:rPr>
                <w:sz w:val="21"/>
                <w:szCs w:val="21"/>
                <w:highlight w:val="none"/>
              </w:rPr>
            </w:pPr>
            <w:r>
              <w:rPr>
                <w:sz w:val="21"/>
                <w:szCs w:val="21"/>
                <w:highlight w:val="none"/>
              </w:rPr>
              <w:t>主要污染物名称</w:t>
            </w:r>
          </w:p>
        </w:tc>
        <w:tc>
          <w:tcPr>
            <w:tcW w:w="2747" w:type="dxa"/>
            <w:gridSpan w:val="3"/>
            <w:noWrap w:val="0"/>
            <w:vAlign w:val="center"/>
          </w:tcPr>
          <w:p w14:paraId="4781314C">
            <w:pPr>
              <w:pStyle w:val="6"/>
              <w:ind w:firstLine="0" w:firstLineChars="0"/>
              <w:jc w:val="center"/>
              <w:rPr>
                <w:rFonts w:ascii="Times New Roman"/>
                <w:sz w:val="21"/>
                <w:szCs w:val="21"/>
                <w:highlight w:val="none"/>
              </w:rPr>
            </w:pPr>
            <w:r>
              <w:rPr>
                <w:rFonts w:ascii="Times New Roman"/>
                <w:kern w:val="2"/>
                <w:sz w:val="21"/>
                <w:szCs w:val="21"/>
                <w:highlight w:val="none"/>
              </w:rPr>
              <w:t>主要污染物排放</w:t>
            </w:r>
          </w:p>
        </w:tc>
        <w:tc>
          <w:tcPr>
            <w:tcW w:w="1644" w:type="dxa"/>
            <w:gridSpan w:val="3"/>
            <w:noWrap w:val="0"/>
            <w:vAlign w:val="center"/>
          </w:tcPr>
          <w:p w14:paraId="1B920064">
            <w:pPr>
              <w:pStyle w:val="6"/>
              <w:ind w:firstLine="0" w:firstLineChars="0"/>
              <w:jc w:val="center"/>
              <w:rPr>
                <w:rFonts w:ascii="Times New Roman"/>
                <w:sz w:val="21"/>
                <w:szCs w:val="21"/>
                <w:highlight w:val="none"/>
              </w:rPr>
            </w:pPr>
            <w:r>
              <w:rPr>
                <w:rFonts w:ascii="Times New Roman"/>
                <w:kern w:val="2"/>
                <w:sz w:val="21"/>
                <w:szCs w:val="21"/>
                <w:highlight w:val="none"/>
              </w:rPr>
              <w:t>排气筒</w:t>
            </w:r>
          </w:p>
        </w:tc>
        <w:tc>
          <w:tcPr>
            <w:tcW w:w="5561" w:type="dxa"/>
            <w:gridSpan w:val="4"/>
            <w:noWrap w:val="0"/>
            <w:vAlign w:val="center"/>
          </w:tcPr>
          <w:p w14:paraId="7FF08531">
            <w:pPr>
              <w:pStyle w:val="6"/>
              <w:ind w:firstLine="0" w:firstLineChars="0"/>
              <w:jc w:val="center"/>
              <w:rPr>
                <w:rFonts w:ascii="Times New Roman"/>
                <w:sz w:val="21"/>
                <w:szCs w:val="21"/>
                <w:highlight w:val="none"/>
              </w:rPr>
            </w:pPr>
            <w:r>
              <w:rPr>
                <w:rFonts w:ascii="Times New Roman"/>
                <w:kern w:val="2"/>
                <w:sz w:val="21"/>
                <w:szCs w:val="21"/>
                <w:highlight w:val="none"/>
              </w:rPr>
              <w:t>现行标准达标情况</w:t>
            </w:r>
          </w:p>
        </w:tc>
      </w:tr>
      <w:tr w14:paraId="5BB5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gridSpan w:val="2"/>
            <w:vMerge w:val="continue"/>
            <w:noWrap w:val="0"/>
            <w:vAlign w:val="center"/>
          </w:tcPr>
          <w:p w14:paraId="2083F200">
            <w:pPr>
              <w:pStyle w:val="6"/>
              <w:ind w:firstLine="0" w:firstLineChars="0"/>
              <w:jc w:val="center"/>
              <w:rPr>
                <w:rFonts w:ascii="Times New Roman"/>
                <w:sz w:val="21"/>
                <w:szCs w:val="21"/>
                <w:highlight w:val="none"/>
              </w:rPr>
            </w:pPr>
          </w:p>
        </w:tc>
        <w:tc>
          <w:tcPr>
            <w:tcW w:w="1202" w:type="dxa"/>
            <w:vMerge w:val="continue"/>
            <w:noWrap w:val="0"/>
            <w:vAlign w:val="center"/>
          </w:tcPr>
          <w:p w14:paraId="4ADC91BB">
            <w:pPr>
              <w:pStyle w:val="6"/>
              <w:ind w:firstLine="0" w:firstLineChars="0"/>
              <w:jc w:val="center"/>
              <w:rPr>
                <w:rFonts w:ascii="Times New Roman"/>
                <w:sz w:val="21"/>
                <w:szCs w:val="21"/>
                <w:highlight w:val="none"/>
              </w:rPr>
            </w:pPr>
          </w:p>
        </w:tc>
        <w:tc>
          <w:tcPr>
            <w:tcW w:w="781" w:type="dxa"/>
            <w:vMerge w:val="continue"/>
            <w:noWrap w:val="0"/>
            <w:vAlign w:val="center"/>
          </w:tcPr>
          <w:p w14:paraId="6AB6D7DF">
            <w:pPr>
              <w:pStyle w:val="6"/>
              <w:ind w:firstLine="0" w:firstLineChars="0"/>
              <w:jc w:val="center"/>
              <w:rPr>
                <w:rFonts w:ascii="Times New Roman"/>
                <w:sz w:val="21"/>
                <w:szCs w:val="21"/>
                <w:highlight w:val="none"/>
              </w:rPr>
            </w:pPr>
          </w:p>
        </w:tc>
        <w:tc>
          <w:tcPr>
            <w:tcW w:w="1064" w:type="dxa"/>
            <w:vMerge w:val="restart"/>
            <w:noWrap w:val="0"/>
            <w:vAlign w:val="center"/>
          </w:tcPr>
          <w:p w14:paraId="658A980D">
            <w:pPr>
              <w:jc w:val="center"/>
              <w:rPr>
                <w:sz w:val="21"/>
                <w:szCs w:val="21"/>
                <w:highlight w:val="none"/>
              </w:rPr>
            </w:pPr>
            <w:r>
              <w:rPr>
                <w:sz w:val="21"/>
                <w:szCs w:val="21"/>
                <w:highlight w:val="none"/>
              </w:rPr>
              <w:t>烟气量</w:t>
            </w:r>
          </w:p>
          <w:p w14:paraId="38E9255B">
            <w:pPr>
              <w:pStyle w:val="6"/>
              <w:ind w:firstLine="0" w:firstLineChars="0"/>
              <w:jc w:val="center"/>
              <w:rPr>
                <w:rFonts w:ascii="Times New Roman"/>
                <w:sz w:val="21"/>
                <w:szCs w:val="21"/>
                <w:highlight w:val="none"/>
              </w:rPr>
            </w:pPr>
            <w:r>
              <w:rPr>
                <w:rFonts w:ascii="Times New Roman"/>
                <w:kern w:val="2"/>
                <w:sz w:val="21"/>
                <w:szCs w:val="21"/>
                <w:highlight w:val="none"/>
              </w:rPr>
              <w:t>m</w:t>
            </w:r>
            <w:r>
              <w:rPr>
                <w:rFonts w:ascii="Times New Roman"/>
                <w:kern w:val="2"/>
                <w:sz w:val="21"/>
                <w:szCs w:val="21"/>
                <w:highlight w:val="none"/>
                <w:vertAlign w:val="superscript"/>
              </w:rPr>
              <w:t>3</w:t>
            </w:r>
            <w:r>
              <w:rPr>
                <w:rFonts w:ascii="Times New Roman"/>
                <w:kern w:val="2"/>
                <w:sz w:val="21"/>
                <w:szCs w:val="21"/>
                <w:highlight w:val="none"/>
              </w:rPr>
              <w:t>/h</w:t>
            </w:r>
          </w:p>
        </w:tc>
        <w:tc>
          <w:tcPr>
            <w:tcW w:w="695" w:type="dxa"/>
            <w:vMerge w:val="restart"/>
            <w:noWrap w:val="0"/>
            <w:vAlign w:val="center"/>
          </w:tcPr>
          <w:p w14:paraId="307300B6">
            <w:pPr>
              <w:jc w:val="center"/>
              <w:rPr>
                <w:sz w:val="21"/>
                <w:szCs w:val="21"/>
                <w:highlight w:val="none"/>
              </w:rPr>
            </w:pPr>
            <w:r>
              <w:rPr>
                <w:sz w:val="21"/>
                <w:szCs w:val="21"/>
                <w:highlight w:val="none"/>
              </w:rPr>
              <w:t>浓度</w:t>
            </w:r>
          </w:p>
          <w:p w14:paraId="5EED07E9">
            <w:pPr>
              <w:pStyle w:val="6"/>
              <w:ind w:firstLine="0" w:firstLineChars="0"/>
              <w:jc w:val="center"/>
              <w:rPr>
                <w:rFonts w:ascii="Times New Roman"/>
                <w:sz w:val="21"/>
                <w:szCs w:val="21"/>
                <w:highlight w:val="none"/>
              </w:rPr>
            </w:pPr>
            <w:r>
              <w:rPr>
                <w:rFonts w:ascii="Times New Roman"/>
                <w:kern w:val="2"/>
                <w:sz w:val="21"/>
                <w:szCs w:val="21"/>
                <w:highlight w:val="none"/>
              </w:rPr>
              <w:t>mg/m</w:t>
            </w:r>
            <w:r>
              <w:rPr>
                <w:rFonts w:ascii="Times New Roman"/>
                <w:kern w:val="2"/>
                <w:sz w:val="21"/>
                <w:szCs w:val="21"/>
                <w:highlight w:val="none"/>
                <w:vertAlign w:val="superscript"/>
              </w:rPr>
              <w:t>3</w:t>
            </w:r>
          </w:p>
        </w:tc>
        <w:tc>
          <w:tcPr>
            <w:tcW w:w="988" w:type="dxa"/>
            <w:vMerge w:val="restart"/>
            <w:noWrap w:val="0"/>
            <w:vAlign w:val="center"/>
          </w:tcPr>
          <w:p w14:paraId="1E2960DF">
            <w:pPr>
              <w:jc w:val="center"/>
              <w:rPr>
                <w:sz w:val="21"/>
                <w:szCs w:val="21"/>
                <w:highlight w:val="none"/>
              </w:rPr>
            </w:pPr>
            <w:r>
              <w:rPr>
                <w:sz w:val="21"/>
                <w:szCs w:val="21"/>
                <w:highlight w:val="none"/>
              </w:rPr>
              <w:t>速率</w:t>
            </w:r>
          </w:p>
          <w:p w14:paraId="04E23937">
            <w:pPr>
              <w:pStyle w:val="6"/>
              <w:ind w:firstLine="0" w:firstLineChars="0"/>
              <w:jc w:val="center"/>
              <w:rPr>
                <w:rFonts w:ascii="Times New Roman"/>
                <w:sz w:val="21"/>
                <w:szCs w:val="21"/>
                <w:highlight w:val="none"/>
              </w:rPr>
            </w:pPr>
            <w:r>
              <w:rPr>
                <w:rFonts w:ascii="Times New Roman"/>
                <w:kern w:val="2"/>
                <w:sz w:val="21"/>
                <w:szCs w:val="21"/>
                <w:highlight w:val="none"/>
              </w:rPr>
              <w:t>kg/h</w:t>
            </w:r>
          </w:p>
        </w:tc>
        <w:tc>
          <w:tcPr>
            <w:tcW w:w="396" w:type="dxa"/>
            <w:vMerge w:val="restart"/>
            <w:noWrap w:val="0"/>
            <w:vAlign w:val="center"/>
          </w:tcPr>
          <w:p w14:paraId="73009D40">
            <w:pPr>
              <w:pStyle w:val="6"/>
              <w:ind w:firstLine="0" w:firstLineChars="0"/>
              <w:jc w:val="center"/>
              <w:rPr>
                <w:rFonts w:ascii="Times New Roman"/>
                <w:sz w:val="21"/>
                <w:szCs w:val="21"/>
                <w:highlight w:val="none"/>
              </w:rPr>
            </w:pPr>
            <w:r>
              <w:rPr>
                <w:rFonts w:ascii="Times New Roman"/>
                <w:kern w:val="2"/>
                <w:sz w:val="21"/>
                <w:szCs w:val="21"/>
                <w:highlight w:val="none"/>
              </w:rPr>
              <w:t>个数</w:t>
            </w:r>
          </w:p>
        </w:tc>
        <w:tc>
          <w:tcPr>
            <w:tcW w:w="531" w:type="dxa"/>
            <w:vMerge w:val="restart"/>
            <w:noWrap w:val="0"/>
            <w:vAlign w:val="center"/>
          </w:tcPr>
          <w:p w14:paraId="560F7488">
            <w:pPr>
              <w:jc w:val="center"/>
              <w:rPr>
                <w:sz w:val="21"/>
                <w:szCs w:val="21"/>
                <w:highlight w:val="none"/>
              </w:rPr>
            </w:pPr>
            <w:r>
              <w:rPr>
                <w:sz w:val="21"/>
                <w:szCs w:val="21"/>
                <w:highlight w:val="none"/>
              </w:rPr>
              <w:t>高度</w:t>
            </w:r>
          </w:p>
          <w:p w14:paraId="7890A5E2">
            <w:pPr>
              <w:pStyle w:val="6"/>
              <w:ind w:firstLine="0" w:firstLineChars="0"/>
              <w:jc w:val="center"/>
              <w:rPr>
                <w:rFonts w:ascii="Times New Roman"/>
                <w:sz w:val="21"/>
                <w:szCs w:val="21"/>
                <w:highlight w:val="none"/>
              </w:rPr>
            </w:pPr>
            <w:r>
              <w:rPr>
                <w:rFonts w:ascii="Times New Roman"/>
                <w:kern w:val="2"/>
                <w:sz w:val="21"/>
                <w:szCs w:val="21"/>
                <w:highlight w:val="none"/>
              </w:rPr>
              <w:t>m</w:t>
            </w:r>
          </w:p>
        </w:tc>
        <w:tc>
          <w:tcPr>
            <w:tcW w:w="717" w:type="dxa"/>
            <w:vMerge w:val="restart"/>
            <w:noWrap w:val="0"/>
            <w:vAlign w:val="center"/>
          </w:tcPr>
          <w:p w14:paraId="5DFFDF84">
            <w:pPr>
              <w:jc w:val="center"/>
              <w:rPr>
                <w:sz w:val="21"/>
                <w:szCs w:val="21"/>
                <w:highlight w:val="none"/>
              </w:rPr>
            </w:pPr>
            <w:r>
              <w:rPr>
                <w:sz w:val="21"/>
                <w:szCs w:val="21"/>
                <w:highlight w:val="none"/>
              </w:rPr>
              <w:t>直径</w:t>
            </w:r>
          </w:p>
          <w:p w14:paraId="37F1F790">
            <w:pPr>
              <w:pStyle w:val="6"/>
              <w:ind w:firstLine="0" w:firstLineChars="0"/>
              <w:jc w:val="center"/>
              <w:rPr>
                <w:rFonts w:ascii="Times New Roman"/>
                <w:sz w:val="21"/>
                <w:szCs w:val="21"/>
                <w:highlight w:val="none"/>
              </w:rPr>
            </w:pPr>
            <w:r>
              <w:rPr>
                <w:rFonts w:ascii="Times New Roman"/>
                <w:kern w:val="2"/>
                <w:sz w:val="21"/>
                <w:szCs w:val="21"/>
                <w:highlight w:val="none"/>
              </w:rPr>
              <w:t>m</w:t>
            </w:r>
          </w:p>
        </w:tc>
        <w:tc>
          <w:tcPr>
            <w:tcW w:w="1803" w:type="dxa"/>
            <w:gridSpan w:val="2"/>
            <w:noWrap w:val="0"/>
            <w:vAlign w:val="center"/>
          </w:tcPr>
          <w:p w14:paraId="33775B9A">
            <w:pPr>
              <w:pStyle w:val="6"/>
              <w:ind w:firstLine="0" w:firstLineChars="0"/>
              <w:jc w:val="center"/>
              <w:rPr>
                <w:rFonts w:ascii="Times New Roman"/>
                <w:sz w:val="21"/>
                <w:szCs w:val="21"/>
                <w:highlight w:val="none"/>
              </w:rPr>
            </w:pPr>
            <w:r>
              <w:rPr>
                <w:rFonts w:ascii="Times New Roman"/>
                <w:kern w:val="2"/>
                <w:sz w:val="21"/>
                <w:szCs w:val="21"/>
                <w:highlight w:val="none"/>
              </w:rPr>
              <w:t>排放标准</w:t>
            </w:r>
          </w:p>
        </w:tc>
        <w:tc>
          <w:tcPr>
            <w:tcW w:w="689" w:type="dxa"/>
            <w:vMerge w:val="restart"/>
            <w:noWrap w:val="0"/>
            <w:vAlign w:val="center"/>
          </w:tcPr>
          <w:p w14:paraId="6C52384E">
            <w:pPr>
              <w:pStyle w:val="6"/>
              <w:ind w:firstLine="0" w:firstLineChars="0"/>
              <w:jc w:val="center"/>
              <w:rPr>
                <w:rFonts w:ascii="Times New Roman"/>
                <w:sz w:val="21"/>
                <w:szCs w:val="21"/>
                <w:highlight w:val="none"/>
              </w:rPr>
            </w:pPr>
            <w:r>
              <w:rPr>
                <w:rFonts w:ascii="Times New Roman"/>
                <w:kern w:val="2"/>
                <w:sz w:val="21"/>
                <w:szCs w:val="21"/>
                <w:highlight w:val="none"/>
              </w:rPr>
              <w:t>达标情况</w:t>
            </w:r>
          </w:p>
        </w:tc>
        <w:tc>
          <w:tcPr>
            <w:tcW w:w="3069" w:type="dxa"/>
            <w:vMerge w:val="restart"/>
            <w:noWrap w:val="0"/>
            <w:vAlign w:val="center"/>
          </w:tcPr>
          <w:p w14:paraId="70FCDE7B">
            <w:pPr>
              <w:pStyle w:val="6"/>
              <w:ind w:firstLine="0" w:firstLineChars="0"/>
              <w:jc w:val="center"/>
              <w:rPr>
                <w:rFonts w:ascii="Times New Roman"/>
                <w:sz w:val="21"/>
                <w:szCs w:val="21"/>
                <w:highlight w:val="none"/>
              </w:rPr>
            </w:pPr>
            <w:r>
              <w:rPr>
                <w:rFonts w:ascii="Times New Roman"/>
                <w:kern w:val="2"/>
                <w:sz w:val="21"/>
                <w:szCs w:val="21"/>
                <w:highlight w:val="none"/>
              </w:rPr>
              <w:t>执行标准</w:t>
            </w:r>
          </w:p>
        </w:tc>
      </w:tr>
      <w:tr w14:paraId="5BE9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gridSpan w:val="2"/>
            <w:vMerge w:val="continue"/>
            <w:noWrap w:val="0"/>
            <w:vAlign w:val="center"/>
          </w:tcPr>
          <w:p w14:paraId="1B926B92">
            <w:pPr>
              <w:pStyle w:val="6"/>
              <w:ind w:firstLine="0" w:firstLineChars="0"/>
              <w:jc w:val="center"/>
              <w:rPr>
                <w:rFonts w:ascii="Times New Roman"/>
                <w:sz w:val="21"/>
                <w:szCs w:val="21"/>
                <w:highlight w:val="none"/>
              </w:rPr>
            </w:pPr>
          </w:p>
        </w:tc>
        <w:tc>
          <w:tcPr>
            <w:tcW w:w="1202" w:type="dxa"/>
            <w:vMerge w:val="continue"/>
            <w:noWrap w:val="0"/>
            <w:vAlign w:val="center"/>
          </w:tcPr>
          <w:p w14:paraId="2233D766">
            <w:pPr>
              <w:pStyle w:val="6"/>
              <w:ind w:firstLine="0" w:firstLineChars="0"/>
              <w:jc w:val="center"/>
              <w:rPr>
                <w:rFonts w:ascii="Times New Roman"/>
                <w:sz w:val="21"/>
                <w:szCs w:val="21"/>
                <w:highlight w:val="none"/>
              </w:rPr>
            </w:pPr>
          </w:p>
        </w:tc>
        <w:tc>
          <w:tcPr>
            <w:tcW w:w="781" w:type="dxa"/>
            <w:vMerge w:val="continue"/>
            <w:noWrap w:val="0"/>
            <w:vAlign w:val="center"/>
          </w:tcPr>
          <w:p w14:paraId="15D594E6">
            <w:pPr>
              <w:pStyle w:val="6"/>
              <w:ind w:firstLine="0" w:firstLineChars="0"/>
              <w:jc w:val="center"/>
              <w:rPr>
                <w:rFonts w:ascii="Times New Roman"/>
                <w:sz w:val="21"/>
                <w:szCs w:val="21"/>
                <w:highlight w:val="none"/>
              </w:rPr>
            </w:pPr>
          </w:p>
        </w:tc>
        <w:tc>
          <w:tcPr>
            <w:tcW w:w="1064" w:type="dxa"/>
            <w:vMerge w:val="continue"/>
            <w:noWrap w:val="0"/>
            <w:vAlign w:val="center"/>
          </w:tcPr>
          <w:p w14:paraId="4EB16097">
            <w:pPr>
              <w:pStyle w:val="6"/>
              <w:ind w:firstLine="0" w:firstLineChars="0"/>
              <w:jc w:val="center"/>
              <w:rPr>
                <w:rFonts w:ascii="Times New Roman"/>
                <w:sz w:val="21"/>
                <w:szCs w:val="21"/>
                <w:highlight w:val="none"/>
              </w:rPr>
            </w:pPr>
          </w:p>
        </w:tc>
        <w:tc>
          <w:tcPr>
            <w:tcW w:w="695" w:type="dxa"/>
            <w:vMerge w:val="continue"/>
            <w:noWrap w:val="0"/>
            <w:vAlign w:val="center"/>
          </w:tcPr>
          <w:p w14:paraId="5874C92E">
            <w:pPr>
              <w:pStyle w:val="6"/>
              <w:ind w:firstLine="0" w:firstLineChars="0"/>
              <w:jc w:val="center"/>
              <w:rPr>
                <w:rFonts w:ascii="Times New Roman"/>
                <w:sz w:val="21"/>
                <w:szCs w:val="21"/>
                <w:highlight w:val="none"/>
              </w:rPr>
            </w:pPr>
          </w:p>
        </w:tc>
        <w:tc>
          <w:tcPr>
            <w:tcW w:w="988" w:type="dxa"/>
            <w:vMerge w:val="continue"/>
            <w:noWrap w:val="0"/>
            <w:vAlign w:val="center"/>
          </w:tcPr>
          <w:p w14:paraId="3DE20512">
            <w:pPr>
              <w:pStyle w:val="6"/>
              <w:ind w:firstLine="0" w:firstLineChars="0"/>
              <w:jc w:val="center"/>
              <w:rPr>
                <w:rFonts w:ascii="Times New Roman"/>
                <w:sz w:val="21"/>
                <w:szCs w:val="21"/>
                <w:highlight w:val="none"/>
              </w:rPr>
            </w:pPr>
          </w:p>
        </w:tc>
        <w:tc>
          <w:tcPr>
            <w:tcW w:w="396" w:type="dxa"/>
            <w:vMerge w:val="continue"/>
            <w:noWrap w:val="0"/>
            <w:vAlign w:val="center"/>
          </w:tcPr>
          <w:p w14:paraId="18641836">
            <w:pPr>
              <w:pStyle w:val="6"/>
              <w:ind w:firstLine="0" w:firstLineChars="0"/>
              <w:jc w:val="center"/>
              <w:rPr>
                <w:rFonts w:ascii="Times New Roman"/>
                <w:sz w:val="21"/>
                <w:szCs w:val="21"/>
                <w:highlight w:val="none"/>
              </w:rPr>
            </w:pPr>
          </w:p>
        </w:tc>
        <w:tc>
          <w:tcPr>
            <w:tcW w:w="531" w:type="dxa"/>
            <w:vMerge w:val="continue"/>
            <w:noWrap w:val="0"/>
            <w:vAlign w:val="center"/>
          </w:tcPr>
          <w:p w14:paraId="1343B98E">
            <w:pPr>
              <w:pStyle w:val="6"/>
              <w:ind w:firstLine="0" w:firstLineChars="0"/>
              <w:jc w:val="center"/>
              <w:rPr>
                <w:rFonts w:ascii="Times New Roman"/>
                <w:sz w:val="21"/>
                <w:szCs w:val="21"/>
                <w:highlight w:val="none"/>
              </w:rPr>
            </w:pPr>
          </w:p>
        </w:tc>
        <w:tc>
          <w:tcPr>
            <w:tcW w:w="717" w:type="dxa"/>
            <w:vMerge w:val="continue"/>
            <w:noWrap w:val="0"/>
            <w:vAlign w:val="center"/>
          </w:tcPr>
          <w:p w14:paraId="656F3B71">
            <w:pPr>
              <w:pStyle w:val="6"/>
              <w:ind w:firstLine="0" w:firstLineChars="0"/>
              <w:jc w:val="center"/>
              <w:rPr>
                <w:rFonts w:ascii="Times New Roman"/>
                <w:sz w:val="21"/>
                <w:szCs w:val="21"/>
                <w:highlight w:val="none"/>
              </w:rPr>
            </w:pPr>
          </w:p>
        </w:tc>
        <w:tc>
          <w:tcPr>
            <w:tcW w:w="696" w:type="dxa"/>
            <w:noWrap w:val="0"/>
            <w:vAlign w:val="center"/>
          </w:tcPr>
          <w:p w14:paraId="557628C7">
            <w:pPr>
              <w:jc w:val="center"/>
              <w:rPr>
                <w:sz w:val="21"/>
                <w:szCs w:val="21"/>
                <w:highlight w:val="none"/>
              </w:rPr>
            </w:pPr>
            <w:r>
              <w:rPr>
                <w:sz w:val="21"/>
                <w:szCs w:val="21"/>
                <w:highlight w:val="none"/>
              </w:rPr>
              <w:t>浓度</w:t>
            </w:r>
          </w:p>
          <w:p w14:paraId="75957C7C">
            <w:pPr>
              <w:pStyle w:val="6"/>
              <w:ind w:firstLine="0" w:firstLineChars="0"/>
              <w:jc w:val="center"/>
              <w:rPr>
                <w:rFonts w:ascii="Times New Roman"/>
                <w:sz w:val="21"/>
                <w:szCs w:val="21"/>
                <w:highlight w:val="none"/>
              </w:rPr>
            </w:pPr>
            <w:r>
              <w:rPr>
                <w:rFonts w:ascii="Times New Roman"/>
                <w:kern w:val="2"/>
                <w:sz w:val="21"/>
                <w:szCs w:val="21"/>
                <w:highlight w:val="none"/>
              </w:rPr>
              <w:t>mg/m</w:t>
            </w:r>
            <w:r>
              <w:rPr>
                <w:rFonts w:ascii="Times New Roman"/>
                <w:kern w:val="2"/>
                <w:sz w:val="21"/>
                <w:szCs w:val="21"/>
                <w:highlight w:val="none"/>
                <w:vertAlign w:val="superscript"/>
              </w:rPr>
              <w:t>3</w:t>
            </w:r>
          </w:p>
        </w:tc>
        <w:tc>
          <w:tcPr>
            <w:tcW w:w="1107" w:type="dxa"/>
            <w:noWrap w:val="0"/>
            <w:vAlign w:val="center"/>
          </w:tcPr>
          <w:p w14:paraId="50CA4376">
            <w:pPr>
              <w:jc w:val="center"/>
              <w:rPr>
                <w:sz w:val="21"/>
                <w:szCs w:val="21"/>
                <w:highlight w:val="none"/>
              </w:rPr>
            </w:pPr>
            <w:r>
              <w:rPr>
                <w:sz w:val="21"/>
                <w:szCs w:val="21"/>
                <w:highlight w:val="none"/>
              </w:rPr>
              <w:t>速率</w:t>
            </w:r>
          </w:p>
          <w:p w14:paraId="54C28012">
            <w:pPr>
              <w:pStyle w:val="6"/>
              <w:ind w:firstLine="0" w:firstLineChars="0"/>
              <w:jc w:val="center"/>
              <w:rPr>
                <w:rFonts w:ascii="Times New Roman"/>
                <w:sz w:val="21"/>
                <w:szCs w:val="21"/>
                <w:highlight w:val="none"/>
              </w:rPr>
            </w:pPr>
            <w:r>
              <w:rPr>
                <w:rFonts w:ascii="Times New Roman"/>
                <w:kern w:val="2"/>
                <w:sz w:val="21"/>
                <w:szCs w:val="21"/>
                <w:highlight w:val="none"/>
              </w:rPr>
              <w:t>kg/h</w:t>
            </w:r>
          </w:p>
        </w:tc>
        <w:tc>
          <w:tcPr>
            <w:tcW w:w="689" w:type="dxa"/>
            <w:vMerge w:val="continue"/>
            <w:noWrap w:val="0"/>
            <w:vAlign w:val="center"/>
          </w:tcPr>
          <w:p w14:paraId="0FBC7086">
            <w:pPr>
              <w:pStyle w:val="6"/>
              <w:ind w:firstLine="0" w:firstLineChars="0"/>
              <w:jc w:val="center"/>
              <w:rPr>
                <w:rFonts w:ascii="Times New Roman"/>
                <w:sz w:val="21"/>
                <w:szCs w:val="21"/>
                <w:highlight w:val="none"/>
              </w:rPr>
            </w:pPr>
          </w:p>
        </w:tc>
        <w:tc>
          <w:tcPr>
            <w:tcW w:w="3069" w:type="dxa"/>
            <w:vMerge w:val="continue"/>
            <w:noWrap w:val="0"/>
            <w:vAlign w:val="center"/>
          </w:tcPr>
          <w:p w14:paraId="4B0CC89F">
            <w:pPr>
              <w:pStyle w:val="6"/>
              <w:ind w:firstLine="0" w:firstLineChars="0"/>
              <w:jc w:val="center"/>
              <w:rPr>
                <w:rFonts w:ascii="Times New Roman"/>
                <w:sz w:val="21"/>
                <w:szCs w:val="21"/>
                <w:highlight w:val="none"/>
              </w:rPr>
            </w:pPr>
          </w:p>
        </w:tc>
      </w:tr>
      <w:tr w14:paraId="1052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noWrap w:val="0"/>
            <w:vAlign w:val="center"/>
          </w:tcPr>
          <w:p w14:paraId="44312467">
            <w:pPr>
              <w:widowControl/>
              <w:snapToGrid w:val="0"/>
              <w:jc w:val="center"/>
              <w:rPr>
                <w:sz w:val="21"/>
                <w:szCs w:val="21"/>
                <w:highlight w:val="none"/>
              </w:rPr>
            </w:pPr>
            <w:r>
              <w:rPr>
                <w:sz w:val="21"/>
                <w:szCs w:val="21"/>
                <w:highlight w:val="none"/>
              </w:rPr>
              <w:t>净化装置</w:t>
            </w:r>
          </w:p>
        </w:tc>
        <w:tc>
          <w:tcPr>
            <w:tcW w:w="898" w:type="dxa"/>
            <w:noWrap w:val="0"/>
            <w:vAlign w:val="center"/>
          </w:tcPr>
          <w:p w14:paraId="1EB8CE05">
            <w:pPr>
              <w:pStyle w:val="6"/>
              <w:ind w:firstLine="0" w:firstLineChars="0"/>
              <w:jc w:val="center"/>
              <w:rPr>
                <w:rFonts w:ascii="Times New Roman"/>
                <w:kern w:val="2"/>
                <w:sz w:val="21"/>
                <w:szCs w:val="21"/>
                <w:highlight w:val="none"/>
              </w:rPr>
            </w:pPr>
            <w:r>
              <w:rPr>
                <w:rFonts w:ascii="Times New Roman"/>
                <w:kern w:val="2"/>
                <w:sz w:val="21"/>
                <w:szCs w:val="21"/>
                <w:highlight w:val="none"/>
              </w:rPr>
              <w:t>硫回收单元</w:t>
            </w:r>
          </w:p>
        </w:tc>
        <w:tc>
          <w:tcPr>
            <w:tcW w:w="1202" w:type="dxa"/>
            <w:noWrap w:val="0"/>
            <w:vAlign w:val="center"/>
          </w:tcPr>
          <w:p w14:paraId="042441B2">
            <w:pPr>
              <w:pStyle w:val="6"/>
              <w:ind w:firstLine="0" w:firstLineChars="0"/>
              <w:jc w:val="center"/>
              <w:rPr>
                <w:rFonts w:ascii="Times New Roman"/>
                <w:kern w:val="2"/>
                <w:sz w:val="21"/>
                <w:szCs w:val="21"/>
                <w:highlight w:val="none"/>
              </w:rPr>
            </w:pPr>
            <w:r>
              <w:rPr>
                <w:rFonts w:ascii="Times New Roman"/>
                <w:kern w:val="2"/>
                <w:sz w:val="21"/>
                <w:szCs w:val="21"/>
                <w:highlight w:val="none"/>
              </w:rPr>
              <w:t>硫回收尾气</w:t>
            </w:r>
          </w:p>
        </w:tc>
        <w:tc>
          <w:tcPr>
            <w:tcW w:w="781" w:type="dxa"/>
            <w:noWrap w:val="0"/>
            <w:vAlign w:val="center"/>
          </w:tcPr>
          <w:p w14:paraId="7EA63200">
            <w:pPr>
              <w:jc w:val="center"/>
              <w:rPr>
                <w:sz w:val="21"/>
                <w:szCs w:val="21"/>
                <w:highlight w:val="none"/>
              </w:rPr>
            </w:pPr>
            <w:r>
              <w:rPr>
                <w:sz w:val="21"/>
                <w:szCs w:val="21"/>
                <w:highlight w:val="none"/>
                <w:lang w:val="pt-BR"/>
              </w:rPr>
              <w:t>H</w:t>
            </w:r>
            <w:r>
              <w:rPr>
                <w:sz w:val="21"/>
                <w:szCs w:val="21"/>
                <w:highlight w:val="none"/>
                <w:vertAlign w:val="subscript"/>
                <w:lang w:val="pt-BR"/>
              </w:rPr>
              <w:t>2</w:t>
            </w:r>
            <w:r>
              <w:rPr>
                <w:sz w:val="21"/>
                <w:szCs w:val="21"/>
                <w:highlight w:val="none"/>
                <w:lang w:val="pt-BR"/>
              </w:rPr>
              <w:t>S</w:t>
            </w:r>
          </w:p>
          <w:p w14:paraId="2E055CF4">
            <w:pPr>
              <w:jc w:val="center"/>
              <w:rPr>
                <w:sz w:val="21"/>
                <w:szCs w:val="21"/>
                <w:highlight w:val="none"/>
                <w:lang w:val="pt-BR"/>
              </w:rPr>
            </w:pPr>
            <w:r>
              <w:rPr>
                <w:sz w:val="21"/>
                <w:szCs w:val="21"/>
                <w:highlight w:val="none"/>
              </w:rPr>
              <w:t>NOx</w:t>
            </w:r>
          </w:p>
        </w:tc>
        <w:tc>
          <w:tcPr>
            <w:tcW w:w="1064" w:type="dxa"/>
            <w:noWrap w:val="0"/>
            <w:vAlign w:val="center"/>
          </w:tcPr>
          <w:p w14:paraId="5A8FFC91">
            <w:pPr>
              <w:pStyle w:val="6"/>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18586</w:t>
            </w:r>
          </w:p>
        </w:tc>
        <w:tc>
          <w:tcPr>
            <w:tcW w:w="695" w:type="dxa"/>
            <w:noWrap w:val="0"/>
            <w:vAlign w:val="center"/>
          </w:tcPr>
          <w:p w14:paraId="36928C9A">
            <w:pPr>
              <w:jc w:val="center"/>
              <w:rPr>
                <w:rFonts w:hint="default" w:eastAsia="宋体"/>
                <w:sz w:val="21"/>
                <w:szCs w:val="21"/>
                <w:highlight w:val="none"/>
                <w:lang w:val="en-US" w:eastAsia="zh-CN"/>
              </w:rPr>
            </w:pPr>
            <w:r>
              <w:rPr>
                <w:rFonts w:hint="eastAsia"/>
                <w:sz w:val="21"/>
                <w:szCs w:val="21"/>
                <w:highlight w:val="none"/>
                <w:lang w:val="en-US" w:eastAsia="zh-CN"/>
              </w:rPr>
              <w:t>0.542</w:t>
            </w:r>
          </w:p>
          <w:p w14:paraId="3083B683">
            <w:pPr>
              <w:jc w:val="center"/>
              <w:rPr>
                <w:rFonts w:hint="default" w:eastAsia="宋体"/>
                <w:sz w:val="21"/>
                <w:szCs w:val="21"/>
                <w:highlight w:val="none"/>
                <w:lang w:val="en-US" w:eastAsia="zh-CN"/>
              </w:rPr>
            </w:pPr>
            <w:r>
              <w:rPr>
                <w:rFonts w:hint="eastAsia"/>
                <w:sz w:val="21"/>
                <w:szCs w:val="21"/>
                <w:highlight w:val="none"/>
                <w:lang w:val="en-US" w:eastAsia="zh-CN"/>
              </w:rPr>
              <w:t>33</w:t>
            </w:r>
          </w:p>
        </w:tc>
        <w:tc>
          <w:tcPr>
            <w:tcW w:w="988" w:type="dxa"/>
            <w:noWrap w:val="0"/>
            <w:vAlign w:val="center"/>
          </w:tcPr>
          <w:p w14:paraId="24D19490">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1.0×10</w:t>
            </w:r>
            <w:r>
              <w:rPr>
                <w:rFonts w:hint="eastAsia" w:ascii="Times New Roman" w:hAnsi="Times New Roman" w:eastAsia="宋体" w:cs="Times New Roman"/>
                <w:sz w:val="21"/>
                <w:szCs w:val="21"/>
                <w:highlight w:val="none"/>
                <w:vertAlign w:val="superscript"/>
                <w:lang w:val="en-US" w:eastAsia="zh-CN"/>
              </w:rPr>
              <w:t>-2</w:t>
            </w:r>
          </w:p>
          <w:p w14:paraId="1F692B7C">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0.61</w:t>
            </w:r>
          </w:p>
        </w:tc>
        <w:tc>
          <w:tcPr>
            <w:tcW w:w="396" w:type="dxa"/>
            <w:noWrap w:val="0"/>
            <w:vAlign w:val="center"/>
          </w:tcPr>
          <w:p w14:paraId="723B00B3">
            <w:pPr>
              <w:pStyle w:val="6"/>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531" w:type="dxa"/>
            <w:noWrap w:val="0"/>
            <w:vAlign w:val="center"/>
          </w:tcPr>
          <w:p w14:paraId="25486E33">
            <w:pPr>
              <w:pStyle w:val="6"/>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80</w:t>
            </w:r>
          </w:p>
        </w:tc>
        <w:tc>
          <w:tcPr>
            <w:tcW w:w="717" w:type="dxa"/>
            <w:noWrap w:val="0"/>
            <w:vAlign w:val="center"/>
          </w:tcPr>
          <w:p w14:paraId="68ADC5F1">
            <w:pPr>
              <w:pStyle w:val="6"/>
              <w:ind w:firstLine="0" w:firstLineChars="0"/>
              <w:jc w:val="center"/>
              <w:rPr>
                <w:rFonts w:ascii="Times New Roman"/>
                <w:kern w:val="2"/>
                <w:sz w:val="21"/>
                <w:szCs w:val="21"/>
                <w:highlight w:val="none"/>
              </w:rPr>
            </w:pPr>
            <w:r>
              <w:rPr>
                <w:rFonts w:ascii="Times New Roman"/>
                <w:kern w:val="2"/>
                <w:sz w:val="21"/>
                <w:szCs w:val="21"/>
                <w:highlight w:val="none"/>
              </w:rPr>
              <w:t>1.2</w:t>
            </w:r>
          </w:p>
        </w:tc>
        <w:tc>
          <w:tcPr>
            <w:tcW w:w="696" w:type="dxa"/>
            <w:noWrap w:val="0"/>
            <w:vAlign w:val="center"/>
          </w:tcPr>
          <w:p w14:paraId="578B23D6">
            <w:pPr>
              <w:jc w:val="center"/>
              <w:rPr>
                <w:rFonts w:hint="eastAsia" w:eastAsia="宋体"/>
                <w:sz w:val="21"/>
                <w:szCs w:val="21"/>
                <w:highlight w:val="none"/>
                <w:lang w:eastAsia="zh-CN"/>
              </w:rPr>
            </w:pPr>
            <w:r>
              <w:rPr>
                <w:rFonts w:hint="eastAsia"/>
                <w:sz w:val="21"/>
                <w:szCs w:val="21"/>
                <w:highlight w:val="none"/>
                <w:lang w:val="en-US" w:eastAsia="zh-CN"/>
              </w:rPr>
              <w:t>/</w:t>
            </w:r>
          </w:p>
          <w:p w14:paraId="7F16AEA8">
            <w:pPr>
              <w:pStyle w:val="6"/>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420</w:t>
            </w:r>
          </w:p>
        </w:tc>
        <w:tc>
          <w:tcPr>
            <w:tcW w:w="1107" w:type="dxa"/>
            <w:noWrap w:val="0"/>
            <w:vAlign w:val="center"/>
          </w:tcPr>
          <w:p w14:paraId="16156723">
            <w:pPr>
              <w:jc w:val="center"/>
              <w:rPr>
                <w:rFonts w:hint="default" w:eastAsia="宋体"/>
                <w:sz w:val="21"/>
                <w:szCs w:val="21"/>
                <w:highlight w:val="none"/>
                <w:lang w:val="en-US" w:eastAsia="zh-CN"/>
              </w:rPr>
            </w:pPr>
            <w:r>
              <w:rPr>
                <w:rFonts w:hint="eastAsia"/>
                <w:sz w:val="21"/>
                <w:szCs w:val="21"/>
                <w:highlight w:val="none"/>
                <w:lang w:val="en-US" w:eastAsia="zh-CN"/>
              </w:rPr>
              <w:t>5.2</w:t>
            </w:r>
          </w:p>
          <w:p w14:paraId="2EBF3E4D">
            <w:pPr>
              <w:pStyle w:val="6"/>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27</w:t>
            </w:r>
          </w:p>
        </w:tc>
        <w:tc>
          <w:tcPr>
            <w:tcW w:w="689" w:type="dxa"/>
            <w:noWrap w:val="0"/>
            <w:vAlign w:val="center"/>
          </w:tcPr>
          <w:p w14:paraId="6145982B">
            <w:pPr>
              <w:pStyle w:val="6"/>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3069" w:type="dxa"/>
            <w:noWrap w:val="0"/>
            <w:vAlign w:val="center"/>
          </w:tcPr>
          <w:p w14:paraId="5B0AF89D">
            <w:pPr>
              <w:pStyle w:val="6"/>
              <w:ind w:firstLine="0" w:firstLineChars="0"/>
              <w:jc w:val="center"/>
              <w:rPr>
                <w:rFonts w:hint="eastAsia" w:ascii="Times New Roman" w:eastAsia="宋体"/>
                <w:kern w:val="2"/>
                <w:sz w:val="21"/>
                <w:szCs w:val="21"/>
                <w:highlight w:val="none"/>
                <w:lang w:eastAsia="zh-CN"/>
              </w:rPr>
            </w:pPr>
            <w:r>
              <w:rPr>
                <w:rFonts w:ascii="Times New Roman"/>
                <w:kern w:val="2"/>
                <w:sz w:val="21"/>
                <w:szCs w:val="21"/>
                <w:highlight w:val="none"/>
              </w:rPr>
              <w:t>《恶臭污染物综合排放标准》（GB14554-93）表2二级标准</w:t>
            </w:r>
            <w:r>
              <w:rPr>
                <w:rFonts w:hint="eastAsia" w:ascii="Times New Roman"/>
                <w:kern w:val="2"/>
                <w:sz w:val="21"/>
                <w:szCs w:val="21"/>
                <w:highlight w:val="none"/>
                <w:lang w:eastAsia="zh-CN"/>
              </w:rPr>
              <w:t>；</w:t>
            </w:r>
            <w:r>
              <w:rPr>
                <w:rFonts w:ascii="Times New Roman"/>
                <w:kern w:val="2"/>
                <w:sz w:val="21"/>
                <w:szCs w:val="21"/>
                <w:highlight w:val="none"/>
              </w:rPr>
              <w:t>《大气污染物综合排放标准》（GB16297-1996）表2二级标准</w:t>
            </w:r>
            <w:r>
              <w:rPr>
                <w:rFonts w:hint="eastAsia" w:ascii="Times New Roman"/>
                <w:kern w:val="2"/>
                <w:sz w:val="21"/>
                <w:szCs w:val="21"/>
                <w:highlight w:val="none"/>
                <w:lang w:eastAsia="zh-CN"/>
              </w:rPr>
              <w:t>。</w:t>
            </w:r>
          </w:p>
        </w:tc>
      </w:tr>
      <w:tr w14:paraId="0F15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restart"/>
            <w:noWrap w:val="0"/>
            <w:vAlign w:val="center"/>
          </w:tcPr>
          <w:p w14:paraId="49967E35">
            <w:pPr>
              <w:widowControl/>
              <w:snapToGrid w:val="0"/>
              <w:jc w:val="center"/>
              <w:rPr>
                <w:sz w:val="21"/>
                <w:szCs w:val="21"/>
                <w:highlight w:val="none"/>
              </w:rPr>
            </w:pPr>
            <w:r>
              <w:rPr>
                <w:sz w:val="21"/>
                <w:szCs w:val="21"/>
                <w:highlight w:val="none"/>
              </w:rPr>
              <w:t>化学品合成装置</w:t>
            </w:r>
          </w:p>
        </w:tc>
        <w:tc>
          <w:tcPr>
            <w:tcW w:w="898" w:type="dxa"/>
            <w:vMerge w:val="restart"/>
            <w:noWrap w:val="0"/>
            <w:vAlign w:val="center"/>
          </w:tcPr>
          <w:p w14:paraId="26F60CB7">
            <w:pPr>
              <w:pStyle w:val="6"/>
              <w:ind w:firstLine="0" w:firstLineChars="0"/>
              <w:jc w:val="center"/>
              <w:rPr>
                <w:rFonts w:ascii="Times New Roman"/>
                <w:kern w:val="2"/>
                <w:sz w:val="21"/>
                <w:szCs w:val="21"/>
                <w:highlight w:val="none"/>
              </w:rPr>
            </w:pPr>
            <w:r>
              <w:rPr>
                <w:rFonts w:ascii="Times New Roman"/>
                <w:kern w:val="2"/>
                <w:sz w:val="21"/>
                <w:szCs w:val="21"/>
                <w:highlight w:val="none"/>
              </w:rPr>
              <w:t>催化剂还原单元</w:t>
            </w:r>
          </w:p>
        </w:tc>
        <w:tc>
          <w:tcPr>
            <w:tcW w:w="1202" w:type="dxa"/>
            <w:noWrap w:val="0"/>
            <w:vAlign w:val="center"/>
          </w:tcPr>
          <w:p w14:paraId="48D9C49F">
            <w:pPr>
              <w:pStyle w:val="6"/>
              <w:ind w:firstLine="0" w:firstLineChars="0"/>
              <w:jc w:val="center"/>
              <w:rPr>
                <w:rFonts w:ascii="Times New Roman"/>
                <w:kern w:val="2"/>
                <w:sz w:val="21"/>
                <w:szCs w:val="21"/>
                <w:highlight w:val="none"/>
              </w:rPr>
            </w:pPr>
            <w:r>
              <w:rPr>
                <w:rFonts w:ascii="Times New Roman"/>
                <w:kern w:val="2"/>
                <w:sz w:val="21"/>
                <w:szCs w:val="21"/>
                <w:highlight w:val="none"/>
              </w:rPr>
              <w:t>催化剂输送罐废气</w:t>
            </w:r>
          </w:p>
        </w:tc>
        <w:tc>
          <w:tcPr>
            <w:tcW w:w="781" w:type="dxa"/>
            <w:noWrap w:val="0"/>
            <w:vAlign w:val="center"/>
          </w:tcPr>
          <w:p w14:paraId="7C80CA9D">
            <w:pPr>
              <w:jc w:val="center"/>
              <w:rPr>
                <w:sz w:val="21"/>
                <w:szCs w:val="21"/>
                <w:highlight w:val="none"/>
              </w:rPr>
            </w:pPr>
            <w:r>
              <w:rPr>
                <w:sz w:val="21"/>
                <w:szCs w:val="21"/>
                <w:highlight w:val="none"/>
              </w:rPr>
              <w:t>颗粒物</w:t>
            </w:r>
          </w:p>
        </w:tc>
        <w:tc>
          <w:tcPr>
            <w:tcW w:w="1064" w:type="dxa"/>
            <w:noWrap w:val="0"/>
            <w:vAlign w:val="center"/>
          </w:tcPr>
          <w:p w14:paraId="6B55E911">
            <w:pPr>
              <w:pStyle w:val="6"/>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974</w:t>
            </w:r>
          </w:p>
        </w:tc>
        <w:tc>
          <w:tcPr>
            <w:tcW w:w="695" w:type="dxa"/>
            <w:noWrap w:val="0"/>
            <w:vAlign w:val="center"/>
          </w:tcPr>
          <w:p w14:paraId="7B129841">
            <w:pPr>
              <w:jc w:val="center"/>
              <w:rPr>
                <w:rFonts w:hint="default" w:eastAsia="宋体"/>
                <w:sz w:val="21"/>
                <w:szCs w:val="21"/>
                <w:highlight w:val="none"/>
                <w:lang w:val="en-US" w:eastAsia="zh-CN"/>
              </w:rPr>
            </w:pPr>
            <w:r>
              <w:rPr>
                <w:rFonts w:hint="eastAsia"/>
                <w:sz w:val="21"/>
                <w:szCs w:val="21"/>
                <w:highlight w:val="none"/>
                <w:lang w:val="en-US" w:eastAsia="zh-CN"/>
              </w:rPr>
              <w:t>13</w:t>
            </w:r>
          </w:p>
        </w:tc>
        <w:tc>
          <w:tcPr>
            <w:tcW w:w="988" w:type="dxa"/>
            <w:noWrap w:val="0"/>
            <w:vAlign w:val="center"/>
          </w:tcPr>
          <w:p w14:paraId="29968FB6">
            <w:pPr>
              <w:pStyle w:val="6"/>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0.013</w:t>
            </w:r>
          </w:p>
        </w:tc>
        <w:tc>
          <w:tcPr>
            <w:tcW w:w="396" w:type="dxa"/>
            <w:noWrap w:val="0"/>
            <w:vAlign w:val="center"/>
          </w:tcPr>
          <w:p w14:paraId="654B6718">
            <w:pPr>
              <w:pStyle w:val="6"/>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531" w:type="dxa"/>
            <w:noWrap w:val="0"/>
            <w:vAlign w:val="center"/>
          </w:tcPr>
          <w:p w14:paraId="793B5978">
            <w:pPr>
              <w:pStyle w:val="6"/>
              <w:ind w:firstLine="0" w:firstLineChars="0"/>
              <w:jc w:val="center"/>
              <w:rPr>
                <w:rFonts w:ascii="Times New Roman"/>
                <w:kern w:val="2"/>
                <w:sz w:val="21"/>
                <w:szCs w:val="21"/>
                <w:highlight w:val="none"/>
              </w:rPr>
            </w:pPr>
            <w:r>
              <w:rPr>
                <w:rFonts w:ascii="Times New Roman"/>
                <w:kern w:val="2"/>
                <w:sz w:val="21"/>
                <w:szCs w:val="21"/>
                <w:highlight w:val="none"/>
              </w:rPr>
              <w:t>25</w:t>
            </w:r>
          </w:p>
        </w:tc>
        <w:tc>
          <w:tcPr>
            <w:tcW w:w="717" w:type="dxa"/>
            <w:noWrap w:val="0"/>
            <w:vAlign w:val="center"/>
          </w:tcPr>
          <w:p w14:paraId="57500687">
            <w:pPr>
              <w:pStyle w:val="6"/>
              <w:ind w:firstLine="0" w:firstLineChars="0"/>
              <w:jc w:val="center"/>
              <w:rPr>
                <w:rFonts w:ascii="Times New Roman"/>
                <w:kern w:val="2"/>
                <w:sz w:val="21"/>
                <w:szCs w:val="21"/>
                <w:highlight w:val="none"/>
              </w:rPr>
            </w:pPr>
            <w:r>
              <w:rPr>
                <w:rFonts w:ascii="Times New Roman"/>
                <w:kern w:val="2"/>
                <w:sz w:val="21"/>
                <w:szCs w:val="21"/>
                <w:highlight w:val="none"/>
              </w:rPr>
              <w:t>0.4</w:t>
            </w:r>
          </w:p>
        </w:tc>
        <w:tc>
          <w:tcPr>
            <w:tcW w:w="696" w:type="dxa"/>
            <w:noWrap w:val="0"/>
            <w:vAlign w:val="center"/>
          </w:tcPr>
          <w:p w14:paraId="2D4F27EF">
            <w:pPr>
              <w:jc w:val="center"/>
              <w:rPr>
                <w:sz w:val="21"/>
                <w:szCs w:val="21"/>
                <w:highlight w:val="none"/>
              </w:rPr>
            </w:pPr>
            <w:r>
              <w:rPr>
                <w:sz w:val="21"/>
                <w:szCs w:val="21"/>
                <w:highlight w:val="none"/>
              </w:rPr>
              <w:t>120</w:t>
            </w:r>
          </w:p>
        </w:tc>
        <w:tc>
          <w:tcPr>
            <w:tcW w:w="1107" w:type="dxa"/>
            <w:noWrap w:val="0"/>
            <w:vAlign w:val="center"/>
          </w:tcPr>
          <w:p w14:paraId="6697B940">
            <w:pPr>
              <w:jc w:val="center"/>
              <w:rPr>
                <w:sz w:val="21"/>
                <w:szCs w:val="21"/>
                <w:highlight w:val="none"/>
              </w:rPr>
            </w:pPr>
            <w:r>
              <w:rPr>
                <w:sz w:val="21"/>
                <w:szCs w:val="21"/>
                <w:highlight w:val="none"/>
              </w:rPr>
              <w:t>14</w:t>
            </w:r>
          </w:p>
        </w:tc>
        <w:tc>
          <w:tcPr>
            <w:tcW w:w="689" w:type="dxa"/>
            <w:noWrap w:val="0"/>
            <w:vAlign w:val="center"/>
          </w:tcPr>
          <w:p w14:paraId="133FAED2">
            <w:pPr>
              <w:pStyle w:val="6"/>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3069" w:type="dxa"/>
            <w:noWrap w:val="0"/>
            <w:vAlign w:val="center"/>
          </w:tcPr>
          <w:p w14:paraId="440887A9">
            <w:pPr>
              <w:pStyle w:val="6"/>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2C0D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70D3D8E1">
            <w:pPr>
              <w:widowControl/>
              <w:snapToGrid w:val="0"/>
              <w:jc w:val="center"/>
              <w:rPr>
                <w:sz w:val="21"/>
                <w:szCs w:val="21"/>
                <w:highlight w:val="none"/>
              </w:rPr>
            </w:pPr>
          </w:p>
        </w:tc>
        <w:tc>
          <w:tcPr>
            <w:tcW w:w="898" w:type="dxa"/>
            <w:vMerge w:val="continue"/>
            <w:noWrap w:val="0"/>
            <w:vAlign w:val="center"/>
          </w:tcPr>
          <w:p w14:paraId="147F7D5D">
            <w:pPr>
              <w:pStyle w:val="6"/>
              <w:ind w:firstLine="0" w:firstLineChars="0"/>
              <w:jc w:val="center"/>
              <w:rPr>
                <w:rFonts w:ascii="Times New Roman"/>
                <w:kern w:val="2"/>
                <w:sz w:val="21"/>
                <w:szCs w:val="21"/>
                <w:highlight w:val="none"/>
              </w:rPr>
            </w:pPr>
          </w:p>
        </w:tc>
        <w:tc>
          <w:tcPr>
            <w:tcW w:w="1202" w:type="dxa"/>
            <w:noWrap w:val="0"/>
            <w:vAlign w:val="center"/>
          </w:tcPr>
          <w:p w14:paraId="00D15BFC">
            <w:pPr>
              <w:pStyle w:val="6"/>
              <w:ind w:firstLine="0" w:firstLineChars="0"/>
              <w:jc w:val="center"/>
              <w:rPr>
                <w:rFonts w:ascii="Times New Roman"/>
                <w:kern w:val="2"/>
                <w:sz w:val="21"/>
                <w:szCs w:val="21"/>
                <w:highlight w:val="none"/>
              </w:rPr>
            </w:pPr>
            <w:r>
              <w:rPr>
                <w:rFonts w:ascii="Times New Roman"/>
                <w:kern w:val="2"/>
                <w:sz w:val="21"/>
                <w:szCs w:val="21"/>
                <w:highlight w:val="none"/>
              </w:rPr>
              <w:t>催化剂储仓废气</w:t>
            </w:r>
          </w:p>
        </w:tc>
        <w:tc>
          <w:tcPr>
            <w:tcW w:w="781" w:type="dxa"/>
            <w:noWrap w:val="0"/>
            <w:vAlign w:val="center"/>
          </w:tcPr>
          <w:p w14:paraId="6E04C8EB">
            <w:pPr>
              <w:jc w:val="center"/>
              <w:rPr>
                <w:sz w:val="21"/>
                <w:szCs w:val="21"/>
                <w:highlight w:val="none"/>
              </w:rPr>
            </w:pPr>
            <w:r>
              <w:rPr>
                <w:sz w:val="21"/>
                <w:szCs w:val="21"/>
                <w:highlight w:val="none"/>
              </w:rPr>
              <w:t>颗粒物</w:t>
            </w:r>
          </w:p>
        </w:tc>
        <w:tc>
          <w:tcPr>
            <w:tcW w:w="1064" w:type="dxa"/>
            <w:noWrap w:val="0"/>
            <w:vAlign w:val="center"/>
          </w:tcPr>
          <w:p w14:paraId="311467CC">
            <w:pPr>
              <w:pStyle w:val="6"/>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1030</w:t>
            </w:r>
          </w:p>
        </w:tc>
        <w:tc>
          <w:tcPr>
            <w:tcW w:w="695" w:type="dxa"/>
            <w:noWrap w:val="0"/>
            <w:vAlign w:val="center"/>
          </w:tcPr>
          <w:p w14:paraId="609D6D00">
            <w:pPr>
              <w:jc w:val="center"/>
              <w:rPr>
                <w:rFonts w:hint="default" w:eastAsia="宋体"/>
                <w:sz w:val="21"/>
                <w:szCs w:val="21"/>
                <w:highlight w:val="none"/>
                <w:lang w:val="en-US" w:eastAsia="zh-CN"/>
              </w:rPr>
            </w:pPr>
            <w:r>
              <w:rPr>
                <w:rFonts w:hint="eastAsia"/>
                <w:sz w:val="21"/>
                <w:szCs w:val="21"/>
                <w:highlight w:val="none"/>
                <w:lang w:val="en-US" w:eastAsia="zh-CN"/>
              </w:rPr>
              <w:t>14</w:t>
            </w:r>
          </w:p>
        </w:tc>
        <w:tc>
          <w:tcPr>
            <w:tcW w:w="988" w:type="dxa"/>
            <w:noWrap w:val="0"/>
            <w:vAlign w:val="center"/>
          </w:tcPr>
          <w:p w14:paraId="39452492">
            <w:pPr>
              <w:pStyle w:val="6"/>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0.014</w:t>
            </w:r>
          </w:p>
        </w:tc>
        <w:tc>
          <w:tcPr>
            <w:tcW w:w="396" w:type="dxa"/>
            <w:noWrap w:val="0"/>
            <w:vAlign w:val="center"/>
          </w:tcPr>
          <w:p w14:paraId="078C5674">
            <w:pPr>
              <w:pStyle w:val="6"/>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531" w:type="dxa"/>
            <w:noWrap w:val="0"/>
            <w:vAlign w:val="center"/>
          </w:tcPr>
          <w:p w14:paraId="58B0102A">
            <w:pPr>
              <w:pStyle w:val="6"/>
              <w:ind w:firstLine="0" w:firstLineChars="0"/>
              <w:jc w:val="center"/>
              <w:rPr>
                <w:rFonts w:ascii="Times New Roman"/>
                <w:kern w:val="2"/>
                <w:sz w:val="21"/>
                <w:szCs w:val="21"/>
                <w:highlight w:val="none"/>
              </w:rPr>
            </w:pPr>
            <w:r>
              <w:rPr>
                <w:rFonts w:ascii="Times New Roman"/>
                <w:kern w:val="2"/>
                <w:sz w:val="21"/>
                <w:szCs w:val="21"/>
                <w:highlight w:val="none"/>
              </w:rPr>
              <w:t>25</w:t>
            </w:r>
          </w:p>
        </w:tc>
        <w:tc>
          <w:tcPr>
            <w:tcW w:w="717" w:type="dxa"/>
            <w:noWrap w:val="0"/>
            <w:vAlign w:val="center"/>
          </w:tcPr>
          <w:p w14:paraId="08DF7214">
            <w:pPr>
              <w:pStyle w:val="6"/>
              <w:ind w:firstLine="0" w:firstLineChars="0"/>
              <w:jc w:val="center"/>
              <w:rPr>
                <w:rFonts w:ascii="Times New Roman"/>
                <w:kern w:val="2"/>
                <w:sz w:val="21"/>
                <w:szCs w:val="21"/>
                <w:highlight w:val="none"/>
              </w:rPr>
            </w:pPr>
            <w:r>
              <w:rPr>
                <w:rFonts w:ascii="Times New Roman"/>
                <w:kern w:val="2"/>
                <w:sz w:val="21"/>
                <w:szCs w:val="21"/>
                <w:highlight w:val="none"/>
              </w:rPr>
              <w:t>0.4</w:t>
            </w:r>
          </w:p>
        </w:tc>
        <w:tc>
          <w:tcPr>
            <w:tcW w:w="696" w:type="dxa"/>
            <w:noWrap w:val="0"/>
            <w:vAlign w:val="center"/>
          </w:tcPr>
          <w:p w14:paraId="45727486">
            <w:pPr>
              <w:jc w:val="center"/>
              <w:rPr>
                <w:sz w:val="21"/>
                <w:szCs w:val="21"/>
                <w:highlight w:val="none"/>
              </w:rPr>
            </w:pPr>
            <w:r>
              <w:rPr>
                <w:sz w:val="21"/>
                <w:szCs w:val="21"/>
                <w:highlight w:val="none"/>
              </w:rPr>
              <w:t>120</w:t>
            </w:r>
          </w:p>
        </w:tc>
        <w:tc>
          <w:tcPr>
            <w:tcW w:w="1107" w:type="dxa"/>
            <w:noWrap w:val="0"/>
            <w:vAlign w:val="center"/>
          </w:tcPr>
          <w:p w14:paraId="68DF4E8A">
            <w:pPr>
              <w:jc w:val="center"/>
              <w:rPr>
                <w:rFonts w:hint="default" w:eastAsia="宋体"/>
                <w:sz w:val="21"/>
                <w:szCs w:val="21"/>
                <w:highlight w:val="none"/>
                <w:lang w:val="en-US" w:eastAsia="zh-CN"/>
              </w:rPr>
            </w:pPr>
            <w:r>
              <w:rPr>
                <w:rFonts w:hint="eastAsia"/>
                <w:sz w:val="21"/>
                <w:szCs w:val="21"/>
                <w:highlight w:val="none"/>
                <w:lang w:val="en-US" w:eastAsia="zh-CN"/>
              </w:rPr>
              <w:t>14</w:t>
            </w:r>
          </w:p>
        </w:tc>
        <w:tc>
          <w:tcPr>
            <w:tcW w:w="689" w:type="dxa"/>
            <w:noWrap w:val="0"/>
            <w:vAlign w:val="center"/>
          </w:tcPr>
          <w:p w14:paraId="187CCDFE">
            <w:pPr>
              <w:pStyle w:val="6"/>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3069" w:type="dxa"/>
            <w:noWrap w:val="0"/>
            <w:vAlign w:val="center"/>
          </w:tcPr>
          <w:p w14:paraId="4C9A94BC">
            <w:pPr>
              <w:pStyle w:val="6"/>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4394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5AAB9F11">
            <w:pPr>
              <w:widowControl/>
              <w:snapToGrid w:val="0"/>
              <w:jc w:val="center"/>
              <w:rPr>
                <w:sz w:val="21"/>
                <w:szCs w:val="21"/>
                <w:highlight w:val="none"/>
              </w:rPr>
            </w:pPr>
          </w:p>
        </w:tc>
        <w:tc>
          <w:tcPr>
            <w:tcW w:w="898" w:type="dxa"/>
            <w:vMerge w:val="continue"/>
            <w:noWrap w:val="0"/>
            <w:vAlign w:val="center"/>
          </w:tcPr>
          <w:p w14:paraId="57DB45F1">
            <w:pPr>
              <w:pStyle w:val="6"/>
              <w:ind w:firstLine="0" w:firstLineChars="0"/>
              <w:jc w:val="center"/>
              <w:rPr>
                <w:rFonts w:ascii="Times New Roman"/>
                <w:kern w:val="2"/>
                <w:sz w:val="21"/>
                <w:szCs w:val="21"/>
                <w:highlight w:val="none"/>
              </w:rPr>
            </w:pPr>
          </w:p>
        </w:tc>
        <w:tc>
          <w:tcPr>
            <w:tcW w:w="1202" w:type="dxa"/>
            <w:noWrap w:val="0"/>
            <w:vAlign w:val="center"/>
          </w:tcPr>
          <w:p w14:paraId="1512BDB0">
            <w:pPr>
              <w:pStyle w:val="6"/>
              <w:ind w:firstLine="0" w:firstLineChars="0"/>
              <w:jc w:val="center"/>
              <w:rPr>
                <w:rFonts w:ascii="Times New Roman"/>
                <w:kern w:val="2"/>
                <w:sz w:val="21"/>
                <w:szCs w:val="21"/>
                <w:highlight w:val="none"/>
              </w:rPr>
            </w:pPr>
            <w:r>
              <w:rPr>
                <w:rFonts w:ascii="Times New Roman"/>
                <w:kern w:val="2"/>
                <w:sz w:val="21"/>
                <w:szCs w:val="21"/>
                <w:highlight w:val="none"/>
              </w:rPr>
              <w:t>催化剂给料罐废气</w:t>
            </w:r>
          </w:p>
        </w:tc>
        <w:tc>
          <w:tcPr>
            <w:tcW w:w="781" w:type="dxa"/>
            <w:noWrap w:val="0"/>
            <w:vAlign w:val="center"/>
          </w:tcPr>
          <w:p w14:paraId="05A0F558">
            <w:pPr>
              <w:jc w:val="center"/>
              <w:rPr>
                <w:sz w:val="21"/>
                <w:szCs w:val="21"/>
                <w:highlight w:val="none"/>
              </w:rPr>
            </w:pPr>
            <w:r>
              <w:rPr>
                <w:sz w:val="21"/>
                <w:szCs w:val="21"/>
                <w:highlight w:val="none"/>
              </w:rPr>
              <w:t>颗粒物</w:t>
            </w:r>
          </w:p>
        </w:tc>
        <w:tc>
          <w:tcPr>
            <w:tcW w:w="1064" w:type="dxa"/>
            <w:noWrap w:val="0"/>
            <w:vAlign w:val="center"/>
          </w:tcPr>
          <w:p w14:paraId="03790793">
            <w:pPr>
              <w:pStyle w:val="6"/>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974</w:t>
            </w:r>
          </w:p>
        </w:tc>
        <w:tc>
          <w:tcPr>
            <w:tcW w:w="695" w:type="dxa"/>
            <w:noWrap w:val="0"/>
            <w:vAlign w:val="center"/>
          </w:tcPr>
          <w:p w14:paraId="4FA2CF70">
            <w:pPr>
              <w:jc w:val="center"/>
              <w:rPr>
                <w:rFonts w:hint="default" w:eastAsia="宋体"/>
                <w:sz w:val="21"/>
                <w:szCs w:val="21"/>
                <w:highlight w:val="none"/>
                <w:lang w:val="en-US" w:eastAsia="zh-CN"/>
              </w:rPr>
            </w:pPr>
            <w:r>
              <w:rPr>
                <w:rFonts w:hint="eastAsia"/>
                <w:sz w:val="21"/>
                <w:szCs w:val="21"/>
                <w:highlight w:val="none"/>
                <w:lang w:val="en-US" w:eastAsia="zh-CN"/>
              </w:rPr>
              <w:t>13</w:t>
            </w:r>
          </w:p>
        </w:tc>
        <w:tc>
          <w:tcPr>
            <w:tcW w:w="988" w:type="dxa"/>
            <w:noWrap w:val="0"/>
            <w:vAlign w:val="center"/>
          </w:tcPr>
          <w:p w14:paraId="5F196C3A">
            <w:pPr>
              <w:pStyle w:val="6"/>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0.013</w:t>
            </w:r>
          </w:p>
        </w:tc>
        <w:tc>
          <w:tcPr>
            <w:tcW w:w="396" w:type="dxa"/>
            <w:noWrap w:val="0"/>
            <w:vAlign w:val="center"/>
          </w:tcPr>
          <w:p w14:paraId="3555C65B">
            <w:pPr>
              <w:pStyle w:val="6"/>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531" w:type="dxa"/>
            <w:noWrap w:val="0"/>
            <w:vAlign w:val="center"/>
          </w:tcPr>
          <w:p w14:paraId="62794FEC">
            <w:pPr>
              <w:pStyle w:val="6"/>
              <w:ind w:firstLine="0" w:firstLineChars="0"/>
              <w:jc w:val="center"/>
              <w:rPr>
                <w:rFonts w:ascii="Times New Roman"/>
                <w:kern w:val="2"/>
                <w:sz w:val="21"/>
                <w:szCs w:val="21"/>
                <w:highlight w:val="none"/>
              </w:rPr>
            </w:pPr>
            <w:r>
              <w:rPr>
                <w:rFonts w:ascii="Times New Roman"/>
                <w:kern w:val="2"/>
                <w:sz w:val="21"/>
                <w:szCs w:val="21"/>
                <w:highlight w:val="none"/>
              </w:rPr>
              <w:t>25</w:t>
            </w:r>
          </w:p>
        </w:tc>
        <w:tc>
          <w:tcPr>
            <w:tcW w:w="717" w:type="dxa"/>
            <w:noWrap w:val="0"/>
            <w:vAlign w:val="center"/>
          </w:tcPr>
          <w:p w14:paraId="2607E59B">
            <w:pPr>
              <w:pStyle w:val="6"/>
              <w:ind w:firstLine="0" w:firstLineChars="0"/>
              <w:jc w:val="center"/>
              <w:rPr>
                <w:rFonts w:ascii="Times New Roman"/>
                <w:kern w:val="2"/>
                <w:sz w:val="21"/>
                <w:szCs w:val="21"/>
                <w:highlight w:val="none"/>
              </w:rPr>
            </w:pPr>
            <w:r>
              <w:rPr>
                <w:rFonts w:ascii="Times New Roman"/>
                <w:kern w:val="2"/>
                <w:sz w:val="21"/>
                <w:szCs w:val="21"/>
                <w:highlight w:val="none"/>
              </w:rPr>
              <w:t>0.4</w:t>
            </w:r>
          </w:p>
        </w:tc>
        <w:tc>
          <w:tcPr>
            <w:tcW w:w="696" w:type="dxa"/>
            <w:noWrap w:val="0"/>
            <w:vAlign w:val="center"/>
          </w:tcPr>
          <w:p w14:paraId="1C0E1ADC">
            <w:pPr>
              <w:jc w:val="center"/>
              <w:rPr>
                <w:sz w:val="21"/>
                <w:szCs w:val="21"/>
                <w:highlight w:val="none"/>
              </w:rPr>
            </w:pPr>
            <w:r>
              <w:rPr>
                <w:sz w:val="21"/>
                <w:szCs w:val="21"/>
                <w:highlight w:val="none"/>
              </w:rPr>
              <w:t>120</w:t>
            </w:r>
          </w:p>
        </w:tc>
        <w:tc>
          <w:tcPr>
            <w:tcW w:w="1107" w:type="dxa"/>
            <w:noWrap w:val="0"/>
            <w:vAlign w:val="center"/>
          </w:tcPr>
          <w:p w14:paraId="136A2FDD">
            <w:pPr>
              <w:jc w:val="center"/>
              <w:rPr>
                <w:rFonts w:hint="default" w:eastAsia="宋体"/>
                <w:sz w:val="21"/>
                <w:szCs w:val="21"/>
                <w:highlight w:val="none"/>
                <w:lang w:val="en-US" w:eastAsia="zh-CN"/>
              </w:rPr>
            </w:pPr>
            <w:r>
              <w:rPr>
                <w:rFonts w:hint="eastAsia"/>
                <w:sz w:val="21"/>
                <w:szCs w:val="21"/>
                <w:highlight w:val="none"/>
                <w:lang w:val="en-US" w:eastAsia="zh-CN"/>
              </w:rPr>
              <w:t>14</w:t>
            </w:r>
          </w:p>
        </w:tc>
        <w:tc>
          <w:tcPr>
            <w:tcW w:w="689" w:type="dxa"/>
            <w:noWrap w:val="0"/>
            <w:vAlign w:val="center"/>
          </w:tcPr>
          <w:p w14:paraId="3793F363">
            <w:pPr>
              <w:pStyle w:val="6"/>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3069" w:type="dxa"/>
            <w:noWrap w:val="0"/>
            <w:vAlign w:val="center"/>
          </w:tcPr>
          <w:p w14:paraId="750DA5FC">
            <w:pPr>
              <w:pStyle w:val="6"/>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3D43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5A74A8B4">
            <w:pPr>
              <w:widowControl/>
              <w:snapToGrid w:val="0"/>
              <w:jc w:val="center"/>
              <w:rPr>
                <w:sz w:val="21"/>
                <w:szCs w:val="21"/>
                <w:highlight w:val="none"/>
              </w:rPr>
            </w:pPr>
          </w:p>
        </w:tc>
        <w:tc>
          <w:tcPr>
            <w:tcW w:w="898" w:type="dxa"/>
            <w:vMerge w:val="restart"/>
            <w:noWrap w:val="0"/>
            <w:vAlign w:val="center"/>
          </w:tcPr>
          <w:p w14:paraId="2A916176">
            <w:pPr>
              <w:pStyle w:val="6"/>
              <w:ind w:firstLine="0" w:firstLineChars="0"/>
              <w:jc w:val="center"/>
              <w:rPr>
                <w:rFonts w:ascii="Times New Roman"/>
                <w:kern w:val="2"/>
                <w:sz w:val="21"/>
                <w:szCs w:val="21"/>
                <w:highlight w:val="none"/>
              </w:rPr>
            </w:pPr>
            <w:r>
              <w:rPr>
                <w:rFonts w:ascii="Times New Roman"/>
                <w:kern w:val="2"/>
                <w:sz w:val="21"/>
                <w:szCs w:val="21"/>
                <w:highlight w:val="none"/>
              </w:rPr>
              <w:t>蜡过滤单元</w:t>
            </w:r>
          </w:p>
        </w:tc>
        <w:tc>
          <w:tcPr>
            <w:tcW w:w="1202" w:type="dxa"/>
            <w:noWrap w:val="0"/>
            <w:vAlign w:val="center"/>
          </w:tcPr>
          <w:p w14:paraId="39C721A2">
            <w:pPr>
              <w:pStyle w:val="6"/>
              <w:ind w:firstLine="0" w:firstLineChars="0"/>
              <w:jc w:val="center"/>
              <w:rPr>
                <w:rFonts w:ascii="Times New Roman"/>
                <w:kern w:val="2"/>
                <w:sz w:val="21"/>
                <w:szCs w:val="21"/>
                <w:highlight w:val="none"/>
              </w:rPr>
            </w:pPr>
            <w:r>
              <w:rPr>
                <w:rFonts w:ascii="Times New Roman"/>
                <w:kern w:val="2"/>
                <w:sz w:val="21"/>
                <w:szCs w:val="21"/>
                <w:highlight w:val="none"/>
              </w:rPr>
              <w:t>助剂拆袋系统废气</w:t>
            </w:r>
          </w:p>
        </w:tc>
        <w:tc>
          <w:tcPr>
            <w:tcW w:w="781" w:type="dxa"/>
            <w:noWrap w:val="0"/>
            <w:vAlign w:val="center"/>
          </w:tcPr>
          <w:p w14:paraId="325BB129">
            <w:pPr>
              <w:jc w:val="center"/>
              <w:rPr>
                <w:sz w:val="21"/>
                <w:szCs w:val="21"/>
                <w:highlight w:val="none"/>
              </w:rPr>
            </w:pPr>
            <w:r>
              <w:rPr>
                <w:sz w:val="21"/>
                <w:szCs w:val="21"/>
                <w:highlight w:val="none"/>
              </w:rPr>
              <w:t>颗粒物</w:t>
            </w:r>
          </w:p>
        </w:tc>
        <w:tc>
          <w:tcPr>
            <w:tcW w:w="1064" w:type="dxa"/>
            <w:noWrap w:val="0"/>
            <w:vAlign w:val="center"/>
          </w:tcPr>
          <w:p w14:paraId="1D771CE1">
            <w:pPr>
              <w:pStyle w:val="6"/>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224</w:t>
            </w:r>
          </w:p>
        </w:tc>
        <w:tc>
          <w:tcPr>
            <w:tcW w:w="695" w:type="dxa"/>
            <w:noWrap w:val="0"/>
            <w:vAlign w:val="center"/>
          </w:tcPr>
          <w:p w14:paraId="32009507">
            <w:pPr>
              <w:jc w:val="center"/>
              <w:rPr>
                <w:rFonts w:hint="default" w:eastAsia="宋体"/>
                <w:sz w:val="21"/>
                <w:szCs w:val="21"/>
                <w:highlight w:val="none"/>
                <w:lang w:val="en-US" w:eastAsia="zh-CN"/>
              </w:rPr>
            </w:pPr>
            <w:r>
              <w:rPr>
                <w:rFonts w:hint="eastAsia"/>
                <w:sz w:val="21"/>
                <w:szCs w:val="21"/>
                <w:highlight w:val="none"/>
                <w:lang w:val="en-US" w:eastAsia="zh-CN"/>
              </w:rPr>
              <w:t>78</w:t>
            </w:r>
          </w:p>
        </w:tc>
        <w:tc>
          <w:tcPr>
            <w:tcW w:w="988" w:type="dxa"/>
            <w:noWrap w:val="0"/>
            <w:vAlign w:val="center"/>
          </w:tcPr>
          <w:p w14:paraId="742F366F">
            <w:pPr>
              <w:pStyle w:val="6"/>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0.017</w:t>
            </w:r>
          </w:p>
        </w:tc>
        <w:tc>
          <w:tcPr>
            <w:tcW w:w="396" w:type="dxa"/>
            <w:noWrap w:val="0"/>
            <w:vAlign w:val="center"/>
          </w:tcPr>
          <w:p w14:paraId="31FD46B6">
            <w:pPr>
              <w:pStyle w:val="6"/>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531" w:type="dxa"/>
            <w:noWrap w:val="0"/>
            <w:vAlign w:val="center"/>
          </w:tcPr>
          <w:p w14:paraId="46D3F671">
            <w:pPr>
              <w:pStyle w:val="6"/>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23</w:t>
            </w:r>
          </w:p>
        </w:tc>
        <w:tc>
          <w:tcPr>
            <w:tcW w:w="717" w:type="dxa"/>
            <w:noWrap w:val="0"/>
            <w:vAlign w:val="center"/>
          </w:tcPr>
          <w:p w14:paraId="6E687489">
            <w:pPr>
              <w:pStyle w:val="6"/>
              <w:ind w:firstLine="0" w:firstLineChars="0"/>
              <w:jc w:val="center"/>
              <w:rPr>
                <w:rFonts w:ascii="Times New Roman"/>
                <w:kern w:val="2"/>
                <w:sz w:val="21"/>
                <w:szCs w:val="21"/>
                <w:highlight w:val="none"/>
              </w:rPr>
            </w:pPr>
            <w:r>
              <w:rPr>
                <w:rFonts w:ascii="Times New Roman"/>
                <w:kern w:val="2"/>
                <w:sz w:val="21"/>
                <w:szCs w:val="21"/>
                <w:highlight w:val="none"/>
              </w:rPr>
              <w:t>0.35</w:t>
            </w:r>
          </w:p>
        </w:tc>
        <w:tc>
          <w:tcPr>
            <w:tcW w:w="696" w:type="dxa"/>
            <w:noWrap w:val="0"/>
            <w:vAlign w:val="center"/>
          </w:tcPr>
          <w:p w14:paraId="4040ADDA">
            <w:pPr>
              <w:jc w:val="center"/>
              <w:rPr>
                <w:sz w:val="21"/>
                <w:szCs w:val="21"/>
                <w:highlight w:val="none"/>
              </w:rPr>
            </w:pPr>
            <w:r>
              <w:rPr>
                <w:sz w:val="21"/>
                <w:szCs w:val="21"/>
                <w:highlight w:val="none"/>
              </w:rPr>
              <w:t>120</w:t>
            </w:r>
          </w:p>
        </w:tc>
        <w:tc>
          <w:tcPr>
            <w:tcW w:w="1107" w:type="dxa"/>
            <w:noWrap w:val="0"/>
            <w:vAlign w:val="center"/>
          </w:tcPr>
          <w:p w14:paraId="278F757F">
            <w:pPr>
              <w:jc w:val="center"/>
              <w:rPr>
                <w:rFonts w:hint="default" w:eastAsia="宋体"/>
                <w:sz w:val="21"/>
                <w:szCs w:val="21"/>
                <w:highlight w:val="none"/>
                <w:lang w:val="en-US" w:eastAsia="zh-CN"/>
              </w:rPr>
            </w:pPr>
            <w:r>
              <w:rPr>
                <w:rFonts w:hint="eastAsia"/>
                <w:sz w:val="21"/>
                <w:szCs w:val="21"/>
                <w:highlight w:val="none"/>
                <w:lang w:val="en-US" w:eastAsia="zh-CN"/>
              </w:rPr>
              <w:t>11</w:t>
            </w:r>
          </w:p>
        </w:tc>
        <w:tc>
          <w:tcPr>
            <w:tcW w:w="689" w:type="dxa"/>
            <w:noWrap w:val="0"/>
            <w:vAlign w:val="center"/>
          </w:tcPr>
          <w:p w14:paraId="4662C918">
            <w:pPr>
              <w:pStyle w:val="6"/>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3069" w:type="dxa"/>
            <w:noWrap w:val="0"/>
            <w:vAlign w:val="center"/>
          </w:tcPr>
          <w:p w14:paraId="6A8EFD0A">
            <w:pPr>
              <w:pStyle w:val="6"/>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06BE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7429046A">
            <w:pPr>
              <w:widowControl/>
              <w:snapToGrid w:val="0"/>
              <w:jc w:val="center"/>
              <w:rPr>
                <w:sz w:val="21"/>
                <w:szCs w:val="21"/>
                <w:highlight w:val="none"/>
              </w:rPr>
            </w:pPr>
          </w:p>
        </w:tc>
        <w:tc>
          <w:tcPr>
            <w:tcW w:w="898" w:type="dxa"/>
            <w:vMerge w:val="continue"/>
            <w:noWrap w:val="0"/>
            <w:vAlign w:val="center"/>
          </w:tcPr>
          <w:p w14:paraId="4800EAFB">
            <w:pPr>
              <w:pStyle w:val="6"/>
              <w:ind w:firstLine="0" w:firstLineChars="0"/>
              <w:jc w:val="center"/>
              <w:rPr>
                <w:rFonts w:ascii="Times New Roman"/>
                <w:kern w:val="2"/>
                <w:sz w:val="21"/>
                <w:szCs w:val="21"/>
                <w:highlight w:val="none"/>
              </w:rPr>
            </w:pPr>
          </w:p>
        </w:tc>
        <w:tc>
          <w:tcPr>
            <w:tcW w:w="1202" w:type="dxa"/>
            <w:noWrap w:val="0"/>
            <w:vAlign w:val="center"/>
          </w:tcPr>
          <w:p w14:paraId="3B91DC12">
            <w:pPr>
              <w:pStyle w:val="6"/>
              <w:ind w:firstLine="0" w:firstLineChars="0"/>
              <w:jc w:val="center"/>
              <w:rPr>
                <w:rFonts w:ascii="Times New Roman"/>
                <w:kern w:val="2"/>
                <w:sz w:val="21"/>
                <w:szCs w:val="21"/>
                <w:highlight w:val="none"/>
              </w:rPr>
            </w:pPr>
            <w:r>
              <w:rPr>
                <w:rFonts w:ascii="Times New Roman"/>
                <w:kern w:val="2"/>
                <w:sz w:val="21"/>
                <w:szCs w:val="21"/>
                <w:highlight w:val="none"/>
              </w:rPr>
              <w:t>硅藻土储仓</w:t>
            </w:r>
          </w:p>
        </w:tc>
        <w:tc>
          <w:tcPr>
            <w:tcW w:w="781" w:type="dxa"/>
            <w:noWrap w:val="0"/>
            <w:vAlign w:val="center"/>
          </w:tcPr>
          <w:p w14:paraId="3CADF4B5">
            <w:pPr>
              <w:jc w:val="center"/>
              <w:rPr>
                <w:sz w:val="21"/>
                <w:szCs w:val="21"/>
                <w:highlight w:val="none"/>
              </w:rPr>
            </w:pPr>
            <w:r>
              <w:rPr>
                <w:sz w:val="21"/>
                <w:szCs w:val="21"/>
                <w:highlight w:val="none"/>
              </w:rPr>
              <w:t>颗粒物</w:t>
            </w:r>
          </w:p>
        </w:tc>
        <w:tc>
          <w:tcPr>
            <w:tcW w:w="1064" w:type="dxa"/>
            <w:noWrap w:val="0"/>
            <w:vAlign w:val="center"/>
          </w:tcPr>
          <w:p w14:paraId="3AB2CA8B">
            <w:pPr>
              <w:pStyle w:val="6"/>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215</w:t>
            </w:r>
          </w:p>
        </w:tc>
        <w:tc>
          <w:tcPr>
            <w:tcW w:w="695" w:type="dxa"/>
            <w:noWrap w:val="0"/>
            <w:vAlign w:val="center"/>
          </w:tcPr>
          <w:p w14:paraId="7D5093F1">
            <w:pPr>
              <w:jc w:val="center"/>
              <w:rPr>
                <w:rFonts w:hint="default" w:eastAsia="宋体"/>
                <w:sz w:val="21"/>
                <w:szCs w:val="21"/>
                <w:highlight w:val="none"/>
                <w:lang w:val="en-US" w:eastAsia="zh-CN"/>
              </w:rPr>
            </w:pPr>
            <w:r>
              <w:rPr>
                <w:rFonts w:hint="eastAsia"/>
                <w:sz w:val="21"/>
                <w:szCs w:val="21"/>
                <w:highlight w:val="none"/>
                <w:lang w:val="en-US" w:eastAsia="zh-CN"/>
              </w:rPr>
              <w:t>39</w:t>
            </w:r>
          </w:p>
        </w:tc>
        <w:tc>
          <w:tcPr>
            <w:tcW w:w="988" w:type="dxa"/>
            <w:noWrap w:val="0"/>
            <w:vAlign w:val="center"/>
          </w:tcPr>
          <w:p w14:paraId="3E4CC872">
            <w:pPr>
              <w:pStyle w:val="6"/>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8.3×10</w:t>
            </w:r>
            <w:r>
              <w:rPr>
                <w:rFonts w:hint="eastAsia" w:ascii="Times New Roman"/>
                <w:sz w:val="21"/>
                <w:szCs w:val="21"/>
                <w:highlight w:val="none"/>
                <w:vertAlign w:val="superscript"/>
                <w:lang w:val="en-US" w:eastAsia="zh-CN"/>
              </w:rPr>
              <w:t>-3</w:t>
            </w:r>
          </w:p>
        </w:tc>
        <w:tc>
          <w:tcPr>
            <w:tcW w:w="396" w:type="dxa"/>
            <w:noWrap w:val="0"/>
            <w:vAlign w:val="center"/>
          </w:tcPr>
          <w:p w14:paraId="41C85F23">
            <w:pPr>
              <w:pStyle w:val="6"/>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531" w:type="dxa"/>
            <w:noWrap w:val="0"/>
            <w:vAlign w:val="center"/>
          </w:tcPr>
          <w:p w14:paraId="2B909698">
            <w:pPr>
              <w:pStyle w:val="6"/>
              <w:ind w:firstLine="0" w:firstLineChars="0"/>
              <w:jc w:val="center"/>
              <w:rPr>
                <w:rFonts w:ascii="Times New Roman"/>
                <w:kern w:val="2"/>
                <w:sz w:val="21"/>
                <w:szCs w:val="21"/>
                <w:highlight w:val="none"/>
              </w:rPr>
            </w:pPr>
            <w:r>
              <w:rPr>
                <w:rFonts w:ascii="Times New Roman"/>
                <w:kern w:val="2"/>
                <w:sz w:val="21"/>
                <w:szCs w:val="21"/>
                <w:highlight w:val="none"/>
              </w:rPr>
              <w:t>23</w:t>
            </w:r>
          </w:p>
        </w:tc>
        <w:tc>
          <w:tcPr>
            <w:tcW w:w="717" w:type="dxa"/>
            <w:noWrap w:val="0"/>
            <w:vAlign w:val="center"/>
          </w:tcPr>
          <w:p w14:paraId="45EFBD5C">
            <w:pPr>
              <w:pStyle w:val="6"/>
              <w:ind w:firstLine="0" w:firstLineChars="0"/>
              <w:jc w:val="center"/>
              <w:rPr>
                <w:rFonts w:ascii="Times New Roman"/>
                <w:kern w:val="2"/>
                <w:sz w:val="21"/>
                <w:szCs w:val="21"/>
                <w:highlight w:val="none"/>
              </w:rPr>
            </w:pPr>
            <w:r>
              <w:rPr>
                <w:rFonts w:ascii="Times New Roman"/>
                <w:kern w:val="2"/>
                <w:sz w:val="21"/>
                <w:szCs w:val="21"/>
                <w:highlight w:val="none"/>
              </w:rPr>
              <w:t>0.2</w:t>
            </w:r>
          </w:p>
        </w:tc>
        <w:tc>
          <w:tcPr>
            <w:tcW w:w="696" w:type="dxa"/>
            <w:noWrap w:val="0"/>
            <w:vAlign w:val="center"/>
          </w:tcPr>
          <w:p w14:paraId="71F8DB10">
            <w:pPr>
              <w:jc w:val="center"/>
              <w:rPr>
                <w:sz w:val="21"/>
                <w:szCs w:val="21"/>
                <w:highlight w:val="none"/>
              </w:rPr>
            </w:pPr>
            <w:r>
              <w:rPr>
                <w:sz w:val="21"/>
                <w:szCs w:val="21"/>
                <w:highlight w:val="none"/>
              </w:rPr>
              <w:t>120</w:t>
            </w:r>
          </w:p>
        </w:tc>
        <w:tc>
          <w:tcPr>
            <w:tcW w:w="1107" w:type="dxa"/>
            <w:noWrap w:val="0"/>
            <w:vAlign w:val="center"/>
          </w:tcPr>
          <w:p w14:paraId="3D17AFB3">
            <w:pPr>
              <w:jc w:val="center"/>
              <w:rPr>
                <w:sz w:val="21"/>
                <w:szCs w:val="21"/>
                <w:highlight w:val="none"/>
              </w:rPr>
            </w:pPr>
            <w:r>
              <w:rPr>
                <w:sz w:val="21"/>
                <w:szCs w:val="21"/>
                <w:highlight w:val="none"/>
              </w:rPr>
              <w:t>11</w:t>
            </w:r>
          </w:p>
        </w:tc>
        <w:tc>
          <w:tcPr>
            <w:tcW w:w="689" w:type="dxa"/>
            <w:noWrap w:val="0"/>
            <w:vAlign w:val="center"/>
          </w:tcPr>
          <w:p w14:paraId="363AB517">
            <w:pPr>
              <w:pStyle w:val="6"/>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3069" w:type="dxa"/>
            <w:noWrap w:val="0"/>
            <w:vAlign w:val="center"/>
          </w:tcPr>
          <w:p w14:paraId="2FDDA239">
            <w:pPr>
              <w:pStyle w:val="6"/>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5FBE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38A3A93E">
            <w:pPr>
              <w:widowControl/>
              <w:snapToGrid w:val="0"/>
              <w:jc w:val="center"/>
              <w:rPr>
                <w:sz w:val="21"/>
                <w:szCs w:val="21"/>
                <w:highlight w:val="none"/>
              </w:rPr>
            </w:pPr>
          </w:p>
        </w:tc>
        <w:tc>
          <w:tcPr>
            <w:tcW w:w="898" w:type="dxa"/>
            <w:vMerge w:val="continue"/>
            <w:noWrap w:val="0"/>
            <w:vAlign w:val="center"/>
          </w:tcPr>
          <w:p w14:paraId="179FE4FA">
            <w:pPr>
              <w:pStyle w:val="6"/>
              <w:ind w:firstLine="0" w:firstLineChars="0"/>
              <w:jc w:val="center"/>
              <w:rPr>
                <w:rFonts w:ascii="Times New Roman"/>
                <w:kern w:val="2"/>
                <w:sz w:val="21"/>
                <w:szCs w:val="21"/>
                <w:highlight w:val="none"/>
              </w:rPr>
            </w:pPr>
          </w:p>
        </w:tc>
        <w:tc>
          <w:tcPr>
            <w:tcW w:w="1202" w:type="dxa"/>
            <w:noWrap w:val="0"/>
            <w:vAlign w:val="center"/>
          </w:tcPr>
          <w:p w14:paraId="36B5F587">
            <w:pPr>
              <w:pStyle w:val="6"/>
              <w:ind w:firstLine="0" w:firstLineChars="0"/>
              <w:jc w:val="center"/>
              <w:rPr>
                <w:rFonts w:ascii="Times New Roman"/>
                <w:kern w:val="2"/>
                <w:sz w:val="21"/>
                <w:szCs w:val="21"/>
                <w:highlight w:val="none"/>
              </w:rPr>
            </w:pPr>
            <w:r>
              <w:rPr>
                <w:rFonts w:ascii="Times New Roman"/>
                <w:kern w:val="2"/>
                <w:sz w:val="21"/>
                <w:szCs w:val="21"/>
                <w:highlight w:val="none"/>
              </w:rPr>
              <w:t>白土储仓</w:t>
            </w:r>
          </w:p>
        </w:tc>
        <w:tc>
          <w:tcPr>
            <w:tcW w:w="781" w:type="dxa"/>
            <w:noWrap w:val="0"/>
            <w:vAlign w:val="center"/>
          </w:tcPr>
          <w:p w14:paraId="129EC65C">
            <w:pPr>
              <w:jc w:val="center"/>
              <w:rPr>
                <w:sz w:val="21"/>
                <w:szCs w:val="21"/>
                <w:highlight w:val="none"/>
              </w:rPr>
            </w:pPr>
            <w:r>
              <w:rPr>
                <w:sz w:val="21"/>
                <w:szCs w:val="21"/>
                <w:highlight w:val="none"/>
              </w:rPr>
              <w:t>颗粒物</w:t>
            </w:r>
          </w:p>
        </w:tc>
        <w:tc>
          <w:tcPr>
            <w:tcW w:w="1064" w:type="dxa"/>
            <w:noWrap w:val="0"/>
            <w:vAlign w:val="center"/>
          </w:tcPr>
          <w:p w14:paraId="28641322">
            <w:pPr>
              <w:pStyle w:val="6"/>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219</w:t>
            </w:r>
          </w:p>
        </w:tc>
        <w:tc>
          <w:tcPr>
            <w:tcW w:w="695" w:type="dxa"/>
            <w:noWrap w:val="0"/>
            <w:vAlign w:val="center"/>
          </w:tcPr>
          <w:p w14:paraId="3171A537">
            <w:pPr>
              <w:jc w:val="center"/>
              <w:rPr>
                <w:rFonts w:hint="default" w:eastAsia="宋体"/>
                <w:sz w:val="21"/>
                <w:szCs w:val="21"/>
                <w:highlight w:val="none"/>
                <w:lang w:val="en-US" w:eastAsia="zh-CN"/>
              </w:rPr>
            </w:pPr>
            <w:r>
              <w:rPr>
                <w:rFonts w:hint="eastAsia"/>
                <w:sz w:val="21"/>
                <w:szCs w:val="21"/>
                <w:highlight w:val="none"/>
                <w:lang w:val="en-US" w:eastAsia="zh-CN"/>
              </w:rPr>
              <w:t>32</w:t>
            </w:r>
          </w:p>
        </w:tc>
        <w:tc>
          <w:tcPr>
            <w:tcW w:w="988" w:type="dxa"/>
            <w:noWrap w:val="0"/>
            <w:vAlign w:val="center"/>
          </w:tcPr>
          <w:p w14:paraId="0F47E765">
            <w:pPr>
              <w:pStyle w:val="6"/>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7.1×10</w:t>
            </w:r>
            <w:r>
              <w:rPr>
                <w:rFonts w:hint="eastAsia" w:ascii="Times New Roman"/>
                <w:sz w:val="21"/>
                <w:szCs w:val="21"/>
                <w:highlight w:val="none"/>
                <w:vertAlign w:val="superscript"/>
                <w:lang w:val="en-US" w:eastAsia="zh-CN"/>
              </w:rPr>
              <w:t>-3</w:t>
            </w:r>
          </w:p>
        </w:tc>
        <w:tc>
          <w:tcPr>
            <w:tcW w:w="396" w:type="dxa"/>
            <w:noWrap w:val="0"/>
            <w:vAlign w:val="center"/>
          </w:tcPr>
          <w:p w14:paraId="7ECF29B7">
            <w:pPr>
              <w:pStyle w:val="6"/>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531" w:type="dxa"/>
            <w:noWrap w:val="0"/>
            <w:vAlign w:val="center"/>
          </w:tcPr>
          <w:p w14:paraId="28210545">
            <w:pPr>
              <w:pStyle w:val="6"/>
              <w:ind w:firstLine="0" w:firstLineChars="0"/>
              <w:jc w:val="center"/>
              <w:rPr>
                <w:rFonts w:ascii="Times New Roman"/>
                <w:kern w:val="2"/>
                <w:sz w:val="21"/>
                <w:szCs w:val="21"/>
                <w:highlight w:val="none"/>
              </w:rPr>
            </w:pPr>
            <w:r>
              <w:rPr>
                <w:rFonts w:ascii="Times New Roman"/>
                <w:kern w:val="2"/>
                <w:sz w:val="21"/>
                <w:szCs w:val="21"/>
                <w:highlight w:val="none"/>
              </w:rPr>
              <w:t>23</w:t>
            </w:r>
          </w:p>
        </w:tc>
        <w:tc>
          <w:tcPr>
            <w:tcW w:w="717" w:type="dxa"/>
            <w:noWrap w:val="0"/>
            <w:vAlign w:val="center"/>
          </w:tcPr>
          <w:p w14:paraId="75675438">
            <w:pPr>
              <w:pStyle w:val="6"/>
              <w:ind w:firstLine="0" w:firstLineChars="0"/>
              <w:jc w:val="center"/>
              <w:rPr>
                <w:rFonts w:ascii="Times New Roman"/>
                <w:kern w:val="2"/>
                <w:sz w:val="21"/>
                <w:szCs w:val="21"/>
                <w:highlight w:val="none"/>
              </w:rPr>
            </w:pPr>
            <w:r>
              <w:rPr>
                <w:rFonts w:ascii="Times New Roman"/>
                <w:kern w:val="2"/>
                <w:sz w:val="21"/>
                <w:szCs w:val="21"/>
                <w:highlight w:val="none"/>
              </w:rPr>
              <w:t>0.2</w:t>
            </w:r>
          </w:p>
        </w:tc>
        <w:tc>
          <w:tcPr>
            <w:tcW w:w="696" w:type="dxa"/>
            <w:noWrap w:val="0"/>
            <w:vAlign w:val="center"/>
          </w:tcPr>
          <w:p w14:paraId="600D9856">
            <w:pPr>
              <w:jc w:val="center"/>
              <w:rPr>
                <w:sz w:val="21"/>
                <w:szCs w:val="21"/>
                <w:highlight w:val="none"/>
              </w:rPr>
            </w:pPr>
            <w:r>
              <w:rPr>
                <w:sz w:val="21"/>
                <w:szCs w:val="21"/>
                <w:highlight w:val="none"/>
              </w:rPr>
              <w:t>120</w:t>
            </w:r>
          </w:p>
        </w:tc>
        <w:tc>
          <w:tcPr>
            <w:tcW w:w="1107" w:type="dxa"/>
            <w:noWrap w:val="0"/>
            <w:vAlign w:val="center"/>
          </w:tcPr>
          <w:p w14:paraId="5666CB4D">
            <w:pPr>
              <w:jc w:val="center"/>
              <w:rPr>
                <w:sz w:val="21"/>
                <w:szCs w:val="21"/>
                <w:highlight w:val="none"/>
              </w:rPr>
            </w:pPr>
            <w:r>
              <w:rPr>
                <w:sz w:val="21"/>
                <w:szCs w:val="21"/>
                <w:highlight w:val="none"/>
              </w:rPr>
              <w:t>11.0</w:t>
            </w:r>
          </w:p>
        </w:tc>
        <w:tc>
          <w:tcPr>
            <w:tcW w:w="689" w:type="dxa"/>
            <w:noWrap w:val="0"/>
            <w:vAlign w:val="center"/>
          </w:tcPr>
          <w:p w14:paraId="55A5EC55">
            <w:pPr>
              <w:pStyle w:val="6"/>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3069" w:type="dxa"/>
            <w:noWrap w:val="0"/>
            <w:vAlign w:val="center"/>
          </w:tcPr>
          <w:p w14:paraId="69565E50">
            <w:pPr>
              <w:pStyle w:val="6"/>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2AD8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635999AB">
            <w:pPr>
              <w:widowControl/>
              <w:snapToGrid w:val="0"/>
              <w:jc w:val="center"/>
              <w:rPr>
                <w:sz w:val="21"/>
                <w:szCs w:val="21"/>
                <w:highlight w:val="none"/>
              </w:rPr>
            </w:pPr>
          </w:p>
        </w:tc>
        <w:tc>
          <w:tcPr>
            <w:tcW w:w="898" w:type="dxa"/>
            <w:noWrap w:val="0"/>
            <w:vAlign w:val="center"/>
          </w:tcPr>
          <w:p w14:paraId="0F3B8B3C">
            <w:pPr>
              <w:pStyle w:val="6"/>
              <w:ind w:firstLine="0" w:firstLineChars="0"/>
              <w:jc w:val="center"/>
              <w:rPr>
                <w:rFonts w:ascii="Times New Roman"/>
                <w:kern w:val="2"/>
                <w:sz w:val="21"/>
                <w:szCs w:val="21"/>
                <w:highlight w:val="none"/>
              </w:rPr>
            </w:pPr>
            <w:r>
              <w:rPr>
                <w:rFonts w:ascii="Times New Roman"/>
                <w:kern w:val="2"/>
                <w:sz w:val="21"/>
                <w:szCs w:val="21"/>
                <w:highlight w:val="none"/>
              </w:rPr>
              <w:t>尾气脱碳单元</w:t>
            </w:r>
          </w:p>
        </w:tc>
        <w:tc>
          <w:tcPr>
            <w:tcW w:w="1202" w:type="dxa"/>
            <w:noWrap w:val="0"/>
            <w:vAlign w:val="center"/>
          </w:tcPr>
          <w:p w14:paraId="3CD5C49D">
            <w:pPr>
              <w:pStyle w:val="6"/>
              <w:ind w:firstLine="0" w:firstLineChars="0"/>
              <w:jc w:val="center"/>
              <w:rPr>
                <w:rFonts w:ascii="Times New Roman"/>
                <w:kern w:val="2"/>
                <w:sz w:val="21"/>
                <w:szCs w:val="21"/>
                <w:highlight w:val="none"/>
              </w:rPr>
            </w:pPr>
            <w:r>
              <w:rPr>
                <w:rFonts w:ascii="Times New Roman"/>
                <w:kern w:val="2"/>
                <w:sz w:val="21"/>
                <w:szCs w:val="21"/>
                <w:highlight w:val="none"/>
              </w:rPr>
              <w:t>再生气</w:t>
            </w:r>
          </w:p>
        </w:tc>
        <w:tc>
          <w:tcPr>
            <w:tcW w:w="781" w:type="dxa"/>
            <w:noWrap w:val="0"/>
            <w:vAlign w:val="center"/>
          </w:tcPr>
          <w:p w14:paraId="2D41AC90">
            <w:pPr>
              <w:jc w:val="center"/>
              <w:rPr>
                <w:sz w:val="21"/>
                <w:szCs w:val="21"/>
                <w:highlight w:val="none"/>
              </w:rPr>
            </w:pPr>
            <w:r>
              <w:rPr>
                <w:sz w:val="21"/>
                <w:szCs w:val="21"/>
                <w:highlight w:val="none"/>
              </w:rPr>
              <w:t>NMHC</w:t>
            </w:r>
          </w:p>
        </w:tc>
        <w:tc>
          <w:tcPr>
            <w:tcW w:w="1064" w:type="dxa"/>
            <w:noWrap w:val="0"/>
            <w:vAlign w:val="center"/>
          </w:tcPr>
          <w:p w14:paraId="2A2BD6D0">
            <w:pPr>
              <w:pStyle w:val="6"/>
              <w:ind w:firstLine="0" w:firstLineChars="0"/>
              <w:jc w:val="center"/>
              <w:rPr>
                <w:rFonts w:ascii="Times New Roman"/>
                <w:kern w:val="2"/>
                <w:sz w:val="21"/>
                <w:szCs w:val="21"/>
                <w:highlight w:val="none"/>
              </w:rPr>
            </w:pPr>
            <w:r>
              <w:rPr>
                <w:rFonts w:ascii="Times New Roman"/>
                <w:kern w:val="2"/>
                <w:sz w:val="21"/>
                <w:szCs w:val="21"/>
                <w:highlight w:val="none"/>
                <w:lang w:val="pt-BR"/>
              </w:rPr>
              <w:t>/</w:t>
            </w:r>
          </w:p>
        </w:tc>
        <w:tc>
          <w:tcPr>
            <w:tcW w:w="695" w:type="dxa"/>
            <w:noWrap w:val="0"/>
            <w:vAlign w:val="center"/>
          </w:tcPr>
          <w:p w14:paraId="0CB07ECE">
            <w:pPr>
              <w:jc w:val="center"/>
              <w:rPr>
                <w:rFonts w:hint="default" w:eastAsia="宋体"/>
                <w:sz w:val="21"/>
                <w:szCs w:val="21"/>
                <w:highlight w:val="none"/>
                <w:lang w:val="en-US" w:eastAsia="zh-CN"/>
              </w:rPr>
            </w:pPr>
            <w:r>
              <w:rPr>
                <w:rFonts w:hint="eastAsia"/>
                <w:sz w:val="21"/>
                <w:szCs w:val="21"/>
                <w:highlight w:val="none"/>
                <w:lang w:val="en-US" w:eastAsia="zh-CN"/>
              </w:rPr>
              <w:t>1.41</w:t>
            </w:r>
          </w:p>
        </w:tc>
        <w:tc>
          <w:tcPr>
            <w:tcW w:w="988" w:type="dxa"/>
            <w:noWrap w:val="0"/>
            <w:vAlign w:val="center"/>
          </w:tcPr>
          <w:p w14:paraId="793D2C3C">
            <w:pPr>
              <w:pStyle w:val="6"/>
              <w:ind w:firstLine="0" w:firstLineChars="0"/>
              <w:jc w:val="center"/>
              <w:rPr>
                <w:rFonts w:ascii="Times New Roman"/>
                <w:sz w:val="21"/>
                <w:szCs w:val="21"/>
                <w:highlight w:val="none"/>
              </w:rPr>
            </w:pPr>
            <w:r>
              <w:rPr>
                <w:rFonts w:ascii="Times New Roman"/>
                <w:kern w:val="2"/>
                <w:sz w:val="21"/>
                <w:szCs w:val="21"/>
                <w:highlight w:val="none"/>
                <w:lang w:val="pt-BR"/>
              </w:rPr>
              <w:t>/</w:t>
            </w:r>
          </w:p>
        </w:tc>
        <w:tc>
          <w:tcPr>
            <w:tcW w:w="396" w:type="dxa"/>
            <w:noWrap w:val="0"/>
            <w:vAlign w:val="center"/>
          </w:tcPr>
          <w:p w14:paraId="000EC673">
            <w:pPr>
              <w:pStyle w:val="6"/>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531" w:type="dxa"/>
            <w:noWrap w:val="0"/>
            <w:vAlign w:val="center"/>
          </w:tcPr>
          <w:p w14:paraId="171739F1">
            <w:pPr>
              <w:pStyle w:val="6"/>
              <w:ind w:firstLine="0" w:firstLineChars="0"/>
              <w:jc w:val="center"/>
              <w:rPr>
                <w:rFonts w:ascii="Times New Roman"/>
                <w:kern w:val="2"/>
                <w:sz w:val="21"/>
                <w:szCs w:val="21"/>
                <w:highlight w:val="none"/>
              </w:rPr>
            </w:pPr>
            <w:r>
              <w:rPr>
                <w:rFonts w:ascii="Times New Roman"/>
                <w:kern w:val="2"/>
                <w:sz w:val="21"/>
                <w:szCs w:val="21"/>
                <w:highlight w:val="none"/>
              </w:rPr>
              <w:t>90</w:t>
            </w:r>
          </w:p>
        </w:tc>
        <w:tc>
          <w:tcPr>
            <w:tcW w:w="717" w:type="dxa"/>
            <w:noWrap w:val="0"/>
            <w:vAlign w:val="center"/>
          </w:tcPr>
          <w:p w14:paraId="56F30689">
            <w:pPr>
              <w:pStyle w:val="6"/>
              <w:ind w:firstLine="0" w:firstLineChars="0"/>
              <w:jc w:val="center"/>
              <w:rPr>
                <w:rFonts w:ascii="Times New Roman"/>
                <w:kern w:val="2"/>
                <w:sz w:val="21"/>
                <w:szCs w:val="21"/>
                <w:highlight w:val="none"/>
              </w:rPr>
            </w:pPr>
            <w:r>
              <w:rPr>
                <w:rFonts w:ascii="Times New Roman"/>
                <w:kern w:val="2"/>
                <w:sz w:val="21"/>
                <w:szCs w:val="21"/>
                <w:highlight w:val="none"/>
              </w:rPr>
              <w:t>1.1</w:t>
            </w:r>
          </w:p>
        </w:tc>
        <w:tc>
          <w:tcPr>
            <w:tcW w:w="696" w:type="dxa"/>
            <w:noWrap w:val="0"/>
            <w:vAlign w:val="center"/>
          </w:tcPr>
          <w:p w14:paraId="64E8B6F2">
            <w:pPr>
              <w:spacing w:line="240" w:lineRule="auto"/>
              <w:jc w:val="center"/>
              <w:rPr>
                <w:rFonts w:hint="default" w:eastAsia="宋体"/>
                <w:sz w:val="21"/>
                <w:szCs w:val="21"/>
                <w:highlight w:val="none"/>
                <w:lang w:val="en-US" w:eastAsia="zh-CN"/>
              </w:rPr>
            </w:pPr>
            <w:r>
              <w:rPr>
                <w:rFonts w:hint="eastAsia"/>
                <w:sz w:val="21"/>
                <w:szCs w:val="21"/>
                <w:highlight w:val="none"/>
                <w:lang w:val="en-US" w:eastAsia="zh-CN"/>
              </w:rPr>
              <w:t>120</w:t>
            </w:r>
          </w:p>
        </w:tc>
        <w:tc>
          <w:tcPr>
            <w:tcW w:w="1107" w:type="dxa"/>
            <w:noWrap w:val="0"/>
            <w:vAlign w:val="center"/>
          </w:tcPr>
          <w:p w14:paraId="40C392A2">
            <w:pPr>
              <w:jc w:val="center"/>
              <w:rPr>
                <w:sz w:val="21"/>
                <w:szCs w:val="21"/>
                <w:highlight w:val="none"/>
              </w:rPr>
            </w:pPr>
            <w:r>
              <w:rPr>
                <w:sz w:val="21"/>
                <w:szCs w:val="21"/>
                <w:highlight w:val="none"/>
              </w:rPr>
              <w:t>去除效率≥97%</w:t>
            </w:r>
          </w:p>
        </w:tc>
        <w:tc>
          <w:tcPr>
            <w:tcW w:w="689" w:type="dxa"/>
            <w:noWrap w:val="0"/>
            <w:vAlign w:val="center"/>
          </w:tcPr>
          <w:p w14:paraId="1953C0EA">
            <w:pPr>
              <w:pStyle w:val="6"/>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3069" w:type="dxa"/>
            <w:noWrap w:val="0"/>
            <w:vAlign w:val="center"/>
          </w:tcPr>
          <w:p w14:paraId="6F64EDF9">
            <w:pPr>
              <w:pStyle w:val="6"/>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w:t>
            </w:r>
          </w:p>
        </w:tc>
      </w:tr>
      <w:tr w14:paraId="56E8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2E8B4311">
            <w:pPr>
              <w:widowControl/>
              <w:snapToGrid w:val="0"/>
              <w:jc w:val="center"/>
              <w:rPr>
                <w:sz w:val="21"/>
                <w:szCs w:val="21"/>
                <w:highlight w:val="none"/>
              </w:rPr>
            </w:pPr>
          </w:p>
        </w:tc>
        <w:tc>
          <w:tcPr>
            <w:tcW w:w="898" w:type="dxa"/>
            <w:noWrap w:val="0"/>
            <w:vAlign w:val="center"/>
          </w:tcPr>
          <w:p w14:paraId="57260A39">
            <w:pPr>
              <w:pStyle w:val="6"/>
              <w:ind w:firstLine="0" w:firstLineChars="0"/>
              <w:jc w:val="center"/>
              <w:rPr>
                <w:rFonts w:ascii="Times New Roman"/>
                <w:kern w:val="2"/>
                <w:sz w:val="21"/>
                <w:szCs w:val="21"/>
                <w:highlight w:val="none"/>
              </w:rPr>
            </w:pPr>
            <w:r>
              <w:rPr>
                <w:rFonts w:ascii="Times New Roman"/>
                <w:kern w:val="2"/>
                <w:sz w:val="21"/>
                <w:szCs w:val="21"/>
                <w:highlight w:val="none"/>
              </w:rPr>
              <w:t>加氢精制单元</w:t>
            </w:r>
          </w:p>
        </w:tc>
        <w:tc>
          <w:tcPr>
            <w:tcW w:w="1202" w:type="dxa"/>
            <w:noWrap w:val="0"/>
            <w:vAlign w:val="center"/>
          </w:tcPr>
          <w:p w14:paraId="1191B025">
            <w:pPr>
              <w:pStyle w:val="6"/>
              <w:ind w:firstLine="0" w:firstLineChars="0"/>
              <w:jc w:val="center"/>
              <w:rPr>
                <w:rFonts w:ascii="Times New Roman"/>
                <w:kern w:val="2"/>
                <w:sz w:val="21"/>
                <w:szCs w:val="21"/>
                <w:highlight w:val="none"/>
              </w:rPr>
            </w:pPr>
            <w:r>
              <w:rPr>
                <w:rFonts w:ascii="Times New Roman"/>
                <w:kern w:val="2"/>
                <w:sz w:val="21"/>
                <w:szCs w:val="21"/>
                <w:highlight w:val="none"/>
              </w:rPr>
              <w:t>加热炉烟气</w:t>
            </w:r>
          </w:p>
        </w:tc>
        <w:tc>
          <w:tcPr>
            <w:tcW w:w="781" w:type="dxa"/>
            <w:noWrap w:val="0"/>
            <w:vAlign w:val="center"/>
          </w:tcPr>
          <w:p w14:paraId="4286F818">
            <w:pPr>
              <w:jc w:val="center"/>
              <w:rPr>
                <w:sz w:val="21"/>
                <w:szCs w:val="21"/>
                <w:highlight w:val="none"/>
              </w:rPr>
            </w:pPr>
            <w:r>
              <w:rPr>
                <w:sz w:val="21"/>
                <w:szCs w:val="21"/>
                <w:highlight w:val="none"/>
              </w:rPr>
              <w:t>烟尘</w:t>
            </w:r>
          </w:p>
          <w:p w14:paraId="7387428A">
            <w:pPr>
              <w:jc w:val="center"/>
              <w:rPr>
                <w:sz w:val="21"/>
                <w:szCs w:val="21"/>
                <w:highlight w:val="none"/>
              </w:rPr>
            </w:pPr>
            <w:r>
              <w:rPr>
                <w:sz w:val="21"/>
                <w:szCs w:val="21"/>
                <w:highlight w:val="none"/>
              </w:rPr>
              <w:t>NOx</w:t>
            </w:r>
          </w:p>
        </w:tc>
        <w:tc>
          <w:tcPr>
            <w:tcW w:w="1064" w:type="dxa"/>
            <w:noWrap w:val="0"/>
            <w:vAlign w:val="center"/>
          </w:tcPr>
          <w:p w14:paraId="31E1CD0B">
            <w:pPr>
              <w:pStyle w:val="6"/>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36473</w:t>
            </w:r>
          </w:p>
        </w:tc>
        <w:tc>
          <w:tcPr>
            <w:tcW w:w="695" w:type="dxa"/>
            <w:noWrap w:val="0"/>
            <w:vAlign w:val="center"/>
          </w:tcPr>
          <w:p w14:paraId="58544960">
            <w:pPr>
              <w:jc w:val="center"/>
              <w:rPr>
                <w:rFonts w:hint="default" w:eastAsia="宋体"/>
                <w:sz w:val="21"/>
                <w:szCs w:val="21"/>
                <w:highlight w:val="none"/>
                <w:lang w:val="en-US" w:eastAsia="zh-CN"/>
              </w:rPr>
            </w:pPr>
            <w:r>
              <w:rPr>
                <w:rFonts w:hint="eastAsia"/>
                <w:sz w:val="21"/>
                <w:szCs w:val="21"/>
                <w:highlight w:val="none"/>
                <w:lang w:val="en-US" w:eastAsia="zh-CN"/>
              </w:rPr>
              <w:t>4.5</w:t>
            </w:r>
          </w:p>
          <w:p w14:paraId="6205A2CC">
            <w:pPr>
              <w:jc w:val="center"/>
              <w:rPr>
                <w:rFonts w:hint="default" w:eastAsia="宋体"/>
                <w:sz w:val="21"/>
                <w:szCs w:val="21"/>
                <w:highlight w:val="none"/>
                <w:lang w:val="en-US" w:eastAsia="zh-CN"/>
              </w:rPr>
            </w:pPr>
            <w:r>
              <w:rPr>
                <w:rFonts w:hint="eastAsia"/>
                <w:sz w:val="21"/>
                <w:szCs w:val="21"/>
                <w:highlight w:val="none"/>
                <w:lang w:val="en-US" w:eastAsia="zh-CN"/>
              </w:rPr>
              <w:t>53</w:t>
            </w:r>
          </w:p>
        </w:tc>
        <w:tc>
          <w:tcPr>
            <w:tcW w:w="988" w:type="dxa"/>
            <w:noWrap w:val="0"/>
            <w:vAlign w:val="center"/>
          </w:tcPr>
          <w:p w14:paraId="1B416DBD">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0.14</w:t>
            </w:r>
          </w:p>
          <w:p w14:paraId="033A3FD0">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1.6</w:t>
            </w:r>
          </w:p>
        </w:tc>
        <w:tc>
          <w:tcPr>
            <w:tcW w:w="396" w:type="dxa"/>
            <w:noWrap w:val="0"/>
            <w:vAlign w:val="center"/>
          </w:tcPr>
          <w:p w14:paraId="0E5F4496">
            <w:pPr>
              <w:pStyle w:val="6"/>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531" w:type="dxa"/>
            <w:noWrap w:val="0"/>
            <w:vAlign w:val="center"/>
          </w:tcPr>
          <w:p w14:paraId="251C32A5">
            <w:pPr>
              <w:pStyle w:val="6"/>
              <w:ind w:firstLine="0" w:firstLineChars="0"/>
              <w:jc w:val="center"/>
              <w:rPr>
                <w:rFonts w:ascii="Times New Roman"/>
                <w:kern w:val="2"/>
                <w:sz w:val="21"/>
                <w:szCs w:val="21"/>
                <w:highlight w:val="none"/>
              </w:rPr>
            </w:pPr>
            <w:r>
              <w:rPr>
                <w:rFonts w:ascii="Times New Roman"/>
                <w:kern w:val="2"/>
                <w:sz w:val="21"/>
                <w:szCs w:val="21"/>
                <w:highlight w:val="none"/>
              </w:rPr>
              <w:t>50</w:t>
            </w:r>
          </w:p>
        </w:tc>
        <w:tc>
          <w:tcPr>
            <w:tcW w:w="717" w:type="dxa"/>
            <w:noWrap w:val="0"/>
            <w:vAlign w:val="center"/>
          </w:tcPr>
          <w:p w14:paraId="59708393">
            <w:pPr>
              <w:pStyle w:val="6"/>
              <w:ind w:firstLine="0" w:firstLineChars="0"/>
              <w:jc w:val="center"/>
              <w:rPr>
                <w:rFonts w:ascii="Times New Roman"/>
                <w:kern w:val="2"/>
                <w:sz w:val="21"/>
                <w:szCs w:val="21"/>
                <w:highlight w:val="none"/>
              </w:rPr>
            </w:pPr>
            <w:r>
              <w:rPr>
                <w:rFonts w:ascii="Times New Roman"/>
                <w:kern w:val="2"/>
                <w:sz w:val="21"/>
                <w:szCs w:val="21"/>
                <w:highlight w:val="none"/>
              </w:rPr>
              <w:t>1.7</w:t>
            </w:r>
          </w:p>
        </w:tc>
        <w:tc>
          <w:tcPr>
            <w:tcW w:w="696" w:type="dxa"/>
            <w:noWrap w:val="0"/>
            <w:vAlign w:val="center"/>
          </w:tcPr>
          <w:p w14:paraId="7E08A6C3">
            <w:pPr>
              <w:jc w:val="center"/>
              <w:rPr>
                <w:sz w:val="21"/>
                <w:szCs w:val="21"/>
                <w:highlight w:val="none"/>
              </w:rPr>
            </w:pPr>
            <w:r>
              <w:rPr>
                <w:sz w:val="21"/>
                <w:szCs w:val="21"/>
                <w:highlight w:val="none"/>
              </w:rPr>
              <w:t>20</w:t>
            </w:r>
          </w:p>
          <w:p w14:paraId="54C13554">
            <w:pPr>
              <w:jc w:val="center"/>
              <w:rPr>
                <w:sz w:val="21"/>
                <w:szCs w:val="21"/>
                <w:highlight w:val="none"/>
              </w:rPr>
            </w:pPr>
            <w:r>
              <w:rPr>
                <w:sz w:val="21"/>
                <w:szCs w:val="21"/>
                <w:highlight w:val="none"/>
              </w:rPr>
              <w:t>1</w:t>
            </w:r>
            <w:r>
              <w:rPr>
                <w:rFonts w:hint="eastAsia"/>
                <w:sz w:val="21"/>
                <w:szCs w:val="21"/>
                <w:highlight w:val="none"/>
                <w:lang w:val="en-US" w:eastAsia="zh-CN"/>
              </w:rPr>
              <w:t>5</w:t>
            </w:r>
            <w:r>
              <w:rPr>
                <w:sz w:val="21"/>
                <w:szCs w:val="21"/>
                <w:highlight w:val="none"/>
              </w:rPr>
              <w:t>0</w:t>
            </w:r>
          </w:p>
        </w:tc>
        <w:tc>
          <w:tcPr>
            <w:tcW w:w="1107" w:type="dxa"/>
            <w:noWrap w:val="0"/>
            <w:vAlign w:val="center"/>
          </w:tcPr>
          <w:p w14:paraId="75C62112">
            <w:pPr>
              <w:jc w:val="center"/>
              <w:rPr>
                <w:sz w:val="21"/>
                <w:szCs w:val="21"/>
                <w:highlight w:val="none"/>
              </w:rPr>
            </w:pPr>
            <w:r>
              <w:rPr>
                <w:sz w:val="21"/>
                <w:szCs w:val="21"/>
                <w:highlight w:val="none"/>
              </w:rPr>
              <w:t>/</w:t>
            </w:r>
          </w:p>
          <w:p w14:paraId="42CF99D5">
            <w:pPr>
              <w:jc w:val="center"/>
              <w:rPr>
                <w:sz w:val="21"/>
                <w:szCs w:val="21"/>
                <w:highlight w:val="none"/>
              </w:rPr>
            </w:pPr>
            <w:r>
              <w:rPr>
                <w:sz w:val="21"/>
                <w:szCs w:val="21"/>
                <w:highlight w:val="none"/>
              </w:rPr>
              <w:t>/</w:t>
            </w:r>
          </w:p>
        </w:tc>
        <w:tc>
          <w:tcPr>
            <w:tcW w:w="689" w:type="dxa"/>
            <w:noWrap w:val="0"/>
            <w:vAlign w:val="center"/>
          </w:tcPr>
          <w:p w14:paraId="3BD1BB46">
            <w:pPr>
              <w:pStyle w:val="6"/>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3069" w:type="dxa"/>
            <w:noWrap w:val="0"/>
            <w:vAlign w:val="center"/>
          </w:tcPr>
          <w:p w14:paraId="5C9FF80F">
            <w:pPr>
              <w:pStyle w:val="6"/>
              <w:ind w:firstLine="0" w:firstLineChars="0"/>
              <w:jc w:val="center"/>
              <w:rPr>
                <w:rFonts w:ascii="Times New Roman"/>
                <w:kern w:val="2"/>
                <w:sz w:val="21"/>
                <w:szCs w:val="21"/>
                <w:highlight w:val="none"/>
              </w:rPr>
            </w:pPr>
            <w:r>
              <w:rPr>
                <w:rFonts w:ascii="Times New Roman"/>
                <w:kern w:val="2"/>
                <w:sz w:val="21"/>
                <w:szCs w:val="21"/>
                <w:highlight w:val="none"/>
              </w:rPr>
              <w:t>《石油炼制工业污染物排放标准》（GB31570-2015）表4大气污染物特别排放限值</w:t>
            </w:r>
          </w:p>
        </w:tc>
      </w:tr>
      <w:tr w14:paraId="700D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3CA2AC7D">
            <w:pPr>
              <w:widowControl/>
              <w:snapToGrid w:val="0"/>
              <w:jc w:val="center"/>
              <w:rPr>
                <w:sz w:val="21"/>
                <w:szCs w:val="21"/>
                <w:highlight w:val="none"/>
              </w:rPr>
            </w:pPr>
          </w:p>
        </w:tc>
        <w:tc>
          <w:tcPr>
            <w:tcW w:w="898" w:type="dxa"/>
            <w:noWrap w:val="0"/>
            <w:vAlign w:val="center"/>
          </w:tcPr>
          <w:p w14:paraId="0092C427">
            <w:pPr>
              <w:pStyle w:val="6"/>
              <w:ind w:firstLine="0" w:firstLineChars="0"/>
              <w:jc w:val="center"/>
              <w:rPr>
                <w:rFonts w:ascii="Times New Roman"/>
                <w:kern w:val="2"/>
                <w:sz w:val="21"/>
                <w:szCs w:val="21"/>
                <w:highlight w:val="none"/>
              </w:rPr>
            </w:pPr>
            <w:r>
              <w:rPr>
                <w:rFonts w:ascii="Times New Roman"/>
                <w:kern w:val="2"/>
                <w:sz w:val="21"/>
                <w:szCs w:val="21"/>
                <w:highlight w:val="none"/>
              </w:rPr>
              <w:t>加氢裂化单元</w:t>
            </w:r>
          </w:p>
        </w:tc>
        <w:tc>
          <w:tcPr>
            <w:tcW w:w="1202" w:type="dxa"/>
            <w:noWrap w:val="0"/>
            <w:vAlign w:val="center"/>
          </w:tcPr>
          <w:p w14:paraId="43E5FB18">
            <w:pPr>
              <w:pStyle w:val="6"/>
              <w:ind w:firstLine="0" w:firstLineChars="0"/>
              <w:jc w:val="center"/>
              <w:rPr>
                <w:rFonts w:ascii="Times New Roman"/>
                <w:kern w:val="2"/>
                <w:sz w:val="21"/>
                <w:szCs w:val="21"/>
                <w:highlight w:val="none"/>
              </w:rPr>
            </w:pPr>
            <w:r>
              <w:rPr>
                <w:rFonts w:ascii="Times New Roman"/>
                <w:kern w:val="2"/>
                <w:sz w:val="21"/>
                <w:szCs w:val="21"/>
                <w:highlight w:val="none"/>
              </w:rPr>
              <w:t>加热炉烟气</w:t>
            </w:r>
          </w:p>
        </w:tc>
        <w:tc>
          <w:tcPr>
            <w:tcW w:w="781" w:type="dxa"/>
            <w:noWrap w:val="0"/>
            <w:vAlign w:val="center"/>
          </w:tcPr>
          <w:p w14:paraId="36DBF9AD">
            <w:pPr>
              <w:jc w:val="center"/>
              <w:rPr>
                <w:sz w:val="21"/>
                <w:szCs w:val="21"/>
                <w:highlight w:val="none"/>
              </w:rPr>
            </w:pPr>
            <w:r>
              <w:rPr>
                <w:sz w:val="21"/>
                <w:szCs w:val="21"/>
                <w:highlight w:val="none"/>
              </w:rPr>
              <w:t>烟尘</w:t>
            </w:r>
          </w:p>
          <w:p w14:paraId="454CAB83">
            <w:pPr>
              <w:jc w:val="center"/>
              <w:rPr>
                <w:sz w:val="21"/>
                <w:szCs w:val="21"/>
                <w:highlight w:val="none"/>
              </w:rPr>
            </w:pPr>
            <w:r>
              <w:rPr>
                <w:sz w:val="21"/>
                <w:szCs w:val="21"/>
                <w:highlight w:val="none"/>
              </w:rPr>
              <w:t>NOx</w:t>
            </w:r>
          </w:p>
        </w:tc>
        <w:tc>
          <w:tcPr>
            <w:tcW w:w="1064" w:type="dxa"/>
            <w:noWrap w:val="0"/>
            <w:vAlign w:val="center"/>
          </w:tcPr>
          <w:p w14:paraId="69BE97AB">
            <w:pPr>
              <w:pStyle w:val="6"/>
              <w:ind w:firstLine="0" w:firstLineChars="0"/>
              <w:jc w:val="center"/>
              <w:rPr>
                <w:rFonts w:hint="default" w:ascii="Times New Roman" w:eastAsia="宋体"/>
                <w:kern w:val="2"/>
                <w:sz w:val="21"/>
                <w:szCs w:val="21"/>
                <w:highlight w:val="none"/>
                <w:lang w:val="en-US" w:eastAsia="zh-CN"/>
              </w:rPr>
            </w:pPr>
            <w:r>
              <w:rPr>
                <w:rFonts w:ascii="Times New Roman"/>
                <w:kern w:val="2"/>
                <w:sz w:val="21"/>
                <w:szCs w:val="21"/>
                <w:highlight w:val="none"/>
              </w:rPr>
              <w:t>4</w:t>
            </w:r>
            <w:r>
              <w:rPr>
                <w:rFonts w:hint="eastAsia" w:ascii="Times New Roman"/>
                <w:kern w:val="2"/>
                <w:sz w:val="21"/>
                <w:szCs w:val="21"/>
                <w:highlight w:val="none"/>
                <w:lang w:val="en-US" w:eastAsia="zh-CN"/>
              </w:rPr>
              <w:t>2876</w:t>
            </w:r>
          </w:p>
        </w:tc>
        <w:tc>
          <w:tcPr>
            <w:tcW w:w="695" w:type="dxa"/>
            <w:noWrap w:val="0"/>
            <w:vAlign w:val="center"/>
          </w:tcPr>
          <w:p w14:paraId="3D197495">
            <w:pPr>
              <w:jc w:val="center"/>
              <w:rPr>
                <w:rFonts w:hint="default" w:eastAsia="宋体"/>
                <w:sz w:val="21"/>
                <w:szCs w:val="21"/>
                <w:highlight w:val="none"/>
                <w:lang w:val="en-US" w:eastAsia="zh-CN"/>
              </w:rPr>
            </w:pPr>
            <w:r>
              <w:rPr>
                <w:rFonts w:hint="eastAsia"/>
                <w:sz w:val="21"/>
                <w:szCs w:val="21"/>
                <w:highlight w:val="none"/>
                <w:lang w:val="en-US" w:eastAsia="zh-CN"/>
              </w:rPr>
              <w:t>3.2</w:t>
            </w:r>
          </w:p>
          <w:p w14:paraId="203C1C8A">
            <w:pPr>
              <w:jc w:val="center"/>
              <w:rPr>
                <w:rFonts w:hint="default" w:eastAsia="宋体"/>
                <w:sz w:val="21"/>
                <w:szCs w:val="21"/>
                <w:highlight w:val="none"/>
                <w:lang w:val="en-US" w:eastAsia="zh-CN"/>
              </w:rPr>
            </w:pPr>
            <w:r>
              <w:rPr>
                <w:rFonts w:hint="eastAsia"/>
                <w:sz w:val="21"/>
                <w:szCs w:val="21"/>
                <w:highlight w:val="none"/>
                <w:lang w:val="en-US" w:eastAsia="zh-CN"/>
              </w:rPr>
              <w:t>54</w:t>
            </w:r>
          </w:p>
        </w:tc>
        <w:tc>
          <w:tcPr>
            <w:tcW w:w="988" w:type="dxa"/>
            <w:noWrap w:val="0"/>
            <w:vAlign w:val="center"/>
          </w:tcPr>
          <w:p w14:paraId="107EEEF9">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0.12</w:t>
            </w:r>
          </w:p>
          <w:p w14:paraId="3F056B66">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w:t>
            </w:r>
          </w:p>
        </w:tc>
        <w:tc>
          <w:tcPr>
            <w:tcW w:w="396" w:type="dxa"/>
            <w:noWrap w:val="0"/>
            <w:vAlign w:val="center"/>
          </w:tcPr>
          <w:p w14:paraId="526F6974">
            <w:pPr>
              <w:pStyle w:val="6"/>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531" w:type="dxa"/>
            <w:noWrap w:val="0"/>
            <w:vAlign w:val="center"/>
          </w:tcPr>
          <w:p w14:paraId="6667183F">
            <w:pPr>
              <w:pStyle w:val="6"/>
              <w:ind w:firstLine="0" w:firstLineChars="0"/>
              <w:jc w:val="center"/>
              <w:rPr>
                <w:rFonts w:ascii="Times New Roman"/>
                <w:kern w:val="2"/>
                <w:sz w:val="21"/>
                <w:szCs w:val="21"/>
                <w:highlight w:val="none"/>
              </w:rPr>
            </w:pPr>
            <w:r>
              <w:rPr>
                <w:rFonts w:ascii="Times New Roman"/>
                <w:kern w:val="2"/>
                <w:sz w:val="21"/>
                <w:szCs w:val="21"/>
                <w:highlight w:val="none"/>
              </w:rPr>
              <w:t>53</w:t>
            </w:r>
          </w:p>
        </w:tc>
        <w:tc>
          <w:tcPr>
            <w:tcW w:w="717" w:type="dxa"/>
            <w:noWrap w:val="0"/>
            <w:vAlign w:val="center"/>
          </w:tcPr>
          <w:p w14:paraId="2221AB4A">
            <w:pPr>
              <w:pStyle w:val="6"/>
              <w:ind w:firstLine="0" w:firstLineChars="0"/>
              <w:jc w:val="center"/>
              <w:rPr>
                <w:rFonts w:ascii="Times New Roman"/>
                <w:kern w:val="2"/>
                <w:sz w:val="21"/>
                <w:szCs w:val="21"/>
                <w:highlight w:val="none"/>
              </w:rPr>
            </w:pPr>
            <w:r>
              <w:rPr>
                <w:rFonts w:ascii="Times New Roman"/>
                <w:kern w:val="2"/>
                <w:sz w:val="21"/>
                <w:szCs w:val="21"/>
                <w:highlight w:val="none"/>
              </w:rPr>
              <w:t>1.4</w:t>
            </w:r>
          </w:p>
        </w:tc>
        <w:tc>
          <w:tcPr>
            <w:tcW w:w="696" w:type="dxa"/>
            <w:noWrap w:val="0"/>
            <w:vAlign w:val="center"/>
          </w:tcPr>
          <w:p w14:paraId="04BCA769">
            <w:pPr>
              <w:jc w:val="center"/>
              <w:rPr>
                <w:sz w:val="21"/>
                <w:szCs w:val="21"/>
                <w:highlight w:val="none"/>
              </w:rPr>
            </w:pPr>
            <w:r>
              <w:rPr>
                <w:sz w:val="21"/>
                <w:szCs w:val="21"/>
                <w:highlight w:val="none"/>
              </w:rPr>
              <w:t>20</w:t>
            </w:r>
          </w:p>
          <w:p w14:paraId="746F2E8C">
            <w:pPr>
              <w:jc w:val="center"/>
              <w:rPr>
                <w:sz w:val="21"/>
                <w:szCs w:val="21"/>
                <w:highlight w:val="none"/>
              </w:rPr>
            </w:pPr>
            <w:r>
              <w:rPr>
                <w:sz w:val="21"/>
                <w:szCs w:val="21"/>
                <w:highlight w:val="none"/>
              </w:rPr>
              <w:t>1</w:t>
            </w:r>
            <w:r>
              <w:rPr>
                <w:rFonts w:hint="eastAsia"/>
                <w:sz w:val="21"/>
                <w:szCs w:val="21"/>
                <w:highlight w:val="none"/>
                <w:lang w:val="en-US" w:eastAsia="zh-CN"/>
              </w:rPr>
              <w:t>5</w:t>
            </w:r>
            <w:r>
              <w:rPr>
                <w:sz w:val="21"/>
                <w:szCs w:val="21"/>
                <w:highlight w:val="none"/>
              </w:rPr>
              <w:t>0</w:t>
            </w:r>
          </w:p>
        </w:tc>
        <w:tc>
          <w:tcPr>
            <w:tcW w:w="1107" w:type="dxa"/>
            <w:noWrap w:val="0"/>
            <w:vAlign w:val="center"/>
          </w:tcPr>
          <w:p w14:paraId="501126A8">
            <w:pPr>
              <w:jc w:val="center"/>
              <w:rPr>
                <w:sz w:val="21"/>
                <w:szCs w:val="21"/>
                <w:highlight w:val="none"/>
              </w:rPr>
            </w:pPr>
            <w:r>
              <w:rPr>
                <w:sz w:val="21"/>
                <w:szCs w:val="21"/>
                <w:highlight w:val="none"/>
              </w:rPr>
              <w:t>/</w:t>
            </w:r>
          </w:p>
          <w:p w14:paraId="5C2129FA">
            <w:pPr>
              <w:jc w:val="center"/>
              <w:rPr>
                <w:sz w:val="21"/>
                <w:szCs w:val="21"/>
                <w:highlight w:val="none"/>
              </w:rPr>
            </w:pPr>
            <w:r>
              <w:rPr>
                <w:sz w:val="21"/>
                <w:szCs w:val="21"/>
                <w:highlight w:val="none"/>
              </w:rPr>
              <w:t>/</w:t>
            </w:r>
          </w:p>
        </w:tc>
        <w:tc>
          <w:tcPr>
            <w:tcW w:w="689" w:type="dxa"/>
            <w:noWrap w:val="0"/>
            <w:vAlign w:val="center"/>
          </w:tcPr>
          <w:p w14:paraId="4F7C273A">
            <w:pPr>
              <w:pStyle w:val="6"/>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3069" w:type="dxa"/>
            <w:noWrap w:val="0"/>
            <w:vAlign w:val="center"/>
          </w:tcPr>
          <w:p w14:paraId="1EC12430">
            <w:pPr>
              <w:pStyle w:val="6"/>
              <w:ind w:firstLine="0" w:firstLineChars="0"/>
              <w:jc w:val="center"/>
              <w:rPr>
                <w:rFonts w:ascii="Times New Roman"/>
                <w:kern w:val="2"/>
                <w:sz w:val="21"/>
                <w:szCs w:val="21"/>
                <w:highlight w:val="none"/>
              </w:rPr>
            </w:pPr>
            <w:r>
              <w:rPr>
                <w:rFonts w:ascii="Times New Roman"/>
                <w:kern w:val="2"/>
                <w:sz w:val="21"/>
                <w:szCs w:val="21"/>
                <w:highlight w:val="none"/>
              </w:rPr>
              <w:t>《石油炼制工业污染物排放标准》（GB31570-2015）表4大气污染物特别排放限值</w:t>
            </w:r>
          </w:p>
        </w:tc>
      </w:tr>
      <w:tr w14:paraId="6E8E6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dxa"/>
            <w:vMerge w:val="continue"/>
            <w:noWrap w:val="0"/>
            <w:vAlign w:val="center"/>
          </w:tcPr>
          <w:p w14:paraId="03790D8A">
            <w:pPr>
              <w:widowControl/>
              <w:snapToGrid w:val="0"/>
              <w:jc w:val="center"/>
              <w:rPr>
                <w:sz w:val="21"/>
                <w:szCs w:val="21"/>
                <w:highlight w:val="none"/>
              </w:rPr>
            </w:pPr>
          </w:p>
        </w:tc>
        <w:tc>
          <w:tcPr>
            <w:tcW w:w="898" w:type="dxa"/>
            <w:noWrap w:val="0"/>
            <w:vAlign w:val="center"/>
          </w:tcPr>
          <w:p w14:paraId="3320FE5C">
            <w:pPr>
              <w:pStyle w:val="6"/>
              <w:ind w:firstLine="0" w:firstLineChars="0"/>
              <w:jc w:val="center"/>
              <w:rPr>
                <w:rFonts w:ascii="Times New Roman"/>
                <w:kern w:val="2"/>
                <w:sz w:val="21"/>
                <w:szCs w:val="21"/>
                <w:highlight w:val="none"/>
              </w:rPr>
            </w:pPr>
            <w:r>
              <w:rPr>
                <w:rFonts w:ascii="Times New Roman"/>
                <w:kern w:val="2"/>
                <w:sz w:val="21"/>
                <w:szCs w:val="21"/>
                <w:highlight w:val="none"/>
              </w:rPr>
              <w:t>尾气转化单元</w:t>
            </w:r>
          </w:p>
        </w:tc>
        <w:tc>
          <w:tcPr>
            <w:tcW w:w="1202" w:type="dxa"/>
            <w:noWrap w:val="0"/>
            <w:vAlign w:val="center"/>
          </w:tcPr>
          <w:p w14:paraId="101764A9">
            <w:pPr>
              <w:pStyle w:val="6"/>
              <w:ind w:firstLine="0" w:firstLineChars="0"/>
              <w:jc w:val="center"/>
              <w:rPr>
                <w:rFonts w:ascii="Times New Roman"/>
                <w:kern w:val="2"/>
                <w:sz w:val="21"/>
                <w:szCs w:val="21"/>
                <w:highlight w:val="none"/>
              </w:rPr>
            </w:pPr>
            <w:r>
              <w:rPr>
                <w:rFonts w:ascii="Times New Roman"/>
                <w:kern w:val="2"/>
                <w:sz w:val="21"/>
                <w:szCs w:val="21"/>
                <w:highlight w:val="none"/>
              </w:rPr>
              <w:t>加热炉烟气</w:t>
            </w:r>
          </w:p>
        </w:tc>
        <w:tc>
          <w:tcPr>
            <w:tcW w:w="781" w:type="dxa"/>
            <w:noWrap w:val="0"/>
            <w:vAlign w:val="center"/>
          </w:tcPr>
          <w:p w14:paraId="759E33C6">
            <w:pPr>
              <w:jc w:val="center"/>
              <w:rPr>
                <w:sz w:val="21"/>
                <w:szCs w:val="21"/>
                <w:highlight w:val="none"/>
              </w:rPr>
            </w:pPr>
            <w:r>
              <w:rPr>
                <w:sz w:val="21"/>
                <w:szCs w:val="21"/>
                <w:highlight w:val="none"/>
              </w:rPr>
              <w:t>烟尘</w:t>
            </w:r>
          </w:p>
          <w:p w14:paraId="7B42AB14">
            <w:pPr>
              <w:jc w:val="center"/>
              <w:rPr>
                <w:sz w:val="21"/>
                <w:szCs w:val="21"/>
                <w:highlight w:val="none"/>
              </w:rPr>
            </w:pPr>
            <w:r>
              <w:rPr>
                <w:sz w:val="21"/>
                <w:szCs w:val="21"/>
                <w:highlight w:val="none"/>
              </w:rPr>
              <w:t>NOx</w:t>
            </w:r>
          </w:p>
        </w:tc>
        <w:tc>
          <w:tcPr>
            <w:tcW w:w="1064" w:type="dxa"/>
            <w:noWrap w:val="0"/>
            <w:vAlign w:val="center"/>
          </w:tcPr>
          <w:p w14:paraId="41467606">
            <w:pPr>
              <w:pStyle w:val="6"/>
              <w:ind w:firstLine="0" w:firstLineChars="0"/>
              <w:jc w:val="center"/>
              <w:rPr>
                <w:rFonts w:hint="default" w:ascii="Times New Roman" w:eastAsia="宋体"/>
                <w:kern w:val="2"/>
                <w:sz w:val="21"/>
                <w:szCs w:val="21"/>
                <w:highlight w:val="none"/>
                <w:lang w:val="en-US" w:eastAsia="zh-CN"/>
              </w:rPr>
            </w:pPr>
            <w:r>
              <w:rPr>
                <w:rFonts w:hint="eastAsia" w:ascii="Times New Roman"/>
                <w:sz w:val="21"/>
                <w:szCs w:val="21"/>
                <w:highlight w:val="none"/>
                <w:lang w:val="en-US" w:eastAsia="zh-CN"/>
              </w:rPr>
              <w:t>29041</w:t>
            </w:r>
          </w:p>
        </w:tc>
        <w:tc>
          <w:tcPr>
            <w:tcW w:w="695" w:type="dxa"/>
            <w:noWrap w:val="0"/>
            <w:vAlign w:val="center"/>
          </w:tcPr>
          <w:p w14:paraId="47032CB0">
            <w:pPr>
              <w:jc w:val="center"/>
              <w:rPr>
                <w:rFonts w:hint="default" w:eastAsia="宋体"/>
                <w:sz w:val="21"/>
                <w:szCs w:val="21"/>
                <w:highlight w:val="none"/>
                <w:lang w:val="en-US" w:eastAsia="zh-CN"/>
              </w:rPr>
            </w:pPr>
            <w:r>
              <w:rPr>
                <w:rFonts w:hint="eastAsia"/>
                <w:sz w:val="21"/>
                <w:szCs w:val="21"/>
                <w:highlight w:val="none"/>
                <w:lang w:val="en-US" w:eastAsia="zh-CN"/>
              </w:rPr>
              <w:t>3.6</w:t>
            </w:r>
          </w:p>
          <w:p w14:paraId="7D8137F3">
            <w:pPr>
              <w:jc w:val="center"/>
              <w:rPr>
                <w:rFonts w:hint="default" w:eastAsia="宋体"/>
                <w:sz w:val="21"/>
                <w:szCs w:val="21"/>
                <w:highlight w:val="none"/>
                <w:lang w:val="en-US" w:eastAsia="zh-CN"/>
              </w:rPr>
            </w:pPr>
            <w:r>
              <w:rPr>
                <w:rFonts w:hint="eastAsia"/>
                <w:sz w:val="21"/>
                <w:szCs w:val="21"/>
                <w:highlight w:val="none"/>
                <w:lang w:val="en-US" w:eastAsia="zh-CN"/>
              </w:rPr>
              <w:t>70</w:t>
            </w:r>
          </w:p>
        </w:tc>
        <w:tc>
          <w:tcPr>
            <w:tcW w:w="988" w:type="dxa"/>
            <w:noWrap w:val="0"/>
            <w:vAlign w:val="center"/>
          </w:tcPr>
          <w:p w14:paraId="4D68EFBC">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0.065</w:t>
            </w:r>
          </w:p>
          <w:p w14:paraId="439F867D">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1.3</w:t>
            </w:r>
          </w:p>
        </w:tc>
        <w:tc>
          <w:tcPr>
            <w:tcW w:w="396" w:type="dxa"/>
            <w:noWrap w:val="0"/>
            <w:vAlign w:val="center"/>
          </w:tcPr>
          <w:p w14:paraId="05BFAA99">
            <w:pPr>
              <w:pStyle w:val="6"/>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531" w:type="dxa"/>
            <w:noWrap w:val="0"/>
            <w:vAlign w:val="center"/>
          </w:tcPr>
          <w:p w14:paraId="29B22FB1">
            <w:pPr>
              <w:pStyle w:val="6"/>
              <w:ind w:firstLine="0" w:firstLineChars="0"/>
              <w:jc w:val="center"/>
              <w:rPr>
                <w:rFonts w:ascii="Times New Roman"/>
                <w:kern w:val="2"/>
                <w:sz w:val="21"/>
                <w:szCs w:val="21"/>
                <w:highlight w:val="none"/>
              </w:rPr>
            </w:pPr>
            <w:r>
              <w:rPr>
                <w:rFonts w:ascii="Times New Roman"/>
                <w:kern w:val="2"/>
                <w:sz w:val="21"/>
                <w:szCs w:val="21"/>
                <w:highlight w:val="none"/>
              </w:rPr>
              <w:t>60</w:t>
            </w:r>
          </w:p>
        </w:tc>
        <w:tc>
          <w:tcPr>
            <w:tcW w:w="717" w:type="dxa"/>
            <w:noWrap w:val="0"/>
            <w:vAlign w:val="center"/>
          </w:tcPr>
          <w:p w14:paraId="7FBD8865">
            <w:pPr>
              <w:pStyle w:val="6"/>
              <w:ind w:firstLine="0" w:firstLineChars="0"/>
              <w:jc w:val="center"/>
              <w:rPr>
                <w:rFonts w:ascii="Times New Roman"/>
                <w:kern w:val="2"/>
                <w:sz w:val="21"/>
                <w:szCs w:val="21"/>
                <w:highlight w:val="none"/>
              </w:rPr>
            </w:pPr>
            <w:r>
              <w:rPr>
                <w:rFonts w:ascii="Times New Roman"/>
                <w:kern w:val="2"/>
                <w:sz w:val="21"/>
                <w:szCs w:val="21"/>
                <w:highlight w:val="none"/>
              </w:rPr>
              <w:t>0.8</w:t>
            </w:r>
          </w:p>
        </w:tc>
        <w:tc>
          <w:tcPr>
            <w:tcW w:w="696" w:type="dxa"/>
            <w:noWrap w:val="0"/>
            <w:vAlign w:val="center"/>
          </w:tcPr>
          <w:p w14:paraId="3F3BDDB4">
            <w:pPr>
              <w:jc w:val="center"/>
              <w:rPr>
                <w:sz w:val="21"/>
                <w:szCs w:val="21"/>
                <w:highlight w:val="none"/>
              </w:rPr>
            </w:pPr>
            <w:r>
              <w:rPr>
                <w:sz w:val="21"/>
                <w:szCs w:val="21"/>
                <w:highlight w:val="none"/>
              </w:rPr>
              <w:t>20</w:t>
            </w:r>
          </w:p>
          <w:p w14:paraId="4193FB12">
            <w:pPr>
              <w:jc w:val="center"/>
              <w:rPr>
                <w:sz w:val="21"/>
                <w:szCs w:val="21"/>
                <w:highlight w:val="none"/>
              </w:rPr>
            </w:pPr>
            <w:r>
              <w:rPr>
                <w:sz w:val="21"/>
                <w:szCs w:val="21"/>
                <w:highlight w:val="none"/>
              </w:rPr>
              <w:t>1</w:t>
            </w:r>
            <w:r>
              <w:rPr>
                <w:rFonts w:hint="eastAsia"/>
                <w:sz w:val="21"/>
                <w:szCs w:val="21"/>
                <w:highlight w:val="none"/>
                <w:lang w:val="en-US" w:eastAsia="zh-CN"/>
              </w:rPr>
              <w:t>5</w:t>
            </w:r>
            <w:r>
              <w:rPr>
                <w:sz w:val="21"/>
                <w:szCs w:val="21"/>
                <w:highlight w:val="none"/>
              </w:rPr>
              <w:t>0</w:t>
            </w:r>
          </w:p>
        </w:tc>
        <w:tc>
          <w:tcPr>
            <w:tcW w:w="1107" w:type="dxa"/>
            <w:noWrap w:val="0"/>
            <w:vAlign w:val="center"/>
          </w:tcPr>
          <w:p w14:paraId="5A43DC15">
            <w:pPr>
              <w:jc w:val="center"/>
              <w:rPr>
                <w:sz w:val="21"/>
                <w:szCs w:val="21"/>
                <w:highlight w:val="none"/>
              </w:rPr>
            </w:pPr>
            <w:r>
              <w:rPr>
                <w:sz w:val="21"/>
                <w:szCs w:val="21"/>
                <w:highlight w:val="none"/>
              </w:rPr>
              <w:t>/</w:t>
            </w:r>
          </w:p>
          <w:p w14:paraId="17ADBBE9">
            <w:pPr>
              <w:jc w:val="center"/>
              <w:rPr>
                <w:sz w:val="21"/>
                <w:szCs w:val="21"/>
                <w:highlight w:val="none"/>
              </w:rPr>
            </w:pPr>
            <w:r>
              <w:rPr>
                <w:sz w:val="21"/>
                <w:szCs w:val="21"/>
                <w:highlight w:val="none"/>
              </w:rPr>
              <w:t>/</w:t>
            </w:r>
          </w:p>
        </w:tc>
        <w:tc>
          <w:tcPr>
            <w:tcW w:w="689" w:type="dxa"/>
            <w:noWrap w:val="0"/>
            <w:vAlign w:val="center"/>
          </w:tcPr>
          <w:p w14:paraId="30AB6439">
            <w:pPr>
              <w:pStyle w:val="6"/>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3069" w:type="dxa"/>
            <w:noWrap w:val="0"/>
            <w:vAlign w:val="center"/>
          </w:tcPr>
          <w:p w14:paraId="267BBD46">
            <w:pPr>
              <w:pStyle w:val="6"/>
              <w:ind w:firstLine="0" w:firstLineChars="0"/>
              <w:jc w:val="center"/>
              <w:rPr>
                <w:rFonts w:ascii="Times New Roman"/>
                <w:kern w:val="2"/>
                <w:sz w:val="21"/>
                <w:szCs w:val="21"/>
                <w:highlight w:val="none"/>
              </w:rPr>
            </w:pPr>
            <w:r>
              <w:rPr>
                <w:rFonts w:ascii="Times New Roman"/>
                <w:kern w:val="2"/>
                <w:sz w:val="21"/>
                <w:szCs w:val="21"/>
                <w:highlight w:val="none"/>
              </w:rPr>
              <w:t>《石油炼制工业污染物排放标准》（GB31570-2015）表4大气污染物特别排放限值</w:t>
            </w:r>
          </w:p>
        </w:tc>
      </w:tr>
      <w:tr w14:paraId="542DF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gridSpan w:val="2"/>
            <w:noWrap w:val="0"/>
            <w:vAlign w:val="center"/>
          </w:tcPr>
          <w:p w14:paraId="73CC1FCF">
            <w:pPr>
              <w:pStyle w:val="6"/>
              <w:ind w:firstLine="0" w:firstLineChars="0"/>
              <w:jc w:val="center"/>
              <w:rPr>
                <w:rFonts w:hint="eastAsia" w:ascii="Times New Roman" w:eastAsia="宋体"/>
                <w:kern w:val="2"/>
                <w:sz w:val="21"/>
                <w:szCs w:val="21"/>
                <w:highlight w:val="none"/>
                <w:lang w:val="en-US" w:eastAsia="zh-CN"/>
              </w:rPr>
            </w:pPr>
            <w:r>
              <w:rPr>
                <w:rFonts w:ascii="Times New Roman"/>
                <w:kern w:val="2"/>
                <w:sz w:val="21"/>
                <w:szCs w:val="21"/>
                <w:highlight w:val="none"/>
              </w:rPr>
              <w:t>污水处理</w:t>
            </w:r>
            <w:r>
              <w:rPr>
                <w:rFonts w:hint="eastAsia" w:ascii="Times New Roman"/>
                <w:kern w:val="2"/>
                <w:sz w:val="21"/>
                <w:szCs w:val="21"/>
                <w:highlight w:val="none"/>
                <w:lang w:val="en-US" w:eastAsia="zh-CN"/>
              </w:rPr>
              <w:t>厂</w:t>
            </w:r>
          </w:p>
        </w:tc>
        <w:tc>
          <w:tcPr>
            <w:tcW w:w="1202" w:type="dxa"/>
            <w:noWrap w:val="0"/>
            <w:vAlign w:val="center"/>
          </w:tcPr>
          <w:p w14:paraId="06B78EF8">
            <w:pPr>
              <w:pStyle w:val="6"/>
              <w:ind w:firstLine="0" w:firstLineChars="0"/>
              <w:jc w:val="center"/>
              <w:rPr>
                <w:rFonts w:ascii="Times New Roman"/>
                <w:kern w:val="2"/>
                <w:sz w:val="21"/>
                <w:szCs w:val="21"/>
                <w:highlight w:val="none"/>
              </w:rPr>
            </w:pPr>
            <w:r>
              <w:rPr>
                <w:rFonts w:ascii="Times New Roman"/>
                <w:kern w:val="2"/>
                <w:sz w:val="21"/>
                <w:szCs w:val="21"/>
                <w:highlight w:val="none"/>
              </w:rPr>
              <w:t>臭气</w:t>
            </w:r>
          </w:p>
        </w:tc>
        <w:tc>
          <w:tcPr>
            <w:tcW w:w="781" w:type="dxa"/>
            <w:noWrap w:val="0"/>
            <w:vAlign w:val="center"/>
          </w:tcPr>
          <w:p w14:paraId="37A64C51">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H</w:t>
            </w:r>
            <w:r>
              <w:rPr>
                <w:rFonts w:ascii="Times New Roman" w:hAnsi="Times New Roman" w:eastAsia="宋体" w:cs="Times New Roman"/>
                <w:sz w:val="21"/>
                <w:szCs w:val="21"/>
                <w:highlight w:val="none"/>
                <w:vertAlign w:val="subscript"/>
              </w:rPr>
              <w:t>2</w:t>
            </w:r>
            <w:r>
              <w:rPr>
                <w:rFonts w:ascii="Times New Roman" w:hAnsi="Times New Roman" w:eastAsia="宋体" w:cs="Times New Roman"/>
                <w:sz w:val="21"/>
                <w:szCs w:val="21"/>
                <w:highlight w:val="none"/>
              </w:rPr>
              <w:t>S</w:t>
            </w:r>
          </w:p>
          <w:p w14:paraId="70031F76">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NH</w:t>
            </w:r>
            <w:r>
              <w:rPr>
                <w:rFonts w:ascii="Times New Roman" w:hAnsi="Times New Roman" w:eastAsia="宋体" w:cs="Times New Roman"/>
                <w:sz w:val="21"/>
                <w:szCs w:val="21"/>
                <w:highlight w:val="none"/>
                <w:vertAlign w:val="subscript"/>
              </w:rPr>
              <w:t>3</w:t>
            </w:r>
          </w:p>
          <w:p w14:paraId="44839797">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臭气</w:t>
            </w:r>
          </w:p>
          <w:p w14:paraId="24D032F4">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非甲烷总烃</w:t>
            </w:r>
          </w:p>
        </w:tc>
        <w:tc>
          <w:tcPr>
            <w:tcW w:w="1064" w:type="dxa"/>
            <w:noWrap w:val="0"/>
            <w:vAlign w:val="center"/>
          </w:tcPr>
          <w:p w14:paraId="5F02B530">
            <w:pPr>
              <w:pStyle w:val="6"/>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24824</w:t>
            </w:r>
          </w:p>
        </w:tc>
        <w:tc>
          <w:tcPr>
            <w:tcW w:w="695" w:type="dxa"/>
            <w:noWrap w:val="0"/>
            <w:vAlign w:val="center"/>
          </w:tcPr>
          <w:p w14:paraId="57216A83">
            <w:pPr>
              <w:jc w:val="center"/>
              <w:rPr>
                <w:rFonts w:hint="default" w:eastAsia="宋体"/>
                <w:sz w:val="21"/>
                <w:szCs w:val="21"/>
                <w:highlight w:val="none"/>
                <w:lang w:val="en-US" w:eastAsia="zh-CN"/>
              </w:rPr>
            </w:pPr>
            <w:r>
              <w:rPr>
                <w:rFonts w:hint="eastAsia"/>
                <w:sz w:val="21"/>
                <w:szCs w:val="21"/>
                <w:highlight w:val="none"/>
                <w:lang w:val="en-US" w:eastAsia="zh-CN"/>
              </w:rPr>
              <w:t>0.341</w:t>
            </w:r>
          </w:p>
          <w:p w14:paraId="41B289FA">
            <w:pPr>
              <w:jc w:val="center"/>
              <w:rPr>
                <w:rFonts w:hint="default" w:eastAsia="宋体"/>
                <w:sz w:val="21"/>
                <w:szCs w:val="21"/>
                <w:highlight w:val="none"/>
                <w:lang w:val="en-US" w:eastAsia="zh-CN"/>
              </w:rPr>
            </w:pPr>
            <w:r>
              <w:rPr>
                <w:rFonts w:hint="eastAsia"/>
                <w:sz w:val="21"/>
                <w:szCs w:val="21"/>
                <w:highlight w:val="none"/>
                <w:lang w:val="en-US" w:eastAsia="zh-CN"/>
              </w:rPr>
              <w:t>0.9</w:t>
            </w:r>
          </w:p>
          <w:p w14:paraId="1B04B1A9">
            <w:pPr>
              <w:jc w:val="center"/>
              <w:rPr>
                <w:rFonts w:hint="eastAsia"/>
                <w:sz w:val="21"/>
                <w:szCs w:val="21"/>
                <w:highlight w:val="none"/>
                <w:lang w:val="en-US" w:eastAsia="zh-CN"/>
              </w:rPr>
            </w:pPr>
            <w:r>
              <w:rPr>
                <w:rFonts w:hint="eastAsia"/>
                <w:sz w:val="21"/>
                <w:szCs w:val="21"/>
                <w:highlight w:val="none"/>
                <w:lang w:val="en-US" w:eastAsia="zh-CN"/>
              </w:rPr>
              <w:t>282</w:t>
            </w:r>
          </w:p>
          <w:p w14:paraId="0F0A3448">
            <w:pPr>
              <w:jc w:val="center"/>
              <w:rPr>
                <w:rFonts w:hint="default"/>
                <w:sz w:val="21"/>
                <w:szCs w:val="21"/>
                <w:highlight w:val="none"/>
                <w:lang w:val="en-US" w:eastAsia="zh-CN"/>
              </w:rPr>
            </w:pPr>
            <w:r>
              <w:rPr>
                <w:rFonts w:hint="eastAsia"/>
                <w:sz w:val="21"/>
                <w:szCs w:val="21"/>
                <w:highlight w:val="none"/>
                <w:lang w:val="en-US" w:eastAsia="zh-CN"/>
              </w:rPr>
              <w:t>2.1</w:t>
            </w:r>
          </w:p>
        </w:tc>
        <w:tc>
          <w:tcPr>
            <w:tcW w:w="988" w:type="dxa"/>
            <w:noWrap w:val="0"/>
            <w:vAlign w:val="center"/>
          </w:tcPr>
          <w:p w14:paraId="42A1C601">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8.5×10</w:t>
            </w:r>
            <w:r>
              <w:rPr>
                <w:rFonts w:hint="eastAsia" w:ascii="Times New Roman" w:hAnsi="Times New Roman" w:eastAsia="宋体" w:cs="Times New Roman"/>
                <w:sz w:val="21"/>
                <w:szCs w:val="21"/>
                <w:highlight w:val="none"/>
                <w:vertAlign w:val="superscript"/>
                <w:lang w:val="en-US" w:eastAsia="zh-CN"/>
              </w:rPr>
              <w:t>-3</w:t>
            </w:r>
          </w:p>
          <w:p w14:paraId="415AF5A3">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0.02</w:t>
            </w:r>
          </w:p>
          <w:p w14:paraId="60F35D14">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p w14:paraId="18F626C2">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5.2×10</w:t>
            </w:r>
            <w:r>
              <w:rPr>
                <w:rFonts w:hint="eastAsia" w:ascii="Times New Roman" w:hAnsi="Times New Roman" w:eastAsia="宋体" w:cs="Times New Roman"/>
                <w:sz w:val="21"/>
                <w:szCs w:val="21"/>
                <w:highlight w:val="none"/>
                <w:vertAlign w:val="superscript"/>
                <w:lang w:val="en-US" w:eastAsia="zh-CN"/>
              </w:rPr>
              <w:t>-2</w:t>
            </w:r>
          </w:p>
        </w:tc>
        <w:tc>
          <w:tcPr>
            <w:tcW w:w="396" w:type="dxa"/>
            <w:noWrap w:val="0"/>
            <w:vAlign w:val="center"/>
          </w:tcPr>
          <w:p w14:paraId="4ECD6B3E">
            <w:pPr>
              <w:pStyle w:val="6"/>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531" w:type="dxa"/>
            <w:noWrap w:val="0"/>
            <w:vAlign w:val="center"/>
          </w:tcPr>
          <w:p w14:paraId="3B357028">
            <w:pPr>
              <w:pStyle w:val="6"/>
              <w:ind w:firstLine="0" w:firstLineChars="0"/>
              <w:jc w:val="center"/>
              <w:rPr>
                <w:rFonts w:ascii="Times New Roman"/>
                <w:kern w:val="2"/>
                <w:sz w:val="21"/>
                <w:szCs w:val="21"/>
                <w:highlight w:val="none"/>
              </w:rPr>
            </w:pPr>
            <w:r>
              <w:rPr>
                <w:rFonts w:ascii="Times New Roman"/>
                <w:kern w:val="2"/>
                <w:sz w:val="21"/>
                <w:szCs w:val="21"/>
                <w:highlight w:val="none"/>
              </w:rPr>
              <w:t>25</w:t>
            </w:r>
          </w:p>
        </w:tc>
        <w:tc>
          <w:tcPr>
            <w:tcW w:w="717" w:type="dxa"/>
            <w:noWrap w:val="0"/>
            <w:vAlign w:val="center"/>
          </w:tcPr>
          <w:p w14:paraId="594EB4AB">
            <w:pPr>
              <w:pStyle w:val="6"/>
              <w:ind w:firstLine="0" w:firstLineChars="0"/>
              <w:jc w:val="center"/>
              <w:rPr>
                <w:rFonts w:ascii="Times New Roman"/>
                <w:kern w:val="2"/>
                <w:sz w:val="21"/>
                <w:szCs w:val="21"/>
                <w:highlight w:val="none"/>
              </w:rPr>
            </w:pPr>
            <w:r>
              <w:rPr>
                <w:rFonts w:ascii="Times New Roman"/>
                <w:kern w:val="2"/>
                <w:sz w:val="21"/>
                <w:szCs w:val="21"/>
                <w:highlight w:val="none"/>
              </w:rPr>
              <w:t>0.3</w:t>
            </w:r>
          </w:p>
        </w:tc>
        <w:tc>
          <w:tcPr>
            <w:tcW w:w="696" w:type="dxa"/>
            <w:noWrap w:val="0"/>
            <w:vAlign w:val="center"/>
          </w:tcPr>
          <w:p w14:paraId="05646E6C">
            <w:pPr>
              <w:jc w:val="center"/>
              <w:rPr>
                <w:sz w:val="21"/>
                <w:szCs w:val="21"/>
                <w:highlight w:val="none"/>
                <w:lang w:val="pt-BR"/>
              </w:rPr>
            </w:pPr>
            <w:r>
              <w:rPr>
                <w:sz w:val="21"/>
                <w:szCs w:val="21"/>
                <w:highlight w:val="none"/>
                <w:lang w:val="pt-BR"/>
              </w:rPr>
              <w:t>/</w:t>
            </w:r>
          </w:p>
          <w:p w14:paraId="055E0006">
            <w:pPr>
              <w:jc w:val="center"/>
              <w:rPr>
                <w:sz w:val="21"/>
                <w:szCs w:val="21"/>
                <w:highlight w:val="none"/>
                <w:lang w:val="pt-BR"/>
              </w:rPr>
            </w:pPr>
            <w:r>
              <w:rPr>
                <w:sz w:val="21"/>
                <w:szCs w:val="21"/>
                <w:highlight w:val="none"/>
                <w:lang w:val="pt-BR"/>
              </w:rPr>
              <w:t>/</w:t>
            </w:r>
          </w:p>
          <w:p w14:paraId="4A13CE48">
            <w:pPr>
              <w:jc w:val="center"/>
              <w:rPr>
                <w:rFonts w:hint="eastAsia"/>
                <w:sz w:val="21"/>
                <w:szCs w:val="21"/>
                <w:highlight w:val="none"/>
                <w:lang w:val="en-US" w:eastAsia="zh-CN"/>
              </w:rPr>
            </w:pPr>
            <w:r>
              <w:rPr>
                <w:rFonts w:hint="eastAsia"/>
                <w:sz w:val="21"/>
                <w:szCs w:val="21"/>
                <w:highlight w:val="none"/>
                <w:lang w:val="en-US" w:eastAsia="zh-CN"/>
              </w:rPr>
              <w:t>4000</w:t>
            </w:r>
          </w:p>
          <w:p w14:paraId="51ECB03F">
            <w:pPr>
              <w:jc w:val="center"/>
              <w:rPr>
                <w:rFonts w:hint="default"/>
                <w:sz w:val="21"/>
                <w:szCs w:val="21"/>
                <w:highlight w:val="none"/>
                <w:lang w:val="en-US" w:eastAsia="zh-CN"/>
              </w:rPr>
            </w:pPr>
            <w:r>
              <w:rPr>
                <w:rFonts w:hint="eastAsia"/>
                <w:sz w:val="21"/>
                <w:szCs w:val="21"/>
                <w:highlight w:val="none"/>
                <w:lang w:val="en-US" w:eastAsia="zh-CN"/>
              </w:rPr>
              <w:t>120</w:t>
            </w:r>
          </w:p>
        </w:tc>
        <w:tc>
          <w:tcPr>
            <w:tcW w:w="1107" w:type="dxa"/>
            <w:noWrap w:val="0"/>
            <w:vAlign w:val="center"/>
          </w:tcPr>
          <w:p w14:paraId="2E03BBB3">
            <w:pPr>
              <w:jc w:val="center"/>
              <w:rPr>
                <w:rFonts w:hint="default" w:eastAsia="宋体"/>
                <w:sz w:val="21"/>
                <w:szCs w:val="21"/>
                <w:highlight w:val="none"/>
                <w:lang w:val="en-US" w:eastAsia="zh-CN"/>
              </w:rPr>
            </w:pPr>
            <w:r>
              <w:rPr>
                <w:rFonts w:hint="eastAsia"/>
                <w:sz w:val="21"/>
                <w:szCs w:val="21"/>
                <w:highlight w:val="none"/>
                <w:lang w:val="en-US" w:eastAsia="zh-CN"/>
              </w:rPr>
              <w:t>0.58</w:t>
            </w:r>
          </w:p>
          <w:p w14:paraId="081C651C">
            <w:pPr>
              <w:jc w:val="center"/>
              <w:rPr>
                <w:rFonts w:hint="default" w:eastAsia="宋体"/>
                <w:sz w:val="21"/>
                <w:szCs w:val="21"/>
                <w:highlight w:val="none"/>
                <w:lang w:val="en-US" w:eastAsia="zh-CN"/>
              </w:rPr>
            </w:pPr>
            <w:r>
              <w:rPr>
                <w:rFonts w:hint="eastAsia"/>
                <w:sz w:val="21"/>
                <w:szCs w:val="21"/>
                <w:highlight w:val="none"/>
                <w:lang w:val="en-US" w:eastAsia="zh-CN"/>
              </w:rPr>
              <w:t>8.7</w:t>
            </w:r>
          </w:p>
          <w:p w14:paraId="56AE3226">
            <w:pPr>
              <w:jc w:val="center"/>
              <w:rPr>
                <w:rFonts w:hint="eastAsia"/>
                <w:sz w:val="21"/>
                <w:szCs w:val="21"/>
                <w:highlight w:val="none"/>
                <w:lang w:val="en-US" w:eastAsia="zh-CN"/>
              </w:rPr>
            </w:pPr>
            <w:r>
              <w:rPr>
                <w:rFonts w:hint="eastAsia"/>
                <w:sz w:val="21"/>
                <w:szCs w:val="21"/>
                <w:highlight w:val="none"/>
                <w:lang w:val="en-US" w:eastAsia="zh-CN"/>
              </w:rPr>
              <w:t>/</w:t>
            </w:r>
          </w:p>
          <w:p w14:paraId="311F9AF8">
            <w:pPr>
              <w:jc w:val="center"/>
              <w:rPr>
                <w:rFonts w:hint="default"/>
                <w:sz w:val="21"/>
                <w:szCs w:val="21"/>
                <w:highlight w:val="none"/>
                <w:lang w:val="en-US" w:eastAsia="zh-CN"/>
              </w:rPr>
            </w:pPr>
            <w:r>
              <w:rPr>
                <w:rFonts w:hint="eastAsia"/>
                <w:sz w:val="21"/>
                <w:szCs w:val="21"/>
                <w:highlight w:val="none"/>
                <w:lang w:val="en-US" w:eastAsia="zh-CN"/>
              </w:rPr>
              <w:t>17</w:t>
            </w:r>
          </w:p>
        </w:tc>
        <w:tc>
          <w:tcPr>
            <w:tcW w:w="689" w:type="dxa"/>
            <w:noWrap w:val="0"/>
            <w:vAlign w:val="center"/>
          </w:tcPr>
          <w:p w14:paraId="39945A73">
            <w:pPr>
              <w:jc w:val="center"/>
              <w:rPr>
                <w:sz w:val="21"/>
                <w:szCs w:val="21"/>
                <w:highlight w:val="none"/>
                <w:lang w:val="pt-BR"/>
              </w:rPr>
            </w:pPr>
            <w:r>
              <w:rPr>
                <w:sz w:val="21"/>
                <w:szCs w:val="21"/>
                <w:highlight w:val="none"/>
              </w:rPr>
              <w:t>达标</w:t>
            </w:r>
          </w:p>
          <w:p w14:paraId="080267B7">
            <w:pPr>
              <w:pStyle w:val="6"/>
              <w:ind w:firstLine="0" w:firstLineChars="0"/>
              <w:jc w:val="center"/>
              <w:rPr>
                <w:rFonts w:ascii="Times New Roman"/>
                <w:kern w:val="2"/>
                <w:sz w:val="21"/>
                <w:szCs w:val="21"/>
                <w:highlight w:val="none"/>
              </w:rPr>
            </w:pPr>
            <w:r>
              <w:rPr>
                <w:rFonts w:ascii="Times New Roman"/>
                <w:kern w:val="2"/>
                <w:sz w:val="21"/>
                <w:szCs w:val="21"/>
                <w:highlight w:val="none"/>
              </w:rPr>
              <w:t>达标</w:t>
            </w:r>
          </w:p>
          <w:p w14:paraId="2801B56D">
            <w:pPr>
              <w:pStyle w:val="6"/>
              <w:ind w:firstLine="0" w:firstLineChars="0"/>
              <w:jc w:val="center"/>
              <w:rPr>
                <w:rFonts w:ascii="Times New Roman"/>
                <w:kern w:val="2"/>
                <w:sz w:val="21"/>
                <w:szCs w:val="21"/>
                <w:highlight w:val="none"/>
              </w:rPr>
            </w:pPr>
            <w:r>
              <w:rPr>
                <w:rFonts w:ascii="Times New Roman"/>
                <w:kern w:val="2"/>
                <w:sz w:val="21"/>
                <w:szCs w:val="21"/>
                <w:highlight w:val="none"/>
              </w:rPr>
              <w:t>达标</w:t>
            </w:r>
          </w:p>
          <w:p w14:paraId="28378C1A">
            <w:pPr>
              <w:pStyle w:val="7"/>
              <w:ind w:left="0" w:leftChars="0" w:firstLine="0" w:firstLineChars="0"/>
              <w:jc w:val="center"/>
              <w:rPr>
                <w:sz w:val="21"/>
                <w:szCs w:val="21"/>
                <w:highlight w:val="none"/>
              </w:rPr>
            </w:pPr>
            <w:r>
              <w:rPr>
                <w:rFonts w:ascii="Times New Roman"/>
                <w:kern w:val="2"/>
                <w:sz w:val="21"/>
                <w:szCs w:val="21"/>
                <w:highlight w:val="none"/>
              </w:rPr>
              <w:t>达标</w:t>
            </w:r>
          </w:p>
        </w:tc>
        <w:tc>
          <w:tcPr>
            <w:tcW w:w="3069" w:type="dxa"/>
            <w:noWrap w:val="0"/>
            <w:vAlign w:val="center"/>
          </w:tcPr>
          <w:p w14:paraId="1723CBDE">
            <w:pPr>
              <w:jc w:val="center"/>
              <w:rPr>
                <w:rFonts w:hint="eastAsia" w:eastAsia="宋体"/>
                <w:sz w:val="21"/>
                <w:szCs w:val="21"/>
                <w:highlight w:val="none"/>
                <w:lang w:val="en-US" w:eastAsia="zh-CN"/>
              </w:rPr>
            </w:pPr>
            <w:r>
              <w:rPr>
                <w:sz w:val="21"/>
                <w:szCs w:val="21"/>
                <w:highlight w:val="none"/>
              </w:rPr>
              <w:t>《恶臭污染物排放标准》（GB14554-93）二级标准</w:t>
            </w:r>
            <w:r>
              <w:rPr>
                <w:rFonts w:hint="eastAsia"/>
                <w:sz w:val="21"/>
                <w:szCs w:val="21"/>
                <w:highlight w:val="none"/>
                <w:lang w:eastAsia="zh-CN"/>
              </w:rPr>
              <w:t>；</w:t>
            </w:r>
            <w:r>
              <w:rPr>
                <w:sz w:val="21"/>
                <w:szCs w:val="21"/>
                <w:highlight w:val="none"/>
              </w:rPr>
              <w:t>《大气污染物综合排放标准》（GB16297-1996）表2二级标准</w:t>
            </w:r>
            <w:r>
              <w:rPr>
                <w:rFonts w:hint="eastAsia"/>
                <w:sz w:val="21"/>
                <w:szCs w:val="21"/>
                <w:highlight w:val="none"/>
                <w:lang w:eastAsia="zh-CN"/>
              </w:rPr>
              <w:t>。</w:t>
            </w:r>
          </w:p>
        </w:tc>
      </w:tr>
    </w:tbl>
    <w:p w14:paraId="6E26523E">
      <w:pPr>
        <w:spacing w:line="360" w:lineRule="auto"/>
        <w:ind w:firstLine="48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火炬气：</w:t>
      </w:r>
    </w:p>
    <w:p w14:paraId="629DECFD">
      <w:pPr>
        <w:pStyle w:val="11"/>
        <w:spacing w:line="343" w:lineRule="auto"/>
        <w:ind w:right="372"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1</w:t>
      </w:r>
      <w:r>
        <w:rPr>
          <w:rFonts w:hint="default" w:ascii="Times New Roman" w:hAnsi="Times New Roman" w:eastAsia="宋体" w:cs="Times New Roman"/>
          <w:kern w:val="2"/>
          <w:sz w:val="24"/>
          <w:szCs w:val="24"/>
          <w:highlight w:val="none"/>
          <w:lang w:val="en-US" w:eastAsia="zh-CN" w:bidi="ar-SA"/>
        </w:rPr>
        <w:t>）含烃低压火炬系统：</w:t>
      </w:r>
      <w:r>
        <w:rPr>
          <w:rFonts w:hint="eastAsia" w:ascii="Times New Roman" w:hAnsi="Times New Roman" w:cs="Times New Roman"/>
          <w:kern w:val="2"/>
          <w:sz w:val="24"/>
          <w:szCs w:val="24"/>
          <w:highlight w:val="none"/>
          <w:lang w:val="en-US" w:eastAsia="zh-CN" w:bidi="ar-SA"/>
        </w:rPr>
        <w:t>主要</w:t>
      </w:r>
      <w:r>
        <w:rPr>
          <w:rFonts w:hint="default" w:ascii="Times New Roman" w:hAnsi="Times New Roman" w:eastAsia="宋体" w:cs="Times New Roman"/>
          <w:sz w:val="24"/>
          <w:szCs w:val="24"/>
          <w:highlight w:val="none"/>
        </w:rPr>
        <w:t>来自净化装置、化学品合成装置、化学品</w:t>
      </w:r>
      <w:r>
        <w:rPr>
          <w:rFonts w:hint="default" w:ascii="Times New Roman" w:hAnsi="Times New Roman" w:eastAsia="宋体" w:cs="Times New Roman"/>
          <w:spacing w:val="-8"/>
          <w:sz w:val="24"/>
          <w:szCs w:val="24"/>
          <w:highlight w:val="none"/>
        </w:rPr>
        <w:t>加工</w:t>
      </w:r>
      <w:r>
        <w:rPr>
          <w:rFonts w:hint="eastAsia" w:ascii="Times New Roman" w:hAnsi="Times New Roman" w:cs="Times New Roman"/>
          <w:spacing w:val="-8"/>
          <w:sz w:val="24"/>
          <w:szCs w:val="24"/>
          <w:highlight w:val="none"/>
          <w:lang w:eastAsia="zh-CN"/>
        </w:rPr>
        <w:t>装置</w:t>
      </w:r>
      <w:r>
        <w:rPr>
          <w:rFonts w:hint="default" w:ascii="Times New Roman" w:hAnsi="Times New Roman" w:eastAsia="宋体" w:cs="Times New Roman"/>
          <w:spacing w:val="-8"/>
          <w:sz w:val="24"/>
          <w:szCs w:val="24"/>
          <w:highlight w:val="none"/>
        </w:rPr>
        <w:t>、事故状态下排放的火炬气，火炬气中主要有氢气、一氧化碳、甲烷</w:t>
      </w:r>
      <w:r>
        <w:rPr>
          <w:rFonts w:hint="eastAsia" w:ascii="Times New Roman" w:hAnsi="Times New Roman" w:cs="Times New Roman"/>
          <w:spacing w:val="-8"/>
          <w:sz w:val="24"/>
          <w:szCs w:val="24"/>
          <w:highlight w:val="none"/>
          <w:lang w:eastAsia="zh-CN"/>
        </w:rPr>
        <w:t>等</w:t>
      </w:r>
      <w:r>
        <w:rPr>
          <w:rFonts w:hint="default" w:ascii="Times New Roman" w:hAnsi="Times New Roman" w:eastAsia="宋体" w:cs="Times New Roman"/>
          <w:spacing w:val="-8"/>
          <w:sz w:val="24"/>
          <w:szCs w:val="24"/>
          <w:highlight w:val="none"/>
        </w:rPr>
        <w:t>。设计</w:t>
      </w:r>
      <w:r>
        <w:rPr>
          <w:rFonts w:hint="default" w:ascii="Times New Roman" w:hAnsi="Times New Roman" w:eastAsia="宋体" w:cs="Times New Roman"/>
          <w:spacing w:val="-22"/>
          <w:sz w:val="24"/>
          <w:szCs w:val="24"/>
          <w:highlight w:val="none"/>
        </w:rPr>
        <w:t>排放量</w:t>
      </w:r>
      <w:r>
        <w:rPr>
          <w:rFonts w:hint="default" w:ascii="Times New Roman" w:hAnsi="Times New Roman" w:eastAsia="宋体" w:cs="Times New Roman"/>
          <w:sz w:val="24"/>
          <w:szCs w:val="24"/>
          <w:highlight w:val="none"/>
        </w:rPr>
        <w:t>445690Nm</w:t>
      </w:r>
      <w:r>
        <w:rPr>
          <w:rFonts w:hint="eastAsia" w:ascii="Times New Roman" w:hAnsi="Times New Roman"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rPr>
        <w:t>/h</w:t>
      </w:r>
      <w:r>
        <w:rPr>
          <w:rFonts w:hint="default" w:ascii="Times New Roman" w:hAnsi="Times New Roman" w:eastAsia="宋体" w:cs="Times New Roman"/>
          <w:spacing w:val="-11"/>
          <w:sz w:val="24"/>
          <w:szCs w:val="24"/>
          <w:highlight w:val="none"/>
        </w:rPr>
        <w:t>，界区背压</w:t>
      </w:r>
      <w:r>
        <w:rPr>
          <w:rFonts w:hint="default" w:ascii="Times New Roman" w:hAnsi="Times New Roman" w:eastAsia="宋体" w:cs="Times New Roman"/>
          <w:sz w:val="24"/>
          <w:szCs w:val="24"/>
          <w:highlight w:val="none"/>
        </w:rPr>
        <w:t>30KPaG</w:t>
      </w:r>
      <w:r>
        <w:rPr>
          <w:rFonts w:hint="default" w:ascii="Times New Roman" w:hAnsi="Times New Roman" w:eastAsia="宋体" w:cs="Times New Roman"/>
          <w:spacing w:val="-11"/>
          <w:sz w:val="24"/>
          <w:szCs w:val="24"/>
          <w:highlight w:val="none"/>
        </w:rPr>
        <w:t>，设计温度</w:t>
      </w:r>
      <w:r>
        <w:rPr>
          <w:rFonts w:hint="default" w:ascii="Times New Roman" w:hAnsi="Times New Roman" w:eastAsia="宋体" w:cs="Times New Roman"/>
          <w:sz w:val="24"/>
          <w:szCs w:val="24"/>
          <w:highlight w:val="none"/>
        </w:rPr>
        <w:t>260℃。</w:t>
      </w:r>
    </w:p>
    <w:p w14:paraId="40DA5691">
      <w:pPr>
        <w:pStyle w:val="11"/>
        <w:spacing w:before="1" w:line="345" w:lineRule="auto"/>
        <w:ind w:right="363" w:firstLine="480" w:firstLineChars="200"/>
        <w:rPr>
          <w:highlight w:val="none"/>
        </w:rPr>
      </w:pPr>
      <w:r>
        <w:rPr>
          <w:rFonts w:hint="default" w:ascii="Times New Roman" w:hAnsi="Times New Roman" w:eastAsia="宋体" w:cs="Times New Roman"/>
          <w:sz w:val="24"/>
          <w:szCs w:val="24"/>
          <w:highlight w:val="none"/>
        </w:rPr>
        <w:t>（</w:t>
      </w:r>
      <w:r>
        <w:rPr>
          <w:rFonts w:hint="eastAsia" w:ascii="Times New Roman" w:hAnsi="Times New Roman" w:cs="Times New Roman"/>
          <w:kern w:val="2"/>
          <w:sz w:val="24"/>
          <w:szCs w:val="24"/>
          <w:highlight w:val="none"/>
          <w:lang w:val="en-US" w:eastAsia="zh-CN" w:bidi="ar-SA"/>
        </w:rPr>
        <w:t>2</w:t>
      </w:r>
      <w:r>
        <w:rPr>
          <w:rFonts w:hint="default" w:ascii="Times New Roman" w:hAnsi="Times New Roman" w:eastAsia="宋体" w:cs="Times New Roman"/>
          <w:kern w:val="2"/>
          <w:sz w:val="24"/>
          <w:szCs w:val="24"/>
          <w:highlight w:val="none"/>
          <w:lang w:val="en-US" w:eastAsia="zh-CN" w:bidi="ar-SA"/>
        </w:rPr>
        <w:t>）湿酸性气火炬系</w:t>
      </w:r>
      <w:r>
        <w:rPr>
          <w:rFonts w:hint="default" w:ascii="Times New Roman" w:hAnsi="Times New Roman" w:eastAsia="宋体" w:cs="Times New Roman"/>
          <w:sz w:val="24"/>
          <w:szCs w:val="24"/>
          <w:highlight w:val="none"/>
        </w:rPr>
        <w:t>统：主要为来自煤气化、CO变换、硫回收等装置事故时排放的湿酸性气，</w:t>
      </w:r>
      <w:r>
        <w:rPr>
          <w:rFonts w:hint="eastAsia" w:ascii="Times New Roman" w:hAnsi="Times New Roman" w:cs="Times New Roman"/>
          <w:sz w:val="24"/>
          <w:szCs w:val="24"/>
          <w:highlight w:val="none"/>
          <w:lang w:eastAsia="zh-CN"/>
        </w:rPr>
        <w:t>其</w:t>
      </w:r>
      <w:r>
        <w:rPr>
          <w:rFonts w:hint="default" w:ascii="Times New Roman" w:hAnsi="Times New Roman" w:eastAsia="宋体" w:cs="Times New Roman"/>
          <w:sz w:val="24"/>
          <w:szCs w:val="24"/>
          <w:highlight w:val="none"/>
        </w:rPr>
        <w:t>中</w:t>
      </w:r>
      <w:r>
        <w:rPr>
          <w:rFonts w:hint="eastAsia" w:ascii="Times New Roman" w:hAnsi="Times New Roman" w:cs="Times New Roman"/>
          <w:sz w:val="24"/>
          <w:szCs w:val="24"/>
          <w:highlight w:val="none"/>
          <w:lang w:eastAsia="zh-CN"/>
        </w:rPr>
        <w:t>包括</w:t>
      </w:r>
      <w:r>
        <w:rPr>
          <w:rFonts w:hint="default" w:ascii="Times New Roman" w:hAnsi="Times New Roman" w:eastAsia="宋体" w:cs="Times New Roman"/>
          <w:sz w:val="24"/>
          <w:szCs w:val="24"/>
          <w:highlight w:val="none"/>
        </w:rPr>
        <w:t>硫化氢、</w:t>
      </w:r>
      <w:r>
        <w:rPr>
          <w:rFonts w:hint="default" w:ascii="Times New Roman" w:hAnsi="Times New Roman" w:eastAsia="宋体" w:cs="Times New Roman"/>
          <w:kern w:val="2"/>
          <w:sz w:val="24"/>
          <w:szCs w:val="24"/>
          <w:highlight w:val="none"/>
          <w:lang w:val="en-US" w:eastAsia="zh-CN" w:bidi="ar-SA"/>
        </w:rPr>
        <w:t>水、二氧化碳</w:t>
      </w:r>
      <w:r>
        <w:rPr>
          <w:rFonts w:hint="eastAsia" w:ascii="Times New Roman" w:hAnsi="Times New Roman" w:cs="Times New Roman"/>
          <w:kern w:val="2"/>
          <w:sz w:val="24"/>
          <w:szCs w:val="24"/>
          <w:highlight w:val="none"/>
          <w:lang w:val="en-US" w:eastAsia="zh-CN" w:bidi="ar-SA"/>
        </w:rPr>
        <w:t>等</w:t>
      </w:r>
      <w:r>
        <w:rPr>
          <w:rFonts w:hint="default"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sz w:val="24"/>
          <w:szCs w:val="24"/>
          <w:highlight w:val="none"/>
        </w:rPr>
        <w:t>设计排放量34946Nm</w:t>
      </w:r>
      <w:r>
        <w:rPr>
          <w:rFonts w:hint="eastAsia" w:ascii="Times New Roman" w:hAnsi="Times New Roman"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rPr>
        <w:t>/h，界区背压20KPaG，设计温度200℃。</w:t>
      </w:r>
    </w:p>
    <w:p w14:paraId="0C88D2CB">
      <w:pPr>
        <w:ind w:firstLine="420"/>
        <w:jc w:val="center"/>
        <w:rPr>
          <w:szCs w:val="21"/>
          <w:highlight w:val="none"/>
        </w:rPr>
      </w:pPr>
      <w:r>
        <w:rPr>
          <w:b/>
          <w:bCs/>
          <w:szCs w:val="21"/>
          <w:highlight w:val="none"/>
        </w:rPr>
        <w:t>表</w:t>
      </w:r>
      <w:r>
        <w:rPr>
          <w:rFonts w:hint="eastAsia"/>
          <w:b/>
          <w:bCs/>
          <w:szCs w:val="21"/>
          <w:highlight w:val="none"/>
          <w:lang w:val="en-US" w:eastAsia="zh-CN"/>
        </w:rPr>
        <w:t xml:space="preserve">3-6   </w:t>
      </w:r>
      <w:r>
        <w:rPr>
          <w:b/>
          <w:bCs/>
          <w:szCs w:val="21"/>
          <w:highlight w:val="none"/>
        </w:rPr>
        <w:t>现有项目废水污染物排放及采取的环保措施一览表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1936"/>
        <w:gridCol w:w="2162"/>
        <w:gridCol w:w="1706"/>
        <w:gridCol w:w="1119"/>
        <w:gridCol w:w="1506"/>
        <w:gridCol w:w="510"/>
        <w:gridCol w:w="3640"/>
      </w:tblGrid>
      <w:tr w14:paraId="36B6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pct"/>
            <w:gridSpan w:val="2"/>
            <w:vMerge w:val="restart"/>
            <w:noWrap w:val="0"/>
            <w:vAlign w:val="center"/>
          </w:tcPr>
          <w:p w14:paraId="4A55CBB7">
            <w:pPr>
              <w:widowControl/>
              <w:snapToGrid w:val="0"/>
              <w:jc w:val="center"/>
              <w:rPr>
                <w:sz w:val="21"/>
                <w:szCs w:val="21"/>
                <w:highlight w:val="none"/>
              </w:rPr>
            </w:pPr>
            <w:r>
              <w:rPr>
                <w:sz w:val="21"/>
                <w:szCs w:val="21"/>
                <w:highlight w:val="none"/>
              </w:rPr>
              <w:t>装置名称</w:t>
            </w:r>
          </w:p>
        </w:tc>
        <w:tc>
          <w:tcPr>
            <w:tcW w:w="794" w:type="pct"/>
            <w:vMerge w:val="restart"/>
            <w:noWrap w:val="0"/>
            <w:vAlign w:val="center"/>
          </w:tcPr>
          <w:p w14:paraId="10336F24">
            <w:pPr>
              <w:widowControl/>
              <w:snapToGrid w:val="0"/>
              <w:jc w:val="center"/>
              <w:rPr>
                <w:sz w:val="21"/>
                <w:szCs w:val="21"/>
                <w:highlight w:val="none"/>
              </w:rPr>
            </w:pPr>
            <w:r>
              <w:rPr>
                <w:sz w:val="21"/>
                <w:szCs w:val="21"/>
                <w:highlight w:val="none"/>
              </w:rPr>
              <w:t>污染源名称</w:t>
            </w:r>
          </w:p>
        </w:tc>
        <w:tc>
          <w:tcPr>
            <w:tcW w:w="628" w:type="pct"/>
            <w:vMerge w:val="restart"/>
            <w:noWrap w:val="0"/>
            <w:vAlign w:val="center"/>
          </w:tcPr>
          <w:p w14:paraId="2D80AB3D">
            <w:pPr>
              <w:widowControl/>
              <w:snapToGrid w:val="0"/>
              <w:jc w:val="center"/>
              <w:rPr>
                <w:sz w:val="21"/>
                <w:szCs w:val="21"/>
                <w:highlight w:val="none"/>
              </w:rPr>
            </w:pPr>
            <w:r>
              <w:rPr>
                <w:sz w:val="21"/>
                <w:szCs w:val="21"/>
                <w:highlight w:val="none"/>
              </w:rPr>
              <w:t>产生量（m</w:t>
            </w:r>
            <w:r>
              <w:rPr>
                <w:sz w:val="21"/>
                <w:szCs w:val="21"/>
                <w:highlight w:val="none"/>
                <w:vertAlign w:val="superscript"/>
              </w:rPr>
              <w:t>3</w:t>
            </w:r>
            <w:r>
              <w:rPr>
                <w:sz w:val="21"/>
                <w:szCs w:val="21"/>
                <w:highlight w:val="none"/>
              </w:rPr>
              <w:t>/h）</w:t>
            </w:r>
          </w:p>
        </w:tc>
        <w:tc>
          <w:tcPr>
            <w:tcW w:w="941" w:type="pct"/>
            <w:gridSpan w:val="2"/>
            <w:noWrap w:val="0"/>
            <w:vAlign w:val="center"/>
          </w:tcPr>
          <w:p w14:paraId="76B6393A">
            <w:pPr>
              <w:widowControl/>
              <w:snapToGrid w:val="0"/>
              <w:jc w:val="center"/>
              <w:rPr>
                <w:sz w:val="21"/>
                <w:szCs w:val="21"/>
                <w:highlight w:val="none"/>
              </w:rPr>
            </w:pPr>
            <w:r>
              <w:rPr>
                <w:sz w:val="21"/>
                <w:szCs w:val="21"/>
                <w:highlight w:val="none"/>
              </w:rPr>
              <w:t>主要污染物</w:t>
            </w:r>
          </w:p>
        </w:tc>
        <w:tc>
          <w:tcPr>
            <w:tcW w:w="190" w:type="pct"/>
            <w:vMerge w:val="restart"/>
            <w:noWrap w:val="0"/>
            <w:vAlign w:val="center"/>
          </w:tcPr>
          <w:p w14:paraId="188262DD">
            <w:pPr>
              <w:widowControl/>
              <w:snapToGrid w:val="0"/>
              <w:jc w:val="center"/>
              <w:rPr>
                <w:sz w:val="21"/>
                <w:szCs w:val="21"/>
                <w:highlight w:val="none"/>
              </w:rPr>
            </w:pPr>
            <w:r>
              <w:rPr>
                <w:sz w:val="21"/>
                <w:szCs w:val="21"/>
                <w:highlight w:val="none"/>
              </w:rPr>
              <w:t>排放</w:t>
            </w:r>
          </w:p>
          <w:p w14:paraId="36058FEC">
            <w:pPr>
              <w:widowControl/>
              <w:snapToGrid w:val="0"/>
              <w:jc w:val="center"/>
              <w:rPr>
                <w:sz w:val="21"/>
                <w:szCs w:val="21"/>
                <w:highlight w:val="none"/>
              </w:rPr>
            </w:pPr>
            <w:r>
              <w:rPr>
                <w:sz w:val="21"/>
                <w:szCs w:val="21"/>
                <w:highlight w:val="none"/>
              </w:rPr>
              <w:t>规律</w:t>
            </w:r>
          </w:p>
        </w:tc>
        <w:tc>
          <w:tcPr>
            <w:tcW w:w="1336" w:type="pct"/>
            <w:vMerge w:val="restart"/>
            <w:noWrap w:val="0"/>
            <w:vAlign w:val="center"/>
          </w:tcPr>
          <w:p w14:paraId="4334C42E">
            <w:pPr>
              <w:widowControl/>
              <w:snapToGrid w:val="0"/>
              <w:jc w:val="center"/>
              <w:rPr>
                <w:sz w:val="21"/>
                <w:szCs w:val="21"/>
                <w:highlight w:val="none"/>
              </w:rPr>
            </w:pPr>
            <w:r>
              <w:rPr>
                <w:sz w:val="21"/>
                <w:szCs w:val="21"/>
                <w:highlight w:val="none"/>
              </w:rPr>
              <w:t>治理措施</w:t>
            </w:r>
          </w:p>
        </w:tc>
      </w:tr>
      <w:tr w14:paraId="7A21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108" w:type="pct"/>
            <w:gridSpan w:val="2"/>
            <w:vMerge w:val="continue"/>
            <w:noWrap w:val="0"/>
            <w:vAlign w:val="center"/>
          </w:tcPr>
          <w:p w14:paraId="7589BA56">
            <w:pPr>
              <w:widowControl/>
              <w:snapToGrid w:val="0"/>
              <w:jc w:val="center"/>
              <w:rPr>
                <w:sz w:val="21"/>
                <w:szCs w:val="21"/>
                <w:highlight w:val="none"/>
              </w:rPr>
            </w:pPr>
          </w:p>
        </w:tc>
        <w:tc>
          <w:tcPr>
            <w:tcW w:w="794" w:type="pct"/>
            <w:vMerge w:val="continue"/>
            <w:noWrap w:val="0"/>
            <w:vAlign w:val="center"/>
          </w:tcPr>
          <w:p w14:paraId="4439D53B">
            <w:pPr>
              <w:widowControl/>
              <w:snapToGrid w:val="0"/>
              <w:jc w:val="center"/>
              <w:rPr>
                <w:sz w:val="21"/>
                <w:szCs w:val="21"/>
                <w:highlight w:val="none"/>
              </w:rPr>
            </w:pPr>
          </w:p>
        </w:tc>
        <w:tc>
          <w:tcPr>
            <w:tcW w:w="628" w:type="pct"/>
            <w:vMerge w:val="continue"/>
            <w:noWrap w:val="0"/>
            <w:vAlign w:val="center"/>
          </w:tcPr>
          <w:p w14:paraId="5AB92D24">
            <w:pPr>
              <w:widowControl/>
              <w:snapToGrid w:val="0"/>
              <w:jc w:val="center"/>
              <w:rPr>
                <w:sz w:val="21"/>
                <w:szCs w:val="21"/>
                <w:highlight w:val="none"/>
              </w:rPr>
            </w:pPr>
          </w:p>
        </w:tc>
        <w:tc>
          <w:tcPr>
            <w:tcW w:w="413" w:type="pct"/>
            <w:noWrap w:val="0"/>
            <w:vAlign w:val="center"/>
          </w:tcPr>
          <w:p w14:paraId="08AA49DD">
            <w:pPr>
              <w:widowControl/>
              <w:snapToGrid w:val="0"/>
              <w:jc w:val="center"/>
              <w:rPr>
                <w:sz w:val="21"/>
                <w:szCs w:val="21"/>
                <w:highlight w:val="none"/>
              </w:rPr>
            </w:pPr>
            <w:r>
              <w:rPr>
                <w:sz w:val="21"/>
                <w:szCs w:val="21"/>
                <w:highlight w:val="none"/>
              </w:rPr>
              <w:t>名称</w:t>
            </w:r>
          </w:p>
        </w:tc>
        <w:tc>
          <w:tcPr>
            <w:tcW w:w="528" w:type="pct"/>
            <w:noWrap w:val="0"/>
            <w:vAlign w:val="center"/>
          </w:tcPr>
          <w:p w14:paraId="52ED19DE">
            <w:pPr>
              <w:widowControl/>
              <w:snapToGrid w:val="0"/>
              <w:jc w:val="center"/>
              <w:rPr>
                <w:rFonts w:hint="eastAsia" w:eastAsia="宋体"/>
                <w:sz w:val="21"/>
                <w:szCs w:val="21"/>
                <w:highlight w:val="none"/>
                <w:lang w:eastAsia="zh-CN"/>
              </w:rPr>
            </w:pPr>
            <w:r>
              <w:rPr>
                <w:sz w:val="21"/>
                <w:szCs w:val="21"/>
                <w:highlight w:val="none"/>
              </w:rPr>
              <w:t>排放浓度</w:t>
            </w:r>
            <w:r>
              <w:rPr>
                <w:rFonts w:hint="eastAsia"/>
                <w:sz w:val="21"/>
                <w:szCs w:val="21"/>
                <w:highlight w:val="none"/>
                <w:lang w:eastAsia="zh-CN"/>
              </w:rPr>
              <w:t>（</w:t>
            </w:r>
            <w:r>
              <w:rPr>
                <w:sz w:val="21"/>
                <w:szCs w:val="21"/>
                <w:highlight w:val="none"/>
              </w:rPr>
              <w:t>mg/L</w:t>
            </w:r>
            <w:r>
              <w:rPr>
                <w:rFonts w:hint="eastAsia"/>
                <w:sz w:val="21"/>
                <w:szCs w:val="21"/>
                <w:highlight w:val="none"/>
                <w:lang w:eastAsia="zh-CN"/>
              </w:rPr>
              <w:t>）</w:t>
            </w:r>
          </w:p>
        </w:tc>
        <w:tc>
          <w:tcPr>
            <w:tcW w:w="190" w:type="pct"/>
            <w:vMerge w:val="continue"/>
            <w:noWrap w:val="0"/>
            <w:vAlign w:val="center"/>
          </w:tcPr>
          <w:p w14:paraId="0741546D">
            <w:pPr>
              <w:widowControl/>
              <w:snapToGrid w:val="0"/>
              <w:jc w:val="center"/>
              <w:rPr>
                <w:sz w:val="21"/>
                <w:szCs w:val="21"/>
                <w:highlight w:val="none"/>
              </w:rPr>
            </w:pPr>
          </w:p>
        </w:tc>
        <w:tc>
          <w:tcPr>
            <w:tcW w:w="1336" w:type="pct"/>
            <w:vMerge w:val="continue"/>
            <w:noWrap w:val="0"/>
            <w:vAlign w:val="center"/>
          </w:tcPr>
          <w:p w14:paraId="4C5CC580">
            <w:pPr>
              <w:widowControl/>
              <w:snapToGrid w:val="0"/>
              <w:jc w:val="center"/>
              <w:rPr>
                <w:sz w:val="21"/>
                <w:szCs w:val="21"/>
                <w:highlight w:val="none"/>
              </w:rPr>
            </w:pPr>
          </w:p>
        </w:tc>
      </w:tr>
      <w:tr w14:paraId="703F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7F1BA40D">
            <w:pPr>
              <w:widowControl/>
              <w:snapToGrid w:val="0"/>
              <w:jc w:val="center"/>
              <w:rPr>
                <w:sz w:val="21"/>
                <w:szCs w:val="21"/>
                <w:highlight w:val="none"/>
              </w:rPr>
            </w:pPr>
            <w:r>
              <w:rPr>
                <w:sz w:val="21"/>
                <w:szCs w:val="21"/>
                <w:highlight w:val="none"/>
              </w:rPr>
              <w:t>煤气化装置</w:t>
            </w:r>
          </w:p>
        </w:tc>
        <w:tc>
          <w:tcPr>
            <w:tcW w:w="712" w:type="pct"/>
            <w:noWrap w:val="0"/>
            <w:vAlign w:val="center"/>
          </w:tcPr>
          <w:p w14:paraId="3B08CA18">
            <w:pPr>
              <w:widowControl/>
              <w:snapToGrid w:val="0"/>
              <w:jc w:val="center"/>
              <w:rPr>
                <w:sz w:val="21"/>
                <w:szCs w:val="21"/>
                <w:highlight w:val="none"/>
              </w:rPr>
            </w:pPr>
            <w:r>
              <w:rPr>
                <w:sz w:val="21"/>
                <w:szCs w:val="21"/>
                <w:highlight w:val="none"/>
              </w:rPr>
              <w:t>粉煤气化（渣及灰水处理单元）</w:t>
            </w:r>
          </w:p>
        </w:tc>
        <w:tc>
          <w:tcPr>
            <w:tcW w:w="794" w:type="pct"/>
            <w:noWrap w:val="0"/>
            <w:vAlign w:val="center"/>
          </w:tcPr>
          <w:p w14:paraId="58A9D656">
            <w:pPr>
              <w:widowControl/>
              <w:snapToGrid w:val="0"/>
              <w:jc w:val="center"/>
              <w:rPr>
                <w:sz w:val="21"/>
                <w:szCs w:val="21"/>
                <w:highlight w:val="none"/>
              </w:rPr>
            </w:pPr>
            <w:r>
              <w:rPr>
                <w:sz w:val="21"/>
                <w:szCs w:val="21"/>
                <w:highlight w:val="none"/>
              </w:rPr>
              <w:t>粉煤气化废水</w:t>
            </w:r>
          </w:p>
        </w:tc>
        <w:tc>
          <w:tcPr>
            <w:tcW w:w="628" w:type="pct"/>
            <w:noWrap w:val="0"/>
            <w:vAlign w:val="center"/>
          </w:tcPr>
          <w:p w14:paraId="4BC95B52">
            <w:pPr>
              <w:widowControl/>
              <w:snapToGrid w:val="0"/>
              <w:jc w:val="center"/>
              <w:rPr>
                <w:sz w:val="21"/>
                <w:szCs w:val="21"/>
                <w:highlight w:val="none"/>
              </w:rPr>
            </w:pPr>
            <w:r>
              <w:rPr>
                <w:sz w:val="21"/>
                <w:szCs w:val="21"/>
                <w:highlight w:val="none"/>
              </w:rPr>
              <w:t>600</w:t>
            </w:r>
          </w:p>
        </w:tc>
        <w:tc>
          <w:tcPr>
            <w:tcW w:w="413" w:type="pct"/>
            <w:noWrap w:val="0"/>
            <w:vAlign w:val="center"/>
          </w:tcPr>
          <w:p w14:paraId="5FC13ED0">
            <w:pPr>
              <w:widowControl/>
              <w:snapToGrid w:val="0"/>
              <w:jc w:val="center"/>
              <w:rPr>
                <w:sz w:val="21"/>
                <w:szCs w:val="21"/>
                <w:highlight w:val="none"/>
              </w:rPr>
            </w:pPr>
            <w:r>
              <w:rPr>
                <w:sz w:val="21"/>
                <w:szCs w:val="21"/>
                <w:highlight w:val="none"/>
              </w:rPr>
              <w:t>氨氮</w:t>
            </w:r>
          </w:p>
          <w:p w14:paraId="32B6DCD7">
            <w:pPr>
              <w:widowControl/>
              <w:snapToGrid w:val="0"/>
              <w:jc w:val="center"/>
              <w:rPr>
                <w:sz w:val="21"/>
                <w:szCs w:val="21"/>
                <w:highlight w:val="none"/>
              </w:rPr>
            </w:pPr>
            <w:r>
              <w:rPr>
                <w:sz w:val="21"/>
                <w:szCs w:val="21"/>
                <w:highlight w:val="none"/>
              </w:rPr>
              <w:t>SS</w:t>
            </w:r>
          </w:p>
          <w:p w14:paraId="0932A089">
            <w:pPr>
              <w:widowControl/>
              <w:snapToGrid w:val="0"/>
              <w:jc w:val="center"/>
              <w:rPr>
                <w:sz w:val="21"/>
                <w:szCs w:val="21"/>
                <w:highlight w:val="none"/>
              </w:rPr>
            </w:pPr>
            <w:r>
              <w:rPr>
                <w:sz w:val="21"/>
                <w:szCs w:val="21"/>
                <w:highlight w:val="none"/>
              </w:rPr>
              <w:t>BOD</w:t>
            </w:r>
          </w:p>
          <w:p w14:paraId="0FBC68EF">
            <w:pPr>
              <w:widowControl/>
              <w:snapToGrid w:val="0"/>
              <w:jc w:val="center"/>
              <w:rPr>
                <w:sz w:val="21"/>
                <w:szCs w:val="21"/>
                <w:highlight w:val="none"/>
              </w:rPr>
            </w:pPr>
            <w:r>
              <w:rPr>
                <w:sz w:val="21"/>
                <w:szCs w:val="21"/>
                <w:highlight w:val="none"/>
              </w:rPr>
              <w:t>COD</w:t>
            </w:r>
          </w:p>
          <w:p w14:paraId="3E80A7EF">
            <w:pPr>
              <w:widowControl/>
              <w:snapToGrid w:val="0"/>
              <w:jc w:val="center"/>
              <w:rPr>
                <w:sz w:val="21"/>
                <w:szCs w:val="21"/>
                <w:highlight w:val="none"/>
              </w:rPr>
            </w:pPr>
            <w:r>
              <w:rPr>
                <w:sz w:val="21"/>
                <w:szCs w:val="21"/>
                <w:highlight w:val="none"/>
              </w:rPr>
              <w:t>TDS</w:t>
            </w:r>
          </w:p>
          <w:p w14:paraId="1E615C56">
            <w:pPr>
              <w:widowControl/>
              <w:snapToGrid w:val="0"/>
              <w:jc w:val="center"/>
              <w:rPr>
                <w:sz w:val="21"/>
                <w:szCs w:val="21"/>
                <w:highlight w:val="none"/>
              </w:rPr>
            </w:pPr>
            <w:r>
              <w:rPr>
                <w:sz w:val="21"/>
                <w:szCs w:val="21"/>
                <w:highlight w:val="none"/>
              </w:rPr>
              <w:t>Cl</w:t>
            </w:r>
            <w:r>
              <w:rPr>
                <w:sz w:val="21"/>
                <w:szCs w:val="21"/>
                <w:highlight w:val="none"/>
                <w:vertAlign w:val="superscript"/>
              </w:rPr>
              <w:t>-</w:t>
            </w:r>
          </w:p>
          <w:p w14:paraId="6625DA4F">
            <w:pPr>
              <w:widowControl/>
              <w:snapToGrid w:val="0"/>
              <w:jc w:val="center"/>
              <w:rPr>
                <w:sz w:val="21"/>
                <w:szCs w:val="21"/>
                <w:highlight w:val="none"/>
              </w:rPr>
            </w:pPr>
            <w:r>
              <w:rPr>
                <w:sz w:val="21"/>
                <w:szCs w:val="21"/>
                <w:highlight w:val="none"/>
              </w:rPr>
              <w:t>PH</w:t>
            </w:r>
          </w:p>
          <w:p w14:paraId="64EE62EB">
            <w:pPr>
              <w:widowControl/>
              <w:snapToGrid w:val="0"/>
              <w:jc w:val="center"/>
              <w:rPr>
                <w:sz w:val="21"/>
                <w:szCs w:val="21"/>
                <w:highlight w:val="none"/>
              </w:rPr>
            </w:pPr>
            <w:r>
              <w:rPr>
                <w:sz w:val="21"/>
                <w:szCs w:val="21"/>
                <w:highlight w:val="none"/>
              </w:rPr>
              <w:t>CN</w:t>
            </w:r>
            <w:r>
              <w:rPr>
                <w:sz w:val="21"/>
                <w:szCs w:val="21"/>
                <w:highlight w:val="none"/>
                <w:vertAlign w:val="superscript"/>
              </w:rPr>
              <w:t>-</w:t>
            </w:r>
          </w:p>
          <w:p w14:paraId="5A004AF5">
            <w:pPr>
              <w:widowControl/>
              <w:snapToGrid w:val="0"/>
              <w:jc w:val="center"/>
              <w:rPr>
                <w:sz w:val="21"/>
                <w:szCs w:val="21"/>
                <w:highlight w:val="none"/>
              </w:rPr>
            </w:pPr>
            <w:r>
              <w:rPr>
                <w:sz w:val="21"/>
                <w:szCs w:val="21"/>
                <w:highlight w:val="none"/>
              </w:rPr>
              <w:t>硬度</w:t>
            </w:r>
          </w:p>
          <w:p w14:paraId="526C117B">
            <w:pPr>
              <w:widowControl/>
              <w:snapToGrid w:val="0"/>
              <w:jc w:val="center"/>
              <w:rPr>
                <w:sz w:val="21"/>
                <w:szCs w:val="21"/>
                <w:highlight w:val="none"/>
              </w:rPr>
            </w:pPr>
            <w:r>
              <w:rPr>
                <w:sz w:val="21"/>
                <w:szCs w:val="21"/>
                <w:highlight w:val="none"/>
              </w:rPr>
              <w:t>碱度</w:t>
            </w:r>
          </w:p>
          <w:p w14:paraId="36195A5F">
            <w:pPr>
              <w:widowControl/>
              <w:snapToGrid w:val="0"/>
              <w:jc w:val="center"/>
              <w:rPr>
                <w:sz w:val="21"/>
                <w:szCs w:val="21"/>
                <w:highlight w:val="none"/>
              </w:rPr>
            </w:pPr>
            <w:r>
              <w:rPr>
                <w:sz w:val="21"/>
                <w:szCs w:val="21"/>
                <w:highlight w:val="none"/>
              </w:rPr>
              <w:t>硫化物</w:t>
            </w:r>
          </w:p>
        </w:tc>
        <w:tc>
          <w:tcPr>
            <w:tcW w:w="528" w:type="pct"/>
            <w:noWrap w:val="0"/>
            <w:vAlign w:val="center"/>
          </w:tcPr>
          <w:p w14:paraId="05350EA0">
            <w:pPr>
              <w:widowControl/>
              <w:snapToGrid w:val="0"/>
              <w:jc w:val="center"/>
              <w:rPr>
                <w:sz w:val="21"/>
                <w:szCs w:val="21"/>
                <w:highlight w:val="none"/>
              </w:rPr>
            </w:pPr>
            <w:r>
              <w:rPr>
                <w:sz w:val="21"/>
                <w:szCs w:val="21"/>
                <w:highlight w:val="none"/>
              </w:rPr>
              <w:t>&lt;200</w:t>
            </w:r>
          </w:p>
          <w:p w14:paraId="29C99BED">
            <w:pPr>
              <w:widowControl/>
              <w:snapToGrid w:val="0"/>
              <w:jc w:val="center"/>
              <w:rPr>
                <w:sz w:val="21"/>
                <w:szCs w:val="21"/>
                <w:highlight w:val="none"/>
              </w:rPr>
            </w:pPr>
            <w:r>
              <w:rPr>
                <w:sz w:val="21"/>
                <w:szCs w:val="21"/>
                <w:highlight w:val="none"/>
              </w:rPr>
              <w:t>&lt;100</w:t>
            </w:r>
          </w:p>
          <w:p w14:paraId="7B50D03E">
            <w:pPr>
              <w:widowControl/>
              <w:snapToGrid w:val="0"/>
              <w:jc w:val="center"/>
              <w:rPr>
                <w:sz w:val="21"/>
                <w:szCs w:val="21"/>
                <w:highlight w:val="none"/>
              </w:rPr>
            </w:pPr>
            <w:r>
              <w:rPr>
                <w:sz w:val="21"/>
                <w:szCs w:val="21"/>
                <w:highlight w:val="none"/>
              </w:rPr>
              <w:t>&lt;200</w:t>
            </w:r>
          </w:p>
          <w:p w14:paraId="3116BF71">
            <w:pPr>
              <w:widowControl/>
              <w:snapToGrid w:val="0"/>
              <w:jc w:val="center"/>
              <w:rPr>
                <w:sz w:val="21"/>
                <w:szCs w:val="21"/>
                <w:highlight w:val="none"/>
              </w:rPr>
            </w:pPr>
            <w:r>
              <w:rPr>
                <w:sz w:val="21"/>
                <w:szCs w:val="21"/>
                <w:highlight w:val="none"/>
              </w:rPr>
              <w:t>&lt;300</w:t>
            </w:r>
          </w:p>
          <w:p w14:paraId="5692E29F">
            <w:pPr>
              <w:widowControl/>
              <w:snapToGrid w:val="0"/>
              <w:jc w:val="center"/>
              <w:rPr>
                <w:sz w:val="21"/>
                <w:szCs w:val="21"/>
                <w:highlight w:val="none"/>
              </w:rPr>
            </w:pPr>
            <w:r>
              <w:rPr>
                <w:sz w:val="21"/>
                <w:szCs w:val="21"/>
                <w:highlight w:val="none"/>
              </w:rPr>
              <w:t>&lt;2000</w:t>
            </w:r>
          </w:p>
          <w:p w14:paraId="65A51C52">
            <w:pPr>
              <w:widowControl/>
              <w:snapToGrid w:val="0"/>
              <w:jc w:val="center"/>
              <w:rPr>
                <w:sz w:val="21"/>
                <w:szCs w:val="21"/>
                <w:highlight w:val="none"/>
              </w:rPr>
            </w:pPr>
            <w:r>
              <w:rPr>
                <w:sz w:val="21"/>
                <w:szCs w:val="21"/>
                <w:highlight w:val="none"/>
              </w:rPr>
              <w:t>&lt;500</w:t>
            </w:r>
          </w:p>
          <w:p w14:paraId="30C31C4A">
            <w:pPr>
              <w:widowControl/>
              <w:snapToGrid w:val="0"/>
              <w:jc w:val="center"/>
              <w:rPr>
                <w:sz w:val="21"/>
                <w:szCs w:val="21"/>
                <w:highlight w:val="none"/>
              </w:rPr>
            </w:pPr>
            <w:r>
              <w:rPr>
                <w:sz w:val="21"/>
                <w:szCs w:val="21"/>
                <w:highlight w:val="none"/>
              </w:rPr>
              <w:t>7~9</w:t>
            </w:r>
          </w:p>
          <w:p w14:paraId="33F24F27">
            <w:pPr>
              <w:widowControl/>
              <w:snapToGrid w:val="0"/>
              <w:jc w:val="center"/>
              <w:rPr>
                <w:sz w:val="21"/>
                <w:szCs w:val="21"/>
                <w:highlight w:val="none"/>
              </w:rPr>
            </w:pPr>
            <w:r>
              <w:rPr>
                <w:sz w:val="21"/>
                <w:szCs w:val="21"/>
                <w:highlight w:val="none"/>
              </w:rPr>
              <w:t>&lt;10</w:t>
            </w:r>
          </w:p>
          <w:p w14:paraId="3CE3FAE4">
            <w:pPr>
              <w:widowControl/>
              <w:snapToGrid w:val="0"/>
              <w:jc w:val="center"/>
              <w:rPr>
                <w:sz w:val="21"/>
                <w:szCs w:val="21"/>
                <w:highlight w:val="none"/>
              </w:rPr>
            </w:pPr>
            <w:r>
              <w:rPr>
                <w:sz w:val="21"/>
                <w:szCs w:val="21"/>
                <w:highlight w:val="none"/>
              </w:rPr>
              <w:t>&lt;1200</w:t>
            </w:r>
          </w:p>
          <w:p w14:paraId="77581EDA">
            <w:pPr>
              <w:widowControl/>
              <w:snapToGrid w:val="0"/>
              <w:jc w:val="center"/>
              <w:rPr>
                <w:sz w:val="21"/>
                <w:szCs w:val="21"/>
                <w:highlight w:val="none"/>
              </w:rPr>
            </w:pPr>
            <w:r>
              <w:rPr>
                <w:sz w:val="21"/>
                <w:szCs w:val="21"/>
                <w:highlight w:val="none"/>
              </w:rPr>
              <w:t>&lt;700</w:t>
            </w:r>
          </w:p>
          <w:p w14:paraId="48865F38">
            <w:pPr>
              <w:widowControl/>
              <w:snapToGrid w:val="0"/>
              <w:jc w:val="center"/>
              <w:rPr>
                <w:sz w:val="21"/>
                <w:szCs w:val="21"/>
                <w:highlight w:val="none"/>
              </w:rPr>
            </w:pPr>
            <w:r>
              <w:rPr>
                <w:sz w:val="21"/>
                <w:szCs w:val="21"/>
                <w:highlight w:val="none"/>
              </w:rPr>
              <w:t>10</w:t>
            </w:r>
          </w:p>
        </w:tc>
        <w:tc>
          <w:tcPr>
            <w:tcW w:w="190" w:type="pct"/>
            <w:noWrap w:val="0"/>
            <w:vAlign w:val="center"/>
          </w:tcPr>
          <w:p w14:paraId="071834AB">
            <w:pPr>
              <w:widowControl/>
              <w:snapToGrid w:val="0"/>
              <w:jc w:val="center"/>
              <w:rPr>
                <w:sz w:val="21"/>
                <w:szCs w:val="21"/>
                <w:highlight w:val="none"/>
              </w:rPr>
            </w:pPr>
            <w:r>
              <w:rPr>
                <w:sz w:val="21"/>
                <w:szCs w:val="21"/>
                <w:highlight w:val="none"/>
              </w:rPr>
              <w:t>连续</w:t>
            </w:r>
          </w:p>
        </w:tc>
        <w:tc>
          <w:tcPr>
            <w:tcW w:w="1336" w:type="pct"/>
            <w:noWrap w:val="0"/>
            <w:vAlign w:val="center"/>
          </w:tcPr>
          <w:p w14:paraId="0AEA9421">
            <w:pPr>
              <w:widowControl/>
              <w:snapToGrid w:val="0"/>
              <w:jc w:val="center"/>
              <w:rPr>
                <w:rFonts w:hint="eastAsia" w:eastAsia="宋体"/>
                <w:sz w:val="21"/>
                <w:szCs w:val="21"/>
                <w:highlight w:val="none"/>
                <w:lang w:eastAsia="zh-CN"/>
              </w:rPr>
            </w:pPr>
            <w:r>
              <w:rPr>
                <w:sz w:val="21"/>
                <w:szCs w:val="21"/>
                <w:highlight w:val="none"/>
              </w:rPr>
              <w:t>去厂内</w:t>
            </w:r>
            <w:r>
              <w:rPr>
                <w:rFonts w:hint="eastAsia"/>
                <w:sz w:val="21"/>
                <w:szCs w:val="21"/>
                <w:highlight w:val="none"/>
                <w:lang w:eastAsia="zh-CN"/>
              </w:rPr>
              <w:t>污水处理厂</w:t>
            </w:r>
          </w:p>
        </w:tc>
      </w:tr>
      <w:tr w14:paraId="6565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1DFF93AF">
            <w:pPr>
              <w:widowControl/>
              <w:snapToGrid w:val="0"/>
              <w:jc w:val="center"/>
              <w:rPr>
                <w:sz w:val="21"/>
                <w:szCs w:val="21"/>
                <w:highlight w:val="none"/>
              </w:rPr>
            </w:pPr>
          </w:p>
        </w:tc>
        <w:tc>
          <w:tcPr>
            <w:tcW w:w="712" w:type="pct"/>
            <w:noWrap w:val="0"/>
            <w:vAlign w:val="center"/>
          </w:tcPr>
          <w:p w14:paraId="2B81DCA6">
            <w:pPr>
              <w:widowControl/>
              <w:snapToGrid w:val="0"/>
              <w:jc w:val="center"/>
              <w:rPr>
                <w:sz w:val="21"/>
                <w:szCs w:val="21"/>
                <w:highlight w:val="none"/>
              </w:rPr>
            </w:pPr>
            <w:r>
              <w:rPr>
                <w:sz w:val="21"/>
                <w:szCs w:val="21"/>
                <w:highlight w:val="none"/>
              </w:rPr>
              <w:t>粉煤气化（公用工程）</w:t>
            </w:r>
          </w:p>
        </w:tc>
        <w:tc>
          <w:tcPr>
            <w:tcW w:w="794" w:type="pct"/>
            <w:noWrap w:val="0"/>
            <w:vAlign w:val="center"/>
          </w:tcPr>
          <w:p w14:paraId="4C1D4C9C">
            <w:pPr>
              <w:widowControl/>
              <w:snapToGrid w:val="0"/>
              <w:jc w:val="center"/>
              <w:rPr>
                <w:sz w:val="21"/>
                <w:szCs w:val="21"/>
                <w:highlight w:val="none"/>
              </w:rPr>
            </w:pPr>
            <w:r>
              <w:rPr>
                <w:sz w:val="21"/>
                <w:szCs w:val="21"/>
                <w:highlight w:val="none"/>
              </w:rPr>
              <w:t>汽包排污</w:t>
            </w:r>
          </w:p>
        </w:tc>
        <w:tc>
          <w:tcPr>
            <w:tcW w:w="628" w:type="pct"/>
            <w:noWrap w:val="0"/>
            <w:vAlign w:val="center"/>
          </w:tcPr>
          <w:p w14:paraId="275A129D">
            <w:pPr>
              <w:widowControl/>
              <w:snapToGrid w:val="0"/>
              <w:jc w:val="center"/>
              <w:rPr>
                <w:sz w:val="21"/>
                <w:szCs w:val="21"/>
                <w:highlight w:val="none"/>
              </w:rPr>
            </w:pPr>
            <w:r>
              <w:rPr>
                <w:sz w:val="21"/>
                <w:szCs w:val="21"/>
                <w:highlight w:val="none"/>
              </w:rPr>
              <w:t>0.5</w:t>
            </w:r>
          </w:p>
        </w:tc>
        <w:tc>
          <w:tcPr>
            <w:tcW w:w="413" w:type="pct"/>
            <w:noWrap w:val="0"/>
            <w:vAlign w:val="center"/>
          </w:tcPr>
          <w:p w14:paraId="0D75E66C">
            <w:pPr>
              <w:widowControl/>
              <w:snapToGrid w:val="0"/>
              <w:jc w:val="center"/>
              <w:rPr>
                <w:sz w:val="21"/>
                <w:szCs w:val="21"/>
                <w:highlight w:val="none"/>
              </w:rPr>
            </w:pPr>
            <w:r>
              <w:rPr>
                <w:sz w:val="21"/>
                <w:szCs w:val="21"/>
                <w:highlight w:val="none"/>
              </w:rPr>
              <w:t>TDS</w:t>
            </w:r>
          </w:p>
        </w:tc>
        <w:tc>
          <w:tcPr>
            <w:tcW w:w="528" w:type="pct"/>
            <w:noWrap w:val="0"/>
            <w:vAlign w:val="center"/>
          </w:tcPr>
          <w:p w14:paraId="7F09DAD1">
            <w:pPr>
              <w:widowControl/>
              <w:snapToGrid w:val="0"/>
              <w:jc w:val="center"/>
              <w:rPr>
                <w:sz w:val="21"/>
                <w:szCs w:val="21"/>
                <w:highlight w:val="none"/>
              </w:rPr>
            </w:pPr>
            <w:r>
              <w:rPr>
                <w:sz w:val="21"/>
                <w:szCs w:val="21"/>
                <w:highlight w:val="none"/>
              </w:rPr>
              <w:t>17</w:t>
            </w:r>
          </w:p>
        </w:tc>
        <w:tc>
          <w:tcPr>
            <w:tcW w:w="190" w:type="pct"/>
            <w:noWrap w:val="0"/>
            <w:vAlign w:val="center"/>
          </w:tcPr>
          <w:p w14:paraId="7640EA44">
            <w:pPr>
              <w:widowControl/>
              <w:snapToGrid w:val="0"/>
              <w:jc w:val="center"/>
              <w:rPr>
                <w:sz w:val="21"/>
                <w:szCs w:val="21"/>
                <w:highlight w:val="none"/>
              </w:rPr>
            </w:pPr>
            <w:r>
              <w:rPr>
                <w:sz w:val="21"/>
                <w:szCs w:val="21"/>
                <w:highlight w:val="none"/>
              </w:rPr>
              <w:t>连续</w:t>
            </w:r>
          </w:p>
        </w:tc>
        <w:tc>
          <w:tcPr>
            <w:tcW w:w="1336" w:type="pct"/>
            <w:noWrap w:val="0"/>
            <w:vAlign w:val="center"/>
          </w:tcPr>
          <w:p w14:paraId="69CB8A0D">
            <w:pPr>
              <w:widowControl/>
              <w:snapToGrid w:val="0"/>
              <w:jc w:val="center"/>
              <w:rPr>
                <w:rFonts w:hint="eastAsia" w:eastAsia="宋体"/>
                <w:sz w:val="21"/>
                <w:szCs w:val="21"/>
                <w:highlight w:val="none"/>
                <w:lang w:eastAsia="zh-CN"/>
              </w:rPr>
            </w:pPr>
            <w:r>
              <w:rPr>
                <w:sz w:val="21"/>
                <w:szCs w:val="21"/>
                <w:highlight w:val="none"/>
              </w:rPr>
              <w:t>去第三循环水</w:t>
            </w:r>
            <w:r>
              <w:rPr>
                <w:rFonts w:hint="eastAsia"/>
                <w:sz w:val="21"/>
                <w:szCs w:val="21"/>
                <w:highlight w:val="none"/>
                <w:lang w:eastAsia="zh-CN"/>
              </w:rPr>
              <w:t>厂</w:t>
            </w:r>
          </w:p>
        </w:tc>
      </w:tr>
      <w:tr w14:paraId="0DF0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59FB4AB4">
            <w:pPr>
              <w:widowControl/>
              <w:snapToGrid w:val="0"/>
              <w:jc w:val="center"/>
              <w:rPr>
                <w:sz w:val="21"/>
                <w:szCs w:val="21"/>
                <w:highlight w:val="none"/>
              </w:rPr>
            </w:pPr>
          </w:p>
        </w:tc>
        <w:tc>
          <w:tcPr>
            <w:tcW w:w="712" w:type="pct"/>
            <w:noWrap w:val="0"/>
            <w:vAlign w:val="center"/>
          </w:tcPr>
          <w:p w14:paraId="2430FDAE">
            <w:pPr>
              <w:widowControl/>
              <w:snapToGrid w:val="0"/>
              <w:jc w:val="center"/>
              <w:rPr>
                <w:sz w:val="21"/>
                <w:szCs w:val="21"/>
                <w:highlight w:val="none"/>
              </w:rPr>
            </w:pPr>
            <w:r>
              <w:rPr>
                <w:sz w:val="21"/>
                <w:szCs w:val="21"/>
                <w:highlight w:val="none"/>
              </w:rPr>
              <w:t>水煤浆气化</w:t>
            </w:r>
          </w:p>
        </w:tc>
        <w:tc>
          <w:tcPr>
            <w:tcW w:w="794" w:type="pct"/>
            <w:noWrap w:val="0"/>
            <w:vAlign w:val="center"/>
          </w:tcPr>
          <w:p w14:paraId="2D7FEF1F">
            <w:pPr>
              <w:widowControl/>
              <w:snapToGrid w:val="0"/>
              <w:jc w:val="center"/>
              <w:rPr>
                <w:sz w:val="21"/>
                <w:szCs w:val="21"/>
                <w:highlight w:val="none"/>
              </w:rPr>
            </w:pPr>
            <w:r>
              <w:rPr>
                <w:sz w:val="21"/>
                <w:szCs w:val="21"/>
                <w:highlight w:val="none"/>
              </w:rPr>
              <w:t>水煤浆气化废水</w:t>
            </w:r>
          </w:p>
        </w:tc>
        <w:tc>
          <w:tcPr>
            <w:tcW w:w="628" w:type="pct"/>
            <w:noWrap w:val="0"/>
            <w:vAlign w:val="center"/>
          </w:tcPr>
          <w:p w14:paraId="1090A428">
            <w:pPr>
              <w:widowControl/>
              <w:snapToGrid w:val="0"/>
              <w:jc w:val="center"/>
              <w:rPr>
                <w:sz w:val="21"/>
                <w:szCs w:val="21"/>
                <w:highlight w:val="none"/>
              </w:rPr>
            </w:pPr>
            <w:r>
              <w:rPr>
                <w:sz w:val="21"/>
                <w:szCs w:val="21"/>
                <w:highlight w:val="none"/>
              </w:rPr>
              <w:t>100.14</w:t>
            </w:r>
          </w:p>
        </w:tc>
        <w:tc>
          <w:tcPr>
            <w:tcW w:w="413" w:type="pct"/>
            <w:noWrap w:val="0"/>
            <w:vAlign w:val="center"/>
          </w:tcPr>
          <w:p w14:paraId="6F9545BB">
            <w:pPr>
              <w:widowControl/>
              <w:snapToGrid w:val="0"/>
              <w:jc w:val="center"/>
              <w:rPr>
                <w:sz w:val="21"/>
                <w:szCs w:val="21"/>
                <w:highlight w:val="none"/>
              </w:rPr>
            </w:pPr>
            <w:r>
              <w:rPr>
                <w:sz w:val="21"/>
                <w:szCs w:val="21"/>
                <w:highlight w:val="none"/>
              </w:rPr>
              <w:t>氨氮</w:t>
            </w:r>
          </w:p>
          <w:p w14:paraId="1EC02D07">
            <w:pPr>
              <w:widowControl/>
              <w:snapToGrid w:val="0"/>
              <w:jc w:val="center"/>
              <w:rPr>
                <w:sz w:val="21"/>
                <w:szCs w:val="21"/>
                <w:highlight w:val="none"/>
              </w:rPr>
            </w:pPr>
            <w:r>
              <w:rPr>
                <w:sz w:val="21"/>
                <w:szCs w:val="21"/>
                <w:highlight w:val="none"/>
              </w:rPr>
              <w:t>SS</w:t>
            </w:r>
          </w:p>
          <w:p w14:paraId="55296054">
            <w:pPr>
              <w:widowControl/>
              <w:snapToGrid w:val="0"/>
              <w:jc w:val="center"/>
              <w:rPr>
                <w:sz w:val="21"/>
                <w:szCs w:val="21"/>
                <w:highlight w:val="none"/>
              </w:rPr>
            </w:pPr>
            <w:r>
              <w:rPr>
                <w:sz w:val="21"/>
                <w:szCs w:val="21"/>
                <w:highlight w:val="none"/>
              </w:rPr>
              <w:t>BOD</w:t>
            </w:r>
          </w:p>
          <w:p w14:paraId="60FEDDE2">
            <w:pPr>
              <w:widowControl/>
              <w:snapToGrid w:val="0"/>
              <w:jc w:val="center"/>
              <w:rPr>
                <w:sz w:val="21"/>
                <w:szCs w:val="21"/>
                <w:highlight w:val="none"/>
              </w:rPr>
            </w:pPr>
            <w:r>
              <w:rPr>
                <w:sz w:val="21"/>
                <w:szCs w:val="21"/>
                <w:highlight w:val="none"/>
              </w:rPr>
              <w:t>COD</w:t>
            </w:r>
          </w:p>
          <w:p w14:paraId="5F819CD3">
            <w:pPr>
              <w:widowControl/>
              <w:snapToGrid w:val="0"/>
              <w:jc w:val="center"/>
              <w:rPr>
                <w:sz w:val="21"/>
                <w:szCs w:val="21"/>
                <w:highlight w:val="none"/>
              </w:rPr>
            </w:pPr>
            <w:r>
              <w:rPr>
                <w:sz w:val="21"/>
                <w:szCs w:val="21"/>
                <w:highlight w:val="none"/>
              </w:rPr>
              <w:t>TDS</w:t>
            </w:r>
          </w:p>
          <w:p w14:paraId="3A2AB98C">
            <w:pPr>
              <w:widowControl/>
              <w:snapToGrid w:val="0"/>
              <w:jc w:val="center"/>
              <w:rPr>
                <w:sz w:val="21"/>
                <w:szCs w:val="21"/>
                <w:highlight w:val="none"/>
              </w:rPr>
            </w:pPr>
            <w:r>
              <w:rPr>
                <w:sz w:val="21"/>
                <w:szCs w:val="21"/>
                <w:highlight w:val="none"/>
              </w:rPr>
              <w:t>Cl</w:t>
            </w:r>
            <w:r>
              <w:rPr>
                <w:sz w:val="21"/>
                <w:szCs w:val="21"/>
                <w:highlight w:val="none"/>
                <w:vertAlign w:val="superscript"/>
              </w:rPr>
              <w:t>-</w:t>
            </w:r>
          </w:p>
          <w:p w14:paraId="3640CA4B">
            <w:pPr>
              <w:widowControl/>
              <w:snapToGrid w:val="0"/>
              <w:jc w:val="center"/>
              <w:rPr>
                <w:sz w:val="21"/>
                <w:szCs w:val="21"/>
                <w:highlight w:val="none"/>
              </w:rPr>
            </w:pPr>
            <w:r>
              <w:rPr>
                <w:sz w:val="21"/>
                <w:szCs w:val="21"/>
                <w:highlight w:val="none"/>
              </w:rPr>
              <w:t>PH</w:t>
            </w:r>
          </w:p>
          <w:p w14:paraId="0E849CF6">
            <w:pPr>
              <w:widowControl/>
              <w:snapToGrid w:val="0"/>
              <w:jc w:val="center"/>
              <w:rPr>
                <w:sz w:val="21"/>
                <w:szCs w:val="21"/>
                <w:highlight w:val="none"/>
              </w:rPr>
            </w:pPr>
            <w:r>
              <w:rPr>
                <w:sz w:val="21"/>
                <w:szCs w:val="21"/>
                <w:highlight w:val="none"/>
              </w:rPr>
              <w:t>CN</w:t>
            </w:r>
            <w:r>
              <w:rPr>
                <w:sz w:val="21"/>
                <w:szCs w:val="21"/>
                <w:highlight w:val="none"/>
                <w:vertAlign w:val="superscript"/>
              </w:rPr>
              <w:t>-</w:t>
            </w:r>
          </w:p>
          <w:p w14:paraId="1CF0B579">
            <w:pPr>
              <w:widowControl/>
              <w:snapToGrid w:val="0"/>
              <w:jc w:val="center"/>
              <w:rPr>
                <w:sz w:val="21"/>
                <w:szCs w:val="21"/>
                <w:highlight w:val="none"/>
              </w:rPr>
            </w:pPr>
            <w:r>
              <w:rPr>
                <w:sz w:val="21"/>
                <w:szCs w:val="21"/>
                <w:highlight w:val="none"/>
              </w:rPr>
              <w:t>硬度</w:t>
            </w:r>
          </w:p>
          <w:p w14:paraId="4B4C5128">
            <w:pPr>
              <w:widowControl/>
              <w:snapToGrid w:val="0"/>
              <w:jc w:val="center"/>
              <w:rPr>
                <w:sz w:val="21"/>
                <w:szCs w:val="21"/>
                <w:highlight w:val="none"/>
              </w:rPr>
            </w:pPr>
            <w:r>
              <w:rPr>
                <w:sz w:val="21"/>
                <w:szCs w:val="21"/>
                <w:highlight w:val="none"/>
              </w:rPr>
              <w:t>碱度</w:t>
            </w:r>
          </w:p>
          <w:p w14:paraId="34C4E183">
            <w:pPr>
              <w:widowControl/>
              <w:snapToGrid w:val="0"/>
              <w:jc w:val="center"/>
              <w:rPr>
                <w:sz w:val="21"/>
                <w:szCs w:val="21"/>
                <w:highlight w:val="none"/>
              </w:rPr>
            </w:pPr>
            <w:r>
              <w:rPr>
                <w:sz w:val="21"/>
                <w:szCs w:val="21"/>
                <w:highlight w:val="none"/>
              </w:rPr>
              <w:t>硫化物</w:t>
            </w:r>
          </w:p>
        </w:tc>
        <w:tc>
          <w:tcPr>
            <w:tcW w:w="528" w:type="pct"/>
            <w:noWrap w:val="0"/>
            <w:vAlign w:val="center"/>
          </w:tcPr>
          <w:p w14:paraId="02461707">
            <w:pPr>
              <w:widowControl/>
              <w:snapToGrid w:val="0"/>
              <w:jc w:val="center"/>
              <w:rPr>
                <w:sz w:val="21"/>
                <w:szCs w:val="21"/>
                <w:highlight w:val="none"/>
              </w:rPr>
            </w:pPr>
            <w:r>
              <w:rPr>
                <w:sz w:val="21"/>
                <w:szCs w:val="21"/>
                <w:highlight w:val="none"/>
              </w:rPr>
              <w:t>200~300</w:t>
            </w:r>
          </w:p>
          <w:p w14:paraId="778F6808">
            <w:pPr>
              <w:widowControl/>
              <w:snapToGrid w:val="0"/>
              <w:jc w:val="center"/>
              <w:rPr>
                <w:sz w:val="21"/>
                <w:szCs w:val="21"/>
                <w:highlight w:val="none"/>
              </w:rPr>
            </w:pPr>
            <w:r>
              <w:rPr>
                <w:sz w:val="21"/>
                <w:szCs w:val="21"/>
                <w:highlight w:val="none"/>
              </w:rPr>
              <w:t>&lt;100</w:t>
            </w:r>
          </w:p>
          <w:p w14:paraId="721F9AD0">
            <w:pPr>
              <w:widowControl/>
              <w:snapToGrid w:val="0"/>
              <w:jc w:val="center"/>
              <w:rPr>
                <w:sz w:val="21"/>
                <w:szCs w:val="21"/>
                <w:highlight w:val="none"/>
              </w:rPr>
            </w:pPr>
            <w:r>
              <w:rPr>
                <w:sz w:val="21"/>
                <w:szCs w:val="21"/>
                <w:highlight w:val="none"/>
              </w:rPr>
              <w:t>250~600</w:t>
            </w:r>
          </w:p>
          <w:p w14:paraId="0EF33F7E">
            <w:pPr>
              <w:widowControl/>
              <w:snapToGrid w:val="0"/>
              <w:jc w:val="center"/>
              <w:rPr>
                <w:sz w:val="21"/>
                <w:szCs w:val="21"/>
                <w:highlight w:val="none"/>
              </w:rPr>
            </w:pPr>
            <w:r>
              <w:rPr>
                <w:sz w:val="21"/>
                <w:szCs w:val="21"/>
                <w:highlight w:val="none"/>
              </w:rPr>
              <w:t>500~1000</w:t>
            </w:r>
          </w:p>
          <w:p w14:paraId="025C3EE1">
            <w:pPr>
              <w:widowControl/>
              <w:snapToGrid w:val="0"/>
              <w:jc w:val="center"/>
              <w:rPr>
                <w:sz w:val="21"/>
                <w:szCs w:val="21"/>
                <w:highlight w:val="none"/>
              </w:rPr>
            </w:pPr>
            <w:r>
              <w:rPr>
                <w:sz w:val="21"/>
                <w:szCs w:val="21"/>
                <w:highlight w:val="none"/>
              </w:rPr>
              <w:t>&lt;3200</w:t>
            </w:r>
          </w:p>
          <w:p w14:paraId="387261A0">
            <w:pPr>
              <w:widowControl/>
              <w:snapToGrid w:val="0"/>
              <w:jc w:val="center"/>
              <w:rPr>
                <w:sz w:val="21"/>
                <w:szCs w:val="21"/>
                <w:highlight w:val="none"/>
              </w:rPr>
            </w:pPr>
            <w:r>
              <w:rPr>
                <w:sz w:val="21"/>
                <w:szCs w:val="21"/>
                <w:highlight w:val="none"/>
              </w:rPr>
              <w:t>&lt;300</w:t>
            </w:r>
          </w:p>
          <w:p w14:paraId="5961501D">
            <w:pPr>
              <w:widowControl/>
              <w:snapToGrid w:val="0"/>
              <w:jc w:val="center"/>
              <w:rPr>
                <w:sz w:val="21"/>
                <w:szCs w:val="21"/>
                <w:highlight w:val="none"/>
              </w:rPr>
            </w:pPr>
            <w:r>
              <w:rPr>
                <w:sz w:val="21"/>
                <w:szCs w:val="21"/>
                <w:highlight w:val="none"/>
              </w:rPr>
              <w:t>7~8</w:t>
            </w:r>
          </w:p>
          <w:p w14:paraId="1EA8A663">
            <w:pPr>
              <w:widowControl/>
              <w:snapToGrid w:val="0"/>
              <w:jc w:val="center"/>
              <w:rPr>
                <w:sz w:val="21"/>
                <w:szCs w:val="21"/>
                <w:highlight w:val="none"/>
              </w:rPr>
            </w:pPr>
            <w:r>
              <w:rPr>
                <w:sz w:val="21"/>
                <w:szCs w:val="21"/>
                <w:highlight w:val="none"/>
              </w:rPr>
              <w:t>&lt;0.5</w:t>
            </w:r>
          </w:p>
          <w:p w14:paraId="3EDB0204">
            <w:pPr>
              <w:widowControl/>
              <w:snapToGrid w:val="0"/>
              <w:jc w:val="center"/>
              <w:rPr>
                <w:sz w:val="21"/>
                <w:szCs w:val="21"/>
                <w:highlight w:val="none"/>
              </w:rPr>
            </w:pPr>
            <w:r>
              <w:rPr>
                <w:sz w:val="21"/>
                <w:szCs w:val="21"/>
                <w:highlight w:val="none"/>
              </w:rPr>
              <w:t>&lt;450</w:t>
            </w:r>
          </w:p>
          <w:p w14:paraId="7FDDDE34">
            <w:pPr>
              <w:widowControl/>
              <w:snapToGrid w:val="0"/>
              <w:jc w:val="center"/>
              <w:rPr>
                <w:sz w:val="21"/>
                <w:szCs w:val="21"/>
                <w:highlight w:val="none"/>
              </w:rPr>
            </w:pPr>
            <w:r>
              <w:rPr>
                <w:sz w:val="21"/>
                <w:szCs w:val="21"/>
                <w:highlight w:val="none"/>
              </w:rPr>
              <w:t>&lt;700</w:t>
            </w:r>
          </w:p>
          <w:p w14:paraId="0D7681A1">
            <w:pPr>
              <w:widowControl/>
              <w:snapToGrid w:val="0"/>
              <w:jc w:val="center"/>
              <w:rPr>
                <w:sz w:val="21"/>
                <w:szCs w:val="21"/>
                <w:highlight w:val="none"/>
              </w:rPr>
            </w:pPr>
            <w:r>
              <w:rPr>
                <w:sz w:val="21"/>
                <w:szCs w:val="21"/>
                <w:highlight w:val="none"/>
              </w:rPr>
              <w:t>9</w:t>
            </w:r>
          </w:p>
        </w:tc>
        <w:tc>
          <w:tcPr>
            <w:tcW w:w="190" w:type="pct"/>
            <w:noWrap w:val="0"/>
            <w:vAlign w:val="center"/>
          </w:tcPr>
          <w:p w14:paraId="24DB1D3A">
            <w:pPr>
              <w:widowControl/>
              <w:snapToGrid w:val="0"/>
              <w:jc w:val="center"/>
              <w:rPr>
                <w:sz w:val="21"/>
                <w:szCs w:val="21"/>
                <w:highlight w:val="none"/>
              </w:rPr>
            </w:pPr>
            <w:r>
              <w:rPr>
                <w:sz w:val="21"/>
                <w:szCs w:val="21"/>
                <w:highlight w:val="none"/>
              </w:rPr>
              <w:t>连续</w:t>
            </w:r>
          </w:p>
        </w:tc>
        <w:tc>
          <w:tcPr>
            <w:tcW w:w="1336" w:type="pct"/>
            <w:noWrap w:val="0"/>
            <w:vAlign w:val="center"/>
          </w:tcPr>
          <w:p w14:paraId="5CB05FE6">
            <w:pPr>
              <w:widowControl/>
              <w:snapToGrid w:val="0"/>
              <w:jc w:val="center"/>
              <w:rPr>
                <w:rFonts w:hint="eastAsia" w:eastAsia="宋体"/>
                <w:sz w:val="21"/>
                <w:szCs w:val="21"/>
                <w:highlight w:val="none"/>
                <w:lang w:eastAsia="zh-CN"/>
              </w:rPr>
            </w:pPr>
            <w:r>
              <w:rPr>
                <w:sz w:val="21"/>
                <w:szCs w:val="21"/>
                <w:highlight w:val="none"/>
              </w:rPr>
              <w:t>去厂内</w:t>
            </w:r>
            <w:r>
              <w:rPr>
                <w:rFonts w:hint="eastAsia"/>
                <w:sz w:val="21"/>
                <w:szCs w:val="21"/>
                <w:highlight w:val="none"/>
                <w:lang w:eastAsia="zh-CN"/>
              </w:rPr>
              <w:t>污水处理厂</w:t>
            </w:r>
          </w:p>
        </w:tc>
      </w:tr>
      <w:tr w14:paraId="7A74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409AD4FC">
            <w:pPr>
              <w:widowControl/>
              <w:snapToGrid w:val="0"/>
              <w:jc w:val="center"/>
              <w:rPr>
                <w:sz w:val="21"/>
                <w:szCs w:val="21"/>
                <w:highlight w:val="none"/>
              </w:rPr>
            </w:pPr>
            <w:r>
              <w:rPr>
                <w:sz w:val="21"/>
                <w:szCs w:val="21"/>
                <w:highlight w:val="none"/>
              </w:rPr>
              <w:t>净化</w:t>
            </w:r>
          </w:p>
          <w:p w14:paraId="6A188015">
            <w:pPr>
              <w:widowControl/>
              <w:snapToGrid w:val="0"/>
              <w:jc w:val="center"/>
              <w:rPr>
                <w:sz w:val="21"/>
                <w:szCs w:val="21"/>
                <w:highlight w:val="none"/>
              </w:rPr>
            </w:pPr>
            <w:r>
              <w:rPr>
                <w:sz w:val="21"/>
                <w:szCs w:val="21"/>
                <w:highlight w:val="none"/>
              </w:rPr>
              <w:t>装置</w:t>
            </w:r>
          </w:p>
        </w:tc>
        <w:tc>
          <w:tcPr>
            <w:tcW w:w="712" w:type="pct"/>
            <w:vMerge w:val="restart"/>
            <w:noWrap w:val="0"/>
            <w:vAlign w:val="center"/>
          </w:tcPr>
          <w:p w14:paraId="2770C7DC">
            <w:pPr>
              <w:widowControl/>
              <w:snapToGrid w:val="0"/>
              <w:jc w:val="center"/>
              <w:rPr>
                <w:sz w:val="21"/>
                <w:szCs w:val="21"/>
                <w:highlight w:val="none"/>
              </w:rPr>
            </w:pPr>
            <w:r>
              <w:rPr>
                <w:sz w:val="21"/>
                <w:szCs w:val="21"/>
                <w:highlight w:val="none"/>
              </w:rPr>
              <w:t>CO变换单元</w:t>
            </w:r>
          </w:p>
        </w:tc>
        <w:tc>
          <w:tcPr>
            <w:tcW w:w="794" w:type="pct"/>
            <w:noWrap w:val="0"/>
            <w:vAlign w:val="center"/>
          </w:tcPr>
          <w:p w14:paraId="5D673553">
            <w:pPr>
              <w:widowControl/>
              <w:snapToGrid w:val="0"/>
              <w:jc w:val="center"/>
              <w:rPr>
                <w:sz w:val="21"/>
                <w:szCs w:val="21"/>
                <w:highlight w:val="none"/>
              </w:rPr>
            </w:pPr>
            <w:r>
              <w:rPr>
                <w:sz w:val="21"/>
                <w:szCs w:val="21"/>
                <w:highlight w:val="none"/>
              </w:rPr>
              <w:t>高温</w:t>
            </w:r>
          </w:p>
          <w:p w14:paraId="6A6881D1">
            <w:pPr>
              <w:widowControl/>
              <w:snapToGrid w:val="0"/>
              <w:jc w:val="center"/>
              <w:rPr>
                <w:sz w:val="21"/>
                <w:szCs w:val="21"/>
                <w:highlight w:val="none"/>
              </w:rPr>
            </w:pPr>
            <w:r>
              <w:rPr>
                <w:sz w:val="21"/>
                <w:szCs w:val="21"/>
                <w:highlight w:val="none"/>
              </w:rPr>
              <w:t>冷凝液</w:t>
            </w:r>
          </w:p>
        </w:tc>
        <w:tc>
          <w:tcPr>
            <w:tcW w:w="628" w:type="pct"/>
            <w:noWrap w:val="0"/>
            <w:vAlign w:val="center"/>
          </w:tcPr>
          <w:p w14:paraId="372AAEE0">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：240.4</w:t>
            </w:r>
          </w:p>
          <w:p w14:paraId="2AFBF531">
            <w:pPr>
              <w:widowControl/>
              <w:snapToGrid w:val="0"/>
              <w:jc w:val="center"/>
              <w:rPr>
                <w:sz w:val="21"/>
                <w:szCs w:val="21"/>
                <w:highlight w:val="none"/>
              </w:rPr>
            </w:pPr>
            <w:r>
              <w:rPr>
                <w:rFonts w:hint="eastAsia"/>
                <w:sz w:val="21"/>
                <w:szCs w:val="21"/>
                <w:highlight w:val="none"/>
                <w:lang w:eastAsia="zh-CN"/>
              </w:rPr>
              <w:t>最大值</w:t>
            </w:r>
            <w:r>
              <w:rPr>
                <w:sz w:val="21"/>
                <w:szCs w:val="21"/>
                <w:highlight w:val="none"/>
              </w:rPr>
              <w:t>：260</w:t>
            </w:r>
          </w:p>
        </w:tc>
        <w:tc>
          <w:tcPr>
            <w:tcW w:w="413" w:type="pct"/>
            <w:noWrap w:val="0"/>
            <w:vAlign w:val="center"/>
          </w:tcPr>
          <w:p w14:paraId="64B581B1">
            <w:pPr>
              <w:widowControl/>
              <w:snapToGrid w:val="0"/>
              <w:jc w:val="center"/>
              <w:rPr>
                <w:sz w:val="21"/>
                <w:szCs w:val="21"/>
                <w:highlight w:val="none"/>
              </w:rPr>
            </w:pPr>
            <w:r>
              <w:rPr>
                <w:sz w:val="21"/>
                <w:szCs w:val="21"/>
                <w:highlight w:val="none"/>
              </w:rPr>
              <w:t>H</w:t>
            </w:r>
            <w:r>
              <w:rPr>
                <w:sz w:val="21"/>
                <w:szCs w:val="21"/>
                <w:highlight w:val="none"/>
                <w:vertAlign w:val="subscript"/>
              </w:rPr>
              <w:t>2</w:t>
            </w:r>
          </w:p>
          <w:p w14:paraId="4D5A201E">
            <w:pPr>
              <w:widowControl/>
              <w:snapToGrid w:val="0"/>
              <w:jc w:val="center"/>
              <w:rPr>
                <w:sz w:val="21"/>
                <w:szCs w:val="21"/>
                <w:highlight w:val="none"/>
              </w:rPr>
            </w:pPr>
            <w:r>
              <w:rPr>
                <w:sz w:val="21"/>
                <w:szCs w:val="21"/>
                <w:highlight w:val="none"/>
              </w:rPr>
              <w:t>CO</w:t>
            </w:r>
          </w:p>
          <w:p w14:paraId="4D0DCB63">
            <w:pPr>
              <w:widowControl/>
              <w:snapToGrid w:val="0"/>
              <w:jc w:val="center"/>
              <w:rPr>
                <w:sz w:val="21"/>
                <w:szCs w:val="21"/>
                <w:highlight w:val="none"/>
              </w:rPr>
            </w:pPr>
            <w:r>
              <w:rPr>
                <w:sz w:val="21"/>
                <w:szCs w:val="21"/>
                <w:highlight w:val="none"/>
              </w:rPr>
              <w:t>CO</w:t>
            </w:r>
            <w:r>
              <w:rPr>
                <w:sz w:val="21"/>
                <w:szCs w:val="21"/>
                <w:highlight w:val="none"/>
                <w:vertAlign w:val="subscript"/>
              </w:rPr>
              <w:t>2</w:t>
            </w:r>
          </w:p>
          <w:p w14:paraId="1A74387A">
            <w:pPr>
              <w:widowControl/>
              <w:snapToGrid w:val="0"/>
              <w:jc w:val="center"/>
              <w:rPr>
                <w:sz w:val="21"/>
                <w:szCs w:val="21"/>
                <w:highlight w:val="none"/>
              </w:rPr>
            </w:pPr>
            <w:r>
              <w:rPr>
                <w:sz w:val="21"/>
                <w:szCs w:val="21"/>
                <w:highlight w:val="none"/>
              </w:rPr>
              <w:t>硫化物</w:t>
            </w:r>
          </w:p>
          <w:p w14:paraId="7EF6978D">
            <w:pPr>
              <w:widowControl/>
              <w:snapToGrid w:val="0"/>
              <w:jc w:val="center"/>
              <w:rPr>
                <w:sz w:val="21"/>
                <w:szCs w:val="21"/>
                <w:highlight w:val="none"/>
              </w:rPr>
            </w:pPr>
            <w:r>
              <w:rPr>
                <w:sz w:val="21"/>
                <w:szCs w:val="21"/>
                <w:highlight w:val="none"/>
              </w:rPr>
              <w:t>NH</w:t>
            </w:r>
            <w:r>
              <w:rPr>
                <w:sz w:val="21"/>
                <w:szCs w:val="21"/>
                <w:highlight w:val="none"/>
                <w:vertAlign w:val="subscript"/>
              </w:rPr>
              <w:t>3</w:t>
            </w:r>
          </w:p>
        </w:tc>
        <w:tc>
          <w:tcPr>
            <w:tcW w:w="528" w:type="pct"/>
            <w:noWrap w:val="0"/>
            <w:vAlign w:val="center"/>
          </w:tcPr>
          <w:p w14:paraId="4A711506">
            <w:pPr>
              <w:widowControl/>
              <w:snapToGrid w:val="0"/>
              <w:jc w:val="center"/>
              <w:rPr>
                <w:sz w:val="21"/>
                <w:szCs w:val="21"/>
                <w:highlight w:val="none"/>
                <w:lang w:val="es-ES"/>
              </w:rPr>
            </w:pPr>
            <w:r>
              <w:rPr>
                <w:sz w:val="21"/>
                <w:szCs w:val="21"/>
                <w:highlight w:val="none"/>
                <w:lang w:val="es-ES"/>
              </w:rPr>
              <w:t>0.000145mol%</w:t>
            </w:r>
          </w:p>
          <w:p w14:paraId="79EA9580">
            <w:pPr>
              <w:widowControl/>
              <w:snapToGrid w:val="0"/>
              <w:jc w:val="center"/>
              <w:rPr>
                <w:sz w:val="21"/>
                <w:szCs w:val="21"/>
                <w:highlight w:val="none"/>
                <w:lang w:val="es-ES"/>
              </w:rPr>
            </w:pPr>
            <w:r>
              <w:rPr>
                <w:sz w:val="21"/>
                <w:szCs w:val="21"/>
                <w:highlight w:val="none"/>
                <w:lang w:val="es-ES"/>
              </w:rPr>
              <w:t>0.000212mol%</w:t>
            </w:r>
          </w:p>
          <w:p w14:paraId="7565E096">
            <w:pPr>
              <w:widowControl/>
              <w:snapToGrid w:val="0"/>
              <w:jc w:val="center"/>
              <w:rPr>
                <w:sz w:val="21"/>
                <w:szCs w:val="21"/>
                <w:highlight w:val="none"/>
                <w:lang w:val="es-ES"/>
              </w:rPr>
            </w:pPr>
            <w:r>
              <w:rPr>
                <w:sz w:val="21"/>
                <w:szCs w:val="21"/>
                <w:highlight w:val="none"/>
                <w:lang w:val="es-ES"/>
              </w:rPr>
              <w:t>0.000767mol%</w:t>
            </w:r>
          </w:p>
          <w:p w14:paraId="456FE763">
            <w:pPr>
              <w:widowControl/>
              <w:snapToGrid w:val="0"/>
              <w:jc w:val="center"/>
              <w:rPr>
                <w:sz w:val="21"/>
                <w:szCs w:val="21"/>
                <w:highlight w:val="none"/>
                <w:lang w:val="es-ES"/>
              </w:rPr>
            </w:pPr>
            <w:r>
              <w:rPr>
                <w:sz w:val="21"/>
                <w:szCs w:val="21"/>
                <w:highlight w:val="none"/>
                <w:lang w:val="es-ES"/>
              </w:rPr>
              <w:t>0.00005mol%</w:t>
            </w:r>
          </w:p>
          <w:p w14:paraId="1C6D1061">
            <w:pPr>
              <w:widowControl/>
              <w:snapToGrid w:val="0"/>
              <w:jc w:val="center"/>
              <w:rPr>
                <w:sz w:val="21"/>
                <w:szCs w:val="21"/>
                <w:highlight w:val="none"/>
                <w:lang w:val="es-ES"/>
              </w:rPr>
            </w:pPr>
            <w:r>
              <w:rPr>
                <w:sz w:val="21"/>
                <w:szCs w:val="21"/>
                <w:highlight w:val="none"/>
                <w:lang w:val="es-ES"/>
              </w:rPr>
              <w:t>0.00003mol%</w:t>
            </w:r>
          </w:p>
        </w:tc>
        <w:tc>
          <w:tcPr>
            <w:tcW w:w="190" w:type="pct"/>
            <w:noWrap w:val="0"/>
            <w:vAlign w:val="center"/>
          </w:tcPr>
          <w:p w14:paraId="5750E091">
            <w:pPr>
              <w:widowControl/>
              <w:snapToGrid w:val="0"/>
              <w:jc w:val="center"/>
              <w:rPr>
                <w:sz w:val="21"/>
                <w:szCs w:val="21"/>
                <w:highlight w:val="none"/>
              </w:rPr>
            </w:pPr>
            <w:r>
              <w:rPr>
                <w:sz w:val="21"/>
                <w:szCs w:val="21"/>
                <w:highlight w:val="none"/>
              </w:rPr>
              <w:t>连续</w:t>
            </w:r>
          </w:p>
        </w:tc>
        <w:tc>
          <w:tcPr>
            <w:tcW w:w="1336" w:type="pct"/>
            <w:noWrap w:val="0"/>
            <w:vAlign w:val="center"/>
          </w:tcPr>
          <w:p w14:paraId="316EAC30">
            <w:pPr>
              <w:widowControl/>
              <w:snapToGrid w:val="0"/>
              <w:jc w:val="center"/>
              <w:rPr>
                <w:sz w:val="21"/>
                <w:szCs w:val="21"/>
                <w:highlight w:val="none"/>
              </w:rPr>
            </w:pPr>
            <w:r>
              <w:rPr>
                <w:sz w:val="21"/>
                <w:szCs w:val="21"/>
                <w:highlight w:val="none"/>
              </w:rPr>
              <w:t>去粉煤气化装置</w:t>
            </w:r>
          </w:p>
        </w:tc>
      </w:tr>
      <w:tr w14:paraId="26F2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3F05714D">
            <w:pPr>
              <w:widowControl/>
              <w:snapToGrid w:val="0"/>
              <w:jc w:val="center"/>
              <w:rPr>
                <w:sz w:val="21"/>
                <w:szCs w:val="21"/>
                <w:highlight w:val="none"/>
              </w:rPr>
            </w:pPr>
          </w:p>
        </w:tc>
        <w:tc>
          <w:tcPr>
            <w:tcW w:w="712" w:type="pct"/>
            <w:vMerge w:val="continue"/>
            <w:noWrap w:val="0"/>
            <w:vAlign w:val="center"/>
          </w:tcPr>
          <w:p w14:paraId="1CBCE243">
            <w:pPr>
              <w:widowControl/>
              <w:snapToGrid w:val="0"/>
              <w:jc w:val="center"/>
              <w:rPr>
                <w:sz w:val="21"/>
                <w:szCs w:val="21"/>
                <w:highlight w:val="none"/>
              </w:rPr>
            </w:pPr>
          </w:p>
        </w:tc>
        <w:tc>
          <w:tcPr>
            <w:tcW w:w="794" w:type="pct"/>
            <w:noWrap w:val="0"/>
            <w:vAlign w:val="center"/>
          </w:tcPr>
          <w:p w14:paraId="344C9346">
            <w:pPr>
              <w:widowControl/>
              <w:snapToGrid w:val="0"/>
              <w:jc w:val="center"/>
              <w:rPr>
                <w:sz w:val="21"/>
                <w:szCs w:val="21"/>
                <w:highlight w:val="none"/>
              </w:rPr>
            </w:pPr>
            <w:r>
              <w:rPr>
                <w:sz w:val="21"/>
                <w:szCs w:val="21"/>
                <w:highlight w:val="none"/>
              </w:rPr>
              <w:t>低温</w:t>
            </w:r>
          </w:p>
          <w:p w14:paraId="2B75A6E6">
            <w:pPr>
              <w:widowControl/>
              <w:snapToGrid w:val="0"/>
              <w:jc w:val="center"/>
              <w:rPr>
                <w:sz w:val="21"/>
                <w:szCs w:val="21"/>
                <w:highlight w:val="none"/>
              </w:rPr>
            </w:pPr>
            <w:r>
              <w:rPr>
                <w:sz w:val="21"/>
                <w:szCs w:val="21"/>
                <w:highlight w:val="none"/>
              </w:rPr>
              <w:t>冷凝液</w:t>
            </w:r>
          </w:p>
        </w:tc>
        <w:tc>
          <w:tcPr>
            <w:tcW w:w="628" w:type="pct"/>
            <w:noWrap w:val="0"/>
            <w:vAlign w:val="center"/>
          </w:tcPr>
          <w:p w14:paraId="042FA18E">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：193</w:t>
            </w:r>
          </w:p>
          <w:p w14:paraId="7D6ADEAA">
            <w:pPr>
              <w:widowControl/>
              <w:snapToGrid w:val="0"/>
              <w:jc w:val="center"/>
              <w:rPr>
                <w:sz w:val="21"/>
                <w:szCs w:val="21"/>
                <w:highlight w:val="none"/>
              </w:rPr>
            </w:pPr>
            <w:r>
              <w:rPr>
                <w:rFonts w:hint="eastAsia"/>
                <w:sz w:val="21"/>
                <w:szCs w:val="21"/>
                <w:highlight w:val="none"/>
                <w:lang w:eastAsia="zh-CN"/>
              </w:rPr>
              <w:t>最大值</w:t>
            </w:r>
            <w:r>
              <w:rPr>
                <w:sz w:val="21"/>
                <w:szCs w:val="21"/>
                <w:highlight w:val="none"/>
              </w:rPr>
              <w:t>：234</w:t>
            </w:r>
          </w:p>
        </w:tc>
        <w:tc>
          <w:tcPr>
            <w:tcW w:w="413" w:type="pct"/>
            <w:noWrap w:val="0"/>
            <w:vAlign w:val="center"/>
          </w:tcPr>
          <w:p w14:paraId="1DC0E9CE">
            <w:pPr>
              <w:widowControl/>
              <w:snapToGrid w:val="0"/>
              <w:jc w:val="center"/>
              <w:rPr>
                <w:sz w:val="21"/>
                <w:szCs w:val="21"/>
                <w:highlight w:val="none"/>
                <w:vertAlign w:val="subscript"/>
              </w:rPr>
            </w:pPr>
            <w:r>
              <w:rPr>
                <w:sz w:val="21"/>
                <w:szCs w:val="21"/>
                <w:highlight w:val="none"/>
              </w:rPr>
              <w:t>NH</w:t>
            </w:r>
            <w:r>
              <w:rPr>
                <w:sz w:val="21"/>
                <w:szCs w:val="21"/>
                <w:highlight w:val="none"/>
                <w:vertAlign w:val="subscript"/>
              </w:rPr>
              <w:t>3</w:t>
            </w:r>
          </w:p>
          <w:p w14:paraId="6F6B1EE7">
            <w:pPr>
              <w:widowControl/>
              <w:snapToGrid w:val="0"/>
              <w:jc w:val="center"/>
              <w:rPr>
                <w:sz w:val="21"/>
                <w:szCs w:val="21"/>
                <w:highlight w:val="none"/>
              </w:rPr>
            </w:pPr>
            <w:r>
              <w:rPr>
                <w:sz w:val="21"/>
                <w:szCs w:val="21"/>
                <w:highlight w:val="none"/>
              </w:rPr>
              <w:t>HCN</w:t>
            </w:r>
          </w:p>
        </w:tc>
        <w:tc>
          <w:tcPr>
            <w:tcW w:w="528" w:type="pct"/>
            <w:noWrap w:val="0"/>
            <w:vAlign w:val="center"/>
          </w:tcPr>
          <w:p w14:paraId="39510108">
            <w:pPr>
              <w:widowControl/>
              <w:snapToGrid w:val="0"/>
              <w:jc w:val="center"/>
              <w:rPr>
                <w:sz w:val="21"/>
                <w:szCs w:val="21"/>
                <w:highlight w:val="none"/>
              </w:rPr>
            </w:pPr>
            <w:r>
              <w:rPr>
                <w:sz w:val="21"/>
                <w:szCs w:val="21"/>
                <w:highlight w:val="none"/>
              </w:rPr>
              <w:t>50ppm</w:t>
            </w:r>
          </w:p>
          <w:p w14:paraId="323DBFE1">
            <w:pPr>
              <w:widowControl/>
              <w:snapToGrid w:val="0"/>
              <w:jc w:val="center"/>
              <w:rPr>
                <w:sz w:val="21"/>
                <w:szCs w:val="21"/>
                <w:highlight w:val="none"/>
              </w:rPr>
            </w:pPr>
            <w:r>
              <w:rPr>
                <w:sz w:val="21"/>
                <w:szCs w:val="21"/>
                <w:highlight w:val="none"/>
              </w:rPr>
              <w:t>1ppm</w:t>
            </w:r>
          </w:p>
        </w:tc>
        <w:tc>
          <w:tcPr>
            <w:tcW w:w="190" w:type="pct"/>
            <w:noWrap w:val="0"/>
            <w:vAlign w:val="center"/>
          </w:tcPr>
          <w:p w14:paraId="5361968A">
            <w:pPr>
              <w:widowControl/>
              <w:snapToGrid w:val="0"/>
              <w:jc w:val="center"/>
              <w:rPr>
                <w:sz w:val="21"/>
                <w:szCs w:val="21"/>
                <w:highlight w:val="none"/>
              </w:rPr>
            </w:pPr>
            <w:r>
              <w:rPr>
                <w:sz w:val="21"/>
                <w:szCs w:val="21"/>
                <w:highlight w:val="none"/>
              </w:rPr>
              <w:t>连续</w:t>
            </w:r>
          </w:p>
        </w:tc>
        <w:tc>
          <w:tcPr>
            <w:tcW w:w="1336" w:type="pct"/>
            <w:noWrap w:val="0"/>
            <w:vAlign w:val="center"/>
          </w:tcPr>
          <w:p w14:paraId="742A689A">
            <w:pPr>
              <w:widowControl/>
              <w:snapToGrid w:val="0"/>
              <w:jc w:val="center"/>
              <w:rPr>
                <w:sz w:val="21"/>
                <w:szCs w:val="21"/>
                <w:highlight w:val="none"/>
              </w:rPr>
            </w:pPr>
            <w:r>
              <w:rPr>
                <w:sz w:val="21"/>
                <w:szCs w:val="21"/>
                <w:highlight w:val="none"/>
              </w:rPr>
              <w:t>去酸水汽提单元</w:t>
            </w:r>
          </w:p>
        </w:tc>
      </w:tr>
      <w:tr w14:paraId="704B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4355265E">
            <w:pPr>
              <w:widowControl/>
              <w:snapToGrid w:val="0"/>
              <w:jc w:val="center"/>
              <w:rPr>
                <w:sz w:val="21"/>
                <w:szCs w:val="21"/>
                <w:highlight w:val="none"/>
              </w:rPr>
            </w:pPr>
          </w:p>
        </w:tc>
        <w:tc>
          <w:tcPr>
            <w:tcW w:w="712" w:type="pct"/>
            <w:vMerge w:val="restart"/>
            <w:noWrap w:val="0"/>
            <w:vAlign w:val="center"/>
          </w:tcPr>
          <w:p w14:paraId="7475B5FB">
            <w:pPr>
              <w:widowControl/>
              <w:snapToGrid w:val="0"/>
              <w:jc w:val="center"/>
              <w:rPr>
                <w:sz w:val="21"/>
                <w:szCs w:val="21"/>
                <w:highlight w:val="none"/>
              </w:rPr>
            </w:pPr>
            <w:r>
              <w:rPr>
                <w:sz w:val="21"/>
                <w:szCs w:val="21"/>
                <w:highlight w:val="none"/>
              </w:rPr>
              <w:t>低温甲醇洗单元</w:t>
            </w:r>
          </w:p>
        </w:tc>
        <w:tc>
          <w:tcPr>
            <w:tcW w:w="794" w:type="pct"/>
            <w:noWrap w:val="0"/>
            <w:vAlign w:val="center"/>
          </w:tcPr>
          <w:p w14:paraId="4069D6C9">
            <w:pPr>
              <w:widowControl/>
              <w:snapToGrid w:val="0"/>
              <w:jc w:val="center"/>
              <w:rPr>
                <w:sz w:val="21"/>
                <w:szCs w:val="21"/>
                <w:highlight w:val="none"/>
              </w:rPr>
            </w:pPr>
            <w:r>
              <w:rPr>
                <w:sz w:val="21"/>
                <w:szCs w:val="21"/>
                <w:highlight w:val="none"/>
              </w:rPr>
              <w:t>洗氨废水</w:t>
            </w:r>
          </w:p>
        </w:tc>
        <w:tc>
          <w:tcPr>
            <w:tcW w:w="628" w:type="pct"/>
            <w:noWrap w:val="0"/>
            <w:vAlign w:val="center"/>
          </w:tcPr>
          <w:p w14:paraId="72827906">
            <w:pPr>
              <w:widowControl/>
              <w:snapToGrid w:val="0"/>
              <w:jc w:val="center"/>
              <w:rPr>
                <w:sz w:val="21"/>
                <w:szCs w:val="21"/>
                <w:highlight w:val="none"/>
              </w:rPr>
            </w:pPr>
            <w:r>
              <w:rPr>
                <w:sz w:val="21"/>
                <w:szCs w:val="21"/>
                <w:highlight w:val="none"/>
              </w:rPr>
              <w:t>16.12</w:t>
            </w:r>
          </w:p>
        </w:tc>
        <w:tc>
          <w:tcPr>
            <w:tcW w:w="413" w:type="pct"/>
            <w:noWrap w:val="0"/>
            <w:vAlign w:val="center"/>
          </w:tcPr>
          <w:p w14:paraId="46B58866">
            <w:pPr>
              <w:widowControl/>
              <w:snapToGrid w:val="0"/>
              <w:jc w:val="center"/>
              <w:rPr>
                <w:sz w:val="21"/>
                <w:szCs w:val="21"/>
                <w:highlight w:val="none"/>
              </w:rPr>
            </w:pPr>
            <w:r>
              <w:rPr>
                <w:sz w:val="21"/>
                <w:szCs w:val="21"/>
                <w:highlight w:val="none"/>
              </w:rPr>
              <w:t>硫化物</w:t>
            </w:r>
          </w:p>
          <w:p w14:paraId="78C4B6EB">
            <w:pPr>
              <w:widowControl/>
              <w:snapToGrid w:val="0"/>
              <w:jc w:val="center"/>
              <w:rPr>
                <w:sz w:val="21"/>
                <w:szCs w:val="21"/>
                <w:highlight w:val="none"/>
              </w:rPr>
            </w:pPr>
            <w:r>
              <w:rPr>
                <w:sz w:val="21"/>
                <w:szCs w:val="21"/>
                <w:highlight w:val="none"/>
              </w:rPr>
              <w:t>NH</w:t>
            </w:r>
            <w:r>
              <w:rPr>
                <w:sz w:val="21"/>
                <w:szCs w:val="21"/>
                <w:highlight w:val="none"/>
                <w:vertAlign w:val="subscript"/>
              </w:rPr>
              <w:t>3</w:t>
            </w:r>
          </w:p>
        </w:tc>
        <w:tc>
          <w:tcPr>
            <w:tcW w:w="528" w:type="pct"/>
            <w:noWrap w:val="0"/>
            <w:vAlign w:val="center"/>
          </w:tcPr>
          <w:p w14:paraId="5C43E32E">
            <w:pPr>
              <w:widowControl/>
              <w:snapToGrid w:val="0"/>
              <w:jc w:val="center"/>
              <w:rPr>
                <w:sz w:val="21"/>
                <w:szCs w:val="21"/>
                <w:highlight w:val="none"/>
              </w:rPr>
            </w:pPr>
            <w:r>
              <w:rPr>
                <w:sz w:val="21"/>
                <w:szCs w:val="21"/>
                <w:highlight w:val="none"/>
              </w:rPr>
              <w:t>0.000127mol%</w:t>
            </w:r>
          </w:p>
          <w:p w14:paraId="12514E41">
            <w:pPr>
              <w:widowControl/>
              <w:snapToGrid w:val="0"/>
              <w:jc w:val="center"/>
              <w:rPr>
                <w:sz w:val="21"/>
                <w:szCs w:val="21"/>
                <w:highlight w:val="none"/>
              </w:rPr>
            </w:pPr>
            <w:r>
              <w:rPr>
                <w:sz w:val="21"/>
                <w:szCs w:val="21"/>
                <w:highlight w:val="none"/>
              </w:rPr>
              <w:t>0.000565mol%</w:t>
            </w:r>
          </w:p>
        </w:tc>
        <w:tc>
          <w:tcPr>
            <w:tcW w:w="190" w:type="pct"/>
            <w:noWrap w:val="0"/>
            <w:vAlign w:val="center"/>
          </w:tcPr>
          <w:p w14:paraId="77B9F823">
            <w:pPr>
              <w:widowControl/>
              <w:snapToGrid w:val="0"/>
              <w:jc w:val="center"/>
              <w:rPr>
                <w:sz w:val="21"/>
                <w:szCs w:val="21"/>
                <w:highlight w:val="none"/>
              </w:rPr>
            </w:pPr>
            <w:r>
              <w:rPr>
                <w:sz w:val="21"/>
                <w:szCs w:val="21"/>
                <w:highlight w:val="none"/>
              </w:rPr>
              <w:t>连续</w:t>
            </w:r>
          </w:p>
        </w:tc>
        <w:tc>
          <w:tcPr>
            <w:tcW w:w="1336" w:type="pct"/>
            <w:noWrap w:val="0"/>
            <w:vAlign w:val="center"/>
          </w:tcPr>
          <w:p w14:paraId="5B2519DF">
            <w:pPr>
              <w:widowControl/>
              <w:snapToGrid w:val="0"/>
              <w:jc w:val="center"/>
              <w:rPr>
                <w:sz w:val="21"/>
                <w:szCs w:val="21"/>
                <w:highlight w:val="none"/>
              </w:rPr>
            </w:pPr>
            <w:r>
              <w:rPr>
                <w:sz w:val="21"/>
                <w:szCs w:val="21"/>
                <w:highlight w:val="none"/>
              </w:rPr>
              <w:t>去酸水汽提单元</w:t>
            </w:r>
          </w:p>
        </w:tc>
      </w:tr>
      <w:tr w14:paraId="5D1A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3EC0A874">
            <w:pPr>
              <w:widowControl/>
              <w:snapToGrid w:val="0"/>
              <w:jc w:val="center"/>
              <w:rPr>
                <w:sz w:val="21"/>
                <w:szCs w:val="21"/>
                <w:highlight w:val="none"/>
              </w:rPr>
            </w:pPr>
          </w:p>
        </w:tc>
        <w:tc>
          <w:tcPr>
            <w:tcW w:w="712" w:type="pct"/>
            <w:vMerge w:val="continue"/>
            <w:noWrap w:val="0"/>
            <w:vAlign w:val="center"/>
          </w:tcPr>
          <w:p w14:paraId="2520EFC1">
            <w:pPr>
              <w:widowControl/>
              <w:snapToGrid w:val="0"/>
              <w:jc w:val="center"/>
              <w:rPr>
                <w:sz w:val="21"/>
                <w:szCs w:val="21"/>
                <w:highlight w:val="none"/>
              </w:rPr>
            </w:pPr>
          </w:p>
        </w:tc>
        <w:tc>
          <w:tcPr>
            <w:tcW w:w="794" w:type="pct"/>
            <w:noWrap w:val="0"/>
            <w:vAlign w:val="center"/>
          </w:tcPr>
          <w:p w14:paraId="72DA0838">
            <w:pPr>
              <w:widowControl/>
              <w:snapToGrid w:val="0"/>
              <w:jc w:val="center"/>
              <w:rPr>
                <w:sz w:val="21"/>
                <w:szCs w:val="21"/>
                <w:highlight w:val="none"/>
              </w:rPr>
            </w:pPr>
            <w:r>
              <w:rPr>
                <w:sz w:val="21"/>
                <w:szCs w:val="21"/>
                <w:highlight w:val="none"/>
              </w:rPr>
              <w:t>废水</w:t>
            </w:r>
          </w:p>
        </w:tc>
        <w:tc>
          <w:tcPr>
            <w:tcW w:w="628" w:type="pct"/>
            <w:noWrap w:val="0"/>
            <w:vAlign w:val="center"/>
          </w:tcPr>
          <w:p w14:paraId="4EA2E4A5">
            <w:pPr>
              <w:widowControl/>
              <w:snapToGrid w:val="0"/>
              <w:jc w:val="center"/>
              <w:rPr>
                <w:sz w:val="21"/>
                <w:szCs w:val="21"/>
                <w:highlight w:val="none"/>
              </w:rPr>
            </w:pPr>
            <w:r>
              <w:rPr>
                <w:sz w:val="21"/>
                <w:szCs w:val="21"/>
                <w:highlight w:val="none"/>
              </w:rPr>
              <w:t>15.7</w:t>
            </w:r>
          </w:p>
        </w:tc>
        <w:tc>
          <w:tcPr>
            <w:tcW w:w="413" w:type="pct"/>
            <w:noWrap w:val="0"/>
            <w:vAlign w:val="center"/>
          </w:tcPr>
          <w:p w14:paraId="5D50032A">
            <w:pPr>
              <w:widowControl/>
              <w:snapToGrid w:val="0"/>
              <w:jc w:val="center"/>
              <w:rPr>
                <w:sz w:val="21"/>
                <w:szCs w:val="21"/>
                <w:highlight w:val="none"/>
              </w:rPr>
            </w:pPr>
            <w:r>
              <w:rPr>
                <w:sz w:val="21"/>
                <w:szCs w:val="21"/>
                <w:highlight w:val="none"/>
              </w:rPr>
              <w:t>COD</w:t>
            </w:r>
          </w:p>
          <w:p w14:paraId="6A8887F3">
            <w:pPr>
              <w:widowControl/>
              <w:snapToGrid w:val="0"/>
              <w:jc w:val="center"/>
              <w:rPr>
                <w:sz w:val="21"/>
                <w:szCs w:val="21"/>
                <w:highlight w:val="none"/>
              </w:rPr>
            </w:pPr>
            <w:r>
              <w:rPr>
                <w:sz w:val="21"/>
                <w:szCs w:val="21"/>
                <w:highlight w:val="none"/>
              </w:rPr>
              <w:t>BOD</w:t>
            </w:r>
          </w:p>
          <w:p w14:paraId="454D86CB">
            <w:pPr>
              <w:widowControl/>
              <w:snapToGrid w:val="0"/>
              <w:jc w:val="center"/>
              <w:rPr>
                <w:sz w:val="21"/>
                <w:szCs w:val="21"/>
                <w:highlight w:val="none"/>
              </w:rPr>
            </w:pPr>
            <w:r>
              <w:rPr>
                <w:sz w:val="21"/>
                <w:szCs w:val="21"/>
                <w:highlight w:val="none"/>
              </w:rPr>
              <w:t>CH</w:t>
            </w:r>
            <w:r>
              <w:rPr>
                <w:sz w:val="21"/>
                <w:szCs w:val="21"/>
                <w:highlight w:val="none"/>
                <w:vertAlign w:val="subscript"/>
              </w:rPr>
              <w:t>3</w:t>
            </w:r>
            <w:r>
              <w:rPr>
                <w:sz w:val="21"/>
                <w:szCs w:val="21"/>
                <w:highlight w:val="none"/>
              </w:rPr>
              <w:t>OH</w:t>
            </w:r>
          </w:p>
        </w:tc>
        <w:tc>
          <w:tcPr>
            <w:tcW w:w="528" w:type="pct"/>
            <w:noWrap w:val="0"/>
            <w:vAlign w:val="center"/>
          </w:tcPr>
          <w:p w14:paraId="53897B28">
            <w:pPr>
              <w:widowControl/>
              <w:snapToGrid w:val="0"/>
              <w:jc w:val="center"/>
              <w:rPr>
                <w:sz w:val="21"/>
                <w:szCs w:val="21"/>
                <w:highlight w:val="none"/>
              </w:rPr>
            </w:pPr>
            <w:r>
              <w:rPr>
                <w:sz w:val="21"/>
                <w:szCs w:val="21"/>
                <w:highlight w:val="none"/>
              </w:rPr>
              <w:t>150</w:t>
            </w:r>
          </w:p>
          <w:p w14:paraId="14AFF1A6">
            <w:pPr>
              <w:widowControl/>
              <w:snapToGrid w:val="0"/>
              <w:jc w:val="center"/>
              <w:rPr>
                <w:sz w:val="21"/>
                <w:szCs w:val="21"/>
                <w:highlight w:val="none"/>
              </w:rPr>
            </w:pPr>
            <w:r>
              <w:rPr>
                <w:sz w:val="21"/>
                <w:szCs w:val="21"/>
                <w:highlight w:val="none"/>
              </w:rPr>
              <w:t>77</w:t>
            </w:r>
          </w:p>
          <w:p w14:paraId="44901D33">
            <w:pPr>
              <w:widowControl/>
              <w:snapToGrid w:val="0"/>
              <w:jc w:val="center"/>
              <w:rPr>
                <w:sz w:val="21"/>
                <w:szCs w:val="21"/>
                <w:highlight w:val="none"/>
              </w:rPr>
            </w:pPr>
            <w:r>
              <w:rPr>
                <w:sz w:val="21"/>
                <w:szCs w:val="21"/>
                <w:highlight w:val="none"/>
              </w:rPr>
              <w:t>0.007029mol%</w:t>
            </w:r>
          </w:p>
        </w:tc>
        <w:tc>
          <w:tcPr>
            <w:tcW w:w="190" w:type="pct"/>
            <w:noWrap w:val="0"/>
            <w:vAlign w:val="center"/>
          </w:tcPr>
          <w:p w14:paraId="264DE20B">
            <w:pPr>
              <w:widowControl/>
              <w:snapToGrid w:val="0"/>
              <w:jc w:val="center"/>
              <w:rPr>
                <w:sz w:val="21"/>
                <w:szCs w:val="21"/>
                <w:highlight w:val="none"/>
              </w:rPr>
            </w:pPr>
            <w:r>
              <w:rPr>
                <w:sz w:val="21"/>
                <w:szCs w:val="21"/>
                <w:highlight w:val="none"/>
              </w:rPr>
              <w:t>连续</w:t>
            </w:r>
          </w:p>
        </w:tc>
        <w:tc>
          <w:tcPr>
            <w:tcW w:w="1336" w:type="pct"/>
            <w:noWrap w:val="0"/>
            <w:vAlign w:val="center"/>
          </w:tcPr>
          <w:p w14:paraId="64371D68">
            <w:pPr>
              <w:widowControl/>
              <w:snapToGrid w:val="0"/>
              <w:jc w:val="center"/>
              <w:rPr>
                <w:rFonts w:hint="eastAsia" w:eastAsia="宋体"/>
                <w:sz w:val="21"/>
                <w:szCs w:val="21"/>
                <w:highlight w:val="none"/>
                <w:lang w:eastAsia="zh-CN"/>
              </w:rPr>
            </w:pPr>
            <w:r>
              <w:rPr>
                <w:sz w:val="21"/>
                <w:szCs w:val="21"/>
                <w:highlight w:val="none"/>
              </w:rPr>
              <w:t>送厂内</w:t>
            </w:r>
            <w:r>
              <w:rPr>
                <w:rFonts w:hint="eastAsia"/>
                <w:sz w:val="21"/>
                <w:szCs w:val="21"/>
                <w:highlight w:val="none"/>
                <w:lang w:eastAsia="zh-CN"/>
              </w:rPr>
              <w:t>污水处理厂</w:t>
            </w:r>
          </w:p>
        </w:tc>
      </w:tr>
      <w:tr w14:paraId="405A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3F735A3D">
            <w:pPr>
              <w:widowControl/>
              <w:snapToGrid w:val="0"/>
              <w:jc w:val="center"/>
              <w:rPr>
                <w:sz w:val="21"/>
                <w:szCs w:val="21"/>
                <w:highlight w:val="none"/>
              </w:rPr>
            </w:pPr>
          </w:p>
        </w:tc>
        <w:tc>
          <w:tcPr>
            <w:tcW w:w="712" w:type="pct"/>
            <w:vMerge w:val="restart"/>
            <w:noWrap w:val="0"/>
            <w:vAlign w:val="center"/>
          </w:tcPr>
          <w:p w14:paraId="6A618CC9">
            <w:pPr>
              <w:widowControl/>
              <w:snapToGrid w:val="0"/>
              <w:jc w:val="center"/>
              <w:rPr>
                <w:sz w:val="21"/>
                <w:szCs w:val="21"/>
                <w:highlight w:val="none"/>
              </w:rPr>
            </w:pPr>
            <w:r>
              <w:rPr>
                <w:sz w:val="21"/>
                <w:szCs w:val="21"/>
                <w:highlight w:val="none"/>
              </w:rPr>
              <w:t>硫回收单元</w:t>
            </w:r>
          </w:p>
        </w:tc>
        <w:tc>
          <w:tcPr>
            <w:tcW w:w="794" w:type="pct"/>
            <w:noWrap w:val="0"/>
            <w:vAlign w:val="center"/>
          </w:tcPr>
          <w:p w14:paraId="17B4D71D">
            <w:pPr>
              <w:widowControl/>
              <w:snapToGrid w:val="0"/>
              <w:jc w:val="center"/>
              <w:rPr>
                <w:sz w:val="21"/>
                <w:szCs w:val="21"/>
                <w:highlight w:val="none"/>
              </w:rPr>
            </w:pPr>
            <w:r>
              <w:rPr>
                <w:sz w:val="21"/>
                <w:szCs w:val="21"/>
                <w:highlight w:val="none"/>
              </w:rPr>
              <w:t>酸性水1（含甲醇）</w:t>
            </w:r>
          </w:p>
        </w:tc>
        <w:tc>
          <w:tcPr>
            <w:tcW w:w="628" w:type="pct"/>
            <w:noWrap w:val="0"/>
            <w:vAlign w:val="center"/>
          </w:tcPr>
          <w:p w14:paraId="1A47FB85">
            <w:pPr>
              <w:widowControl/>
              <w:snapToGrid w:val="0"/>
              <w:jc w:val="center"/>
              <w:rPr>
                <w:sz w:val="21"/>
                <w:szCs w:val="21"/>
                <w:highlight w:val="none"/>
              </w:rPr>
            </w:pPr>
            <w:r>
              <w:rPr>
                <w:sz w:val="21"/>
                <w:szCs w:val="21"/>
                <w:highlight w:val="none"/>
              </w:rPr>
              <w:t>1.8</w:t>
            </w:r>
          </w:p>
        </w:tc>
        <w:tc>
          <w:tcPr>
            <w:tcW w:w="413" w:type="pct"/>
            <w:noWrap w:val="0"/>
            <w:vAlign w:val="center"/>
          </w:tcPr>
          <w:p w14:paraId="788BFC04">
            <w:pPr>
              <w:widowControl/>
              <w:snapToGrid w:val="0"/>
              <w:jc w:val="center"/>
              <w:rPr>
                <w:sz w:val="21"/>
                <w:szCs w:val="21"/>
                <w:highlight w:val="none"/>
              </w:rPr>
            </w:pPr>
            <w:r>
              <w:rPr>
                <w:sz w:val="21"/>
                <w:szCs w:val="21"/>
                <w:highlight w:val="none"/>
              </w:rPr>
              <w:t>CH</w:t>
            </w:r>
            <w:r>
              <w:rPr>
                <w:sz w:val="21"/>
                <w:szCs w:val="21"/>
                <w:highlight w:val="none"/>
                <w:vertAlign w:val="subscript"/>
              </w:rPr>
              <w:t>3</w:t>
            </w:r>
            <w:r>
              <w:rPr>
                <w:sz w:val="21"/>
                <w:szCs w:val="21"/>
                <w:highlight w:val="none"/>
              </w:rPr>
              <w:t>OH</w:t>
            </w:r>
          </w:p>
          <w:p w14:paraId="4333ED94">
            <w:pPr>
              <w:widowControl/>
              <w:snapToGrid w:val="0"/>
              <w:jc w:val="center"/>
              <w:rPr>
                <w:sz w:val="21"/>
                <w:szCs w:val="21"/>
                <w:highlight w:val="none"/>
              </w:rPr>
            </w:pPr>
            <w:r>
              <w:rPr>
                <w:sz w:val="21"/>
                <w:szCs w:val="21"/>
                <w:highlight w:val="none"/>
              </w:rPr>
              <w:t>CO</w:t>
            </w:r>
            <w:r>
              <w:rPr>
                <w:sz w:val="21"/>
                <w:szCs w:val="21"/>
                <w:highlight w:val="none"/>
                <w:vertAlign w:val="subscript"/>
              </w:rPr>
              <w:t>2</w:t>
            </w:r>
          </w:p>
          <w:p w14:paraId="3FCF14CB">
            <w:pPr>
              <w:widowControl/>
              <w:snapToGrid w:val="0"/>
              <w:jc w:val="center"/>
              <w:rPr>
                <w:sz w:val="21"/>
                <w:szCs w:val="21"/>
                <w:highlight w:val="none"/>
              </w:rPr>
            </w:pPr>
            <w:r>
              <w:rPr>
                <w:sz w:val="21"/>
                <w:szCs w:val="21"/>
                <w:highlight w:val="none"/>
              </w:rPr>
              <w:t>硫化物</w:t>
            </w:r>
          </w:p>
        </w:tc>
        <w:tc>
          <w:tcPr>
            <w:tcW w:w="528" w:type="pct"/>
            <w:noWrap w:val="0"/>
            <w:vAlign w:val="center"/>
          </w:tcPr>
          <w:p w14:paraId="112083EC">
            <w:pPr>
              <w:widowControl/>
              <w:snapToGrid w:val="0"/>
              <w:jc w:val="center"/>
              <w:rPr>
                <w:sz w:val="21"/>
                <w:szCs w:val="21"/>
                <w:highlight w:val="none"/>
              </w:rPr>
            </w:pPr>
            <w:r>
              <w:rPr>
                <w:sz w:val="21"/>
                <w:szCs w:val="21"/>
                <w:highlight w:val="none"/>
              </w:rPr>
              <w:t>0.0019mol%</w:t>
            </w:r>
          </w:p>
          <w:p w14:paraId="15AD2109">
            <w:pPr>
              <w:widowControl/>
              <w:snapToGrid w:val="0"/>
              <w:jc w:val="center"/>
              <w:rPr>
                <w:sz w:val="21"/>
                <w:szCs w:val="21"/>
                <w:highlight w:val="none"/>
              </w:rPr>
            </w:pPr>
            <w:r>
              <w:rPr>
                <w:sz w:val="21"/>
                <w:szCs w:val="21"/>
                <w:highlight w:val="none"/>
              </w:rPr>
              <w:t>0.0185mol%</w:t>
            </w:r>
          </w:p>
          <w:p w14:paraId="5505211D">
            <w:pPr>
              <w:widowControl/>
              <w:snapToGrid w:val="0"/>
              <w:jc w:val="center"/>
              <w:rPr>
                <w:sz w:val="21"/>
                <w:szCs w:val="21"/>
                <w:highlight w:val="none"/>
              </w:rPr>
            </w:pPr>
            <w:r>
              <w:rPr>
                <w:sz w:val="21"/>
                <w:szCs w:val="21"/>
                <w:highlight w:val="none"/>
              </w:rPr>
              <w:t>0.0409mol%</w:t>
            </w:r>
          </w:p>
        </w:tc>
        <w:tc>
          <w:tcPr>
            <w:tcW w:w="190" w:type="pct"/>
            <w:noWrap w:val="0"/>
            <w:vAlign w:val="center"/>
          </w:tcPr>
          <w:p w14:paraId="43593852">
            <w:pPr>
              <w:widowControl/>
              <w:snapToGrid w:val="0"/>
              <w:jc w:val="center"/>
              <w:rPr>
                <w:sz w:val="21"/>
                <w:szCs w:val="21"/>
                <w:highlight w:val="none"/>
              </w:rPr>
            </w:pPr>
            <w:r>
              <w:rPr>
                <w:sz w:val="21"/>
                <w:szCs w:val="21"/>
                <w:highlight w:val="none"/>
              </w:rPr>
              <w:t>连续</w:t>
            </w:r>
          </w:p>
        </w:tc>
        <w:tc>
          <w:tcPr>
            <w:tcW w:w="1336" w:type="pct"/>
            <w:noWrap w:val="0"/>
            <w:vAlign w:val="center"/>
          </w:tcPr>
          <w:p w14:paraId="61ACD4BD">
            <w:pPr>
              <w:widowControl/>
              <w:snapToGrid w:val="0"/>
              <w:jc w:val="center"/>
              <w:rPr>
                <w:rFonts w:hint="eastAsia" w:eastAsia="宋体"/>
                <w:sz w:val="21"/>
                <w:szCs w:val="21"/>
                <w:highlight w:val="none"/>
                <w:lang w:eastAsia="zh-CN"/>
              </w:rPr>
            </w:pPr>
            <w:r>
              <w:rPr>
                <w:sz w:val="21"/>
                <w:szCs w:val="21"/>
                <w:highlight w:val="none"/>
              </w:rPr>
              <w:t>去厂内</w:t>
            </w:r>
            <w:r>
              <w:rPr>
                <w:rFonts w:hint="eastAsia"/>
                <w:sz w:val="21"/>
                <w:szCs w:val="21"/>
                <w:highlight w:val="none"/>
                <w:lang w:eastAsia="zh-CN"/>
              </w:rPr>
              <w:t>污水处理厂</w:t>
            </w:r>
          </w:p>
        </w:tc>
      </w:tr>
      <w:tr w14:paraId="034B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7C9C7DBC">
            <w:pPr>
              <w:widowControl/>
              <w:snapToGrid w:val="0"/>
              <w:jc w:val="center"/>
              <w:rPr>
                <w:sz w:val="21"/>
                <w:szCs w:val="21"/>
                <w:highlight w:val="none"/>
              </w:rPr>
            </w:pPr>
          </w:p>
        </w:tc>
        <w:tc>
          <w:tcPr>
            <w:tcW w:w="712" w:type="pct"/>
            <w:vMerge w:val="continue"/>
            <w:noWrap w:val="0"/>
            <w:vAlign w:val="center"/>
          </w:tcPr>
          <w:p w14:paraId="6F569F06">
            <w:pPr>
              <w:widowControl/>
              <w:snapToGrid w:val="0"/>
              <w:jc w:val="center"/>
              <w:rPr>
                <w:sz w:val="21"/>
                <w:szCs w:val="21"/>
                <w:highlight w:val="none"/>
              </w:rPr>
            </w:pPr>
          </w:p>
        </w:tc>
        <w:tc>
          <w:tcPr>
            <w:tcW w:w="794" w:type="pct"/>
            <w:noWrap w:val="0"/>
            <w:vAlign w:val="center"/>
          </w:tcPr>
          <w:p w14:paraId="5DB0392F">
            <w:pPr>
              <w:widowControl/>
              <w:snapToGrid w:val="0"/>
              <w:jc w:val="center"/>
              <w:rPr>
                <w:sz w:val="21"/>
                <w:szCs w:val="21"/>
                <w:highlight w:val="none"/>
              </w:rPr>
            </w:pPr>
            <w:r>
              <w:rPr>
                <w:sz w:val="21"/>
                <w:szCs w:val="21"/>
                <w:highlight w:val="none"/>
              </w:rPr>
              <w:t>酸性水2（含氨）</w:t>
            </w:r>
          </w:p>
        </w:tc>
        <w:tc>
          <w:tcPr>
            <w:tcW w:w="628" w:type="pct"/>
            <w:noWrap w:val="0"/>
            <w:vAlign w:val="center"/>
          </w:tcPr>
          <w:p w14:paraId="318E2C48">
            <w:pPr>
              <w:widowControl/>
              <w:snapToGrid w:val="0"/>
              <w:jc w:val="center"/>
              <w:rPr>
                <w:sz w:val="21"/>
                <w:szCs w:val="21"/>
                <w:highlight w:val="none"/>
              </w:rPr>
            </w:pPr>
            <w:r>
              <w:rPr>
                <w:sz w:val="21"/>
                <w:szCs w:val="21"/>
                <w:highlight w:val="none"/>
              </w:rPr>
              <w:t>0.177</w:t>
            </w:r>
          </w:p>
        </w:tc>
        <w:tc>
          <w:tcPr>
            <w:tcW w:w="413" w:type="pct"/>
            <w:noWrap w:val="0"/>
            <w:vAlign w:val="center"/>
          </w:tcPr>
          <w:p w14:paraId="0F61BA94">
            <w:pPr>
              <w:widowControl/>
              <w:snapToGrid w:val="0"/>
              <w:jc w:val="center"/>
              <w:rPr>
                <w:sz w:val="21"/>
                <w:szCs w:val="21"/>
                <w:highlight w:val="none"/>
              </w:rPr>
            </w:pPr>
            <w:r>
              <w:rPr>
                <w:sz w:val="21"/>
                <w:szCs w:val="21"/>
                <w:highlight w:val="none"/>
              </w:rPr>
              <w:t>NH</w:t>
            </w:r>
            <w:r>
              <w:rPr>
                <w:sz w:val="21"/>
                <w:szCs w:val="21"/>
                <w:highlight w:val="none"/>
                <w:vertAlign w:val="subscript"/>
              </w:rPr>
              <w:t>3</w:t>
            </w:r>
          </w:p>
          <w:p w14:paraId="4B57DD3A">
            <w:pPr>
              <w:widowControl/>
              <w:snapToGrid w:val="0"/>
              <w:jc w:val="center"/>
              <w:rPr>
                <w:sz w:val="21"/>
                <w:szCs w:val="21"/>
                <w:highlight w:val="none"/>
              </w:rPr>
            </w:pPr>
            <w:r>
              <w:rPr>
                <w:sz w:val="21"/>
                <w:szCs w:val="21"/>
                <w:highlight w:val="none"/>
              </w:rPr>
              <w:t>CO</w:t>
            </w:r>
            <w:r>
              <w:rPr>
                <w:sz w:val="21"/>
                <w:szCs w:val="21"/>
                <w:highlight w:val="none"/>
                <w:vertAlign w:val="subscript"/>
              </w:rPr>
              <w:t>2</w:t>
            </w:r>
          </w:p>
          <w:p w14:paraId="535A9C07">
            <w:pPr>
              <w:widowControl/>
              <w:snapToGrid w:val="0"/>
              <w:jc w:val="center"/>
              <w:rPr>
                <w:sz w:val="21"/>
                <w:szCs w:val="21"/>
                <w:highlight w:val="none"/>
              </w:rPr>
            </w:pPr>
            <w:r>
              <w:rPr>
                <w:sz w:val="21"/>
                <w:szCs w:val="21"/>
                <w:highlight w:val="none"/>
              </w:rPr>
              <w:t>硫化物</w:t>
            </w:r>
          </w:p>
        </w:tc>
        <w:tc>
          <w:tcPr>
            <w:tcW w:w="528" w:type="pct"/>
            <w:noWrap w:val="0"/>
            <w:vAlign w:val="center"/>
          </w:tcPr>
          <w:p w14:paraId="3E672B48">
            <w:pPr>
              <w:widowControl/>
              <w:snapToGrid w:val="0"/>
              <w:jc w:val="center"/>
              <w:rPr>
                <w:sz w:val="21"/>
                <w:szCs w:val="21"/>
                <w:highlight w:val="none"/>
              </w:rPr>
            </w:pPr>
            <w:r>
              <w:rPr>
                <w:sz w:val="21"/>
                <w:szCs w:val="21"/>
                <w:highlight w:val="none"/>
              </w:rPr>
              <w:t>0.0494mol%</w:t>
            </w:r>
          </w:p>
          <w:p w14:paraId="1F1DDC03">
            <w:pPr>
              <w:widowControl/>
              <w:snapToGrid w:val="0"/>
              <w:jc w:val="center"/>
              <w:rPr>
                <w:sz w:val="21"/>
                <w:szCs w:val="21"/>
                <w:highlight w:val="none"/>
              </w:rPr>
            </w:pPr>
            <w:r>
              <w:rPr>
                <w:sz w:val="21"/>
                <w:szCs w:val="21"/>
                <w:highlight w:val="none"/>
              </w:rPr>
              <w:t>0.0196mol%</w:t>
            </w:r>
          </w:p>
          <w:p w14:paraId="56AF622D">
            <w:pPr>
              <w:widowControl/>
              <w:snapToGrid w:val="0"/>
              <w:jc w:val="center"/>
              <w:rPr>
                <w:sz w:val="21"/>
                <w:szCs w:val="21"/>
                <w:highlight w:val="none"/>
              </w:rPr>
            </w:pPr>
            <w:r>
              <w:rPr>
                <w:sz w:val="21"/>
                <w:szCs w:val="21"/>
                <w:highlight w:val="none"/>
              </w:rPr>
              <w:t>0.0027mol%</w:t>
            </w:r>
          </w:p>
        </w:tc>
        <w:tc>
          <w:tcPr>
            <w:tcW w:w="190" w:type="pct"/>
            <w:noWrap w:val="0"/>
            <w:vAlign w:val="center"/>
          </w:tcPr>
          <w:p w14:paraId="611532FB">
            <w:pPr>
              <w:widowControl/>
              <w:snapToGrid w:val="0"/>
              <w:jc w:val="center"/>
              <w:rPr>
                <w:sz w:val="21"/>
                <w:szCs w:val="21"/>
                <w:highlight w:val="none"/>
              </w:rPr>
            </w:pPr>
            <w:r>
              <w:rPr>
                <w:sz w:val="21"/>
                <w:szCs w:val="21"/>
                <w:highlight w:val="none"/>
              </w:rPr>
              <w:t>间断</w:t>
            </w:r>
          </w:p>
        </w:tc>
        <w:tc>
          <w:tcPr>
            <w:tcW w:w="1336" w:type="pct"/>
            <w:noWrap w:val="0"/>
            <w:vAlign w:val="center"/>
          </w:tcPr>
          <w:p w14:paraId="01E4F58E">
            <w:pPr>
              <w:widowControl/>
              <w:snapToGrid w:val="0"/>
              <w:jc w:val="center"/>
              <w:rPr>
                <w:sz w:val="21"/>
                <w:szCs w:val="21"/>
                <w:highlight w:val="none"/>
              </w:rPr>
            </w:pPr>
            <w:r>
              <w:rPr>
                <w:sz w:val="21"/>
                <w:szCs w:val="21"/>
                <w:highlight w:val="none"/>
              </w:rPr>
              <w:t>送酸性水汽提单元</w:t>
            </w:r>
          </w:p>
        </w:tc>
      </w:tr>
      <w:tr w14:paraId="0DB3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1846658A">
            <w:pPr>
              <w:widowControl/>
              <w:snapToGrid w:val="0"/>
              <w:jc w:val="center"/>
              <w:rPr>
                <w:sz w:val="21"/>
                <w:szCs w:val="21"/>
                <w:highlight w:val="none"/>
              </w:rPr>
            </w:pPr>
          </w:p>
        </w:tc>
        <w:tc>
          <w:tcPr>
            <w:tcW w:w="712" w:type="pct"/>
            <w:vMerge w:val="restart"/>
            <w:noWrap w:val="0"/>
            <w:vAlign w:val="center"/>
          </w:tcPr>
          <w:p w14:paraId="1186B5A3">
            <w:pPr>
              <w:widowControl/>
              <w:snapToGrid w:val="0"/>
              <w:jc w:val="center"/>
              <w:rPr>
                <w:sz w:val="21"/>
                <w:szCs w:val="21"/>
                <w:highlight w:val="none"/>
              </w:rPr>
            </w:pPr>
            <w:r>
              <w:rPr>
                <w:sz w:val="21"/>
                <w:szCs w:val="21"/>
                <w:highlight w:val="none"/>
              </w:rPr>
              <w:t>酸性水汽提</w:t>
            </w:r>
          </w:p>
          <w:p w14:paraId="1CB1B846">
            <w:pPr>
              <w:widowControl/>
              <w:snapToGrid w:val="0"/>
              <w:jc w:val="center"/>
              <w:rPr>
                <w:sz w:val="21"/>
                <w:szCs w:val="21"/>
                <w:highlight w:val="none"/>
              </w:rPr>
            </w:pPr>
            <w:r>
              <w:rPr>
                <w:sz w:val="21"/>
                <w:szCs w:val="21"/>
                <w:highlight w:val="none"/>
              </w:rPr>
              <w:t>单元</w:t>
            </w:r>
          </w:p>
        </w:tc>
        <w:tc>
          <w:tcPr>
            <w:tcW w:w="794" w:type="pct"/>
            <w:noWrap w:val="0"/>
            <w:vAlign w:val="center"/>
          </w:tcPr>
          <w:p w14:paraId="5A4A5581">
            <w:pPr>
              <w:widowControl/>
              <w:snapToGrid w:val="0"/>
              <w:jc w:val="center"/>
              <w:rPr>
                <w:sz w:val="21"/>
                <w:szCs w:val="21"/>
                <w:highlight w:val="none"/>
              </w:rPr>
            </w:pPr>
            <w:r>
              <w:rPr>
                <w:sz w:val="21"/>
                <w:szCs w:val="21"/>
                <w:highlight w:val="none"/>
              </w:rPr>
              <w:t>塔顶凝液</w:t>
            </w:r>
          </w:p>
        </w:tc>
        <w:tc>
          <w:tcPr>
            <w:tcW w:w="628" w:type="pct"/>
            <w:noWrap w:val="0"/>
            <w:vAlign w:val="center"/>
          </w:tcPr>
          <w:p w14:paraId="4EE86492">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：8.8</w:t>
            </w:r>
          </w:p>
          <w:p w14:paraId="7C89E18B">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：29</w:t>
            </w:r>
          </w:p>
        </w:tc>
        <w:tc>
          <w:tcPr>
            <w:tcW w:w="413" w:type="pct"/>
            <w:noWrap w:val="0"/>
            <w:vAlign w:val="center"/>
          </w:tcPr>
          <w:p w14:paraId="580B9322">
            <w:pPr>
              <w:widowControl/>
              <w:snapToGrid w:val="0"/>
              <w:jc w:val="center"/>
              <w:rPr>
                <w:sz w:val="21"/>
                <w:szCs w:val="21"/>
                <w:highlight w:val="none"/>
              </w:rPr>
            </w:pPr>
            <w:r>
              <w:rPr>
                <w:sz w:val="21"/>
                <w:szCs w:val="21"/>
                <w:highlight w:val="none"/>
              </w:rPr>
              <w:t>CO</w:t>
            </w:r>
            <w:r>
              <w:rPr>
                <w:sz w:val="21"/>
                <w:szCs w:val="21"/>
                <w:highlight w:val="none"/>
                <w:vertAlign w:val="subscript"/>
              </w:rPr>
              <w:t>2</w:t>
            </w:r>
          </w:p>
          <w:p w14:paraId="70063AA3">
            <w:pPr>
              <w:widowControl/>
              <w:snapToGrid w:val="0"/>
              <w:jc w:val="center"/>
              <w:rPr>
                <w:sz w:val="21"/>
                <w:szCs w:val="21"/>
                <w:highlight w:val="none"/>
              </w:rPr>
            </w:pPr>
            <w:r>
              <w:rPr>
                <w:sz w:val="21"/>
                <w:szCs w:val="21"/>
                <w:highlight w:val="none"/>
              </w:rPr>
              <w:t>硫化物</w:t>
            </w:r>
          </w:p>
          <w:p w14:paraId="76106766">
            <w:pPr>
              <w:widowControl/>
              <w:snapToGrid w:val="0"/>
              <w:jc w:val="center"/>
              <w:rPr>
                <w:sz w:val="21"/>
                <w:szCs w:val="21"/>
                <w:highlight w:val="none"/>
                <w:vertAlign w:val="subscript"/>
              </w:rPr>
            </w:pPr>
            <w:r>
              <w:rPr>
                <w:sz w:val="21"/>
                <w:szCs w:val="21"/>
                <w:highlight w:val="none"/>
              </w:rPr>
              <w:t>NH</w:t>
            </w:r>
            <w:r>
              <w:rPr>
                <w:sz w:val="21"/>
                <w:szCs w:val="21"/>
                <w:highlight w:val="none"/>
                <w:vertAlign w:val="subscript"/>
              </w:rPr>
              <w:t>3</w:t>
            </w:r>
          </w:p>
        </w:tc>
        <w:tc>
          <w:tcPr>
            <w:tcW w:w="528" w:type="pct"/>
            <w:noWrap w:val="0"/>
            <w:vAlign w:val="center"/>
          </w:tcPr>
          <w:p w14:paraId="424913F0">
            <w:pPr>
              <w:widowControl/>
              <w:snapToGrid w:val="0"/>
              <w:jc w:val="center"/>
              <w:rPr>
                <w:sz w:val="21"/>
                <w:szCs w:val="21"/>
                <w:highlight w:val="none"/>
              </w:rPr>
            </w:pPr>
            <w:r>
              <w:rPr>
                <w:sz w:val="21"/>
                <w:szCs w:val="21"/>
                <w:highlight w:val="none"/>
              </w:rPr>
              <w:t>18ppm</w:t>
            </w:r>
          </w:p>
          <w:p w14:paraId="744E991E">
            <w:pPr>
              <w:widowControl/>
              <w:snapToGrid w:val="0"/>
              <w:jc w:val="center"/>
              <w:rPr>
                <w:sz w:val="21"/>
                <w:szCs w:val="21"/>
                <w:highlight w:val="none"/>
              </w:rPr>
            </w:pPr>
            <w:r>
              <w:rPr>
                <w:sz w:val="21"/>
                <w:szCs w:val="21"/>
                <w:highlight w:val="none"/>
              </w:rPr>
              <w:t>＜10ppm</w:t>
            </w:r>
          </w:p>
          <w:p w14:paraId="1A2D02D3">
            <w:pPr>
              <w:widowControl/>
              <w:snapToGrid w:val="0"/>
              <w:jc w:val="center"/>
              <w:rPr>
                <w:sz w:val="21"/>
                <w:szCs w:val="21"/>
                <w:highlight w:val="none"/>
              </w:rPr>
            </w:pPr>
            <w:r>
              <w:rPr>
                <w:sz w:val="21"/>
                <w:szCs w:val="21"/>
                <w:highlight w:val="none"/>
              </w:rPr>
              <w:t>0.004</w:t>
            </w:r>
          </w:p>
        </w:tc>
        <w:tc>
          <w:tcPr>
            <w:tcW w:w="190" w:type="pct"/>
            <w:noWrap w:val="0"/>
            <w:vAlign w:val="center"/>
          </w:tcPr>
          <w:p w14:paraId="58C492D8">
            <w:pPr>
              <w:widowControl/>
              <w:snapToGrid w:val="0"/>
              <w:jc w:val="center"/>
              <w:rPr>
                <w:sz w:val="21"/>
                <w:szCs w:val="21"/>
                <w:highlight w:val="none"/>
              </w:rPr>
            </w:pPr>
            <w:r>
              <w:rPr>
                <w:sz w:val="21"/>
                <w:szCs w:val="21"/>
                <w:highlight w:val="none"/>
              </w:rPr>
              <w:t>连续</w:t>
            </w:r>
          </w:p>
        </w:tc>
        <w:tc>
          <w:tcPr>
            <w:tcW w:w="1336" w:type="pct"/>
            <w:noWrap w:val="0"/>
            <w:vAlign w:val="center"/>
          </w:tcPr>
          <w:p w14:paraId="6A4336B9">
            <w:pPr>
              <w:widowControl/>
              <w:snapToGrid w:val="0"/>
              <w:jc w:val="center"/>
              <w:rPr>
                <w:sz w:val="21"/>
                <w:szCs w:val="21"/>
                <w:highlight w:val="none"/>
              </w:rPr>
            </w:pPr>
            <w:r>
              <w:rPr>
                <w:sz w:val="21"/>
                <w:szCs w:val="21"/>
                <w:highlight w:val="none"/>
              </w:rPr>
              <w:t>去水煤浆气化装置</w:t>
            </w:r>
          </w:p>
        </w:tc>
      </w:tr>
      <w:tr w14:paraId="7D84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1A49320E">
            <w:pPr>
              <w:widowControl/>
              <w:snapToGrid w:val="0"/>
              <w:jc w:val="center"/>
              <w:rPr>
                <w:sz w:val="21"/>
                <w:szCs w:val="21"/>
                <w:highlight w:val="none"/>
              </w:rPr>
            </w:pPr>
          </w:p>
        </w:tc>
        <w:tc>
          <w:tcPr>
            <w:tcW w:w="712" w:type="pct"/>
            <w:vMerge w:val="continue"/>
            <w:noWrap w:val="0"/>
            <w:vAlign w:val="center"/>
          </w:tcPr>
          <w:p w14:paraId="43740D88">
            <w:pPr>
              <w:widowControl/>
              <w:snapToGrid w:val="0"/>
              <w:jc w:val="center"/>
              <w:rPr>
                <w:sz w:val="21"/>
                <w:szCs w:val="21"/>
                <w:highlight w:val="none"/>
              </w:rPr>
            </w:pPr>
          </w:p>
        </w:tc>
        <w:tc>
          <w:tcPr>
            <w:tcW w:w="794" w:type="pct"/>
            <w:noWrap w:val="0"/>
            <w:vAlign w:val="center"/>
          </w:tcPr>
          <w:p w14:paraId="2C06DEAC">
            <w:pPr>
              <w:widowControl/>
              <w:snapToGrid w:val="0"/>
              <w:jc w:val="center"/>
              <w:rPr>
                <w:sz w:val="21"/>
                <w:szCs w:val="21"/>
                <w:highlight w:val="none"/>
              </w:rPr>
            </w:pPr>
            <w:r>
              <w:rPr>
                <w:sz w:val="21"/>
                <w:szCs w:val="21"/>
                <w:highlight w:val="none"/>
              </w:rPr>
              <w:t>塔底汽提凝液</w:t>
            </w:r>
          </w:p>
        </w:tc>
        <w:tc>
          <w:tcPr>
            <w:tcW w:w="628" w:type="pct"/>
            <w:noWrap w:val="0"/>
            <w:vAlign w:val="center"/>
          </w:tcPr>
          <w:p w14:paraId="3C7BC2A2">
            <w:pPr>
              <w:widowControl/>
              <w:snapToGrid w:val="0"/>
              <w:jc w:val="center"/>
              <w:rPr>
                <w:sz w:val="21"/>
                <w:szCs w:val="21"/>
                <w:highlight w:val="none"/>
              </w:rPr>
            </w:pPr>
            <w:r>
              <w:rPr>
                <w:sz w:val="21"/>
                <w:szCs w:val="21"/>
                <w:highlight w:val="none"/>
              </w:rPr>
              <w:t>236.2</w:t>
            </w:r>
          </w:p>
        </w:tc>
        <w:tc>
          <w:tcPr>
            <w:tcW w:w="413" w:type="pct"/>
            <w:noWrap w:val="0"/>
            <w:vAlign w:val="center"/>
          </w:tcPr>
          <w:p w14:paraId="70C7196B">
            <w:pPr>
              <w:widowControl/>
              <w:snapToGrid w:val="0"/>
              <w:jc w:val="center"/>
              <w:rPr>
                <w:sz w:val="21"/>
                <w:szCs w:val="21"/>
                <w:highlight w:val="none"/>
              </w:rPr>
            </w:pPr>
            <w:r>
              <w:rPr>
                <w:sz w:val="21"/>
                <w:szCs w:val="21"/>
                <w:highlight w:val="none"/>
              </w:rPr>
              <w:t>H</w:t>
            </w:r>
            <w:r>
              <w:rPr>
                <w:sz w:val="21"/>
                <w:szCs w:val="21"/>
                <w:highlight w:val="none"/>
                <w:vertAlign w:val="subscript"/>
              </w:rPr>
              <w:t>2</w:t>
            </w:r>
          </w:p>
          <w:p w14:paraId="7F8BF282">
            <w:pPr>
              <w:widowControl/>
              <w:snapToGrid w:val="0"/>
              <w:jc w:val="center"/>
              <w:rPr>
                <w:sz w:val="21"/>
                <w:szCs w:val="21"/>
                <w:highlight w:val="none"/>
              </w:rPr>
            </w:pPr>
            <w:r>
              <w:rPr>
                <w:sz w:val="21"/>
                <w:szCs w:val="21"/>
                <w:highlight w:val="none"/>
              </w:rPr>
              <w:t>CO</w:t>
            </w:r>
          </w:p>
          <w:p w14:paraId="1707C89F">
            <w:pPr>
              <w:widowControl/>
              <w:snapToGrid w:val="0"/>
              <w:jc w:val="center"/>
              <w:rPr>
                <w:sz w:val="21"/>
                <w:szCs w:val="21"/>
                <w:highlight w:val="none"/>
              </w:rPr>
            </w:pPr>
            <w:r>
              <w:rPr>
                <w:sz w:val="21"/>
                <w:szCs w:val="21"/>
                <w:highlight w:val="none"/>
              </w:rPr>
              <w:t>CO</w:t>
            </w:r>
            <w:r>
              <w:rPr>
                <w:sz w:val="21"/>
                <w:szCs w:val="21"/>
                <w:highlight w:val="none"/>
                <w:vertAlign w:val="subscript"/>
              </w:rPr>
              <w:t>2</w:t>
            </w:r>
          </w:p>
          <w:p w14:paraId="6A33C130">
            <w:pPr>
              <w:widowControl/>
              <w:snapToGrid w:val="0"/>
              <w:jc w:val="center"/>
              <w:rPr>
                <w:sz w:val="21"/>
                <w:szCs w:val="21"/>
                <w:highlight w:val="none"/>
              </w:rPr>
            </w:pPr>
            <w:r>
              <w:rPr>
                <w:sz w:val="21"/>
                <w:szCs w:val="21"/>
                <w:highlight w:val="none"/>
              </w:rPr>
              <w:t>硫化物</w:t>
            </w:r>
          </w:p>
          <w:p w14:paraId="0E6DF205">
            <w:pPr>
              <w:widowControl/>
              <w:snapToGrid w:val="0"/>
              <w:jc w:val="center"/>
              <w:rPr>
                <w:sz w:val="21"/>
                <w:szCs w:val="21"/>
                <w:highlight w:val="none"/>
              </w:rPr>
            </w:pPr>
            <w:r>
              <w:rPr>
                <w:sz w:val="21"/>
                <w:szCs w:val="21"/>
                <w:highlight w:val="none"/>
              </w:rPr>
              <w:t>NH</w:t>
            </w:r>
            <w:r>
              <w:rPr>
                <w:sz w:val="21"/>
                <w:szCs w:val="21"/>
                <w:highlight w:val="none"/>
                <w:vertAlign w:val="subscript"/>
              </w:rPr>
              <w:t>3</w:t>
            </w:r>
          </w:p>
        </w:tc>
        <w:tc>
          <w:tcPr>
            <w:tcW w:w="528" w:type="pct"/>
            <w:noWrap w:val="0"/>
            <w:vAlign w:val="center"/>
          </w:tcPr>
          <w:p w14:paraId="17762245">
            <w:pPr>
              <w:widowControl/>
              <w:snapToGrid w:val="0"/>
              <w:jc w:val="center"/>
              <w:rPr>
                <w:sz w:val="21"/>
                <w:szCs w:val="21"/>
                <w:highlight w:val="none"/>
                <w:lang w:val="pt-BR"/>
              </w:rPr>
            </w:pPr>
            <w:r>
              <w:rPr>
                <w:sz w:val="21"/>
                <w:szCs w:val="21"/>
                <w:highlight w:val="none"/>
                <w:lang w:val="pt-BR"/>
              </w:rPr>
              <w:t>3.49E-55mol%</w:t>
            </w:r>
          </w:p>
          <w:p w14:paraId="59E07012">
            <w:pPr>
              <w:widowControl/>
              <w:snapToGrid w:val="0"/>
              <w:jc w:val="center"/>
              <w:rPr>
                <w:sz w:val="21"/>
                <w:szCs w:val="21"/>
                <w:highlight w:val="none"/>
                <w:lang w:val="pt-BR"/>
              </w:rPr>
            </w:pPr>
            <w:r>
              <w:rPr>
                <w:sz w:val="21"/>
                <w:szCs w:val="21"/>
                <w:highlight w:val="none"/>
                <w:lang w:val="pt-BR"/>
              </w:rPr>
              <w:t>9.43E-56mol%</w:t>
            </w:r>
          </w:p>
          <w:p w14:paraId="118292A2">
            <w:pPr>
              <w:widowControl/>
              <w:snapToGrid w:val="0"/>
              <w:jc w:val="center"/>
              <w:rPr>
                <w:sz w:val="21"/>
                <w:szCs w:val="21"/>
                <w:highlight w:val="none"/>
                <w:lang w:val="pt-BR"/>
              </w:rPr>
            </w:pPr>
            <w:r>
              <w:rPr>
                <w:sz w:val="21"/>
                <w:szCs w:val="21"/>
                <w:highlight w:val="none"/>
                <w:lang w:val="pt-BR"/>
              </w:rPr>
              <w:t>4.08E-39mol%</w:t>
            </w:r>
          </w:p>
          <w:p w14:paraId="73A67A7D">
            <w:pPr>
              <w:widowControl/>
              <w:snapToGrid w:val="0"/>
              <w:jc w:val="center"/>
              <w:rPr>
                <w:sz w:val="21"/>
                <w:szCs w:val="21"/>
                <w:highlight w:val="none"/>
                <w:lang w:val="pt-BR"/>
              </w:rPr>
            </w:pPr>
            <w:r>
              <w:rPr>
                <w:sz w:val="21"/>
                <w:szCs w:val="21"/>
                <w:highlight w:val="none"/>
                <w:lang w:val="pt-BR"/>
              </w:rPr>
              <w:t>0.000005</w:t>
            </w:r>
            <w:r>
              <w:rPr>
                <w:sz w:val="21"/>
                <w:szCs w:val="21"/>
                <w:highlight w:val="none"/>
                <w:lang w:val="es-ES"/>
              </w:rPr>
              <w:t>mol%</w:t>
            </w:r>
          </w:p>
          <w:p w14:paraId="0CB8ABA1">
            <w:pPr>
              <w:widowControl/>
              <w:snapToGrid w:val="0"/>
              <w:jc w:val="center"/>
              <w:rPr>
                <w:sz w:val="21"/>
                <w:szCs w:val="21"/>
                <w:highlight w:val="none"/>
                <w:lang w:val="pt-BR"/>
              </w:rPr>
            </w:pPr>
            <w:r>
              <w:rPr>
                <w:sz w:val="21"/>
                <w:szCs w:val="21"/>
                <w:highlight w:val="none"/>
                <w:lang w:val="pt-BR"/>
              </w:rPr>
              <w:t>0.00002</w:t>
            </w:r>
            <w:r>
              <w:rPr>
                <w:sz w:val="21"/>
                <w:szCs w:val="21"/>
                <w:highlight w:val="none"/>
                <w:lang w:val="es-ES"/>
              </w:rPr>
              <w:t>mol%</w:t>
            </w:r>
          </w:p>
        </w:tc>
        <w:tc>
          <w:tcPr>
            <w:tcW w:w="190" w:type="pct"/>
            <w:noWrap w:val="0"/>
            <w:vAlign w:val="center"/>
          </w:tcPr>
          <w:p w14:paraId="56BBC99A">
            <w:pPr>
              <w:widowControl/>
              <w:snapToGrid w:val="0"/>
              <w:jc w:val="center"/>
              <w:rPr>
                <w:sz w:val="21"/>
                <w:szCs w:val="21"/>
                <w:highlight w:val="none"/>
              </w:rPr>
            </w:pPr>
            <w:r>
              <w:rPr>
                <w:sz w:val="21"/>
                <w:szCs w:val="21"/>
                <w:highlight w:val="none"/>
              </w:rPr>
              <w:t>连续</w:t>
            </w:r>
          </w:p>
        </w:tc>
        <w:tc>
          <w:tcPr>
            <w:tcW w:w="1336" w:type="pct"/>
            <w:noWrap w:val="0"/>
            <w:vAlign w:val="center"/>
          </w:tcPr>
          <w:p w14:paraId="4E5DBA7E">
            <w:pPr>
              <w:widowControl/>
              <w:snapToGrid w:val="0"/>
              <w:jc w:val="center"/>
              <w:rPr>
                <w:sz w:val="21"/>
                <w:szCs w:val="21"/>
                <w:highlight w:val="none"/>
              </w:rPr>
            </w:pPr>
            <w:r>
              <w:rPr>
                <w:sz w:val="21"/>
                <w:szCs w:val="21"/>
                <w:highlight w:val="none"/>
              </w:rPr>
              <w:t>去粉煤气化装置</w:t>
            </w:r>
          </w:p>
        </w:tc>
      </w:tr>
      <w:tr w14:paraId="1218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51E223BC">
            <w:pPr>
              <w:widowControl/>
              <w:snapToGrid w:val="0"/>
              <w:jc w:val="center"/>
              <w:rPr>
                <w:sz w:val="21"/>
                <w:szCs w:val="21"/>
                <w:highlight w:val="none"/>
              </w:rPr>
            </w:pPr>
          </w:p>
        </w:tc>
        <w:tc>
          <w:tcPr>
            <w:tcW w:w="1506" w:type="pct"/>
            <w:gridSpan w:val="2"/>
            <w:noWrap w:val="0"/>
            <w:vAlign w:val="center"/>
          </w:tcPr>
          <w:p w14:paraId="1C38CFAE">
            <w:pPr>
              <w:widowControl/>
              <w:snapToGrid w:val="0"/>
              <w:jc w:val="center"/>
              <w:rPr>
                <w:sz w:val="21"/>
                <w:szCs w:val="21"/>
                <w:highlight w:val="none"/>
              </w:rPr>
            </w:pPr>
            <w:r>
              <w:rPr>
                <w:sz w:val="21"/>
                <w:szCs w:val="21"/>
                <w:highlight w:val="none"/>
              </w:rPr>
              <w:t>废热锅炉排污</w:t>
            </w:r>
          </w:p>
        </w:tc>
        <w:tc>
          <w:tcPr>
            <w:tcW w:w="628" w:type="pct"/>
            <w:noWrap w:val="0"/>
            <w:vAlign w:val="center"/>
          </w:tcPr>
          <w:p w14:paraId="44880224">
            <w:pPr>
              <w:widowControl/>
              <w:snapToGrid w:val="0"/>
              <w:jc w:val="center"/>
              <w:rPr>
                <w:sz w:val="21"/>
                <w:szCs w:val="21"/>
                <w:highlight w:val="none"/>
              </w:rPr>
            </w:pPr>
            <w:r>
              <w:rPr>
                <w:sz w:val="21"/>
                <w:szCs w:val="21"/>
                <w:highlight w:val="none"/>
              </w:rPr>
              <w:t>15.3</w:t>
            </w:r>
          </w:p>
        </w:tc>
        <w:tc>
          <w:tcPr>
            <w:tcW w:w="413" w:type="pct"/>
            <w:noWrap w:val="0"/>
            <w:vAlign w:val="center"/>
          </w:tcPr>
          <w:p w14:paraId="19E97B66">
            <w:pPr>
              <w:widowControl/>
              <w:snapToGrid w:val="0"/>
              <w:jc w:val="center"/>
              <w:rPr>
                <w:sz w:val="21"/>
                <w:szCs w:val="21"/>
                <w:highlight w:val="none"/>
              </w:rPr>
            </w:pPr>
            <w:r>
              <w:rPr>
                <w:sz w:val="21"/>
                <w:szCs w:val="21"/>
                <w:highlight w:val="none"/>
              </w:rPr>
              <w:t>Na</w:t>
            </w:r>
            <w:r>
              <w:rPr>
                <w:sz w:val="21"/>
                <w:szCs w:val="21"/>
                <w:highlight w:val="none"/>
                <w:vertAlign w:val="superscript"/>
              </w:rPr>
              <w:t>+</w:t>
            </w:r>
          </w:p>
          <w:p w14:paraId="71B33DF1">
            <w:pPr>
              <w:widowControl/>
              <w:snapToGrid w:val="0"/>
              <w:jc w:val="center"/>
              <w:rPr>
                <w:sz w:val="21"/>
                <w:szCs w:val="21"/>
                <w:highlight w:val="none"/>
              </w:rPr>
            </w:pPr>
            <w:r>
              <w:rPr>
                <w:sz w:val="21"/>
                <w:szCs w:val="21"/>
                <w:highlight w:val="none"/>
              </w:rPr>
              <w:t>Cl</w:t>
            </w:r>
            <w:r>
              <w:rPr>
                <w:sz w:val="21"/>
                <w:szCs w:val="21"/>
                <w:highlight w:val="none"/>
                <w:vertAlign w:val="superscript"/>
              </w:rPr>
              <w:t>-</w:t>
            </w:r>
          </w:p>
          <w:p w14:paraId="1635FE54">
            <w:pPr>
              <w:widowControl/>
              <w:snapToGrid w:val="0"/>
              <w:jc w:val="center"/>
              <w:rPr>
                <w:sz w:val="21"/>
                <w:szCs w:val="21"/>
                <w:highlight w:val="none"/>
              </w:rPr>
            </w:pPr>
            <w:r>
              <w:rPr>
                <w:sz w:val="21"/>
                <w:szCs w:val="21"/>
                <w:highlight w:val="none"/>
              </w:rPr>
              <w:t>TDS</w:t>
            </w:r>
          </w:p>
        </w:tc>
        <w:tc>
          <w:tcPr>
            <w:tcW w:w="528" w:type="pct"/>
            <w:noWrap w:val="0"/>
            <w:vAlign w:val="center"/>
          </w:tcPr>
          <w:p w14:paraId="2DF39E52">
            <w:pPr>
              <w:widowControl/>
              <w:snapToGrid w:val="0"/>
              <w:jc w:val="center"/>
              <w:rPr>
                <w:sz w:val="21"/>
                <w:szCs w:val="21"/>
                <w:highlight w:val="none"/>
              </w:rPr>
            </w:pPr>
            <w:r>
              <w:rPr>
                <w:sz w:val="21"/>
                <w:szCs w:val="21"/>
                <w:highlight w:val="none"/>
              </w:rPr>
              <w:t>6.5</w:t>
            </w:r>
          </w:p>
          <w:p w14:paraId="2BBAA698">
            <w:pPr>
              <w:widowControl/>
              <w:snapToGrid w:val="0"/>
              <w:jc w:val="center"/>
              <w:rPr>
                <w:sz w:val="21"/>
                <w:szCs w:val="21"/>
                <w:highlight w:val="none"/>
              </w:rPr>
            </w:pPr>
            <w:r>
              <w:rPr>
                <w:sz w:val="21"/>
                <w:szCs w:val="21"/>
                <w:highlight w:val="none"/>
              </w:rPr>
              <w:t>10</w:t>
            </w:r>
          </w:p>
          <w:p w14:paraId="6E90E189">
            <w:pPr>
              <w:widowControl/>
              <w:snapToGrid w:val="0"/>
              <w:jc w:val="center"/>
              <w:rPr>
                <w:sz w:val="21"/>
                <w:szCs w:val="21"/>
                <w:highlight w:val="none"/>
              </w:rPr>
            </w:pPr>
            <w:r>
              <w:rPr>
                <w:sz w:val="21"/>
                <w:szCs w:val="21"/>
                <w:highlight w:val="none"/>
              </w:rPr>
              <w:t>17</w:t>
            </w:r>
          </w:p>
        </w:tc>
        <w:tc>
          <w:tcPr>
            <w:tcW w:w="190" w:type="pct"/>
            <w:noWrap w:val="0"/>
            <w:vAlign w:val="center"/>
          </w:tcPr>
          <w:p w14:paraId="03D756B6">
            <w:pPr>
              <w:widowControl/>
              <w:snapToGrid w:val="0"/>
              <w:jc w:val="center"/>
              <w:rPr>
                <w:sz w:val="21"/>
                <w:szCs w:val="21"/>
                <w:highlight w:val="none"/>
              </w:rPr>
            </w:pPr>
            <w:r>
              <w:rPr>
                <w:sz w:val="21"/>
                <w:szCs w:val="21"/>
                <w:highlight w:val="none"/>
              </w:rPr>
              <w:t>连续</w:t>
            </w:r>
          </w:p>
        </w:tc>
        <w:tc>
          <w:tcPr>
            <w:tcW w:w="1336" w:type="pct"/>
            <w:noWrap w:val="0"/>
            <w:vAlign w:val="center"/>
          </w:tcPr>
          <w:p w14:paraId="6F28802F">
            <w:pPr>
              <w:widowControl/>
              <w:snapToGrid w:val="0"/>
              <w:jc w:val="center"/>
              <w:rPr>
                <w:rFonts w:hint="eastAsia" w:eastAsia="宋体"/>
                <w:sz w:val="21"/>
                <w:szCs w:val="21"/>
                <w:highlight w:val="none"/>
                <w:lang w:eastAsia="zh-CN"/>
              </w:rPr>
            </w:pPr>
            <w:r>
              <w:rPr>
                <w:sz w:val="21"/>
                <w:szCs w:val="21"/>
                <w:highlight w:val="none"/>
              </w:rPr>
              <w:t>去第三循环水</w:t>
            </w:r>
            <w:r>
              <w:rPr>
                <w:rFonts w:hint="eastAsia"/>
                <w:sz w:val="21"/>
                <w:szCs w:val="21"/>
                <w:highlight w:val="none"/>
                <w:lang w:eastAsia="zh-CN"/>
              </w:rPr>
              <w:t>厂</w:t>
            </w:r>
          </w:p>
        </w:tc>
      </w:tr>
      <w:tr w14:paraId="6F99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16103CBF">
            <w:pPr>
              <w:widowControl/>
              <w:snapToGrid w:val="0"/>
              <w:jc w:val="center"/>
              <w:rPr>
                <w:sz w:val="21"/>
                <w:szCs w:val="21"/>
                <w:highlight w:val="none"/>
              </w:rPr>
            </w:pPr>
            <w:r>
              <w:rPr>
                <w:sz w:val="21"/>
                <w:szCs w:val="21"/>
                <w:highlight w:val="none"/>
              </w:rPr>
              <w:t>化学品合成装置</w:t>
            </w:r>
          </w:p>
        </w:tc>
        <w:tc>
          <w:tcPr>
            <w:tcW w:w="712" w:type="pct"/>
            <w:vMerge w:val="restart"/>
            <w:noWrap w:val="0"/>
            <w:vAlign w:val="center"/>
          </w:tcPr>
          <w:p w14:paraId="3091CEFB">
            <w:pPr>
              <w:widowControl/>
              <w:snapToGrid w:val="0"/>
              <w:jc w:val="center"/>
              <w:rPr>
                <w:sz w:val="21"/>
                <w:szCs w:val="21"/>
                <w:highlight w:val="none"/>
              </w:rPr>
            </w:pPr>
            <w:r>
              <w:rPr>
                <w:sz w:val="21"/>
                <w:szCs w:val="21"/>
                <w:highlight w:val="none"/>
              </w:rPr>
              <w:t>费托合成</w:t>
            </w:r>
          </w:p>
          <w:p w14:paraId="520B3D77">
            <w:pPr>
              <w:widowControl/>
              <w:snapToGrid w:val="0"/>
              <w:jc w:val="center"/>
              <w:rPr>
                <w:sz w:val="21"/>
                <w:szCs w:val="21"/>
                <w:highlight w:val="none"/>
              </w:rPr>
            </w:pPr>
            <w:r>
              <w:rPr>
                <w:sz w:val="21"/>
                <w:szCs w:val="21"/>
                <w:highlight w:val="none"/>
              </w:rPr>
              <w:t>单元</w:t>
            </w:r>
          </w:p>
        </w:tc>
        <w:tc>
          <w:tcPr>
            <w:tcW w:w="794" w:type="pct"/>
            <w:noWrap w:val="0"/>
            <w:vAlign w:val="center"/>
          </w:tcPr>
          <w:p w14:paraId="1E24645A">
            <w:pPr>
              <w:widowControl/>
              <w:snapToGrid w:val="0"/>
              <w:jc w:val="center"/>
              <w:rPr>
                <w:sz w:val="21"/>
                <w:szCs w:val="21"/>
                <w:highlight w:val="none"/>
              </w:rPr>
            </w:pPr>
            <w:r>
              <w:rPr>
                <w:sz w:val="21"/>
                <w:szCs w:val="21"/>
                <w:highlight w:val="none"/>
              </w:rPr>
              <w:t>合成水</w:t>
            </w:r>
          </w:p>
        </w:tc>
        <w:tc>
          <w:tcPr>
            <w:tcW w:w="628" w:type="pct"/>
            <w:noWrap w:val="0"/>
            <w:vAlign w:val="center"/>
          </w:tcPr>
          <w:p w14:paraId="03852E1F">
            <w:pPr>
              <w:widowControl/>
              <w:snapToGrid w:val="0"/>
              <w:jc w:val="center"/>
              <w:rPr>
                <w:sz w:val="21"/>
                <w:szCs w:val="21"/>
                <w:highlight w:val="none"/>
              </w:rPr>
            </w:pPr>
            <w:r>
              <w:rPr>
                <w:sz w:val="21"/>
                <w:szCs w:val="21"/>
                <w:highlight w:val="none"/>
              </w:rPr>
              <w:t>165.2</w:t>
            </w:r>
          </w:p>
        </w:tc>
        <w:tc>
          <w:tcPr>
            <w:tcW w:w="413" w:type="pct"/>
            <w:noWrap w:val="0"/>
            <w:vAlign w:val="center"/>
          </w:tcPr>
          <w:p w14:paraId="563906F7">
            <w:pPr>
              <w:widowControl/>
              <w:snapToGrid w:val="0"/>
              <w:jc w:val="center"/>
              <w:rPr>
                <w:sz w:val="21"/>
                <w:szCs w:val="21"/>
                <w:highlight w:val="none"/>
              </w:rPr>
            </w:pPr>
            <w:r>
              <w:rPr>
                <w:sz w:val="21"/>
                <w:szCs w:val="21"/>
                <w:highlight w:val="none"/>
              </w:rPr>
              <w:t>油</w:t>
            </w:r>
          </w:p>
        </w:tc>
        <w:tc>
          <w:tcPr>
            <w:tcW w:w="528" w:type="pct"/>
            <w:noWrap w:val="0"/>
            <w:vAlign w:val="center"/>
          </w:tcPr>
          <w:p w14:paraId="6946F862">
            <w:pPr>
              <w:widowControl/>
              <w:snapToGrid w:val="0"/>
              <w:jc w:val="center"/>
              <w:rPr>
                <w:sz w:val="21"/>
                <w:szCs w:val="21"/>
                <w:highlight w:val="none"/>
              </w:rPr>
            </w:pPr>
            <w:r>
              <w:rPr>
                <w:sz w:val="21"/>
                <w:szCs w:val="21"/>
                <w:highlight w:val="none"/>
              </w:rPr>
              <w:t>＜2000ppm</w:t>
            </w:r>
          </w:p>
        </w:tc>
        <w:tc>
          <w:tcPr>
            <w:tcW w:w="190" w:type="pct"/>
            <w:noWrap w:val="0"/>
            <w:vAlign w:val="center"/>
          </w:tcPr>
          <w:p w14:paraId="0A0D2031">
            <w:pPr>
              <w:widowControl/>
              <w:snapToGrid w:val="0"/>
              <w:jc w:val="center"/>
              <w:rPr>
                <w:sz w:val="21"/>
                <w:szCs w:val="21"/>
                <w:highlight w:val="none"/>
              </w:rPr>
            </w:pPr>
            <w:r>
              <w:rPr>
                <w:sz w:val="21"/>
                <w:szCs w:val="21"/>
                <w:highlight w:val="none"/>
              </w:rPr>
              <w:t>连续</w:t>
            </w:r>
          </w:p>
        </w:tc>
        <w:tc>
          <w:tcPr>
            <w:tcW w:w="1336" w:type="pct"/>
            <w:vMerge w:val="restart"/>
            <w:noWrap w:val="0"/>
            <w:vAlign w:val="center"/>
          </w:tcPr>
          <w:p w14:paraId="1EEF822A">
            <w:pPr>
              <w:widowControl/>
              <w:snapToGrid w:val="0"/>
              <w:jc w:val="center"/>
              <w:rPr>
                <w:sz w:val="21"/>
                <w:szCs w:val="21"/>
                <w:highlight w:val="none"/>
              </w:rPr>
            </w:pPr>
            <w:r>
              <w:rPr>
                <w:sz w:val="21"/>
                <w:szCs w:val="21"/>
                <w:highlight w:val="none"/>
              </w:rPr>
              <w:t>去化学品加工装置合成水处理单元</w:t>
            </w:r>
          </w:p>
        </w:tc>
      </w:tr>
      <w:tr w14:paraId="34C5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16DCF681">
            <w:pPr>
              <w:widowControl/>
              <w:snapToGrid w:val="0"/>
              <w:jc w:val="center"/>
              <w:rPr>
                <w:sz w:val="21"/>
                <w:szCs w:val="21"/>
                <w:highlight w:val="none"/>
              </w:rPr>
            </w:pPr>
          </w:p>
        </w:tc>
        <w:tc>
          <w:tcPr>
            <w:tcW w:w="712" w:type="pct"/>
            <w:vMerge w:val="continue"/>
            <w:noWrap w:val="0"/>
            <w:vAlign w:val="center"/>
          </w:tcPr>
          <w:p w14:paraId="302A33EB">
            <w:pPr>
              <w:widowControl/>
              <w:snapToGrid w:val="0"/>
              <w:jc w:val="center"/>
              <w:rPr>
                <w:sz w:val="21"/>
                <w:szCs w:val="21"/>
                <w:highlight w:val="none"/>
              </w:rPr>
            </w:pPr>
          </w:p>
        </w:tc>
        <w:tc>
          <w:tcPr>
            <w:tcW w:w="794" w:type="pct"/>
            <w:noWrap w:val="0"/>
            <w:vAlign w:val="center"/>
          </w:tcPr>
          <w:p w14:paraId="28BEE2E2">
            <w:pPr>
              <w:widowControl/>
              <w:snapToGrid w:val="0"/>
              <w:jc w:val="center"/>
              <w:rPr>
                <w:sz w:val="21"/>
                <w:szCs w:val="21"/>
                <w:highlight w:val="none"/>
              </w:rPr>
            </w:pPr>
            <w:r>
              <w:rPr>
                <w:sz w:val="21"/>
                <w:szCs w:val="21"/>
                <w:highlight w:val="none"/>
              </w:rPr>
              <w:t>汽提凝液</w:t>
            </w:r>
          </w:p>
        </w:tc>
        <w:tc>
          <w:tcPr>
            <w:tcW w:w="628" w:type="pct"/>
            <w:noWrap w:val="0"/>
            <w:vAlign w:val="center"/>
          </w:tcPr>
          <w:p w14:paraId="709F1187">
            <w:pPr>
              <w:widowControl/>
              <w:snapToGrid w:val="0"/>
              <w:jc w:val="center"/>
              <w:rPr>
                <w:sz w:val="21"/>
                <w:szCs w:val="21"/>
                <w:highlight w:val="none"/>
              </w:rPr>
            </w:pPr>
            <w:r>
              <w:rPr>
                <w:sz w:val="21"/>
                <w:szCs w:val="21"/>
                <w:highlight w:val="none"/>
              </w:rPr>
              <w:t>2.9</w:t>
            </w:r>
          </w:p>
        </w:tc>
        <w:tc>
          <w:tcPr>
            <w:tcW w:w="413" w:type="pct"/>
            <w:noWrap w:val="0"/>
            <w:vAlign w:val="center"/>
          </w:tcPr>
          <w:p w14:paraId="5FA04158">
            <w:pPr>
              <w:widowControl/>
              <w:snapToGrid w:val="0"/>
              <w:jc w:val="center"/>
              <w:rPr>
                <w:sz w:val="21"/>
                <w:szCs w:val="21"/>
                <w:highlight w:val="none"/>
              </w:rPr>
            </w:pPr>
            <w:r>
              <w:rPr>
                <w:sz w:val="21"/>
                <w:szCs w:val="21"/>
                <w:highlight w:val="none"/>
              </w:rPr>
              <w:t>低碳烃</w:t>
            </w:r>
          </w:p>
          <w:p w14:paraId="4C44937B">
            <w:pPr>
              <w:widowControl/>
              <w:snapToGrid w:val="0"/>
              <w:jc w:val="center"/>
              <w:rPr>
                <w:sz w:val="21"/>
                <w:szCs w:val="21"/>
                <w:highlight w:val="none"/>
              </w:rPr>
            </w:pPr>
            <w:r>
              <w:rPr>
                <w:sz w:val="21"/>
                <w:szCs w:val="21"/>
                <w:highlight w:val="none"/>
              </w:rPr>
              <w:t>重质中间产品</w:t>
            </w:r>
          </w:p>
        </w:tc>
        <w:tc>
          <w:tcPr>
            <w:tcW w:w="528" w:type="pct"/>
            <w:noWrap w:val="0"/>
            <w:vAlign w:val="center"/>
          </w:tcPr>
          <w:p w14:paraId="0D54EF0F">
            <w:pPr>
              <w:widowControl/>
              <w:snapToGrid w:val="0"/>
              <w:jc w:val="center"/>
              <w:rPr>
                <w:sz w:val="21"/>
                <w:szCs w:val="21"/>
                <w:highlight w:val="none"/>
              </w:rPr>
            </w:pPr>
            <w:r>
              <w:rPr>
                <w:sz w:val="21"/>
                <w:szCs w:val="21"/>
                <w:highlight w:val="none"/>
              </w:rPr>
              <w:t>0.1</w:t>
            </w:r>
            <w:r>
              <w:rPr>
                <w:sz w:val="21"/>
                <w:szCs w:val="21"/>
                <w:highlight w:val="none"/>
                <w:lang w:val="es-ES"/>
              </w:rPr>
              <w:t>mol%</w:t>
            </w:r>
          </w:p>
          <w:p w14:paraId="759FD0ED">
            <w:pPr>
              <w:widowControl/>
              <w:snapToGrid w:val="0"/>
              <w:jc w:val="center"/>
              <w:rPr>
                <w:sz w:val="21"/>
                <w:szCs w:val="21"/>
                <w:highlight w:val="none"/>
              </w:rPr>
            </w:pPr>
            <w:r>
              <w:rPr>
                <w:sz w:val="21"/>
                <w:szCs w:val="21"/>
                <w:highlight w:val="none"/>
              </w:rPr>
              <w:t>0.4</w:t>
            </w:r>
            <w:r>
              <w:rPr>
                <w:sz w:val="21"/>
                <w:szCs w:val="21"/>
                <w:highlight w:val="none"/>
                <w:lang w:val="es-ES"/>
              </w:rPr>
              <w:t>mol%</w:t>
            </w:r>
          </w:p>
        </w:tc>
        <w:tc>
          <w:tcPr>
            <w:tcW w:w="190" w:type="pct"/>
            <w:noWrap w:val="0"/>
            <w:vAlign w:val="center"/>
          </w:tcPr>
          <w:p w14:paraId="06E29B9B">
            <w:pPr>
              <w:widowControl/>
              <w:snapToGrid w:val="0"/>
              <w:jc w:val="center"/>
              <w:rPr>
                <w:sz w:val="21"/>
                <w:szCs w:val="21"/>
                <w:highlight w:val="none"/>
              </w:rPr>
            </w:pPr>
            <w:r>
              <w:rPr>
                <w:sz w:val="21"/>
                <w:szCs w:val="21"/>
                <w:highlight w:val="none"/>
              </w:rPr>
              <w:t>连续</w:t>
            </w:r>
          </w:p>
        </w:tc>
        <w:tc>
          <w:tcPr>
            <w:tcW w:w="1336" w:type="pct"/>
            <w:vMerge w:val="continue"/>
            <w:noWrap w:val="0"/>
            <w:vAlign w:val="center"/>
          </w:tcPr>
          <w:p w14:paraId="4CD57ABE">
            <w:pPr>
              <w:widowControl/>
              <w:snapToGrid w:val="0"/>
              <w:jc w:val="center"/>
              <w:rPr>
                <w:sz w:val="21"/>
                <w:szCs w:val="21"/>
                <w:highlight w:val="none"/>
              </w:rPr>
            </w:pPr>
          </w:p>
        </w:tc>
      </w:tr>
      <w:tr w14:paraId="6A05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2D454972">
            <w:pPr>
              <w:widowControl/>
              <w:snapToGrid w:val="0"/>
              <w:jc w:val="center"/>
              <w:rPr>
                <w:sz w:val="21"/>
                <w:szCs w:val="21"/>
                <w:highlight w:val="none"/>
              </w:rPr>
            </w:pPr>
          </w:p>
        </w:tc>
        <w:tc>
          <w:tcPr>
            <w:tcW w:w="1506" w:type="pct"/>
            <w:gridSpan w:val="2"/>
            <w:noWrap w:val="0"/>
            <w:vAlign w:val="center"/>
          </w:tcPr>
          <w:p w14:paraId="42823E31">
            <w:pPr>
              <w:widowControl/>
              <w:snapToGrid w:val="0"/>
              <w:jc w:val="center"/>
              <w:rPr>
                <w:sz w:val="21"/>
                <w:szCs w:val="21"/>
                <w:highlight w:val="none"/>
              </w:rPr>
            </w:pPr>
            <w:r>
              <w:rPr>
                <w:sz w:val="21"/>
                <w:szCs w:val="21"/>
                <w:highlight w:val="none"/>
              </w:rPr>
              <w:t>汽包排污</w:t>
            </w:r>
          </w:p>
        </w:tc>
        <w:tc>
          <w:tcPr>
            <w:tcW w:w="628" w:type="pct"/>
            <w:noWrap w:val="0"/>
            <w:vAlign w:val="center"/>
          </w:tcPr>
          <w:p w14:paraId="3C38B4D7">
            <w:pPr>
              <w:widowControl/>
              <w:snapToGrid w:val="0"/>
              <w:jc w:val="center"/>
              <w:rPr>
                <w:sz w:val="21"/>
                <w:szCs w:val="21"/>
                <w:highlight w:val="none"/>
              </w:rPr>
            </w:pPr>
            <w:r>
              <w:rPr>
                <w:sz w:val="21"/>
                <w:szCs w:val="21"/>
                <w:highlight w:val="none"/>
              </w:rPr>
              <w:t>10</w:t>
            </w:r>
          </w:p>
        </w:tc>
        <w:tc>
          <w:tcPr>
            <w:tcW w:w="413" w:type="pct"/>
            <w:noWrap w:val="0"/>
            <w:vAlign w:val="center"/>
          </w:tcPr>
          <w:p w14:paraId="6BACD4AE">
            <w:pPr>
              <w:widowControl/>
              <w:snapToGrid w:val="0"/>
              <w:jc w:val="center"/>
              <w:rPr>
                <w:sz w:val="21"/>
                <w:szCs w:val="21"/>
                <w:highlight w:val="none"/>
              </w:rPr>
            </w:pPr>
            <w:r>
              <w:rPr>
                <w:sz w:val="21"/>
                <w:szCs w:val="21"/>
                <w:highlight w:val="none"/>
              </w:rPr>
              <w:t>Na</w:t>
            </w:r>
            <w:r>
              <w:rPr>
                <w:sz w:val="21"/>
                <w:szCs w:val="21"/>
                <w:highlight w:val="none"/>
                <w:vertAlign w:val="superscript"/>
              </w:rPr>
              <w:t>+</w:t>
            </w:r>
          </w:p>
          <w:p w14:paraId="0FBF9297">
            <w:pPr>
              <w:widowControl/>
              <w:snapToGrid w:val="0"/>
              <w:jc w:val="center"/>
              <w:rPr>
                <w:sz w:val="21"/>
                <w:szCs w:val="21"/>
                <w:highlight w:val="none"/>
              </w:rPr>
            </w:pPr>
            <w:r>
              <w:rPr>
                <w:sz w:val="21"/>
                <w:szCs w:val="21"/>
                <w:highlight w:val="none"/>
              </w:rPr>
              <w:t>Cl</w:t>
            </w:r>
            <w:r>
              <w:rPr>
                <w:sz w:val="21"/>
                <w:szCs w:val="21"/>
                <w:highlight w:val="none"/>
                <w:vertAlign w:val="superscript"/>
              </w:rPr>
              <w:t>-</w:t>
            </w:r>
          </w:p>
          <w:p w14:paraId="4E5EC0C3">
            <w:pPr>
              <w:widowControl/>
              <w:snapToGrid w:val="0"/>
              <w:jc w:val="center"/>
              <w:rPr>
                <w:sz w:val="21"/>
                <w:szCs w:val="21"/>
                <w:highlight w:val="none"/>
              </w:rPr>
            </w:pPr>
            <w:r>
              <w:rPr>
                <w:sz w:val="21"/>
                <w:szCs w:val="21"/>
                <w:highlight w:val="none"/>
              </w:rPr>
              <w:t>TDS</w:t>
            </w:r>
          </w:p>
        </w:tc>
        <w:tc>
          <w:tcPr>
            <w:tcW w:w="528" w:type="pct"/>
            <w:noWrap w:val="0"/>
            <w:vAlign w:val="center"/>
          </w:tcPr>
          <w:p w14:paraId="20AD23BA">
            <w:pPr>
              <w:widowControl/>
              <w:snapToGrid w:val="0"/>
              <w:jc w:val="center"/>
              <w:rPr>
                <w:sz w:val="21"/>
                <w:szCs w:val="21"/>
                <w:highlight w:val="none"/>
              </w:rPr>
            </w:pPr>
            <w:r>
              <w:rPr>
                <w:sz w:val="21"/>
                <w:szCs w:val="21"/>
                <w:highlight w:val="none"/>
              </w:rPr>
              <w:t>6.5</w:t>
            </w:r>
          </w:p>
          <w:p w14:paraId="5E5B7DA5">
            <w:pPr>
              <w:widowControl/>
              <w:snapToGrid w:val="0"/>
              <w:jc w:val="center"/>
              <w:rPr>
                <w:sz w:val="21"/>
                <w:szCs w:val="21"/>
                <w:highlight w:val="none"/>
              </w:rPr>
            </w:pPr>
            <w:r>
              <w:rPr>
                <w:sz w:val="21"/>
                <w:szCs w:val="21"/>
                <w:highlight w:val="none"/>
              </w:rPr>
              <w:t>10</w:t>
            </w:r>
          </w:p>
          <w:p w14:paraId="02EE9CD9">
            <w:pPr>
              <w:widowControl/>
              <w:snapToGrid w:val="0"/>
              <w:jc w:val="center"/>
              <w:rPr>
                <w:sz w:val="21"/>
                <w:szCs w:val="21"/>
                <w:highlight w:val="none"/>
              </w:rPr>
            </w:pPr>
            <w:r>
              <w:rPr>
                <w:sz w:val="21"/>
                <w:szCs w:val="21"/>
                <w:highlight w:val="none"/>
              </w:rPr>
              <w:t>17</w:t>
            </w:r>
          </w:p>
        </w:tc>
        <w:tc>
          <w:tcPr>
            <w:tcW w:w="190" w:type="pct"/>
            <w:noWrap w:val="0"/>
            <w:vAlign w:val="center"/>
          </w:tcPr>
          <w:p w14:paraId="239C6CDC">
            <w:pPr>
              <w:widowControl/>
              <w:snapToGrid w:val="0"/>
              <w:jc w:val="center"/>
              <w:rPr>
                <w:sz w:val="21"/>
                <w:szCs w:val="21"/>
                <w:highlight w:val="none"/>
              </w:rPr>
            </w:pPr>
            <w:r>
              <w:rPr>
                <w:sz w:val="21"/>
                <w:szCs w:val="21"/>
                <w:highlight w:val="none"/>
              </w:rPr>
              <w:t>连续</w:t>
            </w:r>
          </w:p>
        </w:tc>
        <w:tc>
          <w:tcPr>
            <w:tcW w:w="1336" w:type="pct"/>
            <w:noWrap w:val="0"/>
            <w:vAlign w:val="center"/>
          </w:tcPr>
          <w:p w14:paraId="591A4C5F">
            <w:pPr>
              <w:widowControl/>
              <w:snapToGrid w:val="0"/>
              <w:jc w:val="center"/>
              <w:rPr>
                <w:rFonts w:hint="eastAsia" w:eastAsia="宋体"/>
                <w:sz w:val="21"/>
                <w:szCs w:val="21"/>
                <w:highlight w:val="none"/>
                <w:lang w:eastAsia="zh-CN"/>
              </w:rPr>
            </w:pPr>
            <w:r>
              <w:rPr>
                <w:sz w:val="21"/>
                <w:szCs w:val="21"/>
                <w:highlight w:val="none"/>
              </w:rPr>
              <w:t>去第三循环水</w:t>
            </w:r>
            <w:r>
              <w:rPr>
                <w:rFonts w:hint="eastAsia"/>
                <w:sz w:val="21"/>
                <w:szCs w:val="21"/>
                <w:highlight w:val="none"/>
                <w:lang w:eastAsia="zh-CN"/>
              </w:rPr>
              <w:t>厂</w:t>
            </w:r>
          </w:p>
        </w:tc>
      </w:tr>
      <w:tr w14:paraId="3F55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7A5B8579">
            <w:pPr>
              <w:widowControl/>
              <w:snapToGrid w:val="0"/>
              <w:jc w:val="center"/>
              <w:rPr>
                <w:sz w:val="21"/>
                <w:szCs w:val="21"/>
                <w:highlight w:val="none"/>
              </w:rPr>
            </w:pPr>
            <w:r>
              <w:rPr>
                <w:sz w:val="21"/>
                <w:szCs w:val="21"/>
                <w:highlight w:val="none"/>
              </w:rPr>
              <w:t>化学品加工装置</w:t>
            </w:r>
          </w:p>
        </w:tc>
        <w:tc>
          <w:tcPr>
            <w:tcW w:w="712" w:type="pct"/>
            <w:vMerge w:val="restart"/>
            <w:noWrap w:val="0"/>
            <w:vAlign w:val="center"/>
          </w:tcPr>
          <w:p w14:paraId="3432246A">
            <w:pPr>
              <w:widowControl/>
              <w:snapToGrid w:val="0"/>
              <w:jc w:val="center"/>
              <w:rPr>
                <w:sz w:val="21"/>
                <w:szCs w:val="21"/>
                <w:highlight w:val="none"/>
              </w:rPr>
            </w:pPr>
            <w:r>
              <w:rPr>
                <w:sz w:val="21"/>
                <w:szCs w:val="21"/>
                <w:highlight w:val="none"/>
              </w:rPr>
              <w:t>加氢精制单元</w:t>
            </w:r>
          </w:p>
        </w:tc>
        <w:tc>
          <w:tcPr>
            <w:tcW w:w="2104" w:type="dxa"/>
            <w:noWrap w:val="0"/>
            <w:vAlign w:val="center"/>
          </w:tcPr>
          <w:p w14:paraId="1357694E">
            <w:pPr>
              <w:widowControl/>
              <w:snapToGrid w:val="0"/>
              <w:jc w:val="center"/>
              <w:rPr>
                <w:sz w:val="21"/>
                <w:szCs w:val="21"/>
                <w:highlight w:val="none"/>
              </w:rPr>
            </w:pPr>
            <w:r>
              <w:rPr>
                <w:sz w:val="21"/>
                <w:szCs w:val="21"/>
                <w:highlight w:val="none"/>
              </w:rPr>
              <w:t>冷低压分离器排</w:t>
            </w:r>
            <w:r>
              <w:rPr>
                <w:rFonts w:hint="eastAsia"/>
                <w:sz w:val="21"/>
                <w:szCs w:val="21"/>
                <w:highlight w:val="none"/>
                <w:lang w:eastAsia="zh-CN"/>
              </w:rPr>
              <w:t>放</w:t>
            </w:r>
            <w:r>
              <w:rPr>
                <w:sz w:val="21"/>
                <w:szCs w:val="21"/>
                <w:highlight w:val="none"/>
              </w:rPr>
              <w:t>含硫含油污水</w:t>
            </w:r>
          </w:p>
        </w:tc>
        <w:tc>
          <w:tcPr>
            <w:tcW w:w="628" w:type="pct"/>
            <w:noWrap w:val="0"/>
            <w:vAlign w:val="center"/>
          </w:tcPr>
          <w:p w14:paraId="2D06BF55">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：1.3</w:t>
            </w:r>
          </w:p>
          <w:p w14:paraId="1652D886">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：1.7</w:t>
            </w:r>
          </w:p>
        </w:tc>
        <w:tc>
          <w:tcPr>
            <w:tcW w:w="413" w:type="pct"/>
            <w:noWrap w:val="0"/>
            <w:vAlign w:val="center"/>
          </w:tcPr>
          <w:p w14:paraId="6AB08B15">
            <w:pPr>
              <w:widowControl/>
              <w:snapToGrid w:val="0"/>
              <w:jc w:val="center"/>
              <w:rPr>
                <w:sz w:val="21"/>
                <w:szCs w:val="21"/>
                <w:highlight w:val="none"/>
              </w:rPr>
            </w:pPr>
            <w:r>
              <w:rPr>
                <w:sz w:val="21"/>
                <w:szCs w:val="21"/>
                <w:highlight w:val="none"/>
              </w:rPr>
              <w:t>PH</w:t>
            </w:r>
          </w:p>
          <w:p w14:paraId="4E703378">
            <w:pPr>
              <w:widowControl/>
              <w:snapToGrid w:val="0"/>
              <w:jc w:val="center"/>
              <w:rPr>
                <w:sz w:val="21"/>
                <w:szCs w:val="21"/>
                <w:highlight w:val="none"/>
              </w:rPr>
            </w:pPr>
            <w:r>
              <w:rPr>
                <w:sz w:val="21"/>
                <w:szCs w:val="21"/>
                <w:highlight w:val="none"/>
              </w:rPr>
              <w:t>COD</w:t>
            </w:r>
          </w:p>
          <w:p w14:paraId="6204ED3E">
            <w:pPr>
              <w:widowControl/>
              <w:snapToGrid w:val="0"/>
              <w:jc w:val="center"/>
              <w:rPr>
                <w:sz w:val="21"/>
                <w:szCs w:val="21"/>
                <w:highlight w:val="none"/>
              </w:rPr>
            </w:pPr>
            <w:r>
              <w:rPr>
                <w:sz w:val="21"/>
                <w:szCs w:val="21"/>
                <w:highlight w:val="none"/>
              </w:rPr>
              <w:t>油</w:t>
            </w:r>
          </w:p>
          <w:p w14:paraId="1C3F9EE2">
            <w:pPr>
              <w:widowControl/>
              <w:snapToGrid w:val="0"/>
              <w:jc w:val="center"/>
              <w:rPr>
                <w:sz w:val="21"/>
                <w:szCs w:val="21"/>
                <w:highlight w:val="none"/>
              </w:rPr>
            </w:pPr>
            <w:r>
              <w:rPr>
                <w:sz w:val="21"/>
                <w:szCs w:val="21"/>
                <w:highlight w:val="none"/>
              </w:rPr>
              <w:t>硫化物</w:t>
            </w:r>
          </w:p>
        </w:tc>
        <w:tc>
          <w:tcPr>
            <w:tcW w:w="528" w:type="pct"/>
            <w:noWrap w:val="0"/>
            <w:vAlign w:val="center"/>
          </w:tcPr>
          <w:p w14:paraId="0F6B6D40">
            <w:pPr>
              <w:widowControl/>
              <w:snapToGrid w:val="0"/>
              <w:jc w:val="center"/>
              <w:rPr>
                <w:sz w:val="21"/>
                <w:szCs w:val="21"/>
                <w:highlight w:val="none"/>
              </w:rPr>
            </w:pPr>
            <w:r>
              <w:rPr>
                <w:sz w:val="21"/>
                <w:szCs w:val="21"/>
                <w:highlight w:val="none"/>
              </w:rPr>
              <w:t>6~8</w:t>
            </w:r>
          </w:p>
          <w:p w14:paraId="3AC52A39">
            <w:pPr>
              <w:widowControl/>
              <w:snapToGrid w:val="0"/>
              <w:jc w:val="center"/>
              <w:rPr>
                <w:sz w:val="21"/>
                <w:szCs w:val="21"/>
                <w:highlight w:val="none"/>
              </w:rPr>
            </w:pPr>
            <w:r>
              <w:rPr>
                <w:sz w:val="21"/>
                <w:szCs w:val="21"/>
                <w:highlight w:val="none"/>
              </w:rPr>
              <w:t>&lt;700</w:t>
            </w:r>
          </w:p>
          <w:p w14:paraId="486DAB77">
            <w:pPr>
              <w:widowControl/>
              <w:snapToGrid w:val="0"/>
              <w:jc w:val="center"/>
              <w:rPr>
                <w:sz w:val="21"/>
                <w:szCs w:val="21"/>
                <w:highlight w:val="none"/>
              </w:rPr>
            </w:pPr>
            <w:r>
              <w:rPr>
                <w:sz w:val="21"/>
                <w:szCs w:val="21"/>
                <w:highlight w:val="none"/>
              </w:rPr>
              <w:t>50</w:t>
            </w:r>
          </w:p>
          <w:p w14:paraId="0CDD71F9">
            <w:pPr>
              <w:widowControl/>
              <w:snapToGrid w:val="0"/>
              <w:jc w:val="center"/>
              <w:rPr>
                <w:sz w:val="21"/>
                <w:szCs w:val="21"/>
                <w:highlight w:val="none"/>
              </w:rPr>
            </w:pPr>
            <w:r>
              <w:rPr>
                <w:sz w:val="21"/>
                <w:szCs w:val="21"/>
                <w:highlight w:val="none"/>
              </w:rPr>
              <w:t>100</w:t>
            </w:r>
          </w:p>
        </w:tc>
        <w:tc>
          <w:tcPr>
            <w:tcW w:w="190" w:type="pct"/>
            <w:noWrap w:val="0"/>
            <w:vAlign w:val="center"/>
          </w:tcPr>
          <w:p w14:paraId="4F051899">
            <w:pPr>
              <w:widowControl/>
              <w:snapToGrid w:val="0"/>
              <w:jc w:val="center"/>
              <w:rPr>
                <w:sz w:val="21"/>
                <w:szCs w:val="21"/>
                <w:highlight w:val="none"/>
              </w:rPr>
            </w:pPr>
            <w:r>
              <w:rPr>
                <w:sz w:val="21"/>
                <w:szCs w:val="21"/>
                <w:highlight w:val="none"/>
              </w:rPr>
              <w:t>连续</w:t>
            </w:r>
          </w:p>
        </w:tc>
        <w:tc>
          <w:tcPr>
            <w:tcW w:w="1336" w:type="pct"/>
            <w:vMerge w:val="restart"/>
            <w:noWrap w:val="0"/>
            <w:vAlign w:val="center"/>
          </w:tcPr>
          <w:p w14:paraId="74C9C073">
            <w:pPr>
              <w:widowControl/>
              <w:snapToGrid w:val="0"/>
              <w:jc w:val="center"/>
              <w:rPr>
                <w:sz w:val="21"/>
                <w:szCs w:val="21"/>
                <w:highlight w:val="none"/>
              </w:rPr>
            </w:pPr>
            <w:r>
              <w:rPr>
                <w:sz w:val="21"/>
                <w:szCs w:val="21"/>
                <w:highlight w:val="none"/>
              </w:rPr>
              <w:t>送净化装置酸性水汽提单元</w:t>
            </w:r>
          </w:p>
        </w:tc>
      </w:tr>
      <w:tr w14:paraId="63597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3788A8DB">
            <w:pPr>
              <w:widowControl/>
              <w:snapToGrid w:val="0"/>
              <w:jc w:val="center"/>
              <w:rPr>
                <w:sz w:val="21"/>
                <w:szCs w:val="21"/>
                <w:highlight w:val="none"/>
              </w:rPr>
            </w:pPr>
          </w:p>
        </w:tc>
        <w:tc>
          <w:tcPr>
            <w:tcW w:w="712" w:type="pct"/>
            <w:vMerge w:val="continue"/>
            <w:noWrap w:val="0"/>
            <w:vAlign w:val="center"/>
          </w:tcPr>
          <w:p w14:paraId="2AC90D64">
            <w:pPr>
              <w:widowControl/>
              <w:snapToGrid w:val="0"/>
              <w:jc w:val="center"/>
              <w:rPr>
                <w:sz w:val="21"/>
                <w:szCs w:val="21"/>
                <w:highlight w:val="none"/>
              </w:rPr>
            </w:pPr>
          </w:p>
        </w:tc>
        <w:tc>
          <w:tcPr>
            <w:tcW w:w="2104" w:type="dxa"/>
            <w:noWrap w:val="0"/>
            <w:vAlign w:val="center"/>
          </w:tcPr>
          <w:p w14:paraId="15B95D31">
            <w:pPr>
              <w:widowControl/>
              <w:snapToGrid w:val="0"/>
              <w:jc w:val="center"/>
              <w:rPr>
                <w:sz w:val="21"/>
                <w:szCs w:val="21"/>
                <w:highlight w:val="none"/>
              </w:rPr>
            </w:pPr>
            <w:r>
              <w:rPr>
                <w:sz w:val="21"/>
                <w:szCs w:val="21"/>
                <w:highlight w:val="none"/>
              </w:rPr>
              <w:t>精制分馏塔顶回流罐排</w:t>
            </w:r>
            <w:r>
              <w:rPr>
                <w:rFonts w:hint="eastAsia"/>
                <w:sz w:val="21"/>
                <w:szCs w:val="21"/>
                <w:highlight w:val="none"/>
                <w:lang w:eastAsia="zh-CN"/>
              </w:rPr>
              <w:t>放</w:t>
            </w:r>
            <w:r>
              <w:rPr>
                <w:sz w:val="21"/>
                <w:szCs w:val="21"/>
                <w:highlight w:val="none"/>
              </w:rPr>
              <w:t>含硫含油污水</w:t>
            </w:r>
          </w:p>
        </w:tc>
        <w:tc>
          <w:tcPr>
            <w:tcW w:w="628" w:type="pct"/>
            <w:noWrap w:val="0"/>
            <w:vAlign w:val="center"/>
          </w:tcPr>
          <w:p w14:paraId="4EC20C53">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：2.0</w:t>
            </w:r>
          </w:p>
          <w:p w14:paraId="3014DA64">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：2.6</w:t>
            </w:r>
          </w:p>
        </w:tc>
        <w:tc>
          <w:tcPr>
            <w:tcW w:w="413" w:type="pct"/>
            <w:noWrap w:val="0"/>
            <w:vAlign w:val="center"/>
          </w:tcPr>
          <w:p w14:paraId="2086ABAA">
            <w:pPr>
              <w:widowControl/>
              <w:snapToGrid w:val="0"/>
              <w:jc w:val="center"/>
              <w:rPr>
                <w:sz w:val="21"/>
                <w:szCs w:val="21"/>
                <w:highlight w:val="none"/>
              </w:rPr>
            </w:pPr>
            <w:r>
              <w:rPr>
                <w:sz w:val="21"/>
                <w:szCs w:val="21"/>
                <w:highlight w:val="none"/>
              </w:rPr>
              <w:t>PH</w:t>
            </w:r>
          </w:p>
          <w:p w14:paraId="0C261E35">
            <w:pPr>
              <w:widowControl/>
              <w:snapToGrid w:val="0"/>
              <w:jc w:val="center"/>
              <w:rPr>
                <w:sz w:val="21"/>
                <w:szCs w:val="21"/>
                <w:highlight w:val="none"/>
              </w:rPr>
            </w:pPr>
            <w:r>
              <w:rPr>
                <w:sz w:val="21"/>
                <w:szCs w:val="21"/>
                <w:highlight w:val="none"/>
              </w:rPr>
              <w:t>COD</w:t>
            </w:r>
          </w:p>
          <w:p w14:paraId="165A57A1">
            <w:pPr>
              <w:widowControl/>
              <w:snapToGrid w:val="0"/>
              <w:jc w:val="center"/>
              <w:rPr>
                <w:sz w:val="21"/>
                <w:szCs w:val="21"/>
                <w:highlight w:val="none"/>
              </w:rPr>
            </w:pPr>
            <w:r>
              <w:rPr>
                <w:sz w:val="21"/>
                <w:szCs w:val="21"/>
                <w:highlight w:val="none"/>
              </w:rPr>
              <w:t>油</w:t>
            </w:r>
          </w:p>
          <w:p w14:paraId="0075872A">
            <w:pPr>
              <w:widowControl/>
              <w:snapToGrid w:val="0"/>
              <w:jc w:val="center"/>
              <w:rPr>
                <w:sz w:val="21"/>
                <w:szCs w:val="21"/>
                <w:highlight w:val="none"/>
              </w:rPr>
            </w:pPr>
            <w:r>
              <w:rPr>
                <w:sz w:val="21"/>
                <w:szCs w:val="21"/>
                <w:highlight w:val="none"/>
              </w:rPr>
              <w:t>硫化物</w:t>
            </w:r>
          </w:p>
        </w:tc>
        <w:tc>
          <w:tcPr>
            <w:tcW w:w="528" w:type="pct"/>
            <w:noWrap w:val="0"/>
            <w:vAlign w:val="center"/>
          </w:tcPr>
          <w:p w14:paraId="6BD03606">
            <w:pPr>
              <w:widowControl/>
              <w:snapToGrid w:val="0"/>
              <w:jc w:val="center"/>
              <w:rPr>
                <w:sz w:val="21"/>
                <w:szCs w:val="21"/>
                <w:highlight w:val="none"/>
              </w:rPr>
            </w:pPr>
            <w:r>
              <w:rPr>
                <w:sz w:val="21"/>
                <w:szCs w:val="21"/>
                <w:highlight w:val="none"/>
              </w:rPr>
              <w:t>6~8</w:t>
            </w:r>
          </w:p>
          <w:p w14:paraId="471E8D7B">
            <w:pPr>
              <w:widowControl/>
              <w:snapToGrid w:val="0"/>
              <w:jc w:val="center"/>
              <w:rPr>
                <w:sz w:val="21"/>
                <w:szCs w:val="21"/>
                <w:highlight w:val="none"/>
              </w:rPr>
            </w:pPr>
            <w:r>
              <w:rPr>
                <w:sz w:val="21"/>
                <w:szCs w:val="21"/>
                <w:highlight w:val="none"/>
              </w:rPr>
              <w:t>&lt;700</w:t>
            </w:r>
          </w:p>
          <w:p w14:paraId="5CB13537">
            <w:pPr>
              <w:widowControl/>
              <w:snapToGrid w:val="0"/>
              <w:jc w:val="center"/>
              <w:rPr>
                <w:sz w:val="21"/>
                <w:szCs w:val="21"/>
                <w:highlight w:val="none"/>
              </w:rPr>
            </w:pPr>
            <w:r>
              <w:rPr>
                <w:sz w:val="21"/>
                <w:szCs w:val="21"/>
                <w:highlight w:val="none"/>
              </w:rPr>
              <w:t>50</w:t>
            </w:r>
          </w:p>
          <w:p w14:paraId="7CDDACD5">
            <w:pPr>
              <w:widowControl/>
              <w:snapToGrid w:val="0"/>
              <w:jc w:val="center"/>
              <w:rPr>
                <w:sz w:val="21"/>
                <w:szCs w:val="21"/>
                <w:highlight w:val="none"/>
              </w:rPr>
            </w:pPr>
            <w:r>
              <w:rPr>
                <w:sz w:val="21"/>
                <w:szCs w:val="21"/>
                <w:highlight w:val="none"/>
              </w:rPr>
              <w:t>100</w:t>
            </w:r>
          </w:p>
        </w:tc>
        <w:tc>
          <w:tcPr>
            <w:tcW w:w="190" w:type="pct"/>
            <w:noWrap w:val="0"/>
            <w:vAlign w:val="center"/>
          </w:tcPr>
          <w:p w14:paraId="3ED5E6B1">
            <w:pPr>
              <w:widowControl/>
              <w:snapToGrid w:val="0"/>
              <w:jc w:val="center"/>
              <w:rPr>
                <w:sz w:val="21"/>
                <w:szCs w:val="21"/>
                <w:highlight w:val="none"/>
              </w:rPr>
            </w:pPr>
            <w:r>
              <w:rPr>
                <w:sz w:val="21"/>
                <w:szCs w:val="21"/>
                <w:highlight w:val="none"/>
              </w:rPr>
              <w:t>连续</w:t>
            </w:r>
          </w:p>
        </w:tc>
        <w:tc>
          <w:tcPr>
            <w:tcW w:w="1336" w:type="pct"/>
            <w:vMerge w:val="continue"/>
            <w:noWrap w:val="0"/>
            <w:vAlign w:val="center"/>
          </w:tcPr>
          <w:p w14:paraId="05548606">
            <w:pPr>
              <w:widowControl/>
              <w:snapToGrid w:val="0"/>
              <w:jc w:val="center"/>
              <w:rPr>
                <w:sz w:val="21"/>
                <w:szCs w:val="21"/>
                <w:highlight w:val="none"/>
              </w:rPr>
            </w:pPr>
          </w:p>
        </w:tc>
      </w:tr>
      <w:tr w14:paraId="5F44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10424207">
            <w:pPr>
              <w:widowControl/>
              <w:snapToGrid w:val="0"/>
              <w:jc w:val="center"/>
              <w:rPr>
                <w:sz w:val="21"/>
                <w:szCs w:val="21"/>
                <w:highlight w:val="none"/>
              </w:rPr>
            </w:pPr>
          </w:p>
        </w:tc>
        <w:tc>
          <w:tcPr>
            <w:tcW w:w="712" w:type="pct"/>
            <w:vMerge w:val="continue"/>
            <w:noWrap w:val="0"/>
            <w:vAlign w:val="center"/>
          </w:tcPr>
          <w:p w14:paraId="3C795843">
            <w:pPr>
              <w:widowControl/>
              <w:snapToGrid w:val="0"/>
              <w:jc w:val="center"/>
              <w:rPr>
                <w:sz w:val="21"/>
                <w:szCs w:val="21"/>
                <w:highlight w:val="none"/>
              </w:rPr>
            </w:pPr>
          </w:p>
        </w:tc>
        <w:tc>
          <w:tcPr>
            <w:tcW w:w="2104" w:type="dxa"/>
            <w:noWrap w:val="0"/>
            <w:vAlign w:val="center"/>
          </w:tcPr>
          <w:p w14:paraId="0E2F3B44">
            <w:pPr>
              <w:widowControl/>
              <w:snapToGrid w:val="0"/>
              <w:jc w:val="center"/>
              <w:rPr>
                <w:sz w:val="21"/>
                <w:szCs w:val="21"/>
                <w:highlight w:val="none"/>
              </w:rPr>
            </w:pPr>
            <w:r>
              <w:rPr>
                <w:sz w:val="21"/>
                <w:szCs w:val="21"/>
                <w:highlight w:val="none"/>
              </w:rPr>
              <w:t>精制减压塔顶分水罐排</w:t>
            </w:r>
            <w:r>
              <w:rPr>
                <w:rFonts w:hint="eastAsia"/>
                <w:sz w:val="21"/>
                <w:szCs w:val="21"/>
                <w:highlight w:val="none"/>
                <w:lang w:eastAsia="zh-CN"/>
              </w:rPr>
              <w:t>放</w:t>
            </w:r>
            <w:r>
              <w:rPr>
                <w:sz w:val="21"/>
                <w:szCs w:val="21"/>
                <w:highlight w:val="none"/>
              </w:rPr>
              <w:t>含油污水</w:t>
            </w:r>
          </w:p>
        </w:tc>
        <w:tc>
          <w:tcPr>
            <w:tcW w:w="628" w:type="pct"/>
            <w:noWrap w:val="0"/>
            <w:vAlign w:val="center"/>
          </w:tcPr>
          <w:p w14:paraId="0188C650">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：1.6</w:t>
            </w:r>
          </w:p>
          <w:p w14:paraId="26E60BDB">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：6.6</w:t>
            </w:r>
          </w:p>
        </w:tc>
        <w:tc>
          <w:tcPr>
            <w:tcW w:w="413" w:type="pct"/>
            <w:noWrap w:val="0"/>
            <w:vAlign w:val="center"/>
          </w:tcPr>
          <w:p w14:paraId="5981AA77">
            <w:pPr>
              <w:widowControl/>
              <w:snapToGrid w:val="0"/>
              <w:jc w:val="center"/>
              <w:rPr>
                <w:sz w:val="21"/>
                <w:szCs w:val="21"/>
                <w:highlight w:val="none"/>
              </w:rPr>
            </w:pPr>
            <w:r>
              <w:rPr>
                <w:sz w:val="21"/>
                <w:szCs w:val="21"/>
                <w:highlight w:val="none"/>
              </w:rPr>
              <w:t>PH</w:t>
            </w:r>
          </w:p>
          <w:p w14:paraId="1ADF4A12">
            <w:pPr>
              <w:widowControl/>
              <w:snapToGrid w:val="0"/>
              <w:jc w:val="center"/>
              <w:rPr>
                <w:sz w:val="21"/>
                <w:szCs w:val="21"/>
                <w:highlight w:val="none"/>
              </w:rPr>
            </w:pPr>
            <w:r>
              <w:rPr>
                <w:sz w:val="21"/>
                <w:szCs w:val="21"/>
                <w:highlight w:val="none"/>
              </w:rPr>
              <w:t>COD</w:t>
            </w:r>
          </w:p>
          <w:p w14:paraId="10C22EA0">
            <w:pPr>
              <w:widowControl/>
              <w:snapToGrid w:val="0"/>
              <w:jc w:val="center"/>
              <w:rPr>
                <w:sz w:val="21"/>
                <w:szCs w:val="21"/>
                <w:highlight w:val="none"/>
              </w:rPr>
            </w:pPr>
            <w:r>
              <w:rPr>
                <w:sz w:val="21"/>
                <w:szCs w:val="21"/>
                <w:highlight w:val="none"/>
              </w:rPr>
              <w:t>油</w:t>
            </w:r>
          </w:p>
        </w:tc>
        <w:tc>
          <w:tcPr>
            <w:tcW w:w="528" w:type="pct"/>
            <w:noWrap w:val="0"/>
            <w:vAlign w:val="center"/>
          </w:tcPr>
          <w:p w14:paraId="2A3257AF">
            <w:pPr>
              <w:widowControl/>
              <w:snapToGrid w:val="0"/>
              <w:jc w:val="center"/>
              <w:rPr>
                <w:sz w:val="21"/>
                <w:szCs w:val="21"/>
                <w:highlight w:val="none"/>
              </w:rPr>
            </w:pPr>
            <w:r>
              <w:rPr>
                <w:sz w:val="21"/>
                <w:szCs w:val="21"/>
                <w:highlight w:val="none"/>
              </w:rPr>
              <w:t>6~8</w:t>
            </w:r>
          </w:p>
          <w:p w14:paraId="6BB94423">
            <w:pPr>
              <w:widowControl/>
              <w:snapToGrid w:val="0"/>
              <w:jc w:val="center"/>
              <w:rPr>
                <w:sz w:val="21"/>
                <w:szCs w:val="21"/>
                <w:highlight w:val="none"/>
              </w:rPr>
            </w:pPr>
            <w:r>
              <w:rPr>
                <w:sz w:val="21"/>
                <w:szCs w:val="21"/>
                <w:highlight w:val="none"/>
              </w:rPr>
              <w:t>&lt;700</w:t>
            </w:r>
          </w:p>
          <w:p w14:paraId="120CA2EA">
            <w:pPr>
              <w:widowControl/>
              <w:snapToGrid w:val="0"/>
              <w:jc w:val="center"/>
              <w:rPr>
                <w:sz w:val="21"/>
                <w:szCs w:val="21"/>
                <w:highlight w:val="none"/>
              </w:rPr>
            </w:pPr>
            <w:r>
              <w:rPr>
                <w:sz w:val="21"/>
                <w:szCs w:val="21"/>
                <w:highlight w:val="none"/>
              </w:rPr>
              <w:t>1000</w:t>
            </w:r>
          </w:p>
        </w:tc>
        <w:tc>
          <w:tcPr>
            <w:tcW w:w="190" w:type="pct"/>
            <w:noWrap w:val="0"/>
            <w:vAlign w:val="center"/>
          </w:tcPr>
          <w:p w14:paraId="45BEF375">
            <w:pPr>
              <w:widowControl/>
              <w:snapToGrid w:val="0"/>
              <w:jc w:val="center"/>
              <w:rPr>
                <w:sz w:val="21"/>
                <w:szCs w:val="21"/>
                <w:highlight w:val="none"/>
              </w:rPr>
            </w:pPr>
            <w:r>
              <w:rPr>
                <w:sz w:val="21"/>
                <w:szCs w:val="21"/>
                <w:highlight w:val="none"/>
              </w:rPr>
              <w:t>连续</w:t>
            </w:r>
          </w:p>
        </w:tc>
        <w:tc>
          <w:tcPr>
            <w:tcW w:w="1336" w:type="pct"/>
            <w:noWrap w:val="0"/>
            <w:vAlign w:val="center"/>
          </w:tcPr>
          <w:p w14:paraId="715E7E8F">
            <w:pPr>
              <w:widowControl/>
              <w:snapToGrid w:val="0"/>
              <w:jc w:val="center"/>
              <w:rPr>
                <w:sz w:val="21"/>
                <w:szCs w:val="21"/>
                <w:highlight w:val="none"/>
              </w:rPr>
            </w:pPr>
            <w:r>
              <w:rPr>
                <w:sz w:val="21"/>
                <w:szCs w:val="21"/>
                <w:highlight w:val="none"/>
              </w:rPr>
              <w:t>去厂内</w:t>
            </w:r>
            <w:r>
              <w:rPr>
                <w:rFonts w:hint="eastAsia"/>
                <w:sz w:val="21"/>
                <w:szCs w:val="21"/>
                <w:highlight w:val="none"/>
                <w:lang w:eastAsia="zh-CN"/>
              </w:rPr>
              <w:t>污水处理厂进行</w:t>
            </w:r>
            <w:r>
              <w:rPr>
                <w:sz w:val="21"/>
                <w:szCs w:val="21"/>
                <w:highlight w:val="none"/>
              </w:rPr>
              <w:t>含油污水预处理</w:t>
            </w:r>
          </w:p>
        </w:tc>
      </w:tr>
      <w:tr w14:paraId="3CF2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72707421">
            <w:pPr>
              <w:widowControl/>
              <w:snapToGrid w:val="0"/>
              <w:jc w:val="center"/>
              <w:rPr>
                <w:sz w:val="21"/>
                <w:szCs w:val="21"/>
                <w:highlight w:val="none"/>
              </w:rPr>
            </w:pPr>
          </w:p>
        </w:tc>
        <w:tc>
          <w:tcPr>
            <w:tcW w:w="712" w:type="pct"/>
            <w:vMerge w:val="restart"/>
            <w:noWrap w:val="0"/>
            <w:vAlign w:val="center"/>
          </w:tcPr>
          <w:p w14:paraId="2F08158E">
            <w:pPr>
              <w:widowControl/>
              <w:snapToGrid w:val="0"/>
              <w:jc w:val="center"/>
              <w:rPr>
                <w:sz w:val="21"/>
                <w:szCs w:val="21"/>
                <w:highlight w:val="none"/>
              </w:rPr>
            </w:pPr>
            <w:r>
              <w:rPr>
                <w:sz w:val="21"/>
                <w:szCs w:val="21"/>
                <w:highlight w:val="none"/>
              </w:rPr>
              <w:t>加氢裂化单元</w:t>
            </w:r>
          </w:p>
        </w:tc>
        <w:tc>
          <w:tcPr>
            <w:tcW w:w="2104" w:type="dxa"/>
            <w:noWrap w:val="0"/>
            <w:vAlign w:val="center"/>
          </w:tcPr>
          <w:p w14:paraId="1B3C581E">
            <w:pPr>
              <w:widowControl/>
              <w:snapToGrid w:val="0"/>
              <w:jc w:val="center"/>
              <w:rPr>
                <w:sz w:val="21"/>
                <w:szCs w:val="21"/>
                <w:highlight w:val="none"/>
              </w:rPr>
            </w:pPr>
            <w:r>
              <w:rPr>
                <w:sz w:val="21"/>
                <w:szCs w:val="21"/>
                <w:highlight w:val="none"/>
              </w:rPr>
              <w:t>分馏塔顶罐排</w:t>
            </w:r>
            <w:r>
              <w:rPr>
                <w:rFonts w:hint="eastAsia"/>
                <w:sz w:val="21"/>
                <w:szCs w:val="21"/>
                <w:highlight w:val="none"/>
                <w:lang w:eastAsia="zh-CN"/>
              </w:rPr>
              <w:t>放</w:t>
            </w:r>
            <w:r>
              <w:rPr>
                <w:sz w:val="21"/>
                <w:szCs w:val="21"/>
                <w:highlight w:val="none"/>
              </w:rPr>
              <w:t>含硫含油污水</w:t>
            </w:r>
          </w:p>
        </w:tc>
        <w:tc>
          <w:tcPr>
            <w:tcW w:w="628" w:type="pct"/>
            <w:noWrap w:val="0"/>
            <w:vAlign w:val="center"/>
          </w:tcPr>
          <w:p w14:paraId="638ABEB7">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：3.38</w:t>
            </w:r>
          </w:p>
          <w:p w14:paraId="477900E4">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：5.23</w:t>
            </w:r>
          </w:p>
        </w:tc>
        <w:tc>
          <w:tcPr>
            <w:tcW w:w="413" w:type="pct"/>
            <w:noWrap w:val="0"/>
            <w:vAlign w:val="center"/>
          </w:tcPr>
          <w:p w14:paraId="003016AF">
            <w:pPr>
              <w:widowControl/>
              <w:snapToGrid w:val="0"/>
              <w:jc w:val="center"/>
              <w:rPr>
                <w:sz w:val="21"/>
                <w:szCs w:val="21"/>
                <w:highlight w:val="none"/>
              </w:rPr>
            </w:pPr>
            <w:r>
              <w:rPr>
                <w:sz w:val="21"/>
                <w:szCs w:val="21"/>
                <w:highlight w:val="none"/>
              </w:rPr>
              <w:t>PH</w:t>
            </w:r>
          </w:p>
          <w:p w14:paraId="16E613CB">
            <w:pPr>
              <w:widowControl/>
              <w:snapToGrid w:val="0"/>
              <w:jc w:val="center"/>
              <w:rPr>
                <w:sz w:val="21"/>
                <w:szCs w:val="21"/>
                <w:highlight w:val="none"/>
              </w:rPr>
            </w:pPr>
            <w:r>
              <w:rPr>
                <w:sz w:val="21"/>
                <w:szCs w:val="21"/>
                <w:highlight w:val="none"/>
              </w:rPr>
              <w:t>COD</w:t>
            </w:r>
          </w:p>
          <w:p w14:paraId="62A54B40">
            <w:pPr>
              <w:widowControl/>
              <w:snapToGrid w:val="0"/>
              <w:jc w:val="center"/>
              <w:rPr>
                <w:sz w:val="21"/>
                <w:szCs w:val="21"/>
                <w:highlight w:val="none"/>
              </w:rPr>
            </w:pPr>
            <w:r>
              <w:rPr>
                <w:sz w:val="21"/>
                <w:szCs w:val="21"/>
                <w:highlight w:val="none"/>
              </w:rPr>
              <w:t>油</w:t>
            </w:r>
          </w:p>
          <w:p w14:paraId="7FA6F3D2">
            <w:pPr>
              <w:widowControl/>
              <w:snapToGrid w:val="0"/>
              <w:jc w:val="center"/>
              <w:rPr>
                <w:sz w:val="21"/>
                <w:szCs w:val="21"/>
                <w:highlight w:val="none"/>
              </w:rPr>
            </w:pPr>
            <w:r>
              <w:rPr>
                <w:sz w:val="21"/>
                <w:szCs w:val="21"/>
                <w:highlight w:val="none"/>
              </w:rPr>
              <w:t>硫化物</w:t>
            </w:r>
          </w:p>
        </w:tc>
        <w:tc>
          <w:tcPr>
            <w:tcW w:w="528" w:type="pct"/>
            <w:noWrap w:val="0"/>
            <w:vAlign w:val="center"/>
          </w:tcPr>
          <w:p w14:paraId="4278C1CA">
            <w:pPr>
              <w:widowControl/>
              <w:snapToGrid w:val="0"/>
              <w:jc w:val="center"/>
              <w:rPr>
                <w:sz w:val="21"/>
                <w:szCs w:val="21"/>
                <w:highlight w:val="none"/>
              </w:rPr>
            </w:pPr>
            <w:r>
              <w:rPr>
                <w:sz w:val="21"/>
                <w:szCs w:val="21"/>
                <w:highlight w:val="none"/>
              </w:rPr>
              <w:t>6~8</w:t>
            </w:r>
          </w:p>
          <w:p w14:paraId="39809A3B">
            <w:pPr>
              <w:widowControl/>
              <w:snapToGrid w:val="0"/>
              <w:jc w:val="center"/>
              <w:rPr>
                <w:sz w:val="21"/>
                <w:szCs w:val="21"/>
                <w:highlight w:val="none"/>
              </w:rPr>
            </w:pPr>
            <w:r>
              <w:rPr>
                <w:sz w:val="21"/>
                <w:szCs w:val="21"/>
                <w:highlight w:val="none"/>
              </w:rPr>
              <w:t>700</w:t>
            </w:r>
          </w:p>
          <w:p w14:paraId="2A20EA15">
            <w:pPr>
              <w:widowControl/>
              <w:snapToGrid w:val="0"/>
              <w:jc w:val="center"/>
              <w:rPr>
                <w:sz w:val="21"/>
                <w:szCs w:val="21"/>
                <w:highlight w:val="none"/>
              </w:rPr>
            </w:pPr>
            <w:r>
              <w:rPr>
                <w:sz w:val="21"/>
                <w:szCs w:val="21"/>
                <w:highlight w:val="none"/>
              </w:rPr>
              <w:t>50</w:t>
            </w:r>
          </w:p>
          <w:p w14:paraId="70510788">
            <w:pPr>
              <w:widowControl/>
              <w:snapToGrid w:val="0"/>
              <w:jc w:val="center"/>
              <w:rPr>
                <w:sz w:val="21"/>
                <w:szCs w:val="21"/>
                <w:highlight w:val="none"/>
              </w:rPr>
            </w:pPr>
            <w:r>
              <w:rPr>
                <w:sz w:val="21"/>
                <w:szCs w:val="21"/>
                <w:highlight w:val="none"/>
              </w:rPr>
              <w:t>100</w:t>
            </w:r>
          </w:p>
        </w:tc>
        <w:tc>
          <w:tcPr>
            <w:tcW w:w="190" w:type="pct"/>
            <w:noWrap w:val="0"/>
            <w:vAlign w:val="center"/>
          </w:tcPr>
          <w:p w14:paraId="45EA28FC">
            <w:pPr>
              <w:widowControl/>
              <w:snapToGrid w:val="0"/>
              <w:jc w:val="center"/>
              <w:rPr>
                <w:sz w:val="21"/>
                <w:szCs w:val="21"/>
                <w:highlight w:val="none"/>
              </w:rPr>
            </w:pPr>
            <w:r>
              <w:rPr>
                <w:sz w:val="21"/>
                <w:szCs w:val="21"/>
                <w:highlight w:val="none"/>
              </w:rPr>
              <w:t>连续</w:t>
            </w:r>
          </w:p>
        </w:tc>
        <w:tc>
          <w:tcPr>
            <w:tcW w:w="1336" w:type="pct"/>
            <w:noWrap w:val="0"/>
            <w:vAlign w:val="center"/>
          </w:tcPr>
          <w:p w14:paraId="31793541">
            <w:pPr>
              <w:widowControl/>
              <w:snapToGrid w:val="0"/>
              <w:jc w:val="center"/>
              <w:rPr>
                <w:sz w:val="21"/>
                <w:szCs w:val="21"/>
                <w:highlight w:val="none"/>
              </w:rPr>
            </w:pPr>
            <w:r>
              <w:rPr>
                <w:sz w:val="21"/>
                <w:szCs w:val="21"/>
                <w:highlight w:val="none"/>
              </w:rPr>
              <w:t>送净化装置酸性水汽提单元</w:t>
            </w:r>
          </w:p>
        </w:tc>
      </w:tr>
      <w:tr w14:paraId="28D7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2BB01010">
            <w:pPr>
              <w:widowControl/>
              <w:snapToGrid w:val="0"/>
              <w:jc w:val="center"/>
              <w:rPr>
                <w:sz w:val="21"/>
                <w:szCs w:val="21"/>
                <w:highlight w:val="none"/>
              </w:rPr>
            </w:pPr>
          </w:p>
        </w:tc>
        <w:tc>
          <w:tcPr>
            <w:tcW w:w="712" w:type="pct"/>
            <w:vMerge w:val="continue"/>
            <w:noWrap w:val="0"/>
            <w:vAlign w:val="center"/>
          </w:tcPr>
          <w:p w14:paraId="79E02F58">
            <w:pPr>
              <w:widowControl/>
              <w:snapToGrid w:val="0"/>
              <w:jc w:val="center"/>
              <w:rPr>
                <w:sz w:val="21"/>
                <w:szCs w:val="21"/>
                <w:highlight w:val="none"/>
              </w:rPr>
            </w:pPr>
          </w:p>
        </w:tc>
        <w:tc>
          <w:tcPr>
            <w:tcW w:w="2104" w:type="dxa"/>
            <w:noWrap w:val="0"/>
            <w:vAlign w:val="center"/>
          </w:tcPr>
          <w:p w14:paraId="794C2B75">
            <w:pPr>
              <w:widowControl/>
              <w:snapToGrid w:val="0"/>
              <w:jc w:val="center"/>
              <w:rPr>
                <w:sz w:val="21"/>
                <w:szCs w:val="21"/>
                <w:highlight w:val="none"/>
              </w:rPr>
            </w:pPr>
            <w:r>
              <w:rPr>
                <w:sz w:val="21"/>
                <w:szCs w:val="21"/>
                <w:highlight w:val="none"/>
              </w:rPr>
              <w:t>减压塔顶分水罐排</w:t>
            </w:r>
            <w:r>
              <w:rPr>
                <w:rFonts w:hint="eastAsia"/>
                <w:sz w:val="21"/>
                <w:szCs w:val="21"/>
                <w:highlight w:val="none"/>
                <w:lang w:eastAsia="zh-CN"/>
              </w:rPr>
              <w:t>放</w:t>
            </w:r>
            <w:r>
              <w:rPr>
                <w:sz w:val="21"/>
                <w:szCs w:val="21"/>
                <w:highlight w:val="none"/>
              </w:rPr>
              <w:t>含油污水</w:t>
            </w:r>
          </w:p>
        </w:tc>
        <w:tc>
          <w:tcPr>
            <w:tcW w:w="628" w:type="pct"/>
            <w:noWrap w:val="0"/>
            <w:vAlign w:val="center"/>
          </w:tcPr>
          <w:p w14:paraId="2E2BD9A7">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：1.757</w:t>
            </w:r>
          </w:p>
          <w:p w14:paraId="5E13A526">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：7.713</w:t>
            </w:r>
          </w:p>
        </w:tc>
        <w:tc>
          <w:tcPr>
            <w:tcW w:w="413" w:type="pct"/>
            <w:noWrap w:val="0"/>
            <w:vAlign w:val="center"/>
          </w:tcPr>
          <w:p w14:paraId="1269C0B4">
            <w:pPr>
              <w:widowControl/>
              <w:snapToGrid w:val="0"/>
              <w:jc w:val="center"/>
              <w:rPr>
                <w:sz w:val="21"/>
                <w:szCs w:val="21"/>
                <w:highlight w:val="none"/>
              </w:rPr>
            </w:pPr>
            <w:r>
              <w:rPr>
                <w:sz w:val="21"/>
                <w:szCs w:val="21"/>
                <w:highlight w:val="none"/>
              </w:rPr>
              <w:t>PH</w:t>
            </w:r>
          </w:p>
          <w:p w14:paraId="1204FC3A">
            <w:pPr>
              <w:widowControl/>
              <w:snapToGrid w:val="0"/>
              <w:jc w:val="center"/>
              <w:rPr>
                <w:sz w:val="21"/>
                <w:szCs w:val="21"/>
                <w:highlight w:val="none"/>
              </w:rPr>
            </w:pPr>
            <w:r>
              <w:rPr>
                <w:sz w:val="21"/>
                <w:szCs w:val="21"/>
                <w:highlight w:val="none"/>
              </w:rPr>
              <w:t>COD</w:t>
            </w:r>
          </w:p>
          <w:p w14:paraId="60573F2E">
            <w:pPr>
              <w:widowControl/>
              <w:snapToGrid w:val="0"/>
              <w:jc w:val="center"/>
              <w:rPr>
                <w:sz w:val="21"/>
                <w:szCs w:val="21"/>
                <w:highlight w:val="none"/>
              </w:rPr>
            </w:pPr>
            <w:r>
              <w:rPr>
                <w:sz w:val="21"/>
                <w:szCs w:val="21"/>
                <w:highlight w:val="none"/>
              </w:rPr>
              <w:t>油</w:t>
            </w:r>
          </w:p>
        </w:tc>
        <w:tc>
          <w:tcPr>
            <w:tcW w:w="528" w:type="pct"/>
            <w:noWrap w:val="0"/>
            <w:vAlign w:val="center"/>
          </w:tcPr>
          <w:p w14:paraId="00649187">
            <w:pPr>
              <w:widowControl/>
              <w:snapToGrid w:val="0"/>
              <w:jc w:val="center"/>
              <w:rPr>
                <w:sz w:val="21"/>
                <w:szCs w:val="21"/>
                <w:highlight w:val="none"/>
              </w:rPr>
            </w:pPr>
            <w:r>
              <w:rPr>
                <w:sz w:val="21"/>
                <w:szCs w:val="21"/>
                <w:highlight w:val="none"/>
              </w:rPr>
              <w:t>6~8</w:t>
            </w:r>
          </w:p>
          <w:p w14:paraId="3C3D31B9">
            <w:pPr>
              <w:widowControl/>
              <w:snapToGrid w:val="0"/>
              <w:jc w:val="center"/>
              <w:rPr>
                <w:sz w:val="21"/>
                <w:szCs w:val="21"/>
                <w:highlight w:val="none"/>
              </w:rPr>
            </w:pPr>
            <w:r>
              <w:rPr>
                <w:sz w:val="21"/>
                <w:szCs w:val="21"/>
                <w:highlight w:val="none"/>
              </w:rPr>
              <w:t>&lt;700</w:t>
            </w:r>
          </w:p>
          <w:p w14:paraId="635234C7">
            <w:pPr>
              <w:widowControl/>
              <w:snapToGrid w:val="0"/>
              <w:jc w:val="center"/>
              <w:rPr>
                <w:sz w:val="21"/>
                <w:szCs w:val="21"/>
                <w:highlight w:val="none"/>
              </w:rPr>
            </w:pPr>
            <w:r>
              <w:rPr>
                <w:sz w:val="21"/>
                <w:szCs w:val="21"/>
                <w:highlight w:val="none"/>
              </w:rPr>
              <w:t>1000</w:t>
            </w:r>
          </w:p>
        </w:tc>
        <w:tc>
          <w:tcPr>
            <w:tcW w:w="190" w:type="pct"/>
            <w:noWrap w:val="0"/>
            <w:vAlign w:val="center"/>
          </w:tcPr>
          <w:p w14:paraId="6F1EE345">
            <w:pPr>
              <w:widowControl/>
              <w:snapToGrid w:val="0"/>
              <w:jc w:val="center"/>
              <w:rPr>
                <w:sz w:val="21"/>
                <w:szCs w:val="21"/>
                <w:highlight w:val="none"/>
              </w:rPr>
            </w:pPr>
            <w:r>
              <w:rPr>
                <w:sz w:val="21"/>
                <w:szCs w:val="21"/>
                <w:highlight w:val="none"/>
              </w:rPr>
              <w:t>连续</w:t>
            </w:r>
          </w:p>
        </w:tc>
        <w:tc>
          <w:tcPr>
            <w:tcW w:w="1336" w:type="pct"/>
            <w:noWrap w:val="0"/>
            <w:vAlign w:val="center"/>
          </w:tcPr>
          <w:p w14:paraId="6491E40E">
            <w:pPr>
              <w:widowControl/>
              <w:snapToGrid w:val="0"/>
              <w:jc w:val="center"/>
              <w:rPr>
                <w:sz w:val="21"/>
                <w:szCs w:val="21"/>
                <w:highlight w:val="none"/>
              </w:rPr>
            </w:pPr>
            <w:r>
              <w:rPr>
                <w:sz w:val="21"/>
                <w:szCs w:val="21"/>
                <w:highlight w:val="none"/>
              </w:rPr>
              <w:t>去厂内</w:t>
            </w:r>
            <w:r>
              <w:rPr>
                <w:rFonts w:hint="eastAsia"/>
                <w:sz w:val="21"/>
                <w:szCs w:val="21"/>
                <w:highlight w:val="none"/>
                <w:lang w:eastAsia="zh-CN"/>
              </w:rPr>
              <w:t>污水处理厂进行</w:t>
            </w:r>
            <w:r>
              <w:rPr>
                <w:sz w:val="21"/>
                <w:szCs w:val="21"/>
                <w:highlight w:val="none"/>
              </w:rPr>
              <w:t>含油污水预处理</w:t>
            </w:r>
          </w:p>
        </w:tc>
      </w:tr>
      <w:tr w14:paraId="3CCD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75FF1804">
            <w:pPr>
              <w:widowControl/>
              <w:snapToGrid w:val="0"/>
              <w:jc w:val="center"/>
              <w:rPr>
                <w:sz w:val="21"/>
                <w:szCs w:val="21"/>
                <w:highlight w:val="none"/>
              </w:rPr>
            </w:pPr>
          </w:p>
        </w:tc>
        <w:tc>
          <w:tcPr>
            <w:tcW w:w="712" w:type="pct"/>
            <w:vMerge w:val="continue"/>
            <w:noWrap w:val="0"/>
            <w:vAlign w:val="center"/>
          </w:tcPr>
          <w:p w14:paraId="545BA74C">
            <w:pPr>
              <w:widowControl/>
              <w:snapToGrid w:val="0"/>
              <w:jc w:val="center"/>
              <w:rPr>
                <w:sz w:val="21"/>
                <w:szCs w:val="21"/>
                <w:highlight w:val="none"/>
              </w:rPr>
            </w:pPr>
          </w:p>
        </w:tc>
        <w:tc>
          <w:tcPr>
            <w:tcW w:w="2104" w:type="dxa"/>
            <w:noWrap w:val="0"/>
            <w:vAlign w:val="center"/>
          </w:tcPr>
          <w:p w14:paraId="3724CBEF">
            <w:pPr>
              <w:widowControl/>
              <w:snapToGrid w:val="0"/>
              <w:jc w:val="center"/>
              <w:rPr>
                <w:sz w:val="21"/>
                <w:szCs w:val="21"/>
                <w:highlight w:val="none"/>
              </w:rPr>
            </w:pPr>
            <w:r>
              <w:rPr>
                <w:sz w:val="21"/>
                <w:szCs w:val="21"/>
                <w:highlight w:val="none"/>
              </w:rPr>
              <w:t>富气压缩机出口分液罐</w:t>
            </w:r>
          </w:p>
        </w:tc>
        <w:tc>
          <w:tcPr>
            <w:tcW w:w="628" w:type="pct"/>
            <w:noWrap w:val="0"/>
            <w:vAlign w:val="center"/>
          </w:tcPr>
          <w:p w14:paraId="4A78FA1A">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：0.092</w:t>
            </w:r>
          </w:p>
          <w:p w14:paraId="6F3BEF51">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：0.1</w:t>
            </w:r>
          </w:p>
        </w:tc>
        <w:tc>
          <w:tcPr>
            <w:tcW w:w="413" w:type="pct"/>
            <w:noWrap w:val="0"/>
            <w:vAlign w:val="center"/>
          </w:tcPr>
          <w:p w14:paraId="33703851">
            <w:pPr>
              <w:widowControl/>
              <w:snapToGrid w:val="0"/>
              <w:jc w:val="center"/>
              <w:rPr>
                <w:b/>
                <w:bCs/>
                <w:sz w:val="21"/>
                <w:szCs w:val="21"/>
                <w:highlight w:val="none"/>
              </w:rPr>
            </w:pPr>
            <w:r>
              <w:rPr>
                <w:sz w:val="21"/>
                <w:szCs w:val="21"/>
                <w:highlight w:val="none"/>
              </w:rPr>
              <w:t>PH</w:t>
            </w:r>
          </w:p>
          <w:p w14:paraId="32C2F23B">
            <w:pPr>
              <w:widowControl/>
              <w:snapToGrid w:val="0"/>
              <w:jc w:val="center"/>
              <w:rPr>
                <w:sz w:val="21"/>
                <w:szCs w:val="21"/>
                <w:highlight w:val="none"/>
              </w:rPr>
            </w:pPr>
            <w:r>
              <w:rPr>
                <w:bCs/>
                <w:sz w:val="21"/>
                <w:szCs w:val="21"/>
                <w:highlight w:val="none"/>
              </w:rPr>
              <w:t>C</w:t>
            </w:r>
            <w:r>
              <w:rPr>
                <w:sz w:val="21"/>
                <w:szCs w:val="21"/>
                <w:highlight w:val="none"/>
              </w:rPr>
              <w:t>OD</w:t>
            </w:r>
          </w:p>
          <w:p w14:paraId="3CCA3B0E">
            <w:pPr>
              <w:widowControl/>
              <w:snapToGrid w:val="0"/>
              <w:jc w:val="center"/>
              <w:rPr>
                <w:sz w:val="21"/>
                <w:szCs w:val="21"/>
                <w:highlight w:val="none"/>
              </w:rPr>
            </w:pPr>
            <w:r>
              <w:rPr>
                <w:sz w:val="21"/>
                <w:szCs w:val="21"/>
                <w:highlight w:val="none"/>
              </w:rPr>
              <w:t>油</w:t>
            </w:r>
          </w:p>
          <w:p w14:paraId="11144D4B">
            <w:pPr>
              <w:widowControl/>
              <w:snapToGrid w:val="0"/>
              <w:jc w:val="center"/>
              <w:rPr>
                <w:sz w:val="21"/>
                <w:szCs w:val="21"/>
                <w:highlight w:val="none"/>
              </w:rPr>
            </w:pPr>
            <w:r>
              <w:rPr>
                <w:sz w:val="21"/>
                <w:szCs w:val="21"/>
                <w:highlight w:val="none"/>
              </w:rPr>
              <w:t>硫化物</w:t>
            </w:r>
          </w:p>
        </w:tc>
        <w:tc>
          <w:tcPr>
            <w:tcW w:w="528" w:type="pct"/>
            <w:noWrap w:val="0"/>
            <w:vAlign w:val="center"/>
          </w:tcPr>
          <w:p w14:paraId="6003D9A4">
            <w:pPr>
              <w:widowControl/>
              <w:snapToGrid w:val="0"/>
              <w:jc w:val="center"/>
              <w:rPr>
                <w:sz w:val="21"/>
                <w:szCs w:val="21"/>
                <w:highlight w:val="none"/>
              </w:rPr>
            </w:pPr>
            <w:r>
              <w:rPr>
                <w:sz w:val="21"/>
                <w:szCs w:val="21"/>
                <w:highlight w:val="none"/>
              </w:rPr>
              <w:t>6~8</w:t>
            </w:r>
          </w:p>
          <w:p w14:paraId="4B473C7C">
            <w:pPr>
              <w:widowControl/>
              <w:snapToGrid w:val="0"/>
              <w:jc w:val="center"/>
              <w:rPr>
                <w:sz w:val="21"/>
                <w:szCs w:val="21"/>
                <w:highlight w:val="none"/>
              </w:rPr>
            </w:pPr>
            <w:r>
              <w:rPr>
                <w:sz w:val="21"/>
                <w:szCs w:val="21"/>
                <w:highlight w:val="none"/>
              </w:rPr>
              <w:t>&lt;700</w:t>
            </w:r>
          </w:p>
          <w:p w14:paraId="6EBF7BB1">
            <w:pPr>
              <w:widowControl/>
              <w:snapToGrid w:val="0"/>
              <w:jc w:val="center"/>
              <w:rPr>
                <w:sz w:val="21"/>
                <w:szCs w:val="21"/>
                <w:highlight w:val="none"/>
              </w:rPr>
            </w:pPr>
            <w:r>
              <w:rPr>
                <w:sz w:val="21"/>
                <w:szCs w:val="21"/>
                <w:highlight w:val="none"/>
              </w:rPr>
              <w:t>50</w:t>
            </w:r>
          </w:p>
          <w:p w14:paraId="27D228CF">
            <w:pPr>
              <w:widowControl/>
              <w:snapToGrid w:val="0"/>
              <w:jc w:val="center"/>
              <w:rPr>
                <w:sz w:val="21"/>
                <w:szCs w:val="21"/>
                <w:highlight w:val="none"/>
              </w:rPr>
            </w:pPr>
            <w:r>
              <w:rPr>
                <w:sz w:val="21"/>
                <w:szCs w:val="21"/>
                <w:highlight w:val="none"/>
              </w:rPr>
              <w:t>100</w:t>
            </w:r>
          </w:p>
        </w:tc>
        <w:tc>
          <w:tcPr>
            <w:tcW w:w="190" w:type="pct"/>
            <w:noWrap w:val="0"/>
            <w:vAlign w:val="center"/>
          </w:tcPr>
          <w:p w14:paraId="31177186">
            <w:pPr>
              <w:widowControl/>
              <w:snapToGrid w:val="0"/>
              <w:jc w:val="center"/>
              <w:rPr>
                <w:sz w:val="21"/>
                <w:szCs w:val="21"/>
                <w:highlight w:val="none"/>
              </w:rPr>
            </w:pPr>
            <w:r>
              <w:rPr>
                <w:sz w:val="21"/>
                <w:szCs w:val="21"/>
                <w:highlight w:val="none"/>
              </w:rPr>
              <w:t>连续</w:t>
            </w:r>
          </w:p>
        </w:tc>
        <w:tc>
          <w:tcPr>
            <w:tcW w:w="1336" w:type="pct"/>
            <w:vMerge w:val="restart"/>
            <w:noWrap w:val="0"/>
            <w:vAlign w:val="center"/>
          </w:tcPr>
          <w:p w14:paraId="72BF7B0B">
            <w:pPr>
              <w:widowControl/>
              <w:snapToGrid w:val="0"/>
              <w:jc w:val="center"/>
              <w:rPr>
                <w:sz w:val="21"/>
                <w:szCs w:val="21"/>
                <w:highlight w:val="none"/>
              </w:rPr>
            </w:pPr>
            <w:r>
              <w:rPr>
                <w:sz w:val="21"/>
                <w:szCs w:val="21"/>
                <w:highlight w:val="none"/>
              </w:rPr>
              <w:t>送净化装置酸性水汽提单元</w:t>
            </w:r>
          </w:p>
        </w:tc>
      </w:tr>
      <w:tr w14:paraId="76C7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354CD6F6">
            <w:pPr>
              <w:widowControl/>
              <w:snapToGrid w:val="0"/>
              <w:jc w:val="center"/>
              <w:rPr>
                <w:sz w:val="21"/>
                <w:szCs w:val="21"/>
                <w:highlight w:val="none"/>
              </w:rPr>
            </w:pPr>
          </w:p>
        </w:tc>
        <w:tc>
          <w:tcPr>
            <w:tcW w:w="712" w:type="pct"/>
            <w:vMerge w:val="continue"/>
            <w:noWrap w:val="0"/>
            <w:vAlign w:val="center"/>
          </w:tcPr>
          <w:p w14:paraId="1715397F">
            <w:pPr>
              <w:widowControl/>
              <w:snapToGrid w:val="0"/>
              <w:jc w:val="center"/>
              <w:rPr>
                <w:sz w:val="21"/>
                <w:szCs w:val="21"/>
                <w:highlight w:val="none"/>
              </w:rPr>
            </w:pPr>
          </w:p>
        </w:tc>
        <w:tc>
          <w:tcPr>
            <w:tcW w:w="2104" w:type="dxa"/>
            <w:noWrap w:val="0"/>
            <w:vAlign w:val="center"/>
          </w:tcPr>
          <w:p w14:paraId="57D4B104">
            <w:pPr>
              <w:widowControl/>
              <w:snapToGrid w:val="0"/>
              <w:jc w:val="center"/>
              <w:rPr>
                <w:sz w:val="21"/>
                <w:szCs w:val="21"/>
                <w:highlight w:val="none"/>
              </w:rPr>
            </w:pPr>
            <w:r>
              <w:rPr>
                <w:sz w:val="21"/>
                <w:szCs w:val="21"/>
                <w:highlight w:val="none"/>
              </w:rPr>
              <w:t>稳定塔顶回流罐排</w:t>
            </w:r>
            <w:r>
              <w:rPr>
                <w:rFonts w:hint="eastAsia"/>
                <w:sz w:val="21"/>
                <w:szCs w:val="21"/>
                <w:highlight w:val="none"/>
                <w:lang w:eastAsia="zh-CN"/>
              </w:rPr>
              <w:t>放</w:t>
            </w:r>
            <w:r>
              <w:rPr>
                <w:sz w:val="21"/>
                <w:szCs w:val="21"/>
                <w:highlight w:val="none"/>
              </w:rPr>
              <w:t>含硫含油污水</w:t>
            </w:r>
          </w:p>
        </w:tc>
        <w:tc>
          <w:tcPr>
            <w:tcW w:w="628" w:type="pct"/>
            <w:noWrap w:val="0"/>
            <w:vAlign w:val="center"/>
          </w:tcPr>
          <w:p w14:paraId="58A37617">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：0.003</w:t>
            </w:r>
          </w:p>
          <w:p w14:paraId="722E486B">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：0.004</w:t>
            </w:r>
          </w:p>
        </w:tc>
        <w:tc>
          <w:tcPr>
            <w:tcW w:w="413" w:type="pct"/>
            <w:noWrap w:val="0"/>
            <w:vAlign w:val="center"/>
          </w:tcPr>
          <w:p w14:paraId="05A11B43">
            <w:pPr>
              <w:widowControl/>
              <w:snapToGrid w:val="0"/>
              <w:jc w:val="center"/>
              <w:rPr>
                <w:sz w:val="21"/>
                <w:szCs w:val="21"/>
                <w:highlight w:val="none"/>
              </w:rPr>
            </w:pPr>
            <w:r>
              <w:rPr>
                <w:sz w:val="21"/>
                <w:szCs w:val="21"/>
                <w:highlight w:val="none"/>
              </w:rPr>
              <w:t>PH</w:t>
            </w:r>
          </w:p>
          <w:p w14:paraId="6A02B7EE">
            <w:pPr>
              <w:widowControl/>
              <w:snapToGrid w:val="0"/>
              <w:jc w:val="center"/>
              <w:rPr>
                <w:sz w:val="21"/>
                <w:szCs w:val="21"/>
                <w:highlight w:val="none"/>
              </w:rPr>
            </w:pPr>
            <w:r>
              <w:rPr>
                <w:sz w:val="21"/>
                <w:szCs w:val="21"/>
                <w:highlight w:val="none"/>
              </w:rPr>
              <w:t>COD</w:t>
            </w:r>
          </w:p>
          <w:p w14:paraId="5528CB2C">
            <w:pPr>
              <w:widowControl/>
              <w:snapToGrid w:val="0"/>
              <w:jc w:val="center"/>
              <w:rPr>
                <w:sz w:val="21"/>
                <w:szCs w:val="21"/>
                <w:highlight w:val="none"/>
              </w:rPr>
            </w:pPr>
            <w:r>
              <w:rPr>
                <w:sz w:val="21"/>
                <w:szCs w:val="21"/>
                <w:highlight w:val="none"/>
              </w:rPr>
              <w:t>油</w:t>
            </w:r>
          </w:p>
          <w:p w14:paraId="00B90B28">
            <w:pPr>
              <w:widowControl/>
              <w:snapToGrid w:val="0"/>
              <w:jc w:val="center"/>
              <w:rPr>
                <w:sz w:val="21"/>
                <w:szCs w:val="21"/>
                <w:highlight w:val="none"/>
              </w:rPr>
            </w:pPr>
            <w:r>
              <w:rPr>
                <w:sz w:val="21"/>
                <w:szCs w:val="21"/>
                <w:highlight w:val="none"/>
              </w:rPr>
              <w:t>硫化物</w:t>
            </w:r>
          </w:p>
        </w:tc>
        <w:tc>
          <w:tcPr>
            <w:tcW w:w="528" w:type="pct"/>
            <w:noWrap w:val="0"/>
            <w:vAlign w:val="center"/>
          </w:tcPr>
          <w:p w14:paraId="41897CE1">
            <w:pPr>
              <w:widowControl/>
              <w:snapToGrid w:val="0"/>
              <w:jc w:val="center"/>
              <w:rPr>
                <w:sz w:val="21"/>
                <w:szCs w:val="21"/>
                <w:highlight w:val="none"/>
              </w:rPr>
            </w:pPr>
            <w:r>
              <w:rPr>
                <w:sz w:val="21"/>
                <w:szCs w:val="21"/>
                <w:highlight w:val="none"/>
              </w:rPr>
              <w:t>6~8</w:t>
            </w:r>
          </w:p>
          <w:p w14:paraId="3D5B0667">
            <w:pPr>
              <w:widowControl/>
              <w:snapToGrid w:val="0"/>
              <w:jc w:val="center"/>
              <w:rPr>
                <w:sz w:val="21"/>
                <w:szCs w:val="21"/>
                <w:highlight w:val="none"/>
              </w:rPr>
            </w:pPr>
            <w:r>
              <w:rPr>
                <w:sz w:val="21"/>
                <w:szCs w:val="21"/>
                <w:highlight w:val="none"/>
              </w:rPr>
              <w:t>&lt;700</w:t>
            </w:r>
          </w:p>
          <w:p w14:paraId="6D32998F">
            <w:pPr>
              <w:widowControl/>
              <w:snapToGrid w:val="0"/>
              <w:jc w:val="center"/>
              <w:rPr>
                <w:sz w:val="21"/>
                <w:szCs w:val="21"/>
                <w:highlight w:val="none"/>
              </w:rPr>
            </w:pPr>
            <w:r>
              <w:rPr>
                <w:sz w:val="21"/>
                <w:szCs w:val="21"/>
                <w:highlight w:val="none"/>
              </w:rPr>
              <w:t>50</w:t>
            </w:r>
          </w:p>
          <w:p w14:paraId="11A65633">
            <w:pPr>
              <w:widowControl/>
              <w:snapToGrid w:val="0"/>
              <w:jc w:val="center"/>
              <w:rPr>
                <w:sz w:val="21"/>
                <w:szCs w:val="21"/>
                <w:highlight w:val="none"/>
              </w:rPr>
            </w:pPr>
            <w:r>
              <w:rPr>
                <w:sz w:val="21"/>
                <w:szCs w:val="21"/>
                <w:highlight w:val="none"/>
              </w:rPr>
              <w:t>100</w:t>
            </w:r>
          </w:p>
        </w:tc>
        <w:tc>
          <w:tcPr>
            <w:tcW w:w="190" w:type="pct"/>
            <w:noWrap w:val="0"/>
            <w:vAlign w:val="center"/>
          </w:tcPr>
          <w:p w14:paraId="76F729B0">
            <w:pPr>
              <w:widowControl/>
              <w:snapToGrid w:val="0"/>
              <w:jc w:val="center"/>
              <w:rPr>
                <w:sz w:val="21"/>
                <w:szCs w:val="21"/>
                <w:highlight w:val="none"/>
              </w:rPr>
            </w:pPr>
            <w:r>
              <w:rPr>
                <w:sz w:val="21"/>
                <w:szCs w:val="21"/>
                <w:highlight w:val="none"/>
              </w:rPr>
              <w:t>连续</w:t>
            </w:r>
          </w:p>
        </w:tc>
        <w:tc>
          <w:tcPr>
            <w:tcW w:w="1336" w:type="pct"/>
            <w:vMerge w:val="continue"/>
            <w:noWrap w:val="0"/>
            <w:vAlign w:val="center"/>
          </w:tcPr>
          <w:p w14:paraId="1DC1A565">
            <w:pPr>
              <w:widowControl/>
              <w:snapToGrid w:val="0"/>
              <w:jc w:val="center"/>
              <w:rPr>
                <w:sz w:val="21"/>
                <w:szCs w:val="21"/>
                <w:highlight w:val="none"/>
              </w:rPr>
            </w:pPr>
          </w:p>
        </w:tc>
      </w:tr>
      <w:tr w14:paraId="1F2E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3EB6B20C">
            <w:pPr>
              <w:widowControl/>
              <w:snapToGrid w:val="0"/>
              <w:jc w:val="center"/>
              <w:rPr>
                <w:sz w:val="21"/>
                <w:szCs w:val="21"/>
                <w:highlight w:val="none"/>
              </w:rPr>
            </w:pPr>
          </w:p>
        </w:tc>
        <w:tc>
          <w:tcPr>
            <w:tcW w:w="712" w:type="pct"/>
            <w:noWrap w:val="0"/>
            <w:vAlign w:val="center"/>
          </w:tcPr>
          <w:p w14:paraId="7EF54809">
            <w:pPr>
              <w:widowControl/>
              <w:snapToGrid w:val="0"/>
              <w:jc w:val="center"/>
              <w:rPr>
                <w:sz w:val="21"/>
                <w:szCs w:val="21"/>
                <w:highlight w:val="none"/>
              </w:rPr>
            </w:pPr>
            <w:r>
              <w:rPr>
                <w:sz w:val="21"/>
                <w:szCs w:val="21"/>
                <w:highlight w:val="none"/>
              </w:rPr>
              <w:t>合成水处理单元</w:t>
            </w:r>
          </w:p>
        </w:tc>
        <w:tc>
          <w:tcPr>
            <w:tcW w:w="794" w:type="pct"/>
            <w:noWrap w:val="0"/>
            <w:vAlign w:val="center"/>
          </w:tcPr>
          <w:p w14:paraId="4BDA7341">
            <w:pPr>
              <w:widowControl/>
              <w:snapToGrid w:val="0"/>
              <w:jc w:val="center"/>
              <w:rPr>
                <w:sz w:val="21"/>
                <w:szCs w:val="21"/>
                <w:highlight w:val="none"/>
              </w:rPr>
            </w:pPr>
            <w:r>
              <w:rPr>
                <w:sz w:val="21"/>
                <w:szCs w:val="21"/>
                <w:highlight w:val="none"/>
              </w:rPr>
              <w:t>合成废水</w:t>
            </w:r>
          </w:p>
        </w:tc>
        <w:tc>
          <w:tcPr>
            <w:tcW w:w="628" w:type="pct"/>
            <w:noWrap w:val="0"/>
            <w:vAlign w:val="center"/>
          </w:tcPr>
          <w:p w14:paraId="7417BC2E">
            <w:pPr>
              <w:widowControl/>
              <w:snapToGrid w:val="0"/>
              <w:jc w:val="center"/>
              <w:rPr>
                <w:sz w:val="21"/>
                <w:szCs w:val="21"/>
                <w:highlight w:val="none"/>
              </w:rPr>
            </w:pPr>
            <w:r>
              <w:rPr>
                <w:sz w:val="21"/>
                <w:szCs w:val="21"/>
                <w:highlight w:val="none"/>
              </w:rPr>
              <w:t>168.6</w:t>
            </w:r>
          </w:p>
        </w:tc>
        <w:tc>
          <w:tcPr>
            <w:tcW w:w="413" w:type="pct"/>
            <w:noWrap w:val="0"/>
            <w:vAlign w:val="center"/>
          </w:tcPr>
          <w:p w14:paraId="0EC10F57">
            <w:pPr>
              <w:widowControl/>
              <w:snapToGrid w:val="0"/>
              <w:jc w:val="center"/>
              <w:rPr>
                <w:sz w:val="21"/>
                <w:szCs w:val="21"/>
                <w:highlight w:val="none"/>
              </w:rPr>
            </w:pPr>
            <w:r>
              <w:rPr>
                <w:sz w:val="21"/>
                <w:szCs w:val="21"/>
                <w:highlight w:val="none"/>
              </w:rPr>
              <w:t>pH</w:t>
            </w:r>
          </w:p>
          <w:p w14:paraId="4026AFCE">
            <w:pPr>
              <w:widowControl/>
              <w:snapToGrid w:val="0"/>
              <w:jc w:val="center"/>
              <w:rPr>
                <w:sz w:val="21"/>
                <w:szCs w:val="21"/>
                <w:highlight w:val="none"/>
              </w:rPr>
            </w:pPr>
            <w:r>
              <w:rPr>
                <w:sz w:val="21"/>
                <w:szCs w:val="21"/>
                <w:highlight w:val="none"/>
              </w:rPr>
              <w:t>COD</w:t>
            </w:r>
          </w:p>
          <w:p w14:paraId="18C1DCEC">
            <w:pPr>
              <w:widowControl/>
              <w:snapToGrid w:val="0"/>
              <w:jc w:val="center"/>
              <w:rPr>
                <w:sz w:val="21"/>
                <w:szCs w:val="21"/>
                <w:highlight w:val="none"/>
              </w:rPr>
            </w:pPr>
            <w:r>
              <w:rPr>
                <w:sz w:val="21"/>
                <w:szCs w:val="21"/>
                <w:highlight w:val="none"/>
              </w:rPr>
              <w:t>BOD</w:t>
            </w:r>
          </w:p>
          <w:p w14:paraId="77985F73">
            <w:pPr>
              <w:widowControl/>
              <w:snapToGrid w:val="0"/>
              <w:jc w:val="center"/>
              <w:rPr>
                <w:sz w:val="21"/>
                <w:szCs w:val="21"/>
                <w:highlight w:val="none"/>
              </w:rPr>
            </w:pPr>
            <w:r>
              <w:rPr>
                <w:sz w:val="21"/>
                <w:szCs w:val="21"/>
                <w:highlight w:val="none"/>
              </w:rPr>
              <w:t>油</w:t>
            </w:r>
          </w:p>
          <w:p w14:paraId="19645B06">
            <w:pPr>
              <w:widowControl/>
              <w:snapToGrid w:val="0"/>
              <w:jc w:val="center"/>
              <w:rPr>
                <w:sz w:val="21"/>
                <w:szCs w:val="21"/>
                <w:highlight w:val="none"/>
              </w:rPr>
            </w:pPr>
            <w:r>
              <w:rPr>
                <w:sz w:val="21"/>
                <w:szCs w:val="21"/>
                <w:highlight w:val="none"/>
              </w:rPr>
              <w:t>TDS</w:t>
            </w:r>
          </w:p>
        </w:tc>
        <w:tc>
          <w:tcPr>
            <w:tcW w:w="528" w:type="pct"/>
            <w:noWrap w:val="0"/>
            <w:vAlign w:val="center"/>
          </w:tcPr>
          <w:p w14:paraId="1D0886EC">
            <w:pPr>
              <w:widowControl/>
              <w:snapToGrid w:val="0"/>
              <w:jc w:val="center"/>
              <w:rPr>
                <w:sz w:val="21"/>
                <w:szCs w:val="21"/>
                <w:highlight w:val="none"/>
              </w:rPr>
            </w:pPr>
            <w:r>
              <w:rPr>
                <w:sz w:val="21"/>
                <w:szCs w:val="21"/>
                <w:highlight w:val="none"/>
              </w:rPr>
              <w:t>7~8</w:t>
            </w:r>
          </w:p>
          <w:p w14:paraId="123B2140">
            <w:pPr>
              <w:widowControl/>
              <w:snapToGrid w:val="0"/>
              <w:jc w:val="center"/>
              <w:rPr>
                <w:sz w:val="21"/>
                <w:szCs w:val="21"/>
                <w:highlight w:val="none"/>
              </w:rPr>
            </w:pPr>
            <w:r>
              <w:rPr>
                <w:sz w:val="21"/>
                <w:szCs w:val="21"/>
                <w:highlight w:val="none"/>
              </w:rPr>
              <w:t>8000~15000</w:t>
            </w:r>
          </w:p>
          <w:p w14:paraId="01C5E072">
            <w:pPr>
              <w:widowControl/>
              <w:snapToGrid w:val="0"/>
              <w:jc w:val="center"/>
              <w:rPr>
                <w:sz w:val="21"/>
                <w:szCs w:val="21"/>
                <w:highlight w:val="none"/>
              </w:rPr>
            </w:pPr>
            <w:r>
              <w:rPr>
                <w:sz w:val="21"/>
                <w:szCs w:val="21"/>
                <w:highlight w:val="none"/>
              </w:rPr>
              <w:t>6500</w:t>
            </w:r>
          </w:p>
          <w:p w14:paraId="7DA03082">
            <w:pPr>
              <w:widowControl/>
              <w:snapToGrid w:val="0"/>
              <w:jc w:val="center"/>
              <w:rPr>
                <w:sz w:val="21"/>
                <w:szCs w:val="21"/>
                <w:highlight w:val="none"/>
              </w:rPr>
            </w:pPr>
            <w:r>
              <w:rPr>
                <w:sz w:val="21"/>
                <w:szCs w:val="21"/>
                <w:highlight w:val="none"/>
              </w:rPr>
              <w:t>20</w:t>
            </w:r>
          </w:p>
          <w:p w14:paraId="0E21DB1F">
            <w:pPr>
              <w:widowControl/>
              <w:snapToGrid w:val="0"/>
              <w:jc w:val="center"/>
              <w:rPr>
                <w:sz w:val="21"/>
                <w:szCs w:val="21"/>
                <w:highlight w:val="none"/>
              </w:rPr>
            </w:pPr>
            <w:r>
              <w:rPr>
                <w:sz w:val="21"/>
                <w:szCs w:val="21"/>
                <w:highlight w:val="none"/>
              </w:rPr>
              <w:t>4000~5000</w:t>
            </w:r>
          </w:p>
        </w:tc>
        <w:tc>
          <w:tcPr>
            <w:tcW w:w="190" w:type="pct"/>
            <w:noWrap w:val="0"/>
            <w:vAlign w:val="center"/>
          </w:tcPr>
          <w:p w14:paraId="0CD2D84B">
            <w:pPr>
              <w:widowControl/>
              <w:snapToGrid w:val="0"/>
              <w:jc w:val="center"/>
              <w:rPr>
                <w:sz w:val="21"/>
                <w:szCs w:val="21"/>
                <w:highlight w:val="none"/>
              </w:rPr>
            </w:pPr>
            <w:r>
              <w:rPr>
                <w:sz w:val="21"/>
                <w:szCs w:val="21"/>
                <w:highlight w:val="none"/>
              </w:rPr>
              <w:t>连续</w:t>
            </w:r>
          </w:p>
        </w:tc>
        <w:tc>
          <w:tcPr>
            <w:tcW w:w="1336" w:type="pct"/>
            <w:noWrap w:val="0"/>
            <w:vAlign w:val="center"/>
          </w:tcPr>
          <w:p w14:paraId="36D72B46">
            <w:pPr>
              <w:widowControl/>
              <w:snapToGrid w:val="0"/>
              <w:jc w:val="center"/>
              <w:rPr>
                <w:sz w:val="21"/>
                <w:szCs w:val="21"/>
                <w:highlight w:val="none"/>
              </w:rPr>
            </w:pPr>
            <w:r>
              <w:rPr>
                <w:sz w:val="21"/>
                <w:szCs w:val="21"/>
                <w:highlight w:val="none"/>
              </w:rPr>
              <w:t>20m</w:t>
            </w:r>
            <w:r>
              <w:rPr>
                <w:sz w:val="21"/>
                <w:szCs w:val="21"/>
                <w:highlight w:val="none"/>
                <w:vertAlign w:val="superscript"/>
              </w:rPr>
              <w:t>3</w:t>
            </w:r>
            <w:r>
              <w:rPr>
                <w:sz w:val="21"/>
                <w:szCs w:val="21"/>
                <w:highlight w:val="none"/>
              </w:rPr>
              <w:t>/h送水煤浆气化装置，剩余148.6m</w:t>
            </w:r>
            <w:r>
              <w:rPr>
                <w:sz w:val="21"/>
                <w:szCs w:val="21"/>
                <w:highlight w:val="none"/>
                <w:vertAlign w:val="superscript"/>
              </w:rPr>
              <w:t>3</w:t>
            </w:r>
            <w:r>
              <w:rPr>
                <w:sz w:val="21"/>
                <w:szCs w:val="21"/>
                <w:highlight w:val="none"/>
              </w:rPr>
              <w:t>/h送厂内</w:t>
            </w:r>
            <w:r>
              <w:rPr>
                <w:rFonts w:hint="eastAsia"/>
                <w:sz w:val="21"/>
                <w:szCs w:val="21"/>
                <w:highlight w:val="none"/>
                <w:lang w:eastAsia="zh-CN"/>
              </w:rPr>
              <w:t>污水处理厂</w:t>
            </w:r>
            <w:r>
              <w:rPr>
                <w:sz w:val="21"/>
                <w:szCs w:val="21"/>
                <w:highlight w:val="none"/>
              </w:rPr>
              <w:t>。</w:t>
            </w:r>
          </w:p>
        </w:tc>
      </w:tr>
      <w:tr w14:paraId="3F67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79EEED28">
            <w:pPr>
              <w:widowControl/>
              <w:snapToGrid w:val="0"/>
              <w:jc w:val="center"/>
              <w:rPr>
                <w:sz w:val="21"/>
                <w:szCs w:val="21"/>
                <w:highlight w:val="none"/>
              </w:rPr>
            </w:pPr>
          </w:p>
        </w:tc>
        <w:tc>
          <w:tcPr>
            <w:tcW w:w="712" w:type="pct"/>
            <w:noWrap w:val="0"/>
            <w:vAlign w:val="center"/>
          </w:tcPr>
          <w:p w14:paraId="271609D1">
            <w:pPr>
              <w:widowControl/>
              <w:snapToGrid w:val="0"/>
              <w:jc w:val="center"/>
              <w:rPr>
                <w:sz w:val="21"/>
                <w:szCs w:val="21"/>
                <w:highlight w:val="none"/>
              </w:rPr>
            </w:pPr>
            <w:r>
              <w:rPr>
                <w:sz w:val="21"/>
                <w:szCs w:val="21"/>
                <w:highlight w:val="none"/>
              </w:rPr>
              <w:t>液化气回收单元</w:t>
            </w:r>
          </w:p>
        </w:tc>
        <w:tc>
          <w:tcPr>
            <w:tcW w:w="794" w:type="pct"/>
            <w:noWrap w:val="0"/>
            <w:vAlign w:val="center"/>
          </w:tcPr>
          <w:p w14:paraId="08C3E09A">
            <w:pPr>
              <w:widowControl/>
              <w:snapToGrid w:val="0"/>
              <w:jc w:val="center"/>
              <w:rPr>
                <w:sz w:val="21"/>
                <w:szCs w:val="21"/>
                <w:highlight w:val="none"/>
              </w:rPr>
            </w:pPr>
            <w:r>
              <w:rPr>
                <w:sz w:val="21"/>
                <w:szCs w:val="21"/>
                <w:highlight w:val="none"/>
              </w:rPr>
              <w:t>液化气回收单元污水</w:t>
            </w:r>
          </w:p>
        </w:tc>
        <w:tc>
          <w:tcPr>
            <w:tcW w:w="628" w:type="pct"/>
            <w:noWrap w:val="0"/>
            <w:vAlign w:val="center"/>
          </w:tcPr>
          <w:p w14:paraId="4333B1E9">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：0.296</w:t>
            </w:r>
          </w:p>
          <w:p w14:paraId="0124B796">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：0.404</w:t>
            </w:r>
          </w:p>
        </w:tc>
        <w:tc>
          <w:tcPr>
            <w:tcW w:w="413" w:type="pct"/>
            <w:noWrap w:val="0"/>
            <w:vAlign w:val="center"/>
          </w:tcPr>
          <w:p w14:paraId="6DC91628">
            <w:pPr>
              <w:widowControl/>
              <w:snapToGrid w:val="0"/>
              <w:jc w:val="center"/>
              <w:rPr>
                <w:sz w:val="21"/>
                <w:szCs w:val="21"/>
                <w:highlight w:val="none"/>
              </w:rPr>
            </w:pPr>
            <w:r>
              <w:rPr>
                <w:sz w:val="21"/>
                <w:szCs w:val="21"/>
                <w:highlight w:val="none"/>
              </w:rPr>
              <w:t>CODcr</w:t>
            </w:r>
          </w:p>
          <w:p w14:paraId="56DD262B">
            <w:pPr>
              <w:widowControl/>
              <w:snapToGrid w:val="0"/>
              <w:jc w:val="center"/>
              <w:rPr>
                <w:sz w:val="21"/>
                <w:szCs w:val="21"/>
                <w:highlight w:val="none"/>
              </w:rPr>
            </w:pPr>
            <w:r>
              <w:rPr>
                <w:sz w:val="21"/>
                <w:szCs w:val="21"/>
                <w:highlight w:val="none"/>
              </w:rPr>
              <w:t>油</w:t>
            </w:r>
          </w:p>
        </w:tc>
        <w:tc>
          <w:tcPr>
            <w:tcW w:w="528" w:type="pct"/>
            <w:noWrap w:val="0"/>
            <w:vAlign w:val="center"/>
          </w:tcPr>
          <w:p w14:paraId="30B1A858">
            <w:pPr>
              <w:widowControl/>
              <w:snapToGrid w:val="0"/>
              <w:jc w:val="center"/>
              <w:rPr>
                <w:sz w:val="21"/>
                <w:szCs w:val="21"/>
                <w:highlight w:val="none"/>
              </w:rPr>
            </w:pPr>
            <w:r>
              <w:rPr>
                <w:sz w:val="21"/>
                <w:szCs w:val="21"/>
                <w:highlight w:val="none"/>
              </w:rPr>
              <w:t>700</w:t>
            </w:r>
          </w:p>
          <w:p w14:paraId="4C1EFCAC">
            <w:pPr>
              <w:widowControl/>
              <w:snapToGrid w:val="0"/>
              <w:jc w:val="center"/>
              <w:rPr>
                <w:sz w:val="21"/>
                <w:szCs w:val="21"/>
                <w:highlight w:val="none"/>
              </w:rPr>
            </w:pPr>
            <w:r>
              <w:rPr>
                <w:sz w:val="21"/>
                <w:szCs w:val="21"/>
                <w:highlight w:val="none"/>
              </w:rPr>
              <w:t>100</w:t>
            </w:r>
          </w:p>
        </w:tc>
        <w:tc>
          <w:tcPr>
            <w:tcW w:w="190" w:type="pct"/>
            <w:noWrap w:val="0"/>
            <w:vAlign w:val="center"/>
          </w:tcPr>
          <w:p w14:paraId="7ABAD25F">
            <w:pPr>
              <w:widowControl/>
              <w:snapToGrid w:val="0"/>
              <w:jc w:val="center"/>
              <w:rPr>
                <w:sz w:val="21"/>
                <w:szCs w:val="21"/>
                <w:highlight w:val="none"/>
              </w:rPr>
            </w:pPr>
            <w:r>
              <w:rPr>
                <w:sz w:val="21"/>
                <w:szCs w:val="21"/>
                <w:highlight w:val="none"/>
              </w:rPr>
              <w:t>连续</w:t>
            </w:r>
          </w:p>
        </w:tc>
        <w:tc>
          <w:tcPr>
            <w:tcW w:w="1336" w:type="pct"/>
            <w:vMerge w:val="restart"/>
            <w:noWrap w:val="0"/>
            <w:vAlign w:val="center"/>
          </w:tcPr>
          <w:p w14:paraId="5359948A">
            <w:pPr>
              <w:widowControl/>
              <w:snapToGrid w:val="0"/>
              <w:jc w:val="center"/>
              <w:rPr>
                <w:sz w:val="21"/>
                <w:szCs w:val="21"/>
                <w:highlight w:val="none"/>
              </w:rPr>
            </w:pPr>
            <w:r>
              <w:rPr>
                <w:sz w:val="21"/>
                <w:szCs w:val="21"/>
                <w:highlight w:val="none"/>
              </w:rPr>
              <w:t>去厂内</w:t>
            </w:r>
            <w:r>
              <w:rPr>
                <w:rFonts w:hint="eastAsia"/>
                <w:sz w:val="21"/>
                <w:szCs w:val="21"/>
                <w:highlight w:val="none"/>
                <w:lang w:eastAsia="zh-CN"/>
              </w:rPr>
              <w:t>污水处理厂进行</w:t>
            </w:r>
            <w:r>
              <w:rPr>
                <w:sz w:val="21"/>
                <w:szCs w:val="21"/>
                <w:highlight w:val="none"/>
              </w:rPr>
              <w:t>含油污水预处理</w:t>
            </w:r>
          </w:p>
        </w:tc>
      </w:tr>
      <w:tr w14:paraId="3184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54F3A80D">
            <w:pPr>
              <w:widowControl/>
              <w:snapToGrid w:val="0"/>
              <w:jc w:val="center"/>
              <w:rPr>
                <w:sz w:val="21"/>
                <w:szCs w:val="21"/>
                <w:highlight w:val="none"/>
              </w:rPr>
            </w:pPr>
          </w:p>
        </w:tc>
        <w:tc>
          <w:tcPr>
            <w:tcW w:w="712" w:type="pct"/>
            <w:noWrap w:val="0"/>
            <w:vAlign w:val="center"/>
          </w:tcPr>
          <w:p w14:paraId="31737745">
            <w:pPr>
              <w:widowControl/>
              <w:snapToGrid w:val="0"/>
              <w:jc w:val="center"/>
              <w:rPr>
                <w:sz w:val="21"/>
                <w:szCs w:val="21"/>
                <w:highlight w:val="none"/>
              </w:rPr>
            </w:pPr>
            <w:r>
              <w:rPr>
                <w:sz w:val="21"/>
                <w:szCs w:val="21"/>
                <w:highlight w:val="none"/>
              </w:rPr>
              <w:t>全装置</w:t>
            </w:r>
          </w:p>
        </w:tc>
        <w:tc>
          <w:tcPr>
            <w:tcW w:w="794" w:type="pct"/>
            <w:noWrap w:val="0"/>
            <w:vAlign w:val="center"/>
          </w:tcPr>
          <w:p w14:paraId="600635AF">
            <w:pPr>
              <w:widowControl/>
              <w:snapToGrid w:val="0"/>
              <w:jc w:val="center"/>
              <w:rPr>
                <w:sz w:val="21"/>
                <w:szCs w:val="21"/>
                <w:highlight w:val="none"/>
              </w:rPr>
            </w:pPr>
            <w:r>
              <w:rPr>
                <w:sz w:val="21"/>
                <w:szCs w:val="21"/>
                <w:highlight w:val="none"/>
              </w:rPr>
              <w:t>机泵含油污水</w:t>
            </w:r>
          </w:p>
        </w:tc>
        <w:tc>
          <w:tcPr>
            <w:tcW w:w="628" w:type="pct"/>
            <w:noWrap w:val="0"/>
            <w:vAlign w:val="center"/>
          </w:tcPr>
          <w:p w14:paraId="42839064">
            <w:pPr>
              <w:widowControl/>
              <w:snapToGrid w:val="0"/>
              <w:jc w:val="center"/>
              <w:rPr>
                <w:sz w:val="21"/>
                <w:szCs w:val="21"/>
                <w:highlight w:val="none"/>
              </w:rPr>
            </w:pPr>
            <w:r>
              <w:rPr>
                <w:sz w:val="21"/>
                <w:szCs w:val="21"/>
                <w:highlight w:val="none"/>
              </w:rPr>
              <w:t>7.0</w:t>
            </w:r>
          </w:p>
        </w:tc>
        <w:tc>
          <w:tcPr>
            <w:tcW w:w="413" w:type="pct"/>
            <w:noWrap w:val="0"/>
            <w:vAlign w:val="center"/>
          </w:tcPr>
          <w:p w14:paraId="2A92CE97">
            <w:pPr>
              <w:widowControl/>
              <w:snapToGrid w:val="0"/>
              <w:jc w:val="center"/>
              <w:rPr>
                <w:sz w:val="21"/>
                <w:szCs w:val="21"/>
                <w:highlight w:val="none"/>
              </w:rPr>
            </w:pPr>
            <w:r>
              <w:rPr>
                <w:sz w:val="21"/>
                <w:szCs w:val="21"/>
                <w:highlight w:val="none"/>
              </w:rPr>
              <w:t>PH</w:t>
            </w:r>
          </w:p>
          <w:p w14:paraId="392F1AC8">
            <w:pPr>
              <w:widowControl/>
              <w:snapToGrid w:val="0"/>
              <w:jc w:val="center"/>
              <w:rPr>
                <w:sz w:val="21"/>
                <w:szCs w:val="21"/>
                <w:highlight w:val="none"/>
              </w:rPr>
            </w:pPr>
            <w:r>
              <w:rPr>
                <w:sz w:val="21"/>
                <w:szCs w:val="21"/>
                <w:highlight w:val="none"/>
              </w:rPr>
              <w:t>COD</w:t>
            </w:r>
          </w:p>
          <w:p w14:paraId="319F923C">
            <w:pPr>
              <w:widowControl/>
              <w:snapToGrid w:val="0"/>
              <w:jc w:val="center"/>
              <w:rPr>
                <w:sz w:val="21"/>
                <w:szCs w:val="21"/>
                <w:highlight w:val="none"/>
              </w:rPr>
            </w:pPr>
            <w:r>
              <w:rPr>
                <w:sz w:val="21"/>
                <w:szCs w:val="21"/>
                <w:highlight w:val="none"/>
              </w:rPr>
              <w:t>油</w:t>
            </w:r>
          </w:p>
        </w:tc>
        <w:tc>
          <w:tcPr>
            <w:tcW w:w="528" w:type="pct"/>
            <w:noWrap w:val="0"/>
            <w:vAlign w:val="center"/>
          </w:tcPr>
          <w:p w14:paraId="3C7050A4">
            <w:pPr>
              <w:widowControl/>
              <w:snapToGrid w:val="0"/>
              <w:jc w:val="center"/>
              <w:rPr>
                <w:sz w:val="21"/>
                <w:szCs w:val="21"/>
                <w:highlight w:val="none"/>
              </w:rPr>
            </w:pPr>
            <w:r>
              <w:rPr>
                <w:sz w:val="21"/>
                <w:szCs w:val="21"/>
                <w:highlight w:val="none"/>
              </w:rPr>
              <w:t>6~8</w:t>
            </w:r>
          </w:p>
          <w:p w14:paraId="33288A24">
            <w:pPr>
              <w:widowControl/>
              <w:snapToGrid w:val="0"/>
              <w:jc w:val="center"/>
              <w:rPr>
                <w:sz w:val="21"/>
                <w:szCs w:val="21"/>
                <w:highlight w:val="none"/>
              </w:rPr>
            </w:pPr>
            <w:r>
              <w:rPr>
                <w:sz w:val="21"/>
                <w:szCs w:val="21"/>
                <w:highlight w:val="none"/>
              </w:rPr>
              <w:t>&lt;700</w:t>
            </w:r>
          </w:p>
          <w:p w14:paraId="124266A5">
            <w:pPr>
              <w:widowControl/>
              <w:snapToGrid w:val="0"/>
              <w:jc w:val="center"/>
              <w:rPr>
                <w:sz w:val="21"/>
                <w:szCs w:val="21"/>
                <w:highlight w:val="none"/>
              </w:rPr>
            </w:pPr>
            <w:r>
              <w:rPr>
                <w:sz w:val="21"/>
                <w:szCs w:val="21"/>
                <w:highlight w:val="none"/>
              </w:rPr>
              <w:t>500</w:t>
            </w:r>
          </w:p>
        </w:tc>
        <w:tc>
          <w:tcPr>
            <w:tcW w:w="190" w:type="pct"/>
            <w:noWrap w:val="0"/>
            <w:vAlign w:val="center"/>
          </w:tcPr>
          <w:p w14:paraId="19B72545">
            <w:pPr>
              <w:widowControl/>
              <w:snapToGrid w:val="0"/>
              <w:jc w:val="center"/>
              <w:rPr>
                <w:sz w:val="21"/>
                <w:szCs w:val="21"/>
                <w:highlight w:val="none"/>
              </w:rPr>
            </w:pPr>
            <w:r>
              <w:rPr>
                <w:sz w:val="21"/>
                <w:szCs w:val="21"/>
                <w:highlight w:val="none"/>
              </w:rPr>
              <w:t>连续</w:t>
            </w:r>
          </w:p>
        </w:tc>
        <w:tc>
          <w:tcPr>
            <w:tcW w:w="1336" w:type="pct"/>
            <w:vMerge w:val="continue"/>
            <w:noWrap w:val="0"/>
            <w:vAlign w:val="center"/>
          </w:tcPr>
          <w:p w14:paraId="3DCDCAA9">
            <w:pPr>
              <w:widowControl/>
              <w:snapToGrid w:val="0"/>
              <w:jc w:val="center"/>
              <w:rPr>
                <w:sz w:val="21"/>
                <w:szCs w:val="21"/>
                <w:highlight w:val="none"/>
              </w:rPr>
            </w:pPr>
          </w:p>
        </w:tc>
      </w:tr>
      <w:tr w14:paraId="0B12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423EAECA">
            <w:pPr>
              <w:widowControl/>
              <w:snapToGrid w:val="0"/>
              <w:jc w:val="center"/>
              <w:rPr>
                <w:sz w:val="21"/>
                <w:szCs w:val="21"/>
                <w:highlight w:val="none"/>
              </w:rPr>
            </w:pPr>
          </w:p>
        </w:tc>
        <w:tc>
          <w:tcPr>
            <w:tcW w:w="712" w:type="pct"/>
            <w:noWrap w:val="0"/>
            <w:vAlign w:val="center"/>
          </w:tcPr>
          <w:p w14:paraId="343BFB11">
            <w:pPr>
              <w:widowControl/>
              <w:snapToGrid w:val="0"/>
              <w:jc w:val="center"/>
              <w:rPr>
                <w:sz w:val="21"/>
                <w:szCs w:val="21"/>
                <w:highlight w:val="none"/>
              </w:rPr>
            </w:pPr>
            <w:r>
              <w:rPr>
                <w:sz w:val="21"/>
                <w:szCs w:val="21"/>
                <w:highlight w:val="none"/>
              </w:rPr>
              <w:t>全装置</w:t>
            </w:r>
          </w:p>
        </w:tc>
        <w:tc>
          <w:tcPr>
            <w:tcW w:w="794" w:type="pct"/>
            <w:noWrap w:val="0"/>
            <w:vAlign w:val="center"/>
          </w:tcPr>
          <w:p w14:paraId="7F8E5637">
            <w:pPr>
              <w:widowControl/>
              <w:snapToGrid w:val="0"/>
              <w:jc w:val="center"/>
              <w:rPr>
                <w:sz w:val="21"/>
                <w:szCs w:val="21"/>
                <w:highlight w:val="none"/>
              </w:rPr>
            </w:pPr>
            <w:r>
              <w:rPr>
                <w:sz w:val="21"/>
                <w:szCs w:val="21"/>
                <w:highlight w:val="none"/>
              </w:rPr>
              <w:t>汽包排污</w:t>
            </w:r>
          </w:p>
        </w:tc>
        <w:tc>
          <w:tcPr>
            <w:tcW w:w="628" w:type="pct"/>
            <w:noWrap w:val="0"/>
            <w:vAlign w:val="center"/>
          </w:tcPr>
          <w:p w14:paraId="5CC49189">
            <w:pPr>
              <w:widowControl/>
              <w:snapToGrid w:val="0"/>
              <w:jc w:val="center"/>
              <w:rPr>
                <w:sz w:val="21"/>
                <w:szCs w:val="21"/>
                <w:highlight w:val="none"/>
              </w:rPr>
            </w:pPr>
            <w:r>
              <w:rPr>
                <w:sz w:val="21"/>
                <w:szCs w:val="21"/>
                <w:highlight w:val="none"/>
              </w:rPr>
              <w:t>0.7</w:t>
            </w:r>
          </w:p>
        </w:tc>
        <w:tc>
          <w:tcPr>
            <w:tcW w:w="413" w:type="pct"/>
            <w:noWrap w:val="0"/>
            <w:vAlign w:val="center"/>
          </w:tcPr>
          <w:p w14:paraId="58333199">
            <w:pPr>
              <w:widowControl/>
              <w:snapToGrid w:val="0"/>
              <w:jc w:val="center"/>
              <w:rPr>
                <w:sz w:val="21"/>
                <w:szCs w:val="21"/>
                <w:highlight w:val="none"/>
              </w:rPr>
            </w:pPr>
            <w:r>
              <w:rPr>
                <w:sz w:val="21"/>
                <w:szCs w:val="21"/>
                <w:highlight w:val="none"/>
              </w:rPr>
              <w:t>Na</w:t>
            </w:r>
            <w:r>
              <w:rPr>
                <w:sz w:val="21"/>
                <w:szCs w:val="21"/>
                <w:highlight w:val="none"/>
                <w:vertAlign w:val="superscript"/>
              </w:rPr>
              <w:t>+</w:t>
            </w:r>
          </w:p>
          <w:p w14:paraId="056A4B21">
            <w:pPr>
              <w:widowControl/>
              <w:snapToGrid w:val="0"/>
              <w:jc w:val="center"/>
              <w:rPr>
                <w:sz w:val="21"/>
                <w:szCs w:val="21"/>
                <w:highlight w:val="none"/>
              </w:rPr>
            </w:pPr>
            <w:r>
              <w:rPr>
                <w:sz w:val="21"/>
                <w:szCs w:val="21"/>
                <w:highlight w:val="none"/>
              </w:rPr>
              <w:t>Cl</w:t>
            </w:r>
            <w:r>
              <w:rPr>
                <w:sz w:val="21"/>
                <w:szCs w:val="21"/>
                <w:highlight w:val="none"/>
                <w:vertAlign w:val="superscript"/>
              </w:rPr>
              <w:t>-</w:t>
            </w:r>
          </w:p>
          <w:p w14:paraId="669B90F5">
            <w:pPr>
              <w:widowControl/>
              <w:snapToGrid w:val="0"/>
              <w:jc w:val="center"/>
              <w:rPr>
                <w:sz w:val="21"/>
                <w:szCs w:val="21"/>
                <w:highlight w:val="none"/>
              </w:rPr>
            </w:pPr>
            <w:r>
              <w:rPr>
                <w:sz w:val="21"/>
                <w:szCs w:val="21"/>
                <w:highlight w:val="none"/>
              </w:rPr>
              <w:t>TDS</w:t>
            </w:r>
          </w:p>
        </w:tc>
        <w:tc>
          <w:tcPr>
            <w:tcW w:w="528" w:type="pct"/>
            <w:noWrap w:val="0"/>
            <w:vAlign w:val="center"/>
          </w:tcPr>
          <w:p w14:paraId="475EABBA">
            <w:pPr>
              <w:widowControl/>
              <w:snapToGrid w:val="0"/>
              <w:jc w:val="center"/>
              <w:rPr>
                <w:sz w:val="21"/>
                <w:szCs w:val="21"/>
                <w:highlight w:val="none"/>
              </w:rPr>
            </w:pPr>
            <w:r>
              <w:rPr>
                <w:sz w:val="21"/>
                <w:szCs w:val="21"/>
                <w:highlight w:val="none"/>
              </w:rPr>
              <w:t>6.5</w:t>
            </w:r>
          </w:p>
          <w:p w14:paraId="119E5689">
            <w:pPr>
              <w:widowControl/>
              <w:snapToGrid w:val="0"/>
              <w:jc w:val="center"/>
              <w:rPr>
                <w:sz w:val="21"/>
                <w:szCs w:val="21"/>
                <w:highlight w:val="none"/>
              </w:rPr>
            </w:pPr>
            <w:r>
              <w:rPr>
                <w:sz w:val="21"/>
                <w:szCs w:val="21"/>
                <w:highlight w:val="none"/>
              </w:rPr>
              <w:t>10</w:t>
            </w:r>
          </w:p>
          <w:p w14:paraId="6339AE5F">
            <w:pPr>
              <w:widowControl/>
              <w:snapToGrid w:val="0"/>
              <w:jc w:val="center"/>
              <w:rPr>
                <w:sz w:val="21"/>
                <w:szCs w:val="21"/>
                <w:highlight w:val="none"/>
              </w:rPr>
            </w:pPr>
            <w:r>
              <w:rPr>
                <w:sz w:val="21"/>
                <w:szCs w:val="21"/>
                <w:highlight w:val="none"/>
              </w:rPr>
              <w:t>17</w:t>
            </w:r>
          </w:p>
        </w:tc>
        <w:tc>
          <w:tcPr>
            <w:tcW w:w="190" w:type="pct"/>
            <w:noWrap w:val="0"/>
            <w:vAlign w:val="center"/>
          </w:tcPr>
          <w:p w14:paraId="401844B1">
            <w:pPr>
              <w:widowControl/>
              <w:snapToGrid w:val="0"/>
              <w:jc w:val="center"/>
              <w:rPr>
                <w:sz w:val="21"/>
                <w:szCs w:val="21"/>
                <w:highlight w:val="none"/>
              </w:rPr>
            </w:pPr>
            <w:r>
              <w:rPr>
                <w:sz w:val="21"/>
                <w:szCs w:val="21"/>
                <w:highlight w:val="none"/>
              </w:rPr>
              <w:t>连续</w:t>
            </w:r>
          </w:p>
        </w:tc>
        <w:tc>
          <w:tcPr>
            <w:tcW w:w="1336" w:type="pct"/>
            <w:noWrap w:val="0"/>
            <w:vAlign w:val="center"/>
          </w:tcPr>
          <w:p w14:paraId="1492CD88">
            <w:pPr>
              <w:widowControl/>
              <w:snapToGrid w:val="0"/>
              <w:jc w:val="center"/>
              <w:rPr>
                <w:rFonts w:hint="eastAsia" w:eastAsia="宋体"/>
                <w:sz w:val="21"/>
                <w:szCs w:val="21"/>
                <w:highlight w:val="none"/>
                <w:lang w:eastAsia="zh-CN"/>
              </w:rPr>
            </w:pPr>
            <w:r>
              <w:rPr>
                <w:sz w:val="21"/>
                <w:szCs w:val="21"/>
                <w:highlight w:val="none"/>
              </w:rPr>
              <w:t>去第三循环水</w:t>
            </w:r>
            <w:r>
              <w:rPr>
                <w:rFonts w:hint="eastAsia"/>
                <w:sz w:val="21"/>
                <w:szCs w:val="21"/>
                <w:highlight w:val="none"/>
                <w:lang w:eastAsia="zh-CN"/>
              </w:rPr>
              <w:t>厂</w:t>
            </w:r>
          </w:p>
        </w:tc>
      </w:tr>
      <w:tr w14:paraId="26E3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66EC2DDE">
            <w:pPr>
              <w:widowControl/>
              <w:snapToGrid w:val="0"/>
              <w:jc w:val="center"/>
              <w:rPr>
                <w:sz w:val="21"/>
                <w:szCs w:val="21"/>
                <w:highlight w:val="none"/>
              </w:rPr>
            </w:pPr>
            <w:r>
              <w:rPr>
                <w:sz w:val="21"/>
                <w:szCs w:val="21"/>
                <w:highlight w:val="none"/>
              </w:rPr>
              <w:t>尾气制氢装置</w:t>
            </w:r>
          </w:p>
        </w:tc>
        <w:tc>
          <w:tcPr>
            <w:tcW w:w="712" w:type="pct"/>
            <w:noWrap w:val="0"/>
            <w:vAlign w:val="center"/>
          </w:tcPr>
          <w:p w14:paraId="071A64A3">
            <w:pPr>
              <w:widowControl/>
              <w:snapToGrid w:val="0"/>
              <w:jc w:val="center"/>
              <w:rPr>
                <w:sz w:val="21"/>
                <w:szCs w:val="21"/>
                <w:highlight w:val="none"/>
              </w:rPr>
            </w:pPr>
            <w:r>
              <w:rPr>
                <w:sz w:val="21"/>
                <w:szCs w:val="21"/>
                <w:highlight w:val="none"/>
              </w:rPr>
              <w:t>尾气变换单元</w:t>
            </w:r>
          </w:p>
        </w:tc>
        <w:tc>
          <w:tcPr>
            <w:tcW w:w="794" w:type="pct"/>
            <w:noWrap w:val="0"/>
            <w:vAlign w:val="center"/>
          </w:tcPr>
          <w:p w14:paraId="1ADE7141">
            <w:pPr>
              <w:widowControl/>
              <w:snapToGrid w:val="0"/>
              <w:jc w:val="center"/>
              <w:rPr>
                <w:sz w:val="21"/>
                <w:szCs w:val="21"/>
                <w:highlight w:val="none"/>
              </w:rPr>
            </w:pPr>
            <w:r>
              <w:rPr>
                <w:sz w:val="21"/>
                <w:szCs w:val="21"/>
                <w:highlight w:val="none"/>
              </w:rPr>
              <w:t>尾气变换冷凝液</w:t>
            </w:r>
          </w:p>
        </w:tc>
        <w:tc>
          <w:tcPr>
            <w:tcW w:w="628" w:type="pct"/>
            <w:noWrap w:val="0"/>
            <w:vAlign w:val="center"/>
          </w:tcPr>
          <w:p w14:paraId="425A7B1A">
            <w:pPr>
              <w:widowControl/>
              <w:snapToGrid w:val="0"/>
              <w:jc w:val="center"/>
              <w:rPr>
                <w:sz w:val="21"/>
                <w:szCs w:val="21"/>
                <w:highlight w:val="none"/>
              </w:rPr>
            </w:pPr>
            <w:r>
              <w:rPr>
                <w:sz w:val="21"/>
                <w:szCs w:val="21"/>
                <w:highlight w:val="none"/>
              </w:rPr>
              <w:t>12.1</w:t>
            </w:r>
          </w:p>
        </w:tc>
        <w:tc>
          <w:tcPr>
            <w:tcW w:w="413" w:type="pct"/>
            <w:noWrap w:val="0"/>
            <w:vAlign w:val="center"/>
          </w:tcPr>
          <w:p w14:paraId="5D0C1A94">
            <w:pPr>
              <w:widowControl/>
              <w:snapToGrid w:val="0"/>
              <w:jc w:val="center"/>
              <w:rPr>
                <w:sz w:val="21"/>
                <w:szCs w:val="21"/>
                <w:highlight w:val="none"/>
              </w:rPr>
            </w:pPr>
            <w:r>
              <w:rPr>
                <w:sz w:val="21"/>
                <w:szCs w:val="21"/>
                <w:highlight w:val="none"/>
              </w:rPr>
              <w:t>NH</w:t>
            </w:r>
            <w:r>
              <w:rPr>
                <w:sz w:val="21"/>
                <w:szCs w:val="21"/>
                <w:highlight w:val="none"/>
                <w:vertAlign w:val="subscript"/>
              </w:rPr>
              <w:t>3</w:t>
            </w:r>
            <w:r>
              <w:rPr>
                <w:sz w:val="21"/>
                <w:szCs w:val="21"/>
                <w:highlight w:val="none"/>
              </w:rPr>
              <w:t>-N</w:t>
            </w:r>
          </w:p>
        </w:tc>
        <w:tc>
          <w:tcPr>
            <w:tcW w:w="528" w:type="pct"/>
            <w:noWrap w:val="0"/>
            <w:vAlign w:val="center"/>
          </w:tcPr>
          <w:p w14:paraId="7811AED1">
            <w:pPr>
              <w:widowControl/>
              <w:snapToGrid w:val="0"/>
              <w:jc w:val="center"/>
              <w:rPr>
                <w:sz w:val="21"/>
                <w:szCs w:val="21"/>
                <w:highlight w:val="none"/>
              </w:rPr>
            </w:pPr>
            <w:r>
              <w:rPr>
                <w:sz w:val="21"/>
                <w:szCs w:val="21"/>
                <w:highlight w:val="none"/>
              </w:rPr>
              <w:t>1352</w:t>
            </w:r>
          </w:p>
        </w:tc>
        <w:tc>
          <w:tcPr>
            <w:tcW w:w="190" w:type="pct"/>
            <w:noWrap w:val="0"/>
            <w:vAlign w:val="center"/>
          </w:tcPr>
          <w:p w14:paraId="1DD036C3">
            <w:pPr>
              <w:widowControl/>
              <w:snapToGrid w:val="0"/>
              <w:jc w:val="center"/>
              <w:rPr>
                <w:sz w:val="21"/>
                <w:szCs w:val="21"/>
                <w:highlight w:val="none"/>
              </w:rPr>
            </w:pPr>
            <w:r>
              <w:rPr>
                <w:sz w:val="21"/>
                <w:szCs w:val="21"/>
                <w:highlight w:val="none"/>
              </w:rPr>
              <w:t>连续</w:t>
            </w:r>
          </w:p>
        </w:tc>
        <w:tc>
          <w:tcPr>
            <w:tcW w:w="1336" w:type="pct"/>
            <w:noWrap w:val="0"/>
            <w:vAlign w:val="center"/>
          </w:tcPr>
          <w:p w14:paraId="38F36805">
            <w:pPr>
              <w:widowControl/>
              <w:snapToGrid w:val="0"/>
              <w:jc w:val="center"/>
              <w:rPr>
                <w:sz w:val="21"/>
                <w:szCs w:val="21"/>
                <w:highlight w:val="none"/>
              </w:rPr>
            </w:pPr>
            <w:r>
              <w:rPr>
                <w:sz w:val="21"/>
                <w:szCs w:val="21"/>
                <w:highlight w:val="none"/>
              </w:rPr>
              <w:t>去净化装置酸性水汽提单元</w:t>
            </w:r>
          </w:p>
        </w:tc>
      </w:tr>
      <w:tr w14:paraId="0661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02128833">
            <w:pPr>
              <w:widowControl/>
              <w:snapToGrid w:val="0"/>
              <w:jc w:val="center"/>
              <w:rPr>
                <w:sz w:val="21"/>
                <w:szCs w:val="21"/>
                <w:highlight w:val="none"/>
              </w:rPr>
            </w:pPr>
          </w:p>
        </w:tc>
        <w:tc>
          <w:tcPr>
            <w:tcW w:w="712" w:type="pct"/>
            <w:noWrap w:val="0"/>
            <w:vAlign w:val="center"/>
          </w:tcPr>
          <w:p w14:paraId="70615E4A">
            <w:pPr>
              <w:widowControl/>
              <w:snapToGrid w:val="0"/>
              <w:jc w:val="center"/>
              <w:rPr>
                <w:sz w:val="21"/>
                <w:szCs w:val="21"/>
                <w:highlight w:val="none"/>
              </w:rPr>
            </w:pPr>
            <w:r>
              <w:rPr>
                <w:sz w:val="21"/>
                <w:szCs w:val="21"/>
                <w:highlight w:val="none"/>
              </w:rPr>
              <w:t>尾气转化单元</w:t>
            </w:r>
          </w:p>
        </w:tc>
        <w:tc>
          <w:tcPr>
            <w:tcW w:w="794" w:type="pct"/>
            <w:noWrap w:val="0"/>
            <w:vAlign w:val="center"/>
          </w:tcPr>
          <w:p w14:paraId="4F1D3B24">
            <w:pPr>
              <w:widowControl/>
              <w:snapToGrid w:val="0"/>
              <w:jc w:val="center"/>
              <w:rPr>
                <w:sz w:val="21"/>
                <w:szCs w:val="21"/>
                <w:highlight w:val="none"/>
              </w:rPr>
            </w:pPr>
            <w:r>
              <w:rPr>
                <w:sz w:val="21"/>
                <w:szCs w:val="21"/>
                <w:highlight w:val="none"/>
              </w:rPr>
              <w:t>蒸汽发生器排污</w:t>
            </w:r>
          </w:p>
        </w:tc>
        <w:tc>
          <w:tcPr>
            <w:tcW w:w="628" w:type="pct"/>
            <w:noWrap w:val="0"/>
            <w:vAlign w:val="center"/>
          </w:tcPr>
          <w:p w14:paraId="111AA6A7">
            <w:pPr>
              <w:widowControl/>
              <w:snapToGrid w:val="0"/>
              <w:jc w:val="center"/>
              <w:rPr>
                <w:sz w:val="21"/>
                <w:szCs w:val="21"/>
                <w:highlight w:val="none"/>
              </w:rPr>
            </w:pPr>
            <w:r>
              <w:rPr>
                <w:sz w:val="21"/>
                <w:szCs w:val="21"/>
                <w:highlight w:val="none"/>
              </w:rPr>
              <w:t>0.7</w:t>
            </w:r>
          </w:p>
        </w:tc>
        <w:tc>
          <w:tcPr>
            <w:tcW w:w="413" w:type="pct"/>
            <w:noWrap w:val="0"/>
            <w:vAlign w:val="center"/>
          </w:tcPr>
          <w:p w14:paraId="68768D14">
            <w:pPr>
              <w:widowControl/>
              <w:snapToGrid w:val="0"/>
              <w:jc w:val="center"/>
              <w:rPr>
                <w:sz w:val="21"/>
                <w:szCs w:val="21"/>
                <w:highlight w:val="none"/>
              </w:rPr>
            </w:pPr>
            <w:r>
              <w:rPr>
                <w:sz w:val="21"/>
                <w:szCs w:val="21"/>
                <w:highlight w:val="none"/>
              </w:rPr>
              <w:t>Na</w:t>
            </w:r>
            <w:r>
              <w:rPr>
                <w:sz w:val="21"/>
                <w:szCs w:val="21"/>
                <w:highlight w:val="none"/>
                <w:vertAlign w:val="superscript"/>
              </w:rPr>
              <w:t>+</w:t>
            </w:r>
          </w:p>
          <w:p w14:paraId="068090A0">
            <w:pPr>
              <w:widowControl/>
              <w:snapToGrid w:val="0"/>
              <w:jc w:val="center"/>
              <w:rPr>
                <w:sz w:val="21"/>
                <w:szCs w:val="21"/>
                <w:highlight w:val="none"/>
              </w:rPr>
            </w:pPr>
            <w:r>
              <w:rPr>
                <w:sz w:val="21"/>
                <w:szCs w:val="21"/>
                <w:highlight w:val="none"/>
              </w:rPr>
              <w:t>Cl</w:t>
            </w:r>
            <w:r>
              <w:rPr>
                <w:sz w:val="21"/>
                <w:szCs w:val="21"/>
                <w:highlight w:val="none"/>
                <w:vertAlign w:val="superscript"/>
              </w:rPr>
              <w:t>-</w:t>
            </w:r>
          </w:p>
          <w:p w14:paraId="008CDA0C">
            <w:pPr>
              <w:widowControl/>
              <w:snapToGrid w:val="0"/>
              <w:jc w:val="center"/>
              <w:rPr>
                <w:sz w:val="21"/>
                <w:szCs w:val="21"/>
                <w:highlight w:val="none"/>
              </w:rPr>
            </w:pPr>
            <w:r>
              <w:rPr>
                <w:sz w:val="21"/>
                <w:szCs w:val="21"/>
                <w:highlight w:val="none"/>
              </w:rPr>
              <w:t>TDS</w:t>
            </w:r>
          </w:p>
        </w:tc>
        <w:tc>
          <w:tcPr>
            <w:tcW w:w="528" w:type="pct"/>
            <w:noWrap w:val="0"/>
            <w:vAlign w:val="center"/>
          </w:tcPr>
          <w:p w14:paraId="67F52D3B">
            <w:pPr>
              <w:widowControl/>
              <w:snapToGrid w:val="0"/>
              <w:jc w:val="center"/>
              <w:rPr>
                <w:sz w:val="21"/>
                <w:szCs w:val="21"/>
                <w:highlight w:val="none"/>
              </w:rPr>
            </w:pPr>
            <w:r>
              <w:rPr>
                <w:sz w:val="21"/>
                <w:szCs w:val="21"/>
                <w:highlight w:val="none"/>
              </w:rPr>
              <w:t>6.5</w:t>
            </w:r>
          </w:p>
          <w:p w14:paraId="13CEF8F4">
            <w:pPr>
              <w:widowControl/>
              <w:snapToGrid w:val="0"/>
              <w:jc w:val="center"/>
              <w:rPr>
                <w:sz w:val="21"/>
                <w:szCs w:val="21"/>
                <w:highlight w:val="none"/>
              </w:rPr>
            </w:pPr>
            <w:r>
              <w:rPr>
                <w:sz w:val="21"/>
                <w:szCs w:val="21"/>
                <w:highlight w:val="none"/>
              </w:rPr>
              <w:t>10</w:t>
            </w:r>
          </w:p>
          <w:p w14:paraId="6C8F3ECC">
            <w:pPr>
              <w:widowControl/>
              <w:snapToGrid w:val="0"/>
              <w:jc w:val="center"/>
              <w:rPr>
                <w:sz w:val="21"/>
                <w:szCs w:val="21"/>
                <w:highlight w:val="none"/>
              </w:rPr>
            </w:pPr>
            <w:r>
              <w:rPr>
                <w:sz w:val="21"/>
                <w:szCs w:val="21"/>
                <w:highlight w:val="none"/>
              </w:rPr>
              <w:t>17</w:t>
            </w:r>
          </w:p>
        </w:tc>
        <w:tc>
          <w:tcPr>
            <w:tcW w:w="190" w:type="pct"/>
            <w:noWrap w:val="0"/>
            <w:vAlign w:val="center"/>
          </w:tcPr>
          <w:p w14:paraId="2A053FD5">
            <w:pPr>
              <w:widowControl/>
              <w:snapToGrid w:val="0"/>
              <w:jc w:val="center"/>
              <w:rPr>
                <w:sz w:val="21"/>
                <w:szCs w:val="21"/>
                <w:highlight w:val="none"/>
              </w:rPr>
            </w:pPr>
            <w:r>
              <w:rPr>
                <w:sz w:val="21"/>
                <w:szCs w:val="21"/>
                <w:highlight w:val="none"/>
              </w:rPr>
              <w:t>连续</w:t>
            </w:r>
          </w:p>
        </w:tc>
        <w:tc>
          <w:tcPr>
            <w:tcW w:w="1336" w:type="pct"/>
            <w:noWrap w:val="0"/>
            <w:vAlign w:val="center"/>
          </w:tcPr>
          <w:p w14:paraId="16F76A6C">
            <w:pPr>
              <w:widowControl/>
              <w:snapToGrid w:val="0"/>
              <w:jc w:val="center"/>
              <w:rPr>
                <w:rFonts w:hint="eastAsia" w:eastAsia="宋体"/>
                <w:sz w:val="21"/>
                <w:szCs w:val="21"/>
                <w:highlight w:val="none"/>
                <w:lang w:eastAsia="zh-CN"/>
              </w:rPr>
            </w:pPr>
            <w:r>
              <w:rPr>
                <w:sz w:val="21"/>
                <w:szCs w:val="21"/>
                <w:highlight w:val="none"/>
              </w:rPr>
              <w:t>去第三循环水</w:t>
            </w:r>
            <w:r>
              <w:rPr>
                <w:rFonts w:hint="eastAsia"/>
                <w:sz w:val="21"/>
                <w:szCs w:val="21"/>
                <w:highlight w:val="none"/>
                <w:lang w:eastAsia="zh-CN"/>
              </w:rPr>
              <w:t>厂</w:t>
            </w:r>
          </w:p>
        </w:tc>
      </w:tr>
      <w:tr w14:paraId="3007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noWrap w:val="0"/>
            <w:vAlign w:val="center"/>
          </w:tcPr>
          <w:p w14:paraId="1985A9EE">
            <w:pPr>
              <w:jc w:val="center"/>
              <w:rPr>
                <w:sz w:val="21"/>
                <w:szCs w:val="21"/>
                <w:highlight w:val="none"/>
              </w:rPr>
            </w:pPr>
            <w:r>
              <w:rPr>
                <w:sz w:val="21"/>
                <w:szCs w:val="21"/>
                <w:highlight w:val="none"/>
              </w:rPr>
              <w:t>热电装置</w:t>
            </w:r>
          </w:p>
        </w:tc>
        <w:tc>
          <w:tcPr>
            <w:tcW w:w="1506" w:type="pct"/>
            <w:gridSpan w:val="2"/>
            <w:noWrap w:val="0"/>
            <w:vAlign w:val="center"/>
          </w:tcPr>
          <w:p w14:paraId="7D87A3C8">
            <w:pPr>
              <w:widowControl/>
              <w:snapToGrid w:val="0"/>
              <w:jc w:val="center"/>
              <w:rPr>
                <w:sz w:val="21"/>
                <w:szCs w:val="21"/>
                <w:highlight w:val="none"/>
              </w:rPr>
            </w:pPr>
            <w:r>
              <w:rPr>
                <w:sz w:val="21"/>
                <w:szCs w:val="21"/>
                <w:highlight w:val="none"/>
              </w:rPr>
              <w:t>锅炉排污</w:t>
            </w:r>
          </w:p>
        </w:tc>
        <w:tc>
          <w:tcPr>
            <w:tcW w:w="628" w:type="pct"/>
            <w:noWrap w:val="0"/>
            <w:vAlign w:val="center"/>
          </w:tcPr>
          <w:p w14:paraId="6169D8FC">
            <w:pPr>
              <w:widowControl/>
              <w:snapToGrid w:val="0"/>
              <w:jc w:val="center"/>
              <w:rPr>
                <w:sz w:val="21"/>
                <w:szCs w:val="21"/>
                <w:highlight w:val="none"/>
              </w:rPr>
            </w:pPr>
            <w:r>
              <w:rPr>
                <w:sz w:val="21"/>
                <w:szCs w:val="21"/>
                <w:highlight w:val="none"/>
              </w:rPr>
              <w:t>夏季：10.9</w:t>
            </w:r>
          </w:p>
          <w:p w14:paraId="70CF400D">
            <w:pPr>
              <w:widowControl/>
              <w:snapToGrid w:val="0"/>
              <w:jc w:val="center"/>
              <w:rPr>
                <w:sz w:val="21"/>
                <w:szCs w:val="21"/>
                <w:highlight w:val="none"/>
              </w:rPr>
            </w:pPr>
            <w:r>
              <w:rPr>
                <w:sz w:val="21"/>
                <w:szCs w:val="21"/>
                <w:highlight w:val="none"/>
              </w:rPr>
              <w:t>冬季：10.6</w:t>
            </w:r>
          </w:p>
        </w:tc>
        <w:tc>
          <w:tcPr>
            <w:tcW w:w="413" w:type="pct"/>
            <w:noWrap w:val="0"/>
            <w:vAlign w:val="center"/>
          </w:tcPr>
          <w:p w14:paraId="1BF696C2">
            <w:pPr>
              <w:widowControl/>
              <w:snapToGrid w:val="0"/>
              <w:jc w:val="center"/>
              <w:rPr>
                <w:sz w:val="21"/>
                <w:szCs w:val="21"/>
                <w:highlight w:val="none"/>
              </w:rPr>
            </w:pPr>
            <w:r>
              <w:rPr>
                <w:sz w:val="21"/>
                <w:szCs w:val="21"/>
                <w:highlight w:val="none"/>
              </w:rPr>
              <w:t>Na</w:t>
            </w:r>
            <w:r>
              <w:rPr>
                <w:sz w:val="21"/>
                <w:szCs w:val="21"/>
                <w:highlight w:val="none"/>
                <w:vertAlign w:val="superscript"/>
              </w:rPr>
              <w:t>+</w:t>
            </w:r>
          </w:p>
          <w:p w14:paraId="10295AF5">
            <w:pPr>
              <w:widowControl/>
              <w:snapToGrid w:val="0"/>
              <w:jc w:val="center"/>
              <w:rPr>
                <w:sz w:val="21"/>
                <w:szCs w:val="21"/>
                <w:highlight w:val="none"/>
              </w:rPr>
            </w:pPr>
            <w:r>
              <w:rPr>
                <w:sz w:val="21"/>
                <w:szCs w:val="21"/>
                <w:highlight w:val="none"/>
              </w:rPr>
              <w:t>Cl</w:t>
            </w:r>
            <w:r>
              <w:rPr>
                <w:sz w:val="21"/>
                <w:szCs w:val="21"/>
                <w:highlight w:val="none"/>
                <w:vertAlign w:val="superscript"/>
              </w:rPr>
              <w:t>-</w:t>
            </w:r>
          </w:p>
          <w:p w14:paraId="3C652454">
            <w:pPr>
              <w:widowControl/>
              <w:snapToGrid w:val="0"/>
              <w:jc w:val="center"/>
              <w:rPr>
                <w:sz w:val="21"/>
                <w:szCs w:val="21"/>
                <w:highlight w:val="none"/>
              </w:rPr>
            </w:pPr>
            <w:r>
              <w:rPr>
                <w:sz w:val="21"/>
                <w:szCs w:val="21"/>
                <w:highlight w:val="none"/>
              </w:rPr>
              <w:t>TDS</w:t>
            </w:r>
          </w:p>
        </w:tc>
        <w:tc>
          <w:tcPr>
            <w:tcW w:w="528" w:type="pct"/>
            <w:noWrap w:val="0"/>
            <w:vAlign w:val="center"/>
          </w:tcPr>
          <w:p w14:paraId="663AA51C">
            <w:pPr>
              <w:widowControl/>
              <w:snapToGrid w:val="0"/>
              <w:jc w:val="center"/>
              <w:rPr>
                <w:sz w:val="21"/>
                <w:szCs w:val="21"/>
                <w:highlight w:val="none"/>
              </w:rPr>
            </w:pPr>
            <w:r>
              <w:rPr>
                <w:sz w:val="21"/>
                <w:szCs w:val="21"/>
                <w:highlight w:val="none"/>
              </w:rPr>
              <w:t>6.5</w:t>
            </w:r>
          </w:p>
          <w:p w14:paraId="4DE1BE3F">
            <w:pPr>
              <w:widowControl/>
              <w:snapToGrid w:val="0"/>
              <w:jc w:val="center"/>
              <w:rPr>
                <w:sz w:val="21"/>
                <w:szCs w:val="21"/>
                <w:highlight w:val="none"/>
              </w:rPr>
            </w:pPr>
            <w:r>
              <w:rPr>
                <w:sz w:val="21"/>
                <w:szCs w:val="21"/>
                <w:highlight w:val="none"/>
              </w:rPr>
              <w:t>10</w:t>
            </w:r>
          </w:p>
          <w:p w14:paraId="2C1DDC50">
            <w:pPr>
              <w:widowControl/>
              <w:snapToGrid w:val="0"/>
              <w:jc w:val="center"/>
              <w:rPr>
                <w:sz w:val="21"/>
                <w:szCs w:val="21"/>
                <w:highlight w:val="none"/>
              </w:rPr>
            </w:pPr>
            <w:r>
              <w:rPr>
                <w:sz w:val="21"/>
                <w:szCs w:val="21"/>
                <w:highlight w:val="none"/>
              </w:rPr>
              <w:t>17</w:t>
            </w:r>
          </w:p>
        </w:tc>
        <w:tc>
          <w:tcPr>
            <w:tcW w:w="190" w:type="pct"/>
            <w:noWrap w:val="0"/>
            <w:vAlign w:val="center"/>
          </w:tcPr>
          <w:p w14:paraId="27E7E34D">
            <w:pPr>
              <w:widowControl/>
              <w:snapToGrid w:val="0"/>
              <w:jc w:val="center"/>
              <w:rPr>
                <w:sz w:val="21"/>
                <w:szCs w:val="21"/>
                <w:highlight w:val="none"/>
              </w:rPr>
            </w:pPr>
            <w:r>
              <w:rPr>
                <w:sz w:val="21"/>
                <w:szCs w:val="21"/>
                <w:highlight w:val="none"/>
              </w:rPr>
              <w:t>连续</w:t>
            </w:r>
          </w:p>
        </w:tc>
        <w:tc>
          <w:tcPr>
            <w:tcW w:w="1336" w:type="pct"/>
            <w:noWrap w:val="0"/>
            <w:vAlign w:val="center"/>
          </w:tcPr>
          <w:p w14:paraId="331B2170">
            <w:pPr>
              <w:widowControl/>
              <w:snapToGrid w:val="0"/>
              <w:jc w:val="center"/>
              <w:rPr>
                <w:rFonts w:hint="eastAsia" w:eastAsia="宋体"/>
                <w:sz w:val="21"/>
                <w:szCs w:val="21"/>
                <w:highlight w:val="none"/>
                <w:lang w:eastAsia="zh-CN"/>
              </w:rPr>
            </w:pPr>
            <w:r>
              <w:rPr>
                <w:sz w:val="21"/>
                <w:szCs w:val="21"/>
                <w:highlight w:val="none"/>
              </w:rPr>
              <w:t>去第三循环水</w:t>
            </w:r>
            <w:r>
              <w:rPr>
                <w:rFonts w:hint="eastAsia"/>
                <w:sz w:val="21"/>
                <w:szCs w:val="21"/>
                <w:highlight w:val="none"/>
                <w:lang w:eastAsia="zh-CN"/>
              </w:rPr>
              <w:t>厂</w:t>
            </w:r>
          </w:p>
        </w:tc>
      </w:tr>
      <w:tr w14:paraId="709A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7E5D7A14">
            <w:pPr>
              <w:widowControl/>
              <w:snapToGrid w:val="0"/>
              <w:jc w:val="center"/>
              <w:rPr>
                <w:sz w:val="21"/>
                <w:szCs w:val="21"/>
                <w:highlight w:val="none"/>
              </w:rPr>
            </w:pPr>
            <w:r>
              <w:rPr>
                <w:sz w:val="21"/>
                <w:szCs w:val="21"/>
                <w:highlight w:val="none"/>
              </w:rPr>
              <w:t>公用工程</w:t>
            </w:r>
          </w:p>
        </w:tc>
        <w:tc>
          <w:tcPr>
            <w:tcW w:w="712" w:type="pct"/>
            <w:noWrap w:val="0"/>
            <w:vAlign w:val="center"/>
          </w:tcPr>
          <w:p w14:paraId="78421E7D">
            <w:pPr>
              <w:jc w:val="center"/>
              <w:rPr>
                <w:sz w:val="21"/>
                <w:szCs w:val="21"/>
                <w:highlight w:val="none"/>
              </w:rPr>
            </w:pPr>
            <w:r>
              <w:rPr>
                <w:sz w:val="21"/>
                <w:szCs w:val="21"/>
                <w:highlight w:val="none"/>
              </w:rPr>
              <w:t>脱盐水站</w:t>
            </w:r>
          </w:p>
        </w:tc>
        <w:tc>
          <w:tcPr>
            <w:tcW w:w="794" w:type="pct"/>
            <w:noWrap w:val="0"/>
            <w:vAlign w:val="center"/>
          </w:tcPr>
          <w:p w14:paraId="0CB10326">
            <w:pPr>
              <w:widowControl/>
              <w:snapToGrid w:val="0"/>
              <w:jc w:val="center"/>
              <w:rPr>
                <w:sz w:val="21"/>
                <w:szCs w:val="21"/>
                <w:highlight w:val="none"/>
              </w:rPr>
            </w:pPr>
            <w:r>
              <w:rPr>
                <w:sz w:val="21"/>
                <w:szCs w:val="21"/>
                <w:highlight w:val="none"/>
              </w:rPr>
              <w:t>含盐废水</w:t>
            </w:r>
          </w:p>
        </w:tc>
        <w:tc>
          <w:tcPr>
            <w:tcW w:w="628" w:type="pct"/>
            <w:noWrap w:val="0"/>
            <w:vAlign w:val="center"/>
          </w:tcPr>
          <w:p w14:paraId="1111B43A">
            <w:pPr>
              <w:widowControl/>
              <w:snapToGrid w:val="0"/>
              <w:jc w:val="center"/>
              <w:rPr>
                <w:sz w:val="21"/>
                <w:szCs w:val="21"/>
                <w:highlight w:val="none"/>
              </w:rPr>
            </w:pPr>
            <w:r>
              <w:rPr>
                <w:sz w:val="21"/>
                <w:szCs w:val="21"/>
                <w:highlight w:val="none"/>
              </w:rPr>
              <w:t>夏季：448</w:t>
            </w:r>
          </w:p>
          <w:p w14:paraId="016FBAC4">
            <w:pPr>
              <w:widowControl/>
              <w:snapToGrid w:val="0"/>
              <w:jc w:val="center"/>
              <w:rPr>
                <w:sz w:val="21"/>
                <w:szCs w:val="21"/>
                <w:highlight w:val="none"/>
              </w:rPr>
            </w:pPr>
            <w:r>
              <w:rPr>
                <w:sz w:val="21"/>
                <w:szCs w:val="21"/>
                <w:highlight w:val="none"/>
              </w:rPr>
              <w:t>冬季：368</w:t>
            </w:r>
          </w:p>
        </w:tc>
        <w:tc>
          <w:tcPr>
            <w:tcW w:w="413" w:type="pct"/>
            <w:noWrap w:val="0"/>
            <w:vAlign w:val="center"/>
          </w:tcPr>
          <w:p w14:paraId="78D590F6">
            <w:pPr>
              <w:widowControl/>
              <w:snapToGrid w:val="0"/>
              <w:jc w:val="center"/>
              <w:rPr>
                <w:sz w:val="21"/>
                <w:szCs w:val="21"/>
                <w:highlight w:val="none"/>
              </w:rPr>
            </w:pPr>
            <w:r>
              <w:rPr>
                <w:sz w:val="21"/>
                <w:szCs w:val="21"/>
                <w:highlight w:val="none"/>
              </w:rPr>
              <w:t>COD</w:t>
            </w:r>
          </w:p>
          <w:p w14:paraId="3C76DF68">
            <w:pPr>
              <w:widowControl/>
              <w:snapToGrid w:val="0"/>
              <w:jc w:val="center"/>
              <w:rPr>
                <w:sz w:val="21"/>
                <w:szCs w:val="21"/>
                <w:highlight w:val="none"/>
              </w:rPr>
            </w:pPr>
            <w:r>
              <w:rPr>
                <w:sz w:val="21"/>
                <w:szCs w:val="21"/>
                <w:highlight w:val="none"/>
              </w:rPr>
              <w:t>浊度</w:t>
            </w:r>
          </w:p>
          <w:p w14:paraId="55A420F7">
            <w:pPr>
              <w:widowControl/>
              <w:snapToGrid w:val="0"/>
              <w:jc w:val="center"/>
              <w:rPr>
                <w:sz w:val="21"/>
                <w:szCs w:val="21"/>
                <w:highlight w:val="none"/>
              </w:rPr>
            </w:pPr>
            <w:r>
              <w:rPr>
                <w:sz w:val="21"/>
                <w:szCs w:val="21"/>
                <w:highlight w:val="none"/>
              </w:rPr>
              <w:t>TDS</w:t>
            </w:r>
          </w:p>
          <w:p w14:paraId="6FBDE3C6">
            <w:pPr>
              <w:widowControl/>
              <w:snapToGrid w:val="0"/>
              <w:jc w:val="center"/>
              <w:rPr>
                <w:sz w:val="21"/>
                <w:szCs w:val="21"/>
                <w:highlight w:val="none"/>
              </w:rPr>
            </w:pPr>
            <w:r>
              <w:rPr>
                <w:sz w:val="21"/>
                <w:szCs w:val="21"/>
                <w:highlight w:val="none"/>
              </w:rPr>
              <w:t>Ca</w:t>
            </w:r>
            <w:r>
              <w:rPr>
                <w:sz w:val="21"/>
                <w:szCs w:val="21"/>
                <w:highlight w:val="none"/>
                <w:vertAlign w:val="superscript"/>
              </w:rPr>
              <w:t>2+</w:t>
            </w:r>
          </w:p>
          <w:p w14:paraId="6424E7F4">
            <w:pPr>
              <w:widowControl/>
              <w:snapToGrid w:val="0"/>
              <w:jc w:val="center"/>
              <w:rPr>
                <w:sz w:val="21"/>
                <w:szCs w:val="21"/>
                <w:highlight w:val="none"/>
              </w:rPr>
            </w:pPr>
            <w:r>
              <w:rPr>
                <w:sz w:val="21"/>
                <w:szCs w:val="21"/>
                <w:highlight w:val="none"/>
              </w:rPr>
              <w:t>pH</w:t>
            </w:r>
          </w:p>
        </w:tc>
        <w:tc>
          <w:tcPr>
            <w:tcW w:w="528" w:type="pct"/>
            <w:noWrap w:val="0"/>
            <w:vAlign w:val="center"/>
          </w:tcPr>
          <w:p w14:paraId="67CD2AFA">
            <w:pPr>
              <w:widowControl/>
              <w:snapToGrid w:val="0"/>
              <w:jc w:val="center"/>
              <w:rPr>
                <w:sz w:val="21"/>
                <w:szCs w:val="21"/>
                <w:highlight w:val="none"/>
              </w:rPr>
            </w:pPr>
            <w:r>
              <w:rPr>
                <w:sz w:val="21"/>
                <w:szCs w:val="21"/>
                <w:highlight w:val="none"/>
              </w:rPr>
              <w:t>50</w:t>
            </w:r>
          </w:p>
          <w:p w14:paraId="7E3CAF9E">
            <w:pPr>
              <w:widowControl/>
              <w:snapToGrid w:val="0"/>
              <w:jc w:val="center"/>
              <w:rPr>
                <w:sz w:val="21"/>
                <w:szCs w:val="21"/>
                <w:highlight w:val="none"/>
              </w:rPr>
            </w:pPr>
            <w:r>
              <w:rPr>
                <w:sz w:val="21"/>
                <w:szCs w:val="21"/>
                <w:highlight w:val="none"/>
              </w:rPr>
              <w:t>12NTU</w:t>
            </w:r>
          </w:p>
          <w:p w14:paraId="5D4E954E">
            <w:pPr>
              <w:widowControl/>
              <w:snapToGrid w:val="0"/>
              <w:jc w:val="center"/>
              <w:rPr>
                <w:sz w:val="21"/>
                <w:szCs w:val="21"/>
                <w:highlight w:val="none"/>
              </w:rPr>
            </w:pPr>
            <w:r>
              <w:rPr>
                <w:sz w:val="21"/>
                <w:szCs w:val="21"/>
                <w:highlight w:val="none"/>
              </w:rPr>
              <w:t>3500</w:t>
            </w:r>
          </w:p>
          <w:p w14:paraId="32631F6D">
            <w:pPr>
              <w:widowControl/>
              <w:snapToGrid w:val="0"/>
              <w:jc w:val="center"/>
              <w:rPr>
                <w:sz w:val="21"/>
                <w:szCs w:val="21"/>
                <w:highlight w:val="none"/>
              </w:rPr>
            </w:pPr>
            <w:r>
              <w:rPr>
                <w:sz w:val="21"/>
                <w:szCs w:val="21"/>
                <w:highlight w:val="none"/>
              </w:rPr>
              <w:t>15</w:t>
            </w:r>
          </w:p>
          <w:p w14:paraId="17084DCE">
            <w:pPr>
              <w:widowControl/>
              <w:snapToGrid w:val="0"/>
              <w:jc w:val="center"/>
              <w:rPr>
                <w:sz w:val="21"/>
                <w:szCs w:val="21"/>
                <w:highlight w:val="none"/>
              </w:rPr>
            </w:pPr>
            <w:r>
              <w:rPr>
                <w:sz w:val="21"/>
                <w:szCs w:val="21"/>
                <w:highlight w:val="none"/>
              </w:rPr>
              <w:t>9</w:t>
            </w:r>
          </w:p>
        </w:tc>
        <w:tc>
          <w:tcPr>
            <w:tcW w:w="190" w:type="pct"/>
            <w:noWrap w:val="0"/>
            <w:vAlign w:val="center"/>
          </w:tcPr>
          <w:p w14:paraId="1D39E30E">
            <w:pPr>
              <w:widowControl/>
              <w:snapToGrid w:val="0"/>
              <w:jc w:val="center"/>
              <w:rPr>
                <w:sz w:val="21"/>
                <w:szCs w:val="21"/>
                <w:highlight w:val="none"/>
              </w:rPr>
            </w:pPr>
            <w:r>
              <w:rPr>
                <w:sz w:val="21"/>
                <w:szCs w:val="21"/>
                <w:highlight w:val="none"/>
              </w:rPr>
              <w:t>连续</w:t>
            </w:r>
          </w:p>
        </w:tc>
        <w:tc>
          <w:tcPr>
            <w:tcW w:w="1336" w:type="pct"/>
            <w:vMerge w:val="restart"/>
            <w:noWrap w:val="0"/>
            <w:vAlign w:val="center"/>
          </w:tcPr>
          <w:p w14:paraId="1BE3333D">
            <w:pPr>
              <w:widowControl/>
              <w:snapToGrid w:val="0"/>
              <w:jc w:val="center"/>
              <w:rPr>
                <w:sz w:val="21"/>
                <w:szCs w:val="21"/>
                <w:highlight w:val="none"/>
              </w:rPr>
            </w:pPr>
            <w:r>
              <w:rPr>
                <w:rFonts w:hint="eastAsia"/>
                <w:sz w:val="21"/>
                <w:szCs w:val="21"/>
                <w:highlight w:val="none"/>
                <w:lang w:eastAsia="zh-CN"/>
              </w:rPr>
              <w:t>送至</w:t>
            </w:r>
            <w:r>
              <w:rPr>
                <w:sz w:val="21"/>
                <w:szCs w:val="21"/>
                <w:highlight w:val="none"/>
              </w:rPr>
              <w:t>废水处理及回用装置</w:t>
            </w:r>
          </w:p>
        </w:tc>
      </w:tr>
      <w:tr w14:paraId="0C71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1586A198">
            <w:pPr>
              <w:widowControl/>
              <w:snapToGrid w:val="0"/>
              <w:jc w:val="center"/>
              <w:rPr>
                <w:sz w:val="21"/>
                <w:szCs w:val="21"/>
                <w:highlight w:val="none"/>
              </w:rPr>
            </w:pPr>
          </w:p>
        </w:tc>
        <w:tc>
          <w:tcPr>
            <w:tcW w:w="712" w:type="pct"/>
            <w:noWrap w:val="0"/>
            <w:vAlign w:val="center"/>
          </w:tcPr>
          <w:p w14:paraId="0BF5F4DF">
            <w:pPr>
              <w:jc w:val="center"/>
              <w:rPr>
                <w:sz w:val="21"/>
                <w:szCs w:val="21"/>
                <w:highlight w:val="none"/>
              </w:rPr>
            </w:pPr>
            <w:r>
              <w:rPr>
                <w:sz w:val="21"/>
                <w:szCs w:val="21"/>
                <w:highlight w:val="none"/>
              </w:rPr>
              <w:t>第一循环水场（开式）</w:t>
            </w:r>
          </w:p>
        </w:tc>
        <w:tc>
          <w:tcPr>
            <w:tcW w:w="794" w:type="pct"/>
            <w:noWrap w:val="0"/>
            <w:vAlign w:val="center"/>
          </w:tcPr>
          <w:p w14:paraId="71C26AF3">
            <w:pPr>
              <w:widowControl/>
              <w:snapToGrid w:val="0"/>
              <w:jc w:val="center"/>
              <w:rPr>
                <w:sz w:val="21"/>
                <w:szCs w:val="21"/>
                <w:highlight w:val="none"/>
              </w:rPr>
            </w:pPr>
            <w:r>
              <w:rPr>
                <w:sz w:val="21"/>
                <w:szCs w:val="21"/>
                <w:highlight w:val="none"/>
              </w:rPr>
              <w:t>含盐废水</w:t>
            </w:r>
          </w:p>
        </w:tc>
        <w:tc>
          <w:tcPr>
            <w:tcW w:w="628" w:type="pct"/>
            <w:noWrap w:val="0"/>
            <w:vAlign w:val="center"/>
          </w:tcPr>
          <w:p w14:paraId="567A0D65">
            <w:pPr>
              <w:widowControl/>
              <w:snapToGrid w:val="0"/>
              <w:jc w:val="center"/>
              <w:rPr>
                <w:sz w:val="21"/>
                <w:szCs w:val="21"/>
                <w:highlight w:val="none"/>
              </w:rPr>
            </w:pPr>
            <w:r>
              <w:rPr>
                <w:sz w:val="21"/>
                <w:szCs w:val="21"/>
                <w:highlight w:val="none"/>
              </w:rPr>
              <w:t>夏季：13</w:t>
            </w:r>
          </w:p>
          <w:p w14:paraId="5C04815A">
            <w:pPr>
              <w:widowControl/>
              <w:snapToGrid w:val="0"/>
              <w:jc w:val="center"/>
              <w:rPr>
                <w:sz w:val="21"/>
                <w:szCs w:val="21"/>
                <w:highlight w:val="none"/>
              </w:rPr>
            </w:pPr>
            <w:r>
              <w:rPr>
                <w:sz w:val="21"/>
                <w:szCs w:val="21"/>
                <w:highlight w:val="none"/>
              </w:rPr>
              <w:t>冬季：11</w:t>
            </w:r>
          </w:p>
        </w:tc>
        <w:tc>
          <w:tcPr>
            <w:tcW w:w="413" w:type="pct"/>
            <w:noWrap w:val="0"/>
            <w:vAlign w:val="center"/>
          </w:tcPr>
          <w:p w14:paraId="469FA112">
            <w:pPr>
              <w:widowControl/>
              <w:snapToGrid w:val="0"/>
              <w:jc w:val="center"/>
              <w:rPr>
                <w:sz w:val="21"/>
                <w:szCs w:val="21"/>
                <w:highlight w:val="none"/>
              </w:rPr>
            </w:pPr>
            <w:r>
              <w:rPr>
                <w:sz w:val="21"/>
                <w:szCs w:val="21"/>
                <w:highlight w:val="none"/>
              </w:rPr>
              <w:t>COD</w:t>
            </w:r>
          </w:p>
          <w:p w14:paraId="1D14BF2B">
            <w:pPr>
              <w:widowControl/>
              <w:snapToGrid w:val="0"/>
              <w:jc w:val="center"/>
              <w:rPr>
                <w:sz w:val="21"/>
                <w:szCs w:val="21"/>
                <w:highlight w:val="none"/>
              </w:rPr>
            </w:pPr>
            <w:r>
              <w:rPr>
                <w:sz w:val="21"/>
                <w:szCs w:val="21"/>
                <w:highlight w:val="none"/>
              </w:rPr>
              <w:t>浊度</w:t>
            </w:r>
          </w:p>
          <w:p w14:paraId="254C6DD3">
            <w:pPr>
              <w:widowControl/>
              <w:snapToGrid w:val="0"/>
              <w:jc w:val="center"/>
              <w:rPr>
                <w:sz w:val="21"/>
                <w:szCs w:val="21"/>
                <w:highlight w:val="none"/>
              </w:rPr>
            </w:pPr>
            <w:r>
              <w:rPr>
                <w:sz w:val="21"/>
                <w:szCs w:val="21"/>
                <w:highlight w:val="none"/>
              </w:rPr>
              <w:t>TDS</w:t>
            </w:r>
          </w:p>
          <w:p w14:paraId="541168D8">
            <w:pPr>
              <w:widowControl/>
              <w:snapToGrid w:val="0"/>
              <w:jc w:val="center"/>
              <w:rPr>
                <w:sz w:val="21"/>
                <w:szCs w:val="21"/>
                <w:highlight w:val="none"/>
              </w:rPr>
            </w:pPr>
            <w:r>
              <w:rPr>
                <w:sz w:val="21"/>
                <w:szCs w:val="21"/>
                <w:highlight w:val="none"/>
              </w:rPr>
              <w:t>Ca</w:t>
            </w:r>
            <w:r>
              <w:rPr>
                <w:sz w:val="21"/>
                <w:szCs w:val="21"/>
                <w:highlight w:val="none"/>
                <w:vertAlign w:val="superscript"/>
              </w:rPr>
              <w:t>2+</w:t>
            </w:r>
          </w:p>
          <w:p w14:paraId="3622B120">
            <w:pPr>
              <w:widowControl/>
              <w:snapToGrid w:val="0"/>
              <w:jc w:val="center"/>
              <w:rPr>
                <w:sz w:val="21"/>
                <w:szCs w:val="21"/>
                <w:highlight w:val="none"/>
              </w:rPr>
            </w:pPr>
            <w:r>
              <w:rPr>
                <w:sz w:val="21"/>
                <w:szCs w:val="21"/>
                <w:highlight w:val="none"/>
              </w:rPr>
              <w:t>pH</w:t>
            </w:r>
          </w:p>
        </w:tc>
        <w:tc>
          <w:tcPr>
            <w:tcW w:w="528" w:type="pct"/>
            <w:noWrap w:val="0"/>
            <w:vAlign w:val="center"/>
          </w:tcPr>
          <w:p w14:paraId="386C3184">
            <w:pPr>
              <w:widowControl/>
              <w:snapToGrid w:val="0"/>
              <w:jc w:val="center"/>
              <w:rPr>
                <w:sz w:val="21"/>
                <w:szCs w:val="21"/>
                <w:highlight w:val="none"/>
              </w:rPr>
            </w:pPr>
            <w:r>
              <w:rPr>
                <w:sz w:val="21"/>
                <w:szCs w:val="21"/>
                <w:highlight w:val="none"/>
              </w:rPr>
              <w:t>60</w:t>
            </w:r>
          </w:p>
          <w:p w14:paraId="140FE678">
            <w:pPr>
              <w:widowControl/>
              <w:snapToGrid w:val="0"/>
              <w:jc w:val="center"/>
              <w:rPr>
                <w:sz w:val="21"/>
                <w:szCs w:val="21"/>
                <w:highlight w:val="none"/>
              </w:rPr>
            </w:pPr>
            <w:r>
              <w:rPr>
                <w:sz w:val="21"/>
                <w:szCs w:val="21"/>
                <w:highlight w:val="none"/>
              </w:rPr>
              <w:t>12NTU</w:t>
            </w:r>
          </w:p>
          <w:p w14:paraId="5D99D102">
            <w:pPr>
              <w:widowControl/>
              <w:snapToGrid w:val="0"/>
              <w:jc w:val="center"/>
              <w:rPr>
                <w:sz w:val="21"/>
                <w:szCs w:val="21"/>
                <w:highlight w:val="none"/>
              </w:rPr>
            </w:pPr>
            <w:r>
              <w:rPr>
                <w:sz w:val="21"/>
                <w:szCs w:val="21"/>
                <w:highlight w:val="none"/>
              </w:rPr>
              <w:t>1200</w:t>
            </w:r>
          </w:p>
          <w:p w14:paraId="5DCE02A1">
            <w:pPr>
              <w:widowControl/>
              <w:snapToGrid w:val="0"/>
              <w:jc w:val="center"/>
              <w:rPr>
                <w:sz w:val="21"/>
                <w:szCs w:val="21"/>
                <w:highlight w:val="none"/>
              </w:rPr>
            </w:pPr>
            <w:r>
              <w:rPr>
                <w:sz w:val="21"/>
                <w:szCs w:val="21"/>
                <w:highlight w:val="none"/>
              </w:rPr>
              <w:t>15</w:t>
            </w:r>
          </w:p>
          <w:p w14:paraId="625FBBFB">
            <w:pPr>
              <w:widowControl/>
              <w:snapToGrid w:val="0"/>
              <w:jc w:val="center"/>
              <w:rPr>
                <w:sz w:val="21"/>
                <w:szCs w:val="21"/>
                <w:highlight w:val="none"/>
              </w:rPr>
            </w:pPr>
            <w:r>
              <w:rPr>
                <w:sz w:val="21"/>
                <w:szCs w:val="21"/>
                <w:highlight w:val="none"/>
              </w:rPr>
              <w:t>9</w:t>
            </w:r>
          </w:p>
        </w:tc>
        <w:tc>
          <w:tcPr>
            <w:tcW w:w="190" w:type="pct"/>
            <w:noWrap w:val="0"/>
            <w:vAlign w:val="center"/>
          </w:tcPr>
          <w:p w14:paraId="451ED44E">
            <w:pPr>
              <w:widowControl/>
              <w:snapToGrid w:val="0"/>
              <w:jc w:val="center"/>
              <w:rPr>
                <w:sz w:val="21"/>
                <w:szCs w:val="21"/>
                <w:highlight w:val="none"/>
              </w:rPr>
            </w:pPr>
            <w:r>
              <w:rPr>
                <w:sz w:val="21"/>
                <w:szCs w:val="21"/>
                <w:highlight w:val="none"/>
              </w:rPr>
              <w:t>连续</w:t>
            </w:r>
          </w:p>
        </w:tc>
        <w:tc>
          <w:tcPr>
            <w:tcW w:w="1336" w:type="pct"/>
            <w:vMerge w:val="continue"/>
            <w:noWrap w:val="0"/>
            <w:vAlign w:val="center"/>
          </w:tcPr>
          <w:p w14:paraId="63E07B4C">
            <w:pPr>
              <w:widowControl/>
              <w:snapToGrid w:val="0"/>
              <w:jc w:val="center"/>
              <w:rPr>
                <w:sz w:val="21"/>
                <w:szCs w:val="21"/>
                <w:highlight w:val="none"/>
              </w:rPr>
            </w:pPr>
          </w:p>
        </w:tc>
      </w:tr>
      <w:tr w14:paraId="377C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17040C4F">
            <w:pPr>
              <w:widowControl/>
              <w:snapToGrid w:val="0"/>
              <w:jc w:val="center"/>
              <w:rPr>
                <w:sz w:val="21"/>
                <w:szCs w:val="21"/>
                <w:highlight w:val="none"/>
              </w:rPr>
            </w:pPr>
          </w:p>
        </w:tc>
        <w:tc>
          <w:tcPr>
            <w:tcW w:w="712" w:type="pct"/>
            <w:noWrap w:val="0"/>
            <w:vAlign w:val="center"/>
          </w:tcPr>
          <w:p w14:paraId="2C513657">
            <w:pPr>
              <w:jc w:val="center"/>
              <w:rPr>
                <w:sz w:val="21"/>
                <w:szCs w:val="21"/>
                <w:highlight w:val="none"/>
              </w:rPr>
            </w:pPr>
            <w:r>
              <w:rPr>
                <w:sz w:val="21"/>
                <w:szCs w:val="21"/>
                <w:highlight w:val="none"/>
              </w:rPr>
              <w:t>第三循环水场（开式）</w:t>
            </w:r>
          </w:p>
        </w:tc>
        <w:tc>
          <w:tcPr>
            <w:tcW w:w="794" w:type="pct"/>
            <w:noWrap w:val="0"/>
            <w:vAlign w:val="center"/>
          </w:tcPr>
          <w:p w14:paraId="0FC60140">
            <w:pPr>
              <w:widowControl/>
              <w:snapToGrid w:val="0"/>
              <w:jc w:val="center"/>
              <w:rPr>
                <w:sz w:val="21"/>
                <w:szCs w:val="21"/>
                <w:highlight w:val="none"/>
              </w:rPr>
            </w:pPr>
            <w:r>
              <w:rPr>
                <w:sz w:val="21"/>
                <w:szCs w:val="21"/>
                <w:highlight w:val="none"/>
              </w:rPr>
              <w:t>含盐废水</w:t>
            </w:r>
          </w:p>
        </w:tc>
        <w:tc>
          <w:tcPr>
            <w:tcW w:w="628" w:type="pct"/>
            <w:noWrap w:val="0"/>
            <w:vAlign w:val="center"/>
          </w:tcPr>
          <w:p w14:paraId="5C3BD06D">
            <w:pPr>
              <w:widowControl/>
              <w:snapToGrid w:val="0"/>
              <w:jc w:val="center"/>
              <w:rPr>
                <w:sz w:val="21"/>
                <w:szCs w:val="21"/>
                <w:highlight w:val="none"/>
              </w:rPr>
            </w:pPr>
            <w:r>
              <w:rPr>
                <w:sz w:val="21"/>
                <w:szCs w:val="21"/>
                <w:highlight w:val="none"/>
              </w:rPr>
              <w:t>夏季：61.6</w:t>
            </w:r>
          </w:p>
          <w:p w14:paraId="63884AC7">
            <w:pPr>
              <w:widowControl/>
              <w:snapToGrid w:val="0"/>
              <w:jc w:val="center"/>
              <w:rPr>
                <w:sz w:val="21"/>
                <w:szCs w:val="21"/>
                <w:highlight w:val="none"/>
              </w:rPr>
            </w:pPr>
            <w:r>
              <w:rPr>
                <w:sz w:val="21"/>
                <w:szCs w:val="21"/>
                <w:highlight w:val="none"/>
              </w:rPr>
              <w:t>冬季：49.3</w:t>
            </w:r>
          </w:p>
        </w:tc>
        <w:tc>
          <w:tcPr>
            <w:tcW w:w="413" w:type="pct"/>
            <w:noWrap w:val="0"/>
            <w:vAlign w:val="center"/>
          </w:tcPr>
          <w:p w14:paraId="604FDD78">
            <w:pPr>
              <w:widowControl/>
              <w:snapToGrid w:val="0"/>
              <w:jc w:val="center"/>
              <w:rPr>
                <w:sz w:val="21"/>
                <w:szCs w:val="21"/>
                <w:highlight w:val="none"/>
              </w:rPr>
            </w:pPr>
            <w:r>
              <w:rPr>
                <w:sz w:val="21"/>
                <w:szCs w:val="21"/>
                <w:highlight w:val="none"/>
              </w:rPr>
              <w:t>COD</w:t>
            </w:r>
          </w:p>
          <w:p w14:paraId="0D55601E">
            <w:pPr>
              <w:widowControl/>
              <w:snapToGrid w:val="0"/>
              <w:jc w:val="center"/>
              <w:rPr>
                <w:sz w:val="21"/>
                <w:szCs w:val="21"/>
                <w:highlight w:val="none"/>
              </w:rPr>
            </w:pPr>
            <w:r>
              <w:rPr>
                <w:sz w:val="21"/>
                <w:szCs w:val="21"/>
                <w:highlight w:val="none"/>
              </w:rPr>
              <w:t>浊度</w:t>
            </w:r>
          </w:p>
          <w:p w14:paraId="0A5717C2">
            <w:pPr>
              <w:widowControl/>
              <w:snapToGrid w:val="0"/>
              <w:jc w:val="center"/>
              <w:rPr>
                <w:sz w:val="21"/>
                <w:szCs w:val="21"/>
                <w:highlight w:val="none"/>
              </w:rPr>
            </w:pPr>
            <w:r>
              <w:rPr>
                <w:sz w:val="21"/>
                <w:szCs w:val="21"/>
                <w:highlight w:val="none"/>
              </w:rPr>
              <w:t>TDS</w:t>
            </w:r>
          </w:p>
          <w:p w14:paraId="5B8D9263">
            <w:pPr>
              <w:widowControl/>
              <w:snapToGrid w:val="0"/>
              <w:jc w:val="center"/>
              <w:rPr>
                <w:sz w:val="21"/>
                <w:szCs w:val="21"/>
                <w:highlight w:val="none"/>
              </w:rPr>
            </w:pPr>
            <w:r>
              <w:rPr>
                <w:sz w:val="21"/>
                <w:szCs w:val="21"/>
                <w:highlight w:val="none"/>
              </w:rPr>
              <w:t>Ca</w:t>
            </w:r>
            <w:r>
              <w:rPr>
                <w:sz w:val="21"/>
                <w:szCs w:val="21"/>
                <w:highlight w:val="none"/>
                <w:vertAlign w:val="superscript"/>
              </w:rPr>
              <w:t>2+</w:t>
            </w:r>
          </w:p>
          <w:p w14:paraId="745142BC">
            <w:pPr>
              <w:widowControl/>
              <w:snapToGrid w:val="0"/>
              <w:jc w:val="center"/>
              <w:rPr>
                <w:sz w:val="21"/>
                <w:szCs w:val="21"/>
                <w:highlight w:val="none"/>
              </w:rPr>
            </w:pPr>
            <w:r>
              <w:rPr>
                <w:sz w:val="21"/>
                <w:szCs w:val="21"/>
                <w:highlight w:val="none"/>
              </w:rPr>
              <w:t>pH</w:t>
            </w:r>
          </w:p>
        </w:tc>
        <w:tc>
          <w:tcPr>
            <w:tcW w:w="528" w:type="pct"/>
            <w:noWrap w:val="0"/>
            <w:vAlign w:val="center"/>
          </w:tcPr>
          <w:p w14:paraId="0E0960EF">
            <w:pPr>
              <w:widowControl/>
              <w:snapToGrid w:val="0"/>
              <w:jc w:val="center"/>
              <w:rPr>
                <w:sz w:val="21"/>
                <w:szCs w:val="21"/>
                <w:highlight w:val="none"/>
              </w:rPr>
            </w:pPr>
            <w:r>
              <w:rPr>
                <w:sz w:val="21"/>
                <w:szCs w:val="21"/>
                <w:highlight w:val="none"/>
              </w:rPr>
              <w:t>60</w:t>
            </w:r>
          </w:p>
          <w:p w14:paraId="26659DFA">
            <w:pPr>
              <w:widowControl/>
              <w:snapToGrid w:val="0"/>
              <w:jc w:val="center"/>
              <w:rPr>
                <w:sz w:val="21"/>
                <w:szCs w:val="21"/>
                <w:highlight w:val="none"/>
              </w:rPr>
            </w:pPr>
            <w:r>
              <w:rPr>
                <w:sz w:val="21"/>
                <w:szCs w:val="21"/>
                <w:highlight w:val="none"/>
              </w:rPr>
              <w:t>12NTU</w:t>
            </w:r>
          </w:p>
          <w:p w14:paraId="6E9A91B1">
            <w:pPr>
              <w:widowControl/>
              <w:snapToGrid w:val="0"/>
              <w:jc w:val="center"/>
              <w:rPr>
                <w:sz w:val="21"/>
                <w:szCs w:val="21"/>
                <w:highlight w:val="none"/>
              </w:rPr>
            </w:pPr>
            <w:r>
              <w:rPr>
                <w:sz w:val="21"/>
                <w:szCs w:val="21"/>
                <w:highlight w:val="none"/>
              </w:rPr>
              <w:t>1200</w:t>
            </w:r>
          </w:p>
          <w:p w14:paraId="2C31E9DC">
            <w:pPr>
              <w:widowControl/>
              <w:snapToGrid w:val="0"/>
              <w:jc w:val="center"/>
              <w:rPr>
                <w:sz w:val="21"/>
                <w:szCs w:val="21"/>
                <w:highlight w:val="none"/>
              </w:rPr>
            </w:pPr>
            <w:r>
              <w:rPr>
                <w:sz w:val="21"/>
                <w:szCs w:val="21"/>
                <w:highlight w:val="none"/>
              </w:rPr>
              <w:t>15</w:t>
            </w:r>
          </w:p>
          <w:p w14:paraId="33A480A0">
            <w:pPr>
              <w:widowControl/>
              <w:snapToGrid w:val="0"/>
              <w:jc w:val="center"/>
              <w:rPr>
                <w:sz w:val="21"/>
                <w:szCs w:val="21"/>
                <w:highlight w:val="none"/>
              </w:rPr>
            </w:pPr>
            <w:r>
              <w:rPr>
                <w:sz w:val="21"/>
                <w:szCs w:val="21"/>
                <w:highlight w:val="none"/>
              </w:rPr>
              <w:t>9</w:t>
            </w:r>
          </w:p>
        </w:tc>
        <w:tc>
          <w:tcPr>
            <w:tcW w:w="190" w:type="pct"/>
            <w:noWrap w:val="0"/>
            <w:vAlign w:val="center"/>
          </w:tcPr>
          <w:p w14:paraId="57F49692">
            <w:pPr>
              <w:widowControl/>
              <w:snapToGrid w:val="0"/>
              <w:jc w:val="center"/>
              <w:rPr>
                <w:sz w:val="21"/>
                <w:szCs w:val="21"/>
                <w:highlight w:val="none"/>
              </w:rPr>
            </w:pPr>
            <w:r>
              <w:rPr>
                <w:sz w:val="21"/>
                <w:szCs w:val="21"/>
                <w:highlight w:val="none"/>
              </w:rPr>
              <w:t>连续</w:t>
            </w:r>
          </w:p>
        </w:tc>
        <w:tc>
          <w:tcPr>
            <w:tcW w:w="1336" w:type="pct"/>
            <w:vMerge w:val="continue"/>
            <w:noWrap w:val="0"/>
            <w:vAlign w:val="center"/>
          </w:tcPr>
          <w:p w14:paraId="4AB630E0">
            <w:pPr>
              <w:widowControl/>
              <w:snapToGrid w:val="0"/>
              <w:jc w:val="center"/>
              <w:rPr>
                <w:sz w:val="21"/>
                <w:szCs w:val="21"/>
                <w:highlight w:val="none"/>
              </w:rPr>
            </w:pPr>
          </w:p>
        </w:tc>
      </w:tr>
      <w:tr w14:paraId="7A6E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568F93C6">
            <w:pPr>
              <w:widowControl/>
              <w:snapToGrid w:val="0"/>
              <w:jc w:val="center"/>
              <w:rPr>
                <w:sz w:val="21"/>
                <w:szCs w:val="21"/>
                <w:highlight w:val="none"/>
              </w:rPr>
            </w:pPr>
          </w:p>
        </w:tc>
        <w:tc>
          <w:tcPr>
            <w:tcW w:w="712" w:type="pct"/>
            <w:noWrap w:val="0"/>
            <w:vAlign w:val="center"/>
          </w:tcPr>
          <w:p w14:paraId="7C466E26">
            <w:pPr>
              <w:widowControl/>
              <w:snapToGrid w:val="0"/>
              <w:jc w:val="center"/>
              <w:rPr>
                <w:sz w:val="21"/>
                <w:szCs w:val="21"/>
                <w:highlight w:val="none"/>
              </w:rPr>
            </w:pPr>
            <w:r>
              <w:rPr>
                <w:sz w:val="21"/>
                <w:szCs w:val="21"/>
                <w:highlight w:val="none"/>
              </w:rPr>
              <w:t>火炬系统</w:t>
            </w:r>
          </w:p>
        </w:tc>
        <w:tc>
          <w:tcPr>
            <w:tcW w:w="794" w:type="pct"/>
            <w:noWrap w:val="0"/>
            <w:vAlign w:val="center"/>
          </w:tcPr>
          <w:p w14:paraId="4CA3FC2F">
            <w:pPr>
              <w:widowControl/>
              <w:snapToGrid w:val="0"/>
              <w:jc w:val="center"/>
              <w:rPr>
                <w:sz w:val="21"/>
                <w:szCs w:val="21"/>
                <w:highlight w:val="none"/>
              </w:rPr>
            </w:pPr>
            <w:r>
              <w:rPr>
                <w:sz w:val="21"/>
                <w:szCs w:val="21"/>
                <w:highlight w:val="none"/>
              </w:rPr>
              <w:t>气液分离罐排水及水封</w:t>
            </w:r>
            <w:r>
              <w:rPr>
                <w:rFonts w:hint="eastAsia"/>
                <w:sz w:val="21"/>
                <w:szCs w:val="21"/>
                <w:highlight w:val="none"/>
                <w:lang w:eastAsia="zh-CN"/>
              </w:rPr>
              <w:t>罐</w:t>
            </w:r>
            <w:r>
              <w:rPr>
                <w:sz w:val="21"/>
                <w:szCs w:val="21"/>
                <w:highlight w:val="none"/>
              </w:rPr>
              <w:t>排水</w:t>
            </w:r>
          </w:p>
        </w:tc>
        <w:tc>
          <w:tcPr>
            <w:tcW w:w="628" w:type="pct"/>
            <w:noWrap w:val="0"/>
            <w:vAlign w:val="center"/>
          </w:tcPr>
          <w:p w14:paraId="349989B5">
            <w:pPr>
              <w:widowControl/>
              <w:snapToGrid w:val="0"/>
              <w:jc w:val="center"/>
              <w:rPr>
                <w:sz w:val="21"/>
                <w:szCs w:val="21"/>
                <w:highlight w:val="none"/>
              </w:rPr>
            </w:pPr>
            <w:r>
              <w:rPr>
                <w:sz w:val="21"/>
                <w:szCs w:val="21"/>
                <w:highlight w:val="none"/>
              </w:rPr>
              <w:t>1</w:t>
            </w:r>
          </w:p>
        </w:tc>
        <w:tc>
          <w:tcPr>
            <w:tcW w:w="413" w:type="pct"/>
            <w:noWrap w:val="0"/>
            <w:vAlign w:val="center"/>
          </w:tcPr>
          <w:p w14:paraId="222A8173">
            <w:pPr>
              <w:widowControl/>
              <w:snapToGrid w:val="0"/>
              <w:jc w:val="center"/>
              <w:rPr>
                <w:sz w:val="21"/>
                <w:szCs w:val="21"/>
                <w:highlight w:val="none"/>
              </w:rPr>
            </w:pPr>
            <w:r>
              <w:rPr>
                <w:sz w:val="21"/>
                <w:szCs w:val="21"/>
                <w:highlight w:val="none"/>
              </w:rPr>
              <w:t>CODcr</w:t>
            </w:r>
          </w:p>
          <w:p w14:paraId="5AFEFFBB">
            <w:pPr>
              <w:widowControl/>
              <w:snapToGrid w:val="0"/>
              <w:jc w:val="center"/>
              <w:rPr>
                <w:sz w:val="21"/>
                <w:szCs w:val="21"/>
                <w:highlight w:val="none"/>
              </w:rPr>
            </w:pPr>
            <w:r>
              <w:rPr>
                <w:sz w:val="21"/>
                <w:szCs w:val="21"/>
                <w:highlight w:val="none"/>
              </w:rPr>
              <w:t>油</w:t>
            </w:r>
          </w:p>
        </w:tc>
        <w:tc>
          <w:tcPr>
            <w:tcW w:w="528" w:type="pct"/>
            <w:noWrap w:val="0"/>
            <w:vAlign w:val="center"/>
          </w:tcPr>
          <w:p w14:paraId="2734717F">
            <w:pPr>
              <w:widowControl/>
              <w:snapToGrid w:val="0"/>
              <w:jc w:val="center"/>
              <w:rPr>
                <w:sz w:val="21"/>
                <w:szCs w:val="21"/>
                <w:highlight w:val="none"/>
              </w:rPr>
            </w:pPr>
            <w:r>
              <w:rPr>
                <w:sz w:val="21"/>
                <w:szCs w:val="21"/>
                <w:highlight w:val="none"/>
              </w:rPr>
              <w:t>300~500</w:t>
            </w:r>
          </w:p>
          <w:p w14:paraId="41CC1BD8">
            <w:pPr>
              <w:widowControl/>
              <w:snapToGrid w:val="0"/>
              <w:jc w:val="center"/>
              <w:rPr>
                <w:sz w:val="21"/>
                <w:szCs w:val="21"/>
                <w:highlight w:val="none"/>
              </w:rPr>
            </w:pPr>
            <w:r>
              <w:rPr>
                <w:sz w:val="21"/>
                <w:szCs w:val="21"/>
                <w:highlight w:val="none"/>
              </w:rPr>
              <w:t>&lt;500</w:t>
            </w:r>
          </w:p>
        </w:tc>
        <w:tc>
          <w:tcPr>
            <w:tcW w:w="190" w:type="pct"/>
            <w:noWrap w:val="0"/>
            <w:vAlign w:val="center"/>
          </w:tcPr>
          <w:p w14:paraId="6A2CB13C">
            <w:pPr>
              <w:widowControl/>
              <w:snapToGrid w:val="0"/>
              <w:jc w:val="center"/>
              <w:rPr>
                <w:sz w:val="21"/>
                <w:szCs w:val="21"/>
                <w:highlight w:val="none"/>
              </w:rPr>
            </w:pPr>
            <w:r>
              <w:rPr>
                <w:sz w:val="21"/>
                <w:szCs w:val="21"/>
                <w:highlight w:val="none"/>
              </w:rPr>
              <w:t>间断</w:t>
            </w:r>
          </w:p>
        </w:tc>
        <w:tc>
          <w:tcPr>
            <w:tcW w:w="1336" w:type="pct"/>
            <w:noWrap w:val="0"/>
            <w:vAlign w:val="center"/>
          </w:tcPr>
          <w:p w14:paraId="2379B515">
            <w:pPr>
              <w:widowControl/>
              <w:snapToGrid w:val="0"/>
              <w:jc w:val="center"/>
              <w:rPr>
                <w:rFonts w:hint="eastAsia" w:eastAsia="宋体"/>
                <w:sz w:val="21"/>
                <w:szCs w:val="21"/>
                <w:highlight w:val="none"/>
                <w:lang w:eastAsia="zh-CN"/>
              </w:rPr>
            </w:pPr>
            <w:r>
              <w:rPr>
                <w:sz w:val="21"/>
                <w:szCs w:val="21"/>
                <w:highlight w:val="none"/>
              </w:rPr>
              <w:t>去</w:t>
            </w:r>
            <w:r>
              <w:rPr>
                <w:rFonts w:hint="eastAsia"/>
                <w:sz w:val="21"/>
                <w:szCs w:val="21"/>
                <w:highlight w:val="none"/>
                <w:lang w:eastAsia="zh-CN"/>
              </w:rPr>
              <w:t>污水处理厂</w:t>
            </w:r>
          </w:p>
        </w:tc>
      </w:tr>
      <w:tr w14:paraId="18E8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03" w:type="pct"/>
            <w:gridSpan w:val="3"/>
            <w:noWrap w:val="0"/>
            <w:vAlign w:val="center"/>
          </w:tcPr>
          <w:p w14:paraId="66581D56">
            <w:pPr>
              <w:widowControl/>
              <w:snapToGrid w:val="0"/>
              <w:jc w:val="center"/>
              <w:rPr>
                <w:sz w:val="21"/>
                <w:szCs w:val="21"/>
                <w:highlight w:val="none"/>
              </w:rPr>
            </w:pPr>
            <w:r>
              <w:rPr>
                <w:sz w:val="21"/>
                <w:szCs w:val="21"/>
                <w:highlight w:val="none"/>
              </w:rPr>
              <w:t>地面冲洗水</w:t>
            </w:r>
          </w:p>
        </w:tc>
        <w:tc>
          <w:tcPr>
            <w:tcW w:w="628" w:type="pct"/>
            <w:noWrap w:val="0"/>
            <w:vAlign w:val="center"/>
          </w:tcPr>
          <w:p w14:paraId="6E84856D">
            <w:pPr>
              <w:widowControl/>
              <w:snapToGrid w:val="0"/>
              <w:jc w:val="center"/>
              <w:rPr>
                <w:sz w:val="21"/>
                <w:szCs w:val="21"/>
                <w:highlight w:val="none"/>
              </w:rPr>
            </w:pPr>
            <w:r>
              <w:rPr>
                <w:sz w:val="21"/>
                <w:szCs w:val="21"/>
                <w:highlight w:val="none"/>
              </w:rPr>
              <w:t>5</w:t>
            </w:r>
          </w:p>
        </w:tc>
        <w:tc>
          <w:tcPr>
            <w:tcW w:w="413" w:type="pct"/>
            <w:noWrap w:val="0"/>
            <w:vAlign w:val="center"/>
          </w:tcPr>
          <w:p w14:paraId="16A52672">
            <w:pPr>
              <w:widowControl/>
              <w:snapToGrid w:val="0"/>
              <w:jc w:val="center"/>
              <w:rPr>
                <w:sz w:val="21"/>
                <w:szCs w:val="21"/>
                <w:highlight w:val="none"/>
              </w:rPr>
            </w:pPr>
            <w:r>
              <w:rPr>
                <w:sz w:val="21"/>
                <w:szCs w:val="21"/>
                <w:highlight w:val="none"/>
              </w:rPr>
              <w:t>COD</w:t>
            </w:r>
          </w:p>
          <w:p w14:paraId="0822A828">
            <w:pPr>
              <w:widowControl/>
              <w:snapToGrid w:val="0"/>
              <w:jc w:val="center"/>
              <w:rPr>
                <w:sz w:val="21"/>
                <w:szCs w:val="21"/>
                <w:highlight w:val="none"/>
              </w:rPr>
            </w:pPr>
            <w:r>
              <w:rPr>
                <w:sz w:val="21"/>
                <w:szCs w:val="21"/>
                <w:highlight w:val="none"/>
              </w:rPr>
              <w:t>SS</w:t>
            </w:r>
          </w:p>
          <w:p w14:paraId="2D36F8CC">
            <w:pPr>
              <w:widowControl/>
              <w:snapToGrid w:val="0"/>
              <w:jc w:val="center"/>
              <w:rPr>
                <w:sz w:val="21"/>
                <w:szCs w:val="21"/>
                <w:highlight w:val="none"/>
              </w:rPr>
            </w:pPr>
            <w:r>
              <w:rPr>
                <w:sz w:val="21"/>
                <w:szCs w:val="21"/>
                <w:highlight w:val="none"/>
              </w:rPr>
              <w:t>油</w:t>
            </w:r>
          </w:p>
        </w:tc>
        <w:tc>
          <w:tcPr>
            <w:tcW w:w="528" w:type="pct"/>
            <w:noWrap w:val="0"/>
            <w:vAlign w:val="center"/>
          </w:tcPr>
          <w:p w14:paraId="126067B9">
            <w:pPr>
              <w:widowControl/>
              <w:snapToGrid w:val="0"/>
              <w:jc w:val="center"/>
              <w:rPr>
                <w:sz w:val="21"/>
                <w:szCs w:val="21"/>
                <w:highlight w:val="none"/>
              </w:rPr>
            </w:pPr>
            <w:r>
              <w:rPr>
                <w:sz w:val="21"/>
                <w:szCs w:val="21"/>
                <w:highlight w:val="none"/>
              </w:rPr>
              <w:t>&lt;700</w:t>
            </w:r>
          </w:p>
          <w:p w14:paraId="533AE3DA">
            <w:pPr>
              <w:widowControl/>
              <w:snapToGrid w:val="0"/>
              <w:jc w:val="center"/>
              <w:rPr>
                <w:sz w:val="21"/>
                <w:szCs w:val="21"/>
                <w:highlight w:val="none"/>
              </w:rPr>
            </w:pPr>
            <w:r>
              <w:rPr>
                <w:sz w:val="21"/>
                <w:szCs w:val="21"/>
                <w:highlight w:val="none"/>
              </w:rPr>
              <w:t>&lt;800</w:t>
            </w:r>
          </w:p>
          <w:p w14:paraId="0859A755">
            <w:pPr>
              <w:widowControl/>
              <w:snapToGrid w:val="0"/>
              <w:jc w:val="center"/>
              <w:rPr>
                <w:sz w:val="21"/>
                <w:szCs w:val="21"/>
                <w:highlight w:val="none"/>
              </w:rPr>
            </w:pPr>
            <w:r>
              <w:rPr>
                <w:sz w:val="21"/>
                <w:szCs w:val="21"/>
                <w:highlight w:val="none"/>
              </w:rPr>
              <w:t>500</w:t>
            </w:r>
          </w:p>
        </w:tc>
        <w:tc>
          <w:tcPr>
            <w:tcW w:w="190" w:type="pct"/>
            <w:noWrap w:val="0"/>
            <w:vAlign w:val="center"/>
          </w:tcPr>
          <w:p w14:paraId="1D917354">
            <w:pPr>
              <w:widowControl/>
              <w:snapToGrid w:val="0"/>
              <w:jc w:val="center"/>
              <w:rPr>
                <w:sz w:val="21"/>
                <w:szCs w:val="21"/>
                <w:highlight w:val="none"/>
              </w:rPr>
            </w:pPr>
            <w:r>
              <w:rPr>
                <w:sz w:val="21"/>
                <w:szCs w:val="21"/>
                <w:highlight w:val="none"/>
              </w:rPr>
              <w:t>间断</w:t>
            </w:r>
          </w:p>
        </w:tc>
        <w:tc>
          <w:tcPr>
            <w:tcW w:w="1336" w:type="pct"/>
            <w:noWrap w:val="0"/>
            <w:vAlign w:val="center"/>
          </w:tcPr>
          <w:p w14:paraId="66D58F3C">
            <w:pPr>
              <w:widowControl/>
              <w:snapToGrid w:val="0"/>
              <w:jc w:val="center"/>
              <w:rPr>
                <w:sz w:val="21"/>
                <w:szCs w:val="21"/>
                <w:highlight w:val="none"/>
              </w:rPr>
            </w:pPr>
            <w:r>
              <w:rPr>
                <w:sz w:val="21"/>
                <w:szCs w:val="21"/>
                <w:highlight w:val="none"/>
              </w:rPr>
              <w:t>去厂内</w:t>
            </w:r>
            <w:r>
              <w:rPr>
                <w:rFonts w:hint="eastAsia"/>
                <w:sz w:val="21"/>
                <w:szCs w:val="21"/>
                <w:highlight w:val="none"/>
                <w:lang w:eastAsia="zh-CN"/>
              </w:rPr>
              <w:t>污水处理厂进行</w:t>
            </w:r>
            <w:r>
              <w:rPr>
                <w:sz w:val="21"/>
                <w:szCs w:val="21"/>
                <w:highlight w:val="none"/>
              </w:rPr>
              <w:t>含油污水预处理</w:t>
            </w:r>
          </w:p>
        </w:tc>
      </w:tr>
      <w:tr w14:paraId="4A16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03" w:type="pct"/>
            <w:gridSpan w:val="3"/>
            <w:noWrap w:val="0"/>
            <w:vAlign w:val="center"/>
          </w:tcPr>
          <w:p w14:paraId="0BC1B9F0">
            <w:pPr>
              <w:widowControl/>
              <w:snapToGrid w:val="0"/>
              <w:jc w:val="center"/>
              <w:rPr>
                <w:sz w:val="21"/>
                <w:szCs w:val="21"/>
                <w:highlight w:val="none"/>
              </w:rPr>
            </w:pPr>
            <w:r>
              <w:rPr>
                <w:sz w:val="21"/>
                <w:szCs w:val="21"/>
                <w:highlight w:val="none"/>
              </w:rPr>
              <w:t>生活污水</w:t>
            </w:r>
          </w:p>
        </w:tc>
        <w:tc>
          <w:tcPr>
            <w:tcW w:w="628" w:type="pct"/>
            <w:noWrap w:val="0"/>
            <w:vAlign w:val="center"/>
          </w:tcPr>
          <w:p w14:paraId="642D84BC">
            <w:pPr>
              <w:widowControl/>
              <w:snapToGrid w:val="0"/>
              <w:jc w:val="center"/>
              <w:rPr>
                <w:sz w:val="21"/>
                <w:szCs w:val="21"/>
                <w:highlight w:val="none"/>
              </w:rPr>
            </w:pPr>
            <w:r>
              <w:rPr>
                <w:sz w:val="21"/>
                <w:szCs w:val="21"/>
                <w:highlight w:val="none"/>
              </w:rPr>
              <w:t>20</w:t>
            </w:r>
          </w:p>
        </w:tc>
        <w:tc>
          <w:tcPr>
            <w:tcW w:w="413" w:type="pct"/>
            <w:noWrap w:val="0"/>
            <w:vAlign w:val="center"/>
          </w:tcPr>
          <w:p w14:paraId="27510CC3">
            <w:pPr>
              <w:widowControl/>
              <w:snapToGrid w:val="0"/>
              <w:jc w:val="center"/>
              <w:rPr>
                <w:sz w:val="21"/>
                <w:szCs w:val="21"/>
                <w:highlight w:val="none"/>
              </w:rPr>
            </w:pPr>
            <w:r>
              <w:rPr>
                <w:sz w:val="21"/>
                <w:szCs w:val="21"/>
                <w:highlight w:val="none"/>
              </w:rPr>
              <w:t>COD</w:t>
            </w:r>
          </w:p>
          <w:p w14:paraId="4752B32B">
            <w:pPr>
              <w:widowControl/>
              <w:snapToGrid w:val="0"/>
              <w:jc w:val="center"/>
              <w:rPr>
                <w:sz w:val="21"/>
                <w:szCs w:val="21"/>
                <w:highlight w:val="none"/>
              </w:rPr>
            </w:pPr>
            <w:r>
              <w:rPr>
                <w:sz w:val="21"/>
                <w:szCs w:val="21"/>
                <w:highlight w:val="none"/>
              </w:rPr>
              <w:t>BOD</w:t>
            </w:r>
          </w:p>
          <w:p w14:paraId="281DBF66">
            <w:pPr>
              <w:widowControl/>
              <w:snapToGrid w:val="0"/>
              <w:jc w:val="center"/>
              <w:rPr>
                <w:sz w:val="21"/>
                <w:szCs w:val="21"/>
                <w:highlight w:val="none"/>
              </w:rPr>
            </w:pPr>
            <w:r>
              <w:rPr>
                <w:sz w:val="21"/>
                <w:szCs w:val="21"/>
                <w:highlight w:val="none"/>
              </w:rPr>
              <w:t>氨氮</w:t>
            </w:r>
          </w:p>
          <w:p w14:paraId="007E73F6">
            <w:pPr>
              <w:widowControl/>
              <w:snapToGrid w:val="0"/>
              <w:jc w:val="center"/>
              <w:rPr>
                <w:sz w:val="21"/>
                <w:szCs w:val="21"/>
                <w:highlight w:val="none"/>
              </w:rPr>
            </w:pPr>
            <w:r>
              <w:rPr>
                <w:sz w:val="21"/>
                <w:szCs w:val="21"/>
                <w:highlight w:val="none"/>
              </w:rPr>
              <w:t>SS</w:t>
            </w:r>
          </w:p>
          <w:p w14:paraId="3C83547D">
            <w:pPr>
              <w:widowControl/>
              <w:snapToGrid w:val="0"/>
              <w:jc w:val="center"/>
              <w:rPr>
                <w:sz w:val="21"/>
                <w:szCs w:val="21"/>
                <w:highlight w:val="none"/>
              </w:rPr>
            </w:pPr>
          </w:p>
        </w:tc>
        <w:tc>
          <w:tcPr>
            <w:tcW w:w="528" w:type="pct"/>
            <w:noWrap w:val="0"/>
            <w:vAlign w:val="center"/>
          </w:tcPr>
          <w:p w14:paraId="174FBB26">
            <w:pPr>
              <w:widowControl/>
              <w:snapToGrid w:val="0"/>
              <w:jc w:val="center"/>
              <w:rPr>
                <w:sz w:val="21"/>
                <w:szCs w:val="21"/>
                <w:highlight w:val="none"/>
              </w:rPr>
            </w:pPr>
            <w:r>
              <w:rPr>
                <w:sz w:val="21"/>
                <w:szCs w:val="21"/>
                <w:highlight w:val="none"/>
              </w:rPr>
              <w:t>300~500</w:t>
            </w:r>
          </w:p>
          <w:p w14:paraId="6EC2A8EF">
            <w:pPr>
              <w:widowControl/>
              <w:snapToGrid w:val="0"/>
              <w:jc w:val="center"/>
              <w:rPr>
                <w:sz w:val="21"/>
                <w:szCs w:val="21"/>
                <w:highlight w:val="none"/>
              </w:rPr>
            </w:pPr>
            <w:r>
              <w:rPr>
                <w:sz w:val="21"/>
                <w:szCs w:val="21"/>
                <w:highlight w:val="none"/>
              </w:rPr>
              <w:t>150~300</w:t>
            </w:r>
          </w:p>
          <w:p w14:paraId="69F4F904">
            <w:pPr>
              <w:widowControl/>
              <w:snapToGrid w:val="0"/>
              <w:jc w:val="center"/>
              <w:rPr>
                <w:sz w:val="21"/>
                <w:szCs w:val="21"/>
                <w:highlight w:val="none"/>
              </w:rPr>
            </w:pPr>
            <w:r>
              <w:rPr>
                <w:sz w:val="21"/>
                <w:szCs w:val="21"/>
                <w:highlight w:val="none"/>
              </w:rPr>
              <w:t>20~50</w:t>
            </w:r>
          </w:p>
          <w:p w14:paraId="051551AF">
            <w:pPr>
              <w:widowControl/>
              <w:snapToGrid w:val="0"/>
              <w:jc w:val="center"/>
              <w:rPr>
                <w:sz w:val="21"/>
                <w:szCs w:val="21"/>
                <w:highlight w:val="none"/>
              </w:rPr>
            </w:pPr>
            <w:r>
              <w:rPr>
                <w:sz w:val="21"/>
                <w:szCs w:val="21"/>
                <w:highlight w:val="none"/>
              </w:rPr>
              <w:t>100~300</w:t>
            </w:r>
          </w:p>
        </w:tc>
        <w:tc>
          <w:tcPr>
            <w:tcW w:w="190" w:type="pct"/>
            <w:noWrap w:val="0"/>
            <w:vAlign w:val="center"/>
          </w:tcPr>
          <w:p w14:paraId="3913F040">
            <w:pPr>
              <w:widowControl/>
              <w:snapToGrid w:val="0"/>
              <w:jc w:val="center"/>
              <w:rPr>
                <w:sz w:val="21"/>
                <w:szCs w:val="21"/>
                <w:highlight w:val="none"/>
              </w:rPr>
            </w:pPr>
            <w:r>
              <w:rPr>
                <w:sz w:val="21"/>
                <w:szCs w:val="21"/>
                <w:highlight w:val="none"/>
              </w:rPr>
              <w:t>间断</w:t>
            </w:r>
          </w:p>
        </w:tc>
        <w:tc>
          <w:tcPr>
            <w:tcW w:w="1336" w:type="pct"/>
            <w:noWrap w:val="0"/>
            <w:vAlign w:val="center"/>
          </w:tcPr>
          <w:p w14:paraId="246B9257">
            <w:pPr>
              <w:widowControl/>
              <w:snapToGrid w:val="0"/>
              <w:jc w:val="center"/>
              <w:rPr>
                <w:rFonts w:hint="eastAsia" w:eastAsia="宋体"/>
                <w:sz w:val="21"/>
                <w:szCs w:val="21"/>
                <w:highlight w:val="none"/>
                <w:lang w:eastAsia="zh-CN"/>
              </w:rPr>
            </w:pPr>
            <w:r>
              <w:rPr>
                <w:sz w:val="21"/>
                <w:szCs w:val="21"/>
                <w:highlight w:val="none"/>
              </w:rPr>
              <w:t>送厂内</w:t>
            </w:r>
            <w:r>
              <w:rPr>
                <w:rFonts w:hint="eastAsia"/>
                <w:sz w:val="21"/>
                <w:szCs w:val="21"/>
                <w:highlight w:val="none"/>
                <w:lang w:eastAsia="zh-CN"/>
              </w:rPr>
              <w:t>污水处理厂</w:t>
            </w:r>
          </w:p>
        </w:tc>
      </w:tr>
      <w:tr w14:paraId="2E0C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03" w:type="pct"/>
            <w:gridSpan w:val="3"/>
            <w:noWrap w:val="0"/>
            <w:vAlign w:val="center"/>
          </w:tcPr>
          <w:p w14:paraId="373ACCCA">
            <w:pPr>
              <w:widowControl/>
              <w:snapToGrid w:val="0"/>
              <w:jc w:val="center"/>
              <w:rPr>
                <w:sz w:val="21"/>
                <w:szCs w:val="21"/>
                <w:highlight w:val="none"/>
              </w:rPr>
            </w:pPr>
            <w:r>
              <w:rPr>
                <w:rFonts w:hint="eastAsia"/>
                <w:sz w:val="21"/>
                <w:szCs w:val="21"/>
                <w:highlight w:val="none"/>
                <w:lang w:eastAsia="zh-CN"/>
              </w:rPr>
              <w:t>污水处理厂</w:t>
            </w:r>
            <w:r>
              <w:rPr>
                <w:sz w:val="21"/>
                <w:szCs w:val="21"/>
                <w:highlight w:val="none"/>
              </w:rPr>
              <w:t>出水</w:t>
            </w:r>
          </w:p>
        </w:tc>
        <w:tc>
          <w:tcPr>
            <w:tcW w:w="628" w:type="pct"/>
            <w:noWrap w:val="0"/>
            <w:vAlign w:val="center"/>
          </w:tcPr>
          <w:p w14:paraId="2793EEA4">
            <w:pPr>
              <w:widowControl/>
              <w:snapToGrid w:val="0"/>
              <w:jc w:val="center"/>
              <w:rPr>
                <w:sz w:val="21"/>
                <w:szCs w:val="21"/>
                <w:highlight w:val="none"/>
              </w:rPr>
            </w:pPr>
            <w:r>
              <w:rPr>
                <w:sz w:val="21"/>
                <w:szCs w:val="21"/>
                <w:highlight w:val="none"/>
              </w:rPr>
              <w:t>900.66</w:t>
            </w:r>
          </w:p>
        </w:tc>
        <w:tc>
          <w:tcPr>
            <w:tcW w:w="413" w:type="pct"/>
            <w:noWrap w:val="0"/>
            <w:vAlign w:val="center"/>
          </w:tcPr>
          <w:p w14:paraId="5990A2CE">
            <w:pPr>
              <w:jc w:val="center"/>
              <w:rPr>
                <w:sz w:val="21"/>
                <w:szCs w:val="21"/>
                <w:highlight w:val="none"/>
              </w:rPr>
            </w:pPr>
            <w:r>
              <w:rPr>
                <w:sz w:val="21"/>
                <w:szCs w:val="21"/>
                <w:highlight w:val="none"/>
              </w:rPr>
              <w:t>CODcr</w:t>
            </w:r>
          </w:p>
          <w:p w14:paraId="46048B8A">
            <w:pPr>
              <w:jc w:val="center"/>
              <w:rPr>
                <w:sz w:val="21"/>
                <w:szCs w:val="21"/>
                <w:highlight w:val="none"/>
              </w:rPr>
            </w:pPr>
            <w:r>
              <w:rPr>
                <w:sz w:val="21"/>
                <w:szCs w:val="21"/>
                <w:highlight w:val="none"/>
              </w:rPr>
              <w:t>BOD</w:t>
            </w:r>
            <w:r>
              <w:rPr>
                <w:sz w:val="21"/>
                <w:szCs w:val="21"/>
                <w:highlight w:val="none"/>
                <w:vertAlign w:val="subscript"/>
              </w:rPr>
              <w:t>5</w:t>
            </w:r>
          </w:p>
          <w:p w14:paraId="08AFC790">
            <w:pPr>
              <w:jc w:val="center"/>
              <w:rPr>
                <w:sz w:val="21"/>
                <w:szCs w:val="21"/>
                <w:highlight w:val="none"/>
              </w:rPr>
            </w:pPr>
            <w:r>
              <w:rPr>
                <w:sz w:val="21"/>
                <w:szCs w:val="21"/>
                <w:highlight w:val="none"/>
              </w:rPr>
              <w:t>NH</w:t>
            </w:r>
            <w:r>
              <w:rPr>
                <w:sz w:val="21"/>
                <w:szCs w:val="21"/>
                <w:highlight w:val="none"/>
                <w:vertAlign w:val="subscript"/>
              </w:rPr>
              <w:t>3</w:t>
            </w:r>
            <w:r>
              <w:rPr>
                <w:sz w:val="21"/>
                <w:szCs w:val="21"/>
                <w:highlight w:val="none"/>
              </w:rPr>
              <w:t>-N</w:t>
            </w:r>
          </w:p>
          <w:p w14:paraId="7720EAC3">
            <w:pPr>
              <w:jc w:val="center"/>
              <w:rPr>
                <w:sz w:val="21"/>
                <w:szCs w:val="21"/>
                <w:highlight w:val="none"/>
              </w:rPr>
            </w:pPr>
            <w:r>
              <w:rPr>
                <w:sz w:val="21"/>
                <w:szCs w:val="21"/>
                <w:highlight w:val="none"/>
              </w:rPr>
              <w:t>TN</w:t>
            </w:r>
          </w:p>
          <w:p w14:paraId="70BF6DFC">
            <w:pPr>
              <w:jc w:val="center"/>
              <w:rPr>
                <w:sz w:val="21"/>
                <w:szCs w:val="21"/>
                <w:highlight w:val="none"/>
              </w:rPr>
            </w:pPr>
            <w:r>
              <w:rPr>
                <w:sz w:val="21"/>
                <w:szCs w:val="21"/>
                <w:highlight w:val="none"/>
              </w:rPr>
              <w:t>石油类</w:t>
            </w:r>
          </w:p>
          <w:p w14:paraId="00783A45">
            <w:pPr>
              <w:jc w:val="center"/>
              <w:rPr>
                <w:sz w:val="21"/>
                <w:szCs w:val="21"/>
                <w:highlight w:val="none"/>
              </w:rPr>
            </w:pPr>
            <w:r>
              <w:rPr>
                <w:sz w:val="21"/>
                <w:szCs w:val="21"/>
                <w:highlight w:val="none"/>
              </w:rPr>
              <w:t>pH</w:t>
            </w:r>
          </w:p>
          <w:p w14:paraId="3D50099F">
            <w:pPr>
              <w:jc w:val="center"/>
              <w:rPr>
                <w:sz w:val="21"/>
                <w:szCs w:val="21"/>
                <w:highlight w:val="none"/>
              </w:rPr>
            </w:pPr>
            <w:r>
              <w:rPr>
                <w:sz w:val="21"/>
                <w:szCs w:val="21"/>
                <w:highlight w:val="none"/>
              </w:rPr>
              <w:t>SS</w:t>
            </w:r>
          </w:p>
          <w:p w14:paraId="41592F6C">
            <w:pPr>
              <w:jc w:val="center"/>
              <w:rPr>
                <w:sz w:val="21"/>
                <w:szCs w:val="21"/>
                <w:highlight w:val="none"/>
              </w:rPr>
            </w:pPr>
            <w:r>
              <w:rPr>
                <w:sz w:val="21"/>
                <w:szCs w:val="21"/>
                <w:highlight w:val="none"/>
              </w:rPr>
              <w:t>TDS</w:t>
            </w:r>
          </w:p>
        </w:tc>
        <w:tc>
          <w:tcPr>
            <w:tcW w:w="528" w:type="pct"/>
            <w:noWrap w:val="0"/>
            <w:vAlign w:val="center"/>
          </w:tcPr>
          <w:p w14:paraId="064BBF9B">
            <w:pPr>
              <w:jc w:val="center"/>
              <w:rPr>
                <w:sz w:val="21"/>
                <w:szCs w:val="21"/>
                <w:highlight w:val="none"/>
              </w:rPr>
            </w:pPr>
            <w:r>
              <w:rPr>
                <w:sz w:val="21"/>
                <w:szCs w:val="21"/>
                <w:highlight w:val="none"/>
              </w:rPr>
              <w:t>≤50</w:t>
            </w:r>
          </w:p>
          <w:p w14:paraId="33ACA2CE">
            <w:pPr>
              <w:jc w:val="center"/>
              <w:rPr>
                <w:sz w:val="21"/>
                <w:szCs w:val="21"/>
                <w:highlight w:val="none"/>
              </w:rPr>
            </w:pPr>
            <w:r>
              <w:rPr>
                <w:sz w:val="21"/>
                <w:szCs w:val="21"/>
                <w:highlight w:val="none"/>
              </w:rPr>
              <w:t>≤5</w:t>
            </w:r>
          </w:p>
          <w:p w14:paraId="75A196C9">
            <w:pPr>
              <w:jc w:val="center"/>
              <w:rPr>
                <w:sz w:val="21"/>
                <w:szCs w:val="21"/>
                <w:highlight w:val="none"/>
              </w:rPr>
            </w:pPr>
            <w:r>
              <w:rPr>
                <w:sz w:val="21"/>
                <w:szCs w:val="21"/>
                <w:highlight w:val="none"/>
              </w:rPr>
              <w:t>≤5</w:t>
            </w:r>
          </w:p>
          <w:p w14:paraId="2FE84D85">
            <w:pPr>
              <w:jc w:val="center"/>
              <w:rPr>
                <w:sz w:val="21"/>
                <w:szCs w:val="21"/>
                <w:highlight w:val="none"/>
              </w:rPr>
            </w:pPr>
            <w:r>
              <w:rPr>
                <w:sz w:val="21"/>
                <w:szCs w:val="21"/>
                <w:highlight w:val="none"/>
              </w:rPr>
              <w:t>≤35</w:t>
            </w:r>
          </w:p>
          <w:p w14:paraId="1921C5EA">
            <w:pPr>
              <w:jc w:val="center"/>
              <w:rPr>
                <w:sz w:val="21"/>
                <w:szCs w:val="21"/>
                <w:highlight w:val="none"/>
              </w:rPr>
            </w:pPr>
            <w:r>
              <w:rPr>
                <w:sz w:val="21"/>
                <w:szCs w:val="21"/>
                <w:highlight w:val="none"/>
              </w:rPr>
              <w:t>≤1</w:t>
            </w:r>
          </w:p>
          <w:p w14:paraId="0A0D6A68">
            <w:pPr>
              <w:jc w:val="center"/>
              <w:rPr>
                <w:sz w:val="21"/>
                <w:szCs w:val="21"/>
                <w:highlight w:val="none"/>
              </w:rPr>
            </w:pPr>
            <w:r>
              <w:rPr>
                <w:sz w:val="21"/>
                <w:szCs w:val="21"/>
                <w:highlight w:val="none"/>
              </w:rPr>
              <w:t>7~9</w:t>
            </w:r>
          </w:p>
          <w:p w14:paraId="2A7CCCF0">
            <w:pPr>
              <w:jc w:val="center"/>
              <w:rPr>
                <w:sz w:val="21"/>
                <w:szCs w:val="21"/>
                <w:highlight w:val="none"/>
              </w:rPr>
            </w:pPr>
            <w:r>
              <w:rPr>
                <w:sz w:val="21"/>
                <w:szCs w:val="21"/>
                <w:highlight w:val="none"/>
              </w:rPr>
              <w:t>≤15</w:t>
            </w:r>
          </w:p>
          <w:p w14:paraId="23223315">
            <w:pPr>
              <w:jc w:val="center"/>
              <w:rPr>
                <w:sz w:val="21"/>
                <w:szCs w:val="21"/>
                <w:highlight w:val="none"/>
              </w:rPr>
            </w:pPr>
            <w:r>
              <w:rPr>
                <w:sz w:val="21"/>
                <w:szCs w:val="21"/>
                <w:highlight w:val="none"/>
              </w:rPr>
              <w:t>≤2400</w:t>
            </w:r>
          </w:p>
        </w:tc>
        <w:tc>
          <w:tcPr>
            <w:tcW w:w="190" w:type="pct"/>
            <w:noWrap w:val="0"/>
            <w:vAlign w:val="center"/>
          </w:tcPr>
          <w:p w14:paraId="27652B4B">
            <w:pPr>
              <w:widowControl/>
              <w:snapToGrid w:val="0"/>
              <w:jc w:val="center"/>
              <w:rPr>
                <w:sz w:val="21"/>
                <w:szCs w:val="21"/>
                <w:highlight w:val="none"/>
              </w:rPr>
            </w:pPr>
            <w:r>
              <w:rPr>
                <w:sz w:val="21"/>
                <w:szCs w:val="21"/>
                <w:highlight w:val="none"/>
              </w:rPr>
              <w:t>连续</w:t>
            </w:r>
          </w:p>
        </w:tc>
        <w:tc>
          <w:tcPr>
            <w:tcW w:w="1336" w:type="pct"/>
            <w:noWrap w:val="0"/>
            <w:vAlign w:val="center"/>
          </w:tcPr>
          <w:p w14:paraId="6A4ECF02">
            <w:pPr>
              <w:widowControl/>
              <w:snapToGrid w:val="0"/>
              <w:jc w:val="center"/>
              <w:rPr>
                <w:sz w:val="21"/>
                <w:szCs w:val="21"/>
                <w:highlight w:val="none"/>
              </w:rPr>
            </w:pPr>
            <w:r>
              <w:rPr>
                <w:rFonts w:hint="eastAsia"/>
                <w:sz w:val="21"/>
                <w:szCs w:val="21"/>
                <w:highlight w:val="none"/>
                <w:lang w:eastAsia="zh-CN"/>
              </w:rPr>
              <w:t>使用</w:t>
            </w:r>
            <w:r>
              <w:rPr>
                <w:sz w:val="21"/>
                <w:szCs w:val="21"/>
                <w:highlight w:val="none"/>
              </w:rPr>
              <w:t>废水处理及回用装置处理</w:t>
            </w:r>
          </w:p>
        </w:tc>
      </w:tr>
      <w:tr w14:paraId="1F8F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03" w:type="pct"/>
            <w:gridSpan w:val="3"/>
            <w:noWrap w:val="0"/>
            <w:vAlign w:val="center"/>
          </w:tcPr>
          <w:p w14:paraId="158647C6">
            <w:pPr>
              <w:widowControl/>
              <w:snapToGrid w:val="0"/>
              <w:jc w:val="center"/>
              <w:rPr>
                <w:sz w:val="21"/>
                <w:szCs w:val="21"/>
                <w:highlight w:val="none"/>
              </w:rPr>
            </w:pPr>
            <w:r>
              <w:rPr>
                <w:sz w:val="21"/>
                <w:szCs w:val="21"/>
                <w:highlight w:val="none"/>
              </w:rPr>
              <w:t>废水处理及回用装置</w:t>
            </w:r>
            <w:r>
              <w:rPr>
                <w:rFonts w:hint="eastAsia"/>
                <w:sz w:val="21"/>
                <w:szCs w:val="21"/>
                <w:highlight w:val="none"/>
                <w:lang w:eastAsia="zh-CN"/>
              </w:rPr>
              <w:t>排放</w:t>
            </w:r>
            <w:r>
              <w:rPr>
                <w:sz w:val="21"/>
                <w:szCs w:val="21"/>
                <w:highlight w:val="none"/>
              </w:rPr>
              <w:t>浓盐水</w:t>
            </w:r>
          </w:p>
        </w:tc>
        <w:tc>
          <w:tcPr>
            <w:tcW w:w="628" w:type="pct"/>
            <w:noWrap w:val="0"/>
            <w:vAlign w:val="center"/>
          </w:tcPr>
          <w:p w14:paraId="49C98097">
            <w:pPr>
              <w:widowControl/>
              <w:snapToGrid w:val="0"/>
              <w:jc w:val="center"/>
              <w:rPr>
                <w:sz w:val="21"/>
                <w:szCs w:val="21"/>
                <w:highlight w:val="none"/>
              </w:rPr>
            </w:pPr>
            <w:r>
              <w:rPr>
                <w:sz w:val="21"/>
                <w:szCs w:val="21"/>
                <w:highlight w:val="none"/>
              </w:rPr>
              <w:t>夏季487.36</w:t>
            </w:r>
          </w:p>
          <w:p w14:paraId="143AB04B">
            <w:pPr>
              <w:widowControl/>
              <w:snapToGrid w:val="0"/>
              <w:jc w:val="center"/>
              <w:rPr>
                <w:sz w:val="21"/>
                <w:szCs w:val="21"/>
                <w:highlight w:val="none"/>
              </w:rPr>
            </w:pPr>
            <w:r>
              <w:rPr>
                <w:sz w:val="21"/>
                <w:szCs w:val="21"/>
                <w:highlight w:val="none"/>
              </w:rPr>
              <w:t>冬季454.76</w:t>
            </w:r>
          </w:p>
        </w:tc>
        <w:tc>
          <w:tcPr>
            <w:tcW w:w="413" w:type="pct"/>
            <w:noWrap w:val="0"/>
            <w:vAlign w:val="center"/>
          </w:tcPr>
          <w:p w14:paraId="4BBAD4E0">
            <w:pPr>
              <w:widowControl/>
              <w:snapToGrid w:val="0"/>
              <w:jc w:val="center"/>
              <w:rPr>
                <w:sz w:val="21"/>
                <w:szCs w:val="21"/>
                <w:highlight w:val="none"/>
              </w:rPr>
            </w:pPr>
            <w:r>
              <w:rPr>
                <w:sz w:val="21"/>
                <w:szCs w:val="21"/>
                <w:highlight w:val="none"/>
              </w:rPr>
              <w:t>pH</w:t>
            </w:r>
          </w:p>
          <w:p w14:paraId="416195E0">
            <w:pPr>
              <w:widowControl/>
              <w:snapToGrid w:val="0"/>
              <w:jc w:val="center"/>
              <w:rPr>
                <w:sz w:val="21"/>
                <w:szCs w:val="21"/>
                <w:highlight w:val="none"/>
              </w:rPr>
            </w:pPr>
            <w:r>
              <w:rPr>
                <w:sz w:val="21"/>
                <w:szCs w:val="21"/>
                <w:highlight w:val="none"/>
              </w:rPr>
              <w:t>CODCr</w:t>
            </w:r>
          </w:p>
          <w:p w14:paraId="3B70AECD">
            <w:pPr>
              <w:widowControl/>
              <w:snapToGrid w:val="0"/>
              <w:jc w:val="center"/>
              <w:rPr>
                <w:sz w:val="21"/>
                <w:szCs w:val="21"/>
                <w:highlight w:val="none"/>
              </w:rPr>
            </w:pPr>
            <w:r>
              <w:rPr>
                <w:sz w:val="21"/>
                <w:szCs w:val="21"/>
                <w:highlight w:val="none"/>
              </w:rPr>
              <w:t>BOD5</w:t>
            </w:r>
          </w:p>
          <w:p w14:paraId="20A67A26">
            <w:pPr>
              <w:widowControl/>
              <w:snapToGrid w:val="0"/>
              <w:jc w:val="center"/>
              <w:rPr>
                <w:sz w:val="21"/>
                <w:szCs w:val="21"/>
                <w:highlight w:val="none"/>
              </w:rPr>
            </w:pPr>
            <w:r>
              <w:rPr>
                <w:sz w:val="21"/>
                <w:szCs w:val="21"/>
                <w:highlight w:val="none"/>
              </w:rPr>
              <w:t>TDS</w:t>
            </w:r>
          </w:p>
        </w:tc>
        <w:tc>
          <w:tcPr>
            <w:tcW w:w="528" w:type="pct"/>
            <w:noWrap w:val="0"/>
            <w:vAlign w:val="center"/>
          </w:tcPr>
          <w:p w14:paraId="0B2D251B">
            <w:pPr>
              <w:widowControl/>
              <w:snapToGrid w:val="0"/>
              <w:jc w:val="center"/>
              <w:rPr>
                <w:sz w:val="21"/>
                <w:szCs w:val="21"/>
                <w:highlight w:val="none"/>
              </w:rPr>
            </w:pPr>
            <w:r>
              <w:rPr>
                <w:sz w:val="21"/>
                <w:szCs w:val="21"/>
                <w:highlight w:val="none"/>
              </w:rPr>
              <w:t>~8</w:t>
            </w:r>
          </w:p>
          <w:p w14:paraId="14624C6D">
            <w:pPr>
              <w:widowControl/>
              <w:snapToGrid w:val="0"/>
              <w:jc w:val="center"/>
              <w:rPr>
                <w:sz w:val="21"/>
                <w:szCs w:val="21"/>
                <w:highlight w:val="none"/>
              </w:rPr>
            </w:pPr>
            <w:r>
              <w:rPr>
                <w:sz w:val="21"/>
                <w:szCs w:val="21"/>
                <w:highlight w:val="none"/>
              </w:rPr>
              <w:t>200</w:t>
            </w:r>
          </w:p>
          <w:p w14:paraId="77FA7FD7">
            <w:pPr>
              <w:widowControl/>
              <w:snapToGrid w:val="0"/>
              <w:jc w:val="center"/>
              <w:rPr>
                <w:sz w:val="21"/>
                <w:szCs w:val="21"/>
                <w:highlight w:val="none"/>
              </w:rPr>
            </w:pPr>
            <w:r>
              <w:rPr>
                <w:sz w:val="21"/>
                <w:szCs w:val="21"/>
                <w:highlight w:val="none"/>
              </w:rPr>
              <w:t>25</w:t>
            </w:r>
          </w:p>
          <w:p w14:paraId="28DFEAC8">
            <w:pPr>
              <w:widowControl/>
              <w:snapToGrid w:val="0"/>
              <w:jc w:val="center"/>
              <w:rPr>
                <w:sz w:val="21"/>
                <w:szCs w:val="21"/>
                <w:highlight w:val="none"/>
              </w:rPr>
            </w:pPr>
            <w:r>
              <w:rPr>
                <w:sz w:val="21"/>
                <w:szCs w:val="21"/>
                <w:highlight w:val="none"/>
              </w:rPr>
              <w:t>10236</w:t>
            </w:r>
          </w:p>
        </w:tc>
        <w:tc>
          <w:tcPr>
            <w:tcW w:w="190" w:type="pct"/>
            <w:noWrap w:val="0"/>
            <w:vAlign w:val="center"/>
          </w:tcPr>
          <w:p w14:paraId="158EE93E">
            <w:pPr>
              <w:widowControl/>
              <w:snapToGrid w:val="0"/>
              <w:jc w:val="center"/>
              <w:rPr>
                <w:sz w:val="21"/>
                <w:szCs w:val="21"/>
                <w:highlight w:val="none"/>
              </w:rPr>
            </w:pPr>
            <w:r>
              <w:rPr>
                <w:sz w:val="21"/>
                <w:szCs w:val="21"/>
                <w:highlight w:val="none"/>
              </w:rPr>
              <w:t>连续</w:t>
            </w:r>
          </w:p>
        </w:tc>
        <w:tc>
          <w:tcPr>
            <w:tcW w:w="1336" w:type="pct"/>
            <w:noWrap w:val="0"/>
            <w:vAlign w:val="center"/>
          </w:tcPr>
          <w:p w14:paraId="0F73E624">
            <w:pPr>
              <w:widowControl/>
              <w:snapToGrid w:val="0"/>
              <w:jc w:val="center"/>
              <w:rPr>
                <w:rFonts w:hint="eastAsia" w:eastAsia="宋体"/>
                <w:sz w:val="21"/>
                <w:szCs w:val="21"/>
                <w:highlight w:val="none"/>
                <w:lang w:eastAsia="zh-CN"/>
              </w:rPr>
            </w:pPr>
            <w:r>
              <w:rPr>
                <w:rFonts w:hint="eastAsia"/>
                <w:sz w:val="21"/>
                <w:szCs w:val="21"/>
                <w:highlight w:val="none"/>
                <w:lang w:eastAsia="zh-CN"/>
              </w:rPr>
              <w:t>使用</w:t>
            </w:r>
            <w:r>
              <w:rPr>
                <w:sz w:val="21"/>
                <w:szCs w:val="21"/>
                <w:highlight w:val="none"/>
              </w:rPr>
              <w:t>高含盐</w:t>
            </w:r>
            <w:r>
              <w:rPr>
                <w:rFonts w:hint="eastAsia"/>
                <w:sz w:val="21"/>
                <w:szCs w:val="21"/>
                <w:highlight w:val="none"/>
                <w:lang w:eastAsia="zh-CN"/>
              </w:rPr>
              <w:t>废</w:t>
            </w:r>
            <w:r>
              <w:rPr>
                <w:sz w:val="21"/>
                <w:szCs w:val="21"/>
                <w:highlight w:val="none"/>
              </w:rPr>
              <w:t>水蒸发及结晶装置处理</w:t>
            </w:r>
            <w:r>
              <w:rPr>
                <w:rFonts w:hint="eastAsia"/>
                <w:sz w:val="21"/>
                <w:szCs w:val="21"/>
                <w:highlight w:val="none"/>
                <w:lang w:eastAsia="zh-CN"/>
              </w:rPr>
              <w:t>。</w:t>
            </w:r>
          </w:p>
        </w:tc>
      </w:tr>
    </w:tbl>
    <w:p w14:paraId="71D1F10B">
      <w:pPr>
        <w:widowControl/>
        <w:snapToGrid w:val="0"/>
        <w:jc w:val="center"/>
        <w:rPr>
          <w:sz w:val="5"/>
          <w:szCs w:val="5"/>
          <w:highlight w:val="none"/>
        </w:rPr>
      </w:pPr>
      <w:r>
        <w:rPr>
          <w:b/>
          <w:bCs/>
          <w:szCs w:val="21"/>
          <w:highlight w:val="none"/>
        </w:rPr>
        <w:t>表</w:t>
      </w:r>
      <w:r>
        <w:rPr>
          <w:rFonts w:hint="eastAsia"/>
          <w:b/>
          <w:bCs/>
          <w:szCs w:val="21"/>
          <w:highlight w:val="none"/>
          <w:lang w:val="en-US" w:eastAsia="zh-CN"/>
        </w:rPr>
        <w:t xml:space="preserve">3-7   </w:t>
      </w:r>
      <w:r>
        <w:rPr>
          <w:b/>
          <w:bCs/>
          <w:szCs w:val="21"/>
          <w:highlight w:val="none"/>
        </w:rPr>
        <w:t>废水处理及回用1（生化合格出水处理）出口回用水水质监测结果（</w:t>
      </w:r>
      <w:r>
        <w:rPr>
          <w:b/>
          <w:bCs/>
          <w:spacing w:val="-2"/>
          <w:szCs w:val="21"/>
          <w:highlight w:val="none"/>
        </w:rPr>
        <w:t>mg</w:t>
      </w:r>
      <w:r>
        <w:rPr>
          <w:b/>
          <w:bCs/>
          <w:spacing w:val="2"/>
          <w:szCs w:val="21"/>
          <w:highlight w:val="none"/>
        </w:rPr>
        <w:t>/L</w:t>
      </w:r>
      <w:r>
        <w:rPr>
          <w:b/>
          <w:bCs/>
          <w:spacing w:val="-1"/>
          <w:szCs w:val="21"/>
          <w:highlight w:val="none"/>
        </w:rPr>
        <w:t>，</w:t>
      </w:r>
      <w:r>
        <w:rPr>
          <w:b/>
          <w:bCs/>
          <w:spacing w:val="2"/>
          <w:szCs w:val="21"/>
          <w:highlight w:val="none"/>
        </w:rPr>
        <w:t>特</w:t>
      </w:r>
      <w:r>
        <w:rPr>
          <w:b/>
          <w:bCs/>
          <w:spacing w:val="-1"/>
          <w:szCs w:val="21"/>
          <w:highlight w:val="none"/>
        </w:rPr>
        <w:t>殊</w:t>
      </w:r>
      <w:r>
        <w:rPr>
          <w:b/>
          <w:bCs/>
          <w:spacing w:val="2"/>
          <w:szCs w:val="21"/>
          <w:highlight w:val="none"/>
        </w:rPr>
        <w:t>项</w:t>
      </w:r>
      <w:r>
        <w:rPr>
          <w:b/>
          <w:bCs/>
          <w:spacing w:val="-1"/>
          <w:szCs w:val="21"/>
          <w:highlight w:val="none"/>
        </w:rPr>
        <w:t>目</w:t>
      </w:r>
      <w:r>
        <w:rPr>
          <w:b/>
          <w:bCs/>
          <w:spacing w:val="2"/>
          <w:szCs w:val="21"/>
          <w:highlight w:val="none"/>
        </w:rPr>
        <w:t>除</w:t>
      </w:r>
      <w:r>
        <w:rPr>
          <w:b/>
          <w:bCs/>
          <w:spacing w:val="-1"/>
          <w:szCs w:val="21"/>
          <w:highlight w:val="none"/>
        </w:rPr>
        <w:t>外</w:t>
      </w:r>
      <w:r>
        <w:rPr>
          <w:b/>
          <w:bCs/>
          <w:szCs w:val="21"/>
          <w:highlight w:val="none"/>
        </w:rPr>
        <w:t>）</w:t>
      </w:r>
      <w:bookmarkStart w:id="45" w:name="项目名称：内蒙古伊泰化工有限责任公司120万吨/年精细化学品项目水处理及零排放整"/>
      <w:bookmarkEnd w:id="45"/>
    </w:p>
    <w:p w14:paraId="05453B35">
      <w:pPr>
        <w:kinsoku w:val="0"/>
        <w:overflowPunct w:val="0"/>
        <w:autoSpaceDE w:val="0"/>
        <w:autoSpaceDN w:val="0"/>
        <w:adjustRightInd w:val="0"/>
        <w:spacing w:before="3" w:line="60" w:lineRule="exact"/>
        <w:jc w:val="left"/>
        <w:rPr>
          <w:sz w:val="6"/>
          <w:szCs w:val="6"/>
          <w:highlight w:val="none"/>
        </w:rPr>
      </w:pPr>
    </w:p>
    <w:tbl>
      <w:tblPr>
        <w:tblStyle w:val="19"/>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98"/>
        <w:gridCol w:w="1398"/>
        <w:gridCol w:w="1342"/>
        <w:gridCol w:w="1097"/>
        <w:gridCol w:w="1296"/>
        <w:gridCol w:w="1150"/>
        <w:gridCol w:w="1002"/>
        <w:gridCol w:w="1296"/>
        <w:gridCol w:w="1150"/>
        <w:gridCol w:w="1539"/>
      </w:tblGrid>
      <w:tr w14:paraId="520D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exact"/>
          <w:jc w:val="center"/>
        </w:trPr>
        <w:tc>
          <w:tcPr>
            <w:tcW w:w="816" w:type="pct"/>
            <w:vMerge w:val="restart"/>
            <w:noWrap w:val="0"/>
            <w:vAlign w:val="center"/>
          </w:tcPr>
          <w:p w14:paraId="09831262">
            <w:pPr>
              <w:kinsoku w:val="0"/>
              <w:overflowPunct w:val="0"/>
              <w:autoSpaceDE w:val="0"/>
              <w:autoSpaceDN w:val="0"/>
              <w:adjustRightInd w:val="0"/>
              <w:jc w:val="center"/>
              <w:rPr>
                <w:sz w:val="21"/>
                <w:szCs w:val="21"/>
                <w:highlight w:val="none"/>
              </w:rPr>
            </w:pPr>
            <w:r>
              <w:rPr>
                <w:spacing w:val="-1"/>
                <w:sz w:val="21"/>
                <w:szCs w:val="21"/>
                <w:highlight w:val="none"/>
              </w:rPr>
              <w:t>检</w:t>
            </w:r>
            <w:r>
              <w:rPr>
                <w:spacing w:val="2"/>
                <w:sz w:val="21"/>
                <w:szCs w:val="21"/>
                <w:highlight w:val="none"/>
              </w:rPr>
              <w:t>测</w:t>
            </w:r>
            <w:r>
              <w:rPr>
                <w:spacing w:val="-1"/>
                <w:sz w:val="21"/>
                <w:szCs w:val="21"/>
                <w:highlight w:val="none"/>
              </w:rPr>
              <w:t>因</w:t>
            </w:r>
            <w:r>
              <w:rPr>
                <w:sz w:val="21"/>
                <w:szCs w:val="21"/>
                <w:highlight w:val="none"/>
              </w:rPr>
              <w:t>子</w:t>
            </w:r>
          </w:p>
        </w:tc>
        <w:tc>
          <w:tcPr>
            <w:tcW w:w="4183" w:type="pct"/>
            <w:gridSpan w:val="9"/>
            <w:noWrap w:val="0"/>
            <w:vAlign w:val="center"/>
          </w:tcPr>
          <w:p w14:paraId="432C4FF9">
            <w:pPr>
              <w:kinsoku w:val="0"/>
              <w:overflowPunct w:val="0"/>
              <w:autoSpaceDE w:val="0"/>
              <w:autoSpaceDN w:val="0"/>
              <w:adjustRightInd w:val="0"/>
              <w:jc w:val="center"/>
              <w:rPr>
                <w:sz w:val="21"/>
                <w:szCs w:val="21"/>
                <w:highlight w:val="none"/>
              </w:rPr>
            </w:pPr>
            <w:r>
              <w:rPr>
                <w:rFonts w:hint="eastAsia"/>
                <w:spacing w:val="-1"/>
                <w:sz w:val="21"/>
                <w:szCs w:val="21"/>
                <w:highlight w:val="none"/>
                <w:lang w:eastAsia="zh-CN"/>
              </w:rPr>
              <w:t>监测</w:t>
            </w:r>
            <w:r>
              <w:rPr>
                <w:spacing w:val="-1"/>
                <w:sz w:val="21"/>
                <w:szCs w:val="21"/>
                <w:highlight w:val="none"/>
              </w:rPr>
              <w:t>点</w:t>
            </w:r>
            <w:r>
              <w:rPr>
                <w:sz w:val="21"/>
                <w:szCs w:val="21"/>
                <w:highlight w:val="none"/>
              </w:rPr>
              <w:t>位</w:t>
            </w:r>
          </w:p>
        </w:tc>
      </w:tr>
      <w:tr w14:paraId="0038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exact"/>
          <w:jc w:val="center"/>
        </w:trPr>
        <w:tc>
          <w:tcPr>
            <w:tcW w:w="816" w:type="pct"/>
            <w:vMerge w:val="continue"/>
            <w:noWrap w:val="0"/>
            <w:vAlign w:val="center"/>
          </w:tcPr>
          <w:p w14:paraId="2F406E14">
            <w:pPr>
              <w:kinsoku w:val="0"/>
              <w:overflowPunct w:val="0"/>
              <w:autoSpaceDE w:val="0"/>
              <w:autoSpaceDN w:val="0"/>
              <w:adjustRightInd w:val="0"/>
              <w:jc w:val="center"/>
              <w:rPr>
                <w:sz w:val="21"/>
                <w:szCs w:val="21"/>
                <w:highlight w:val="none"/>
              </w:rPr>
            </w:pPr>
          </w:p>
        </w:tc>
        <w:tc>
          <w:tcPr>
            <w:tcW w:w="4183" w:type="pct"/>
            <w:gridSpan w:val="9"/>
            <w:noWrap w:val="0"/>
            <w:vAlign w:val="center"/>
          </w:tcPr>
          <w:p w14:paraId="4DFABACB">
            <w:pPr>
              <w:kinsoku w:val="0"/>
              <w:overflowPunct w:val="0"/>
              <w:autoSpaceDE w:val="0"/>
              <w:autoSpaceDN w:val="0"/>
              <w:adjustRightInd w:val="0"/>
              <w:jc w:val="center"/>
              <w:rPr>
                <w:sz w:val="21"/>
                <w:szCs w:val="21"/>
                <w:highlight w:val="none"/>
              </w:rPr>
            </w:pPr>
            <w:r>
              <w:rPr>
                <w:sz w:val="21"/>
                <w:szCs w:val="21"/>
                <w:highlight w:val="none"/>
              </w:rPr>
              <w:t>废水处理系统及回用单元回用工序1</w:t>
            </w:r>
          </w:p>
        </w:tc>
      </w:tr>
      <w:tr w14:paraId="54A18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exact"/>
          <w:jc w:val="center"/>
        </w:trPr>
        <w:tc>
          <w:tcPr>
            <w:tcW w:w="816" w:type="pct"/>
            <w:vMerge w:val="continue"/>
            <w:noWrap w:val="0"/>
            <w:vAlign w:val="center"/>
          </w:tcPr>
          <w:p w14:paraId="33A63C4A">
            <w:pPr>
              <w:kinsoku w:val="0"/>
              <w:overflowPunct w:val="0"/>
              <w:autoSpaceDE w:val="0"/>
              <w:autoSpaceDN w:val="0"/>
              <w:adjustRightInd w:val="0"/>
              <w:jc w:val="center"/>
              <w:rPr>
                <w:sz w:val="21"/>
                <w:szCs w:val="21"/>
                <w:highlight w:val="none"/>
              </w:rPr>
            </w:pPr>
          </w:p>
        </w:tc>
        <w:tc>
          <w:tcPr>
            <w:tcW w:w="519" w:type="pct"/>
            <w:noWrap w:val="0"/>
            <w:vAlign w:val="center"/>
          </w:tcPr>
          <w:p w14:paraId="0C2C48A9">
            <w:pPr>
              <w:kinsoku w:val="0"/>
              <w:overflowPunct w:val="0"/>
              <w:autoSpaceDE w:val="0"/>
              <w:autoSpaceDN w:val="0"/>
              <w:adjustRightInd w:val="0"/>
              <w:jc w:val="center"/>
              <w:rPr>
                <w:sz w:val="21"/>
                <w:szCs w:val="21"/>
                <w:highlight w:val="none"/>
              </w:rPr>
            </w:pPr>
            <w:r>
              <w:rPr>
                <w:sz w:val="21"/>
                <w:szCs w:val="21"/>
                <w:highlight w:val="none"/>
              </w:rPr>
              <w:t>第1次</w:t>
            </w:r>
          </w:p>
        </w:tc>
        <w:tc>
          <w:tcPr>
            <w:tcW w:w="498" w:type="pct"/>
            <w:noWrap w:val="0"/>
            <w:vAlign w:val="center"/>
          </w:tcPr>
          <w:p w14:paraId="6FB6E244">
            <w:pPr>
              <w:kinsoku w:val="0"/>
              <w:overflowPunct w:val="0"/>
              <w:autoSpaceDE w:val="0"/>
              <w:autoSpaceDN w:val="0"/>
              <w:adjustRightInd w:val="0"/>
              <w:jc w:val="center"/>
              <w:rPr>
                <w:sz w:val="21"/>
                <w:szCs w:val="21"/>
                <w:highlight w:val="none"/>
              </w:rPr>
            </w:pPr>
            <w:r>
              <w:rPr>
                <w:sz w:val="21"/>
                <w:szCs w:val="21"/>
                <w:highlight w:val="none"/>
              </w:rPr>
              <w:t>第2次</w:t>
            </w:r>
          </w:p>
        </w:tc>
        <w:tc>
          <w:tcPr>
            <w:tcW w:w="407" w:type="pct"/>
            <w:noWrap w:val="0"/>
            <w:vAlign w:val="center"/>
          </w:tcPr>
          <w:p w14:paraId="27FD5E34">
            <w:pPr>
              <w:kinsoku w:val="0"/>
              <w:overflowPunct w:val="0"/>
              <w:autoSpaceDE w:val="0"/>
              <w:autoSpaceDN w:val="0"/>
              <w:adjustRightInd w:val="0"/>
              <w:jc w:val="center"/>
              <w:rPr>
                <w:sz w:val="21"/>
                <w:szCs w:val="21"/>
                <w:highlight w:val="none"/>
              </w:rPr>
            </w:pPr>
            <w:r>
              <w:rPr>
                <w:sz w:val="21"/>
                <w:szCs w:val="21"/>
                <w:highlight w:val="none"/>
              </w:rPr>
              <w:t>第3次</w:t>
            </w:r>
          </w:p>
        </w:tc>
        <w:tc>
          <w:tcPr>
            <w:tcW w:w="481" w:type="pct"/>
            <w:noWrap w:val="0"/>
            <w:vAlign w:val="center"/>
          </w:tcPr>
          <w:p w14:paraId="21BC95B1">
            <w:pPr>
              <w:kinsoku w:val="0"/>
              <w:overflowPunct w:val="0"/>
              <w:autoSpaceDE w:val="0"/>
              <w:autoSpaceDN w:val="0"/>
              <w:adjustRightInd w:val="0"/>
              <w:jc w:val="center"/>
              <w:rPr>
                <w:sz w:val="21"/>
                <w:szCs w:val="21"/>
                <w:highlight w:val="none"/>
              </w:rPr>
            </w:pPr>
            <w:r>
              <w:rPr>
                <w:sz w:val="21"/>
                <w:szCs w:val="21"/>
                <w:highlight w:val="none"/>
              </w:rPr>
              <w:t>第4次</w:t>
            </w:r>
          </w:p>
        </w:tc>
        <w:tc>
          <w:tcPr>
            <w:tcW w:w="427" w:type="pct"/>
            <w:noWrap w:val="0"/>
            <w:vAlign w:val="center"/>
          </w:tcPr>
          <w:p w14:paraId="4B0B9951">
            <w:pPr>
              <w:kinsoku w:val="0"/>
              <w:overflowPunct w:val="0"/>
              <w:autoSpaceDE w:val="0"/>
              <w:autoSpaceDN w:val="0"/>
              <w:adjustRightInd w:val="0"/>
              <w:jc w:val="center"/>
              <w:rPr>
                <w:sz w:val="21"/>
                <w:szCs w:val="21"/>
                <w:highlight w:val="none"/>
              </w:rPr>
            </w:pPr>
            <w:r>
              <w:rPr>
                <w:sz w:val="21"/>
                <w:szCs w:val="21"/>
                <w:highlight w:val="none"/>
              </w:rPr>
              <w:t>第1次</w:t>
            </w:r>
          </w:p>
        </w:tc>
        <w:tc>
          <w:tcPr>
            <w:tcW w:w="372" w:type="pct"/>
            <w:noWrap w:val="0"/>
            <w:vAlign w:val="center"/>
          </w:tcPr>
          <w:p w14:paraId="298DAC98">
            <w:pPr>
              <w:kinsoku w:val="0"/>
              <w:overflowPunct w:val="0"/>
              <w:autoSpaceDE w:val="0"/>
              <w:autoSpaceDN w:val="0"/>
              <w:adjustRightInd w:val="0"/>
              <w:jc w:val="center"/>
              <w:rPr>
                <w:sz w:val="21"/>
                <w:szCs w:val="21"/>
                <w:highlight w:val="none"/>
              </w:rPr>
            </w:pPr>
            <w:r>
              <w:rPr>
                <w:sz w:val="21"/>
                <w:szCs w:val="21"/>
                <w:highlight w:val="none"/>
              </w:rPr>
              <w:t>第2次</w:t>
            </w:r>
          </w:p>
        </w:tc>
        <w:tc>
          <w:tcPr>
            <w:tcW w:w="481" w:type="pct"/>
            <w:noWrap w:val="0"/>
            <w:vAlign w:val="center"/>
          </w:tcPr>
          <w:p w14:paraId="55124150">
            <w:pPr>
              <w:kinsoku w:val="0"/>
              <w:overflowPunct w:val="0"/>
              <w:autoSpaceDE w:val="0"/>
              <w:autoSpaceDN w:val="0"/>
              <w:adjustRightInd w:val="0"/>
              <w:jc w:val="center"/>
              <w:rPr>
                <w:sz w:val="21"/>
                <w:szCs w:val="21"/>
                <w:highlight w:val="none"/>
              </w:rPr>
            </w:pPr>
            <w:r>
              <w:rPr>
                <w:sz w:val="21"/>
                <w:szCs w:val="21"/>
                <w:highlight w:val="none"/>
              </w:rPr>
              <w:t>第3次</w:t>
            </w:r>
          </w:p>
        </w:tc>
        <w:tc>
          <w:tcPr>
            <w:tcW w:w="427" w:type="pct"/>
            <w:noWrap w:val="0"/>
            <w:vAlign w:val="center"/>
          </w:tcPr>
          <w:p w14:paraId="3B3438D4">
            <w:pPr>
              <w:kinsoku w:val="0"/>
              <w:overflowPunct w:val="0"/>
              <w:autoSpaceDE w:val="0"/>
              <w:autoSpaceDN w:val="0"/>
              <w:adjustRightInd w:val="0"/>
              <w:jc w:val="center"/>
              <w:rPr>
                <w:sz w:val="21"/>
                <w:szCs w:val="21"/>
                <w:highlight w:val="none"/>
              </w:rPr>
            </w:pPr>
            <w:r>
              <w:rPr>
                <w:sz w:val="21"/>
                <w:szCs w:val="21"/>
                <w:highlight w:val="none"/>
              </w:rPr>
              <w:t>第4次</w:t>
            </w:r>
          </w:p>
        </w:tc>
        <w:tc>
          <w:tcPr>
            <w:tcW w:w="566" w:type="pct"/>
            <w:noWrap w:val="0"/>
            <w:vAlign w:val="center"/>
          </w:tcPr>
          <w:p w14:paraId="07A92AC2">
            <w:pPr>
              <w:kinsoku w:val="0"/>
              <w:overflowPunct w:val="0"/>
              <w:autoSpaceDE w:val="0"/>
              <w:autoSpaceDN w:val="0"/>
              <w:adjustRightInd w:val="0"/>
              <w:jc w:val="center"/>
              <w:rPr>
                <w:sz w:val="21"/>
                <w:szCs w:val="21"/>
                <w:highlight w:val="none"/>
              </w:rPr>
            </w:pPr>
            <w:r>
              <w:rPr>
                <w:sz w:val="21"/>
                <w:szCs w:val="21"/>
                <w:highlight w:val="none"/>
              </w:rPr>
              <w:t>标准值</w:t>
            </w:r>
          </w:p>
        </w:tc>
      </w:tr>
      <w:tr w14:paraId="337B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exact"/>
          <w:jc w:val="center"/>
        </w:trPr>
        <w:tc>
          <w:tcPr>
            <w:tcW w:w="816" w:type="pct"/>
            <w:noWrap w:val="0"/>
            <w:vAlign w:val="center"/>
          </w:tcPr>
          <w:p w14:paraId="6D62691A">
            <w:pPr>
              <w:kinsoku w:val="0"/>
              <w:overflowPunct w:val="0"/>
              <w:autoSpaceDE w:val="0"/>
              <w:autoSpaceDN w:val="0"/>
              <w:adjustRightInd w:val="0"/>
              <w:jc w:val="center"/>
              <w:rPr>
                <w:sz w:val="21"/>
                <w:szCs w:val="21"/>
                <w:highlight w:val="none"/>
              </w:rPr>
            </w:pPr>
            <w:r>
              <w:rPr>
                <w:sz w:val="21"/>
                <w:szCs w:val="21"/>
                <w:highlight w:val="none"/>
              </w:rPr>
              <w:t>p</w:t>
            </w:r>
            <w:r>
              <w:rPr>
                <w:spacing w:val="-1"/>
                <w:sz w:val="21"/>
                <w:szCs w:val="21"/>
                <w:highlight w:val="none"/>
              </w:rPr>
              <w:t>H</w:t>
            </w:r>
            <w:r>
              <w:rPr>
                <w:rFonts w:hint="eastAsia"/>
                <w:spacing w:val="1"/>
                <w:sz w:val="21"/>
                <w:szCs w:val="21"/>
                <w:highlight w:val="none"/>
                <w:lang w:eastAsia="zh-CN"/>
              </w:rPr>
              <w:t>（</w:t>
            </w:r>
            <w:r>
              <w:rPr>
                <w:sz w:val="21"/>
                <w:szCs w:val="21"/>
                <w:highlight w:val="none"/>
              </w:rPr>
              <w:t>无量纲</w:t>
            </w:r>
            <w:r>
              <w:rPr>
                <w:rFonts w:hint="eastAsia"/>
                <w:spacing w:val="1"/>
                <w:sz w:val="21"/>
                <w:szCs w:val="21"/>
                <w:highlight w:val="none"/>
                <w:lang w:eastAsia="zh-CN"/>
              </w:rPr>
              <w:t>）</w:t>
            </w:r>
          </w:p>
        </w:tc>
        <w:tc>
          <w:tcPr>
            <w:tcW w:w="519" w:type="pct"/>
            <w:noWrap w:val="0"/>
            <w:vAlign w:val="center"/>
          </w:tcPr>
          <w:p w14:paraId="0482DD54">
            <w:pPr>
              <w:kinsoku w:val="0"/>
              <w:overflowPunct w:val="0"/>
              <w:autoSpaceDE w:val="0"/>
              <w:autoSpaceDN w:val="0"/>
              <w:adjustRightInd w:val="0"/>
              <w:jc w:val="center"/>
              <w:rPr>
                <w:sz w:val="21"/>
                <w:szCs w:val="21"/>
                <w:highlight w:val="none"/>
              </w:rPr>
            </w:pPr>
            <w:r>
              <w:rPr>
                <w:spacing w:val="1"/>
                <w:sz w:val="21"/>
                <w:szCs w:val="21"/>
                <w:highlight w:val="none"/>
              </w:rPr>
              <w:t>6</w:t>
            </w:r>
            <w:r>
              <w:rPr>
                <w:sz w:val="21"/>
                <w:szCs w:val="21"/>
                <w:highlight w:val="none"/>
              </w:rPr>
              <w:t>.</w:t>
            </w:r>
            <w:r>
              <w:rPr>
                <w:spacing w:val="1"/>
                <w:sz w:val="21"/>
                <w:szCs w:val="21"/>
                <w:highlight w:val="none"/>
              </w:rPr>
              <w:t>1</w:t>
            </w:r>
            <w:r>
              <w:rPr>
                <w:sz w:val="21"/>
                <w:szCs w:val="21"/>
                <w:highlight w:val="none"/>
              </w:rPr>
              <w:t>9</w:t>
            </w:r>
          </w:p>
        </w:tc>
        <w:tc>
          <w:tcPr>
            <w:tcW w:w="498" w:type="pct"/>
            <w:noWrap w:val="0"/>
            <w:vAlign w:val="center"/>
          </w:tcPr>
          <w:p w14:paraId="09E7A761">
            <w:pPr>
              <w:kinsoku w:val="0"/>
              <w:overflowPunct w:val="0"/>
              <w:autoSpaceDE w:val="0"/>
              <w:autoSpaceDN w:val="0"/>
              <w:adjustRightInd w:val="0"/>
              <w:jc w:val="center"/>
              <w:rPr>
                <w:sz w:val="21"/>
                <w:szCs w:val="21"/>
                <w:highlight w:val="none"/>
              </w:rPr>
            </w:pPr>
            <w:r>
              <w:rPr>
                <w:spacing w:val="1"/>
                <w:sz w:val="21"/>
                <w:szCs w:val="21"/>
                <w:highlight w:val="none"/>
              </w:rPr>
              <w:t>6</w:t>
            </w:r>
            <w:r>
              <w:rPr>
                <w:sz w:val="21"/>
                <w:szCs w:val="21"/>
                <w:highlight w:val="none"/>
              </w:rPr>
              <w:t>.</w:t>
            </w:r>
            <w:r>
              <w:rPr>
                <w:spacing w:val="1"/>
                <w:sz w:val="21"/>
                <w:szCs w:val="21"/>
                <w:highlight w:val="none"/>
              </w:rPr>
              <w:t>1</w:t>
            </w:r>
            <w:r>
              <w:rPr>
                <w:sz w:val="21"/>
                <w:szCs w:val="21"/>
                <w:highlight w:val="none"/>
              </w:rPr>
              <w:t>6</w:t>
            </w:r>
          </w:p>
        </w:tc>
        <w:tc>
          <w:tcPr>
            <w:tcW w:w="407" w:type="pct"/>
            <w:noWrap w:val="0"/>
            <w:vAlign w:val="center"/>
          </w:tcPr>
          <w:p w14:paraId="05A40016">
            <w:pPr>
              <w:kinsoku w:val="0"/>
              <w:overflowPunct w:val="0"/>
              <w:autoSpaceDE w:val="0"/>
              <w:autoSpaceDN w:val="0"/>
              <w:adjustRightInd w:val="0"/>
              <w:jc w:val="center"/>
              <w:rPr>
                <w:sz w:val="21"/>
                <w:szCs w:val="21"/>
                <w:highlight w:val="none"/>
              </w:rPr>
            </w:pPr>
            <w:r>
              <w:rPr>
                <w:sz w:val="21"/>
                <w:szCs w:val="21"/>
                <w:highlight w:val="none"/>
              </w:rPr>
              <w:t>6.22</w:t>
            </w:r>
          </w:p>
        </w:tc>
        <w:tc>
          <w:tcPr>
            <w:tcW w:w="481" w:type="pct"/>
            <w:noWrap w:val="0"/>
            <w:vAlign w:val="center"/>
          </w:tcPr>
          <w:p w14:paraId="40A88281">
            <w:pPr>
              <w:kinsoku w:val="0"/>
              <w:overflowPunct w:val="0"/>
              <w:autoSpaceDE w:val="0"/>
              <w:autoSpaceDN w:val="0"/>
              <w:adjustRightInd w:val="0"/>
              <w:jc w:val="center"/>
              <w:rPr>
                <w:sz w:val="21"/>
                <w:szCs w:val="21"/>
                <w:highlight w:val="none"/>
              </w:rPr>
            </w:pPr>
            <w:r>
              <w:rPr>
                <w:sz w:val="21"/>
                <w:szCs w:val="21"/>
                <w:highlight w:val="none"/>
              </w:rPr>
              <w:t>6.20</w:t>
            </w:r>
          </w:p>
        </w:tc>
        <w:tc>
          <w:tcPr>
            <w:tcW w:w="427" w:type="pct"/>
            <w:noWrap w:val="0"/>
            <w:vAlign w:val="center"/>
          </w:tcPr>
          <w:p w14:paraId="6F63CC1A">
            <w:pPr>
              <w:kinsoku w:val="0"/>
              <w:overflowPunct w:val="0"/>
              <w:autoSpaceDE w:val="0"/>
              <w:autoSpaceDN w:val="0"/>
              <w:adjustRightInd w:val="0"/>
              <w:jc w:val="center"/>
              <w:rPr>
                <w:sz w:val="21"/>
                <w:szCs w:val="21"/>
                <w:highlight w:val="none"/>
              </w:rPr>
            </w:pPr>
            <w:r>
              <w:rPr>
                <w:sz w:val="21"/>
                <w:szCs w:val="21"/>
                <w:highlight w:val="none"/>
              </w:rPr>
              <w:t>5.98</w:t>
            </w:r>
          </w:p>
        </w:tc>
        <w:tc>
          <w:tcPr>
            <w:tcW w:w="372" w:type="pct"/>
            <w:noWrap w:val="0"/>
            <w:vAlign w:val="center"/>
          </w:tcPr>
          <w:p w14:paraId="02E9D37B">
            <w:pPr>
              <w:kinsoku w:val="0"/>
              <w:overflowPunct w:val="0"/>
              <w:autoSpaceDE w:val="0"/>
              <w:autoSpaceDN w:val="0"/>
              <w:adjustRightInd w:val="0"/>
              <w:jc w:val="center"/>
              <w:rPr>
                <w:sz w:val="21"/>
                <w:szCs w:val="21"/>
                <w:highlight w:val="none"/>
              </w:rPr>
            </w:pPr>
            <w:r>
              <w:rPr>
                <w:sz w:val="21"/>
                <w:szCs w:val="21"/>
                <w:highlight w:val="none"/>
              </w:rPr>
              <w:t>5.96</w:t>
            </w:r>
          </w:p>
        </w:tc>
        <w:tc>
          <w:tcPr>
            <w:tcW w:w="481" w:type="pct"/>
            <w:noWrap w:val="0"/>
            <w:vAlign w:val="center"/>
          </w:tcPr>
          <w:p w14:paraId="58A6A2B3">
            <w:pPr>
              <w:kinsoku w:val="0"/>
              <w:overflowPunct w:val="0"/>
              <w:autoSpaceDE w:val="0"/>
              <w:autoSpaceDN w:val="0"/>
              <w:adjustRightInd w:val="0"/>
              <w:jc w:val="center"/>
              <w:rPr>
                <w:sz w:val="21"/>
                <w:szCs w:val="21"/>
                <w:highlight w:val="none"/>
              </w:rPr>
            </w:pPr>
            <w:r>
              <w:rPr>
                <w:sz w:val="21"/>
                <w:szCs w:val="21"/>
                <w:highlight w:val="none"/>
              </w:rPr>
              <w:t>6.00</w:t>
            </w:r>
          </w:p>
        </w:tc>
        <w:tc>
          <w:tcPr>
            <w:tcW w:w="427" w:type="pct"/>
            <w:noWrap w:val="0"/>
            <w:vAlign w:val="center"/>
          </w:tcPr>
          <w:p w14:paraId="23F8E2CB">
            <w:pPr>
              <w:kinsoku w:val="0"/>
              <w:overflowPunct w:val="0"/>
              <w:autoSpaceDE w:val="0"/>
              <w:autoSpaceDN w:val="0"/>
              <w:adjustRightInd w:val="0"/>
              <w:jc w:val="center"/>
              <w:rPr>
                <w:sz w:val="21"/>
                <w:szCs w:val="21"/>
                <w:highlight w:val="none"/>
              </w:rPr>
            </w:pPr>
            <w:r>
              <w:rPr>
                <w:sz w:val="21"/>
                <w:szCs w:val="21"/>
                <w:highlight w:val="none"/>
              </w:rPr>
              <w:t>5.97</w:t>
            </w:r>
          </w:p>
        </w:tc>
        <w:tc>
          <w:tcPr>
            <w:tcW w:w="566" w:type="pct"/>
            <w:noWrap w:val="0"/>
            <w:vAlign w:val="center"/>
          </w:tcPr>
          <w:p w14:paraId="568CE287">
            <w:pPr>
              <w:kinsoku w:val="0"/>
              <w:overflowPunct w:val="0"/>
              <w:autoSpaceDE w:val="0"/>
              <w:autoSpaceDN w:val="0"/>
              <w:adjustRightInd w:val="0"/>
              <w:jc w:val="center"/>
              <w:rPr>
                <w:sz w:val="21"/>
                <w:szCs w:val="21"/>
                <w:highlight w:val="none"/>
              </w:rPr>
            </w:pPr>
            <w:r>
              <w:rPr>
                <w:sz w:val="21"/>
                <w:szCs w:val="21"/>
                <w:highlight w:val="none"/>
              </w:rPr>
              <w:t>6~9</w:t>
            </w:r>
          </w:p>
        </w:tc>
      </w:tr>
      <w:tr w14:paraId="22A6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exact"/>
          <w:jc w:val="center"/>
        </w:trPr>
        <w:tc>
          <w:tcPr>
            <w:tcW w:w="816" w:type="pct"/>
            <w:noWrap w:val="0"/>
            <w:vAlign w:val="center"/>
          </w:tcPr>
          <w:p w14:paraId="18DDEB22">
            <w:pPr>
              <w:kinsoku w:val="0"/>
              <w:overflowPunct w:val="0"/>
              <w:autoSpaceDE w:val="0"/>
              <w:autoSpaceDN w:val="0"/>
              <w:adjustRightInd w:val="0"/>
              <w:jc w:val="center"/>
              <w:rPr>
                <w:sz w:val="21"/>
                <w:szCs w:val="21"/>
                <w:highlight w:val="none"/>
              </w:rPr>
            </w:pPr>
            <w:r>
              <w:rPr>
                <w:spacing w:val="-1"/>
                <w:sz w:val="21"/>
                <w:szCs w:val="21"/>
                <w:highlight w:val="none"/>
              </w:rPr>
              <w:t>水</w:t>
            </w:r>
            <w:r>
              <w:rPr>
                <w:spacing w:val="2"/>
                <w:sz w:val="21"/>
                <w:szCs w:val="21"/>
                <w:highlight w:val="none"/>
              </w:rPr>
              <w:t>温（</w:t>
            </w:r>
            <w:r>
              <w:rPr>
                <w:spacing w:val="-1"/>
                <w:sz w:val="21"/>
                <w:szCs w:val="21"/>
                <w:highlight w:val="none"/>
              </w:rPr>
              <w:t>℃</w:t>
            </w:r>
            <w:r>
              <w:rPr>
                <w:sz w:val="21"/>
                <w:szCs w:val="21"/>
                <w:highlight w:val="none"/>
              </w:rPr>
              <w:t>）</w:t>
            </w:r>
          </w:p>
        </w:tc>
        <w:tc>
          <w:tcPr>
            <w:tcW w:w="519" w:type="pct"/>
            <w:noWrap w:val="0"/>
            <w:vAlign w:val="center"/>
          </w:tcPr>
          <w:p w14:paraId="76F0650D">
            <w:pPr>
              <w:kinsoku w:val="0"/>
              <w:overflowPunct w:val="0"/>
              <w:autoSpaceDE w:val="0"/>
              <w:autoSpaceDN w:val="0"/>
              <w:adjustRightInd w:val="0"/>
              <w:jc w:val="center"/>
              <w:rPr>
                <w:sz w:val="21"/>
                <w:szCs w:val="21"/>
                <w:highlight w:val="none"/>
              </w:rPr>
            </w:pPr>
            <w:r>
              <w:rPr>
                <w:spacing w:val="1"/>
                <w:sz w:val="21"/>
                <w:szCs w:val="21"/>
                <w:highlight w:val="none"/>
              </w:rPr>
              <w:t>29</w:t>
            </w:r>
            <w:r>
              <w:rPr>
                <w:sz w:val="21"/>
                <w:szCs w:val="21"/>
                <w:highlight w:val="none"/>
              </w:rPr>
              <w:t>.5</w:t>
            </w:r>
          </w:p>
        </w:tc>
        <w:tc>
          <w:tcPr>
            <w:tcW w:w="498" w:type="pct"/>
            <w:noWrap w:val="0"/>
            <w:vAlign w:val="center"/>
          </w:tcPr>
          <w:p w14:paraId="1DE97B32">
            <w:pPr>
              <w:kinsoku w:val="0"/>
              <w:overflowPunct w:val="0"/>
              <w:autoSpaceDE w:val="0"/>
              <w:autoSpaceDN w:val="0"/>
              <w:adjustRightInd w:val="0"/>
              <w:jc w:val="center"/>
              <w:rPr>
                <w:sz w:val="21"/>
                <w:szCs w:val="21"/>
                <w:highlight w:val="none"/>
              </w:rPr>
            </w:pPr>
            <w:r>
              <w:rPr>
                <w:spacing w:val="1"/>
                <w:sz w:val="21"/>
                <w:szCs w:val="21"/>
                <w:highlight w:val="none"/>
              </w:rPr>
              <w:t>30</w:t>
            </w:r>
            <w:r>
              <w:rPr>
                <w:sz w:val="21"/>
                <w:szCs w:val="21"/>
                <w:highlight w:val="none"/>
              </w:rPr>
              <w:t>.1</w:t>
            </w:r>
          </w:p>
        </w:tc>
        <w:tc>
          <w:tcPr>
            <w:tcW w:w="407" w:type="pct"/>
            <w:noWrap w:val="0"/>
            <w:vAlign w:val="center"/>
          </w:tcPr>
          <w:p w14:paraId="6ED38458">
            <w:pPr>
              <w:kinsoku w:val="0"/>
              <w:overflowPunct w:val="0"/>
              <w:autoSpaceDE w:val="0"/>
              <w:autoSpaceDN w:val="0"/>
              <w:adjustRightInd w:val="0"/>
              <w:jc w:val="center"/>
              <w:rPr>
                <w:sz w:val="21"/>
                <w:szCs w:val="21"/>
                <w:highlight w:val="none"/>
              </w:rPr>
            </w:pPr>
            <w:r>
              <w:rPr>
                <w:sz w:val="21"/>
                <w:szCs w:val="21"/>
                <w:highlight w:val="none"/>
              </w:rPr>
              <w:t>29.8</w:t>
            </w:r>
          </w:p>
        </w:tc>
        <w:tc>
          <w:tcPr>
            <w:tcW w:w="481" w:type="pct"/>
            <w:noWrap w:val="0"/>
            <w:vAlign w:val="center"/>
          </w:tcPr>
          <w:p w14:paraId="7A24B41D">
            <w:pPr>
              <w:kinsoku w:val="0"/>
              <w:overflowPunct w:val="0"/>
              <w:autoSpaceDE w:val="0"/>
              <w:autoSpaceDN w:val="0"/>
              <w:adjustRightInd w:val="0"/>
              <w:jc w:val="center"/>
              <w:rPr>
                <w:sz w:val="21"/>
                <w:szCs w:val="21"/>
                <w:highlight w:val="none"/>
              </w:rPr>
            </w:pPr>
            <w:r>
              <w:rPr>
                <w:sz w:val="21"/>
                <w:szCs w:val="21"/>
                <w:highlight w:val="none"/>
              </w:rPr>
              <w:t>29.7</w:t>
            </w:r>
          </w:p>
        </w:tc>
        <w:tc>
          <w:tcPr>
            <w:tcW w:w="427" w:type="pct"/>
            <w:noWrap w:val="0"/>
            <w:vAlign w:val="center"/>
          </w:tcPr>
          <w:p w14:paraId="2446C1DC">
            <w:pPr>
              <w:kinsoku w:val="0"/>
              <w:overflowPunct w:val="0"/>
              <w:autoSpaceDE w:val="0"/>
              <w:autoSpaceDN w:val="0"/>
              <w:adjustRightInd w:val="0"/>
              <w:jc w:val="center"/>
              <w:rPr>
                <w:sz w:val="21"/>
                <w:szCs w:val="21"/>
                <w:highlight w:val="none"/>
              </w:rPr>
            </w:pPr>
            <w:r>
              <w:rPr>
                <w:sz w:val="21"/>
                <w:szCs w:val="21"/>
                <w:highlight w:val="none"/>
              </w:rPr>
              <w:t>29.1</w:t>
            </w:r>
          </w:p>
        </w:tc>
        <w:tc>
          <w:tcPr>
            <w:tcW w:w="372" w:type="pct"/>
            <w:noWrap w:val="0"/>
            <w:vAlign w:val="center"/>
          </w:tcPr>
          <w:p w14:paraId="7A1FAD86">
            <w:pPr>
              <w:kinsoku w:val="0"/>
              <w:overflowPunct w:val="0"/>
              <w:autoSpaceDE w:val="0"/>
              <w:autoSpaceDN w:val="0"/>
              <w:adjustRightInd w:val="0"/>
              <w:jc w:val="center"/>
              <w:rPr>
                <w:sz w:val="21"/>
                <w:szCs w:val="21"/>
                <w:highlight w:val="none"/>
              </w:rPr>
            </w:pPr>
            <w:r>
              <w:rPr>
                <w:sz w:val="21"/>
                <w:szCs w:val="21"/>
                <w:highlight w:val="none"/>
              </w:rPr>
              <w:t>29.2</w:t>
            </w:r>
          </w:p>
        </w:tc>
        <w:tc>
          <w:tcPr>
            <w:tcW w:w="481" w:type="pct"/>
            <w:noWrap w:val="0"/>
            <w:vAlign w:val="center"/>
          </w:tcPr>
          <w:p w14:paraId="4F574522">
            <w:pPr>
              <w:kinsoku w:val="0"/>
              <w:overflowPunct w:val="0"/>
              <w:autoSpaceDE w:val="0"/>
              <w:autoSpaceDN w:val="0"/>
              <w:adjustRightInd w:val="0"/>
              <w:jc w:val="center"/>
              <w:rPr>
                <w:sz w:val="21"/>
                <w:szCs w:val="21"/>
                <w:highlight w:val="none"/>
              </w:rPr>
            </w:pPr>
            <w:r>
              <w:rPr>
                <w:sz w:val="21"/>
                <w:szCs w:val="21"/>
                <w:highlight w:val="none"/>
              </w:rPr>
              <w:t>29.1</w:t>
            </w:r>
          </w:p>
        </w:tc>
        <w:tc>
          <w:tcPr>
            <w:tcW w:w="427" w:type="pct"/>
            <w:noWrap w:val="0"/>
            <w:vAlign w:val="center"/>
          </w:tcPr>
          <w:p w14:paraId="6B1C4B07">
            <w:pPr>
              <w:kinsoku w:val="0"/>
              <w:overflowPunct w:val="0"/>
              <w:autoSpaceDE w:val="0"/>
              <w:autoSpaceDN w:val="0"/>
              <w:adjustRightInd w:val="0"/>
              <w:jc w:val="center"/>
              <w:rPr>
                <w:sz w:val="21"/>
                <w:szCs w:val="21"/>
                <w:highlight w:val="none"/>
              </w:rPr>
            </w:pPr>
            <w:r>
              <w:rPr>
                <w:sz w:val="21"/>
                <w:szCs w:val="21"/>
                <w:highlight w:val="none"/>
              </w:rPr>
              <w:t>29.9</w:t>
            </w:r>
          </w:p>
        </w:tc>
        <w:tc>
          <w:tcPr>
            <w:tcW w:w="566" w:type="pct"/>
            <w:noWrap w:val="0"/>
            <w:vAlign w:val="center"/>
          </w:tcPr>
          <w:p w14:paraId="788D01C4">
            <w:pPr>
              <w:kinsoku w:val="0"/>
              <w:overflowPunct w:val="0"/>
              <w:autoSpaceDE w:val="0"/>
              <w:autoSpaceDN w:val="0"/>
              <w:adjustRightInd w:val="0"/>
              <w:jc w:val="center"/>
              <w:rPr>
                <w:sz w:val="21"/>
                <w:szCs w:val="21"/>
                <w:highlight w:val="none"/>
              </w:rPr>
            </w:pPr>
            <w:r>
              <w:rPr>
                <w:sz w:val="21"/>
                <w:szCs w:val="21"/>
                <w:highlight w:val="none"/>
              </w:rPr>
              <w:t>/</w:t>
            </w:r>
          </w:p>
        </w:tc>
      </w:tr>
      <w:tr w14:paraId="30D2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exact"/>
          <w:jc w:val="center"/>
        </w:trPr>
        <w:tc>
          <w:tcPr>
            <w:tcW w:w="816" w:type="pct"/>
            <w:noWrap w:val="0"/>
            <w:vAlign w:val="center"/>
          </w:tcPr>
          <w:p w14:paraId="601DB01A">
            <w:pPr>
              <w:kinsoku w:val="0"/>
              <w:overflowPunct w:val="0"/>
              <w:autoSpaceDE w:val="0"/>
              <w:autoSpaceDN w:val="0"/>
              <w:adjustRightInd w:val="0"/>
              <w:jc w:val="center"/>
              <w:rPr>
                <w:sz w:val="21"/>
                <w:szCs w:val="21"/>
                <w:highlight w:val="none"/>
              </w:rPr>
            </w:pPr>
            <w:r>
              <w:rPr>
                <w:sz w:val="21"/>
                <w:szCs w:val="21"/>
                <w:highlight w:val="none"/>
              </w:rPr>
              <w:t>色度（倍）</w:t>
            </w:r>
          </w:p>
        </w:tc>
        <w:tc>
          <w:tcPr>
            <w:tcW w:w="519" w:type="pct"/>
            <w:noWrap w:val="0"/>
            <w:vAlign w:val="center"/>
          </w:tcPr>
          <w:p w14:paraId="4BE40E4C">
            <w:pPr>
              <w:kinsoku w:val="0"/>
              <w:overflowPunct w:val="0"/>
              <w:autoSpaceDE w:val="0"/>
              <w:autoSpaceDN w:val="0"/>
              <w:adjustRightInd w:val="0"/>
              <w:jc w:val="center"/>
              <w:rPr>
                <w:sz w:val="21"/>
                <w:szCs w:val="21"/>
                <w:highlight w:val="none"/>
              </w:rPr>
            </w:pPr>
            <w:r>
              <w:rPr>
                <w:sz w:val="21"/>
                <w:szCs w:val="21"/>
                <w:highlight w:val="none"/>
              </w:rPr>
              <w:t>1</w:t>
            </w:r>
          </w:p>
        </w:tc>
        <w:tc>
          <w:tcPr>
            <w:tcW w:w="498" w:type="pct"/>
            <w:noWrap w:val="0"/>
            <w:vAlign w:val="center"/>
          </w:tcPr>
          <w:p w14:paraId="70DAD2EF">
            <w:pPr>
              <w:kinsoku w:val="0"/>
              <w:overflowPunct w:val="0"/>
              <w:autoSpaceDE w:val="0"/>
              <w:autoSpaceDN w:val="0"/>
              <w:adjustRightInd w:val="0"/>
              <w:jc w:val="center"/>
              <w:rPr>
                <w:sz w:val="21"/>
                <w:szCs w:val="21"/>
                <w:highlight w:val="none"/>
              </w:rPr>
            </w:pPr>
            <w:r>
              <w:rPr>
                <w:sz w:val="21"/>
                <w:szCs w:val="21"/>
                <w:highlight w:val="none"/>
              </w:rPr>
              <w:t>1</w:t>
            </w:r>
          </w:p>
        </w:tc>
        <w:tc>
          <w:tcPr>
            <w:tcW w:w="407" w:type="pct"/>
            <w:noWrap w:val="0"/>
            <w:vAlign w:val="center"/>
          </w:tcPr>
          <w:p w14:paraId="2E6D2833">
            <w:pPr>
              <w:kinsoku w:val="0"/>
              <w:overflowPunct w:val="0"/>
              <w:autoSpaceDE w:val="0"/>
              <w:autoSpaceDN w:val="0"/>
              <w:adjustRightInd w:val="0"/>
              <w:jc w:val="center"/>
              <w:rPr>
                <w:sz w:val="21"/>
                <w:szCs w:val="21"/>
                <w:highlight w:val="none"/>
              </w:rPr>
            </w:pPr>
            <w:r>
              <w:rPr>
                <w:sz w:val="21"/>
                <w:szCs w:val="21"/>
                <w:highlight w:val="none"/>
              </w:rPr>
              <w:t>1</w:t>
            </w:r>
          </w:p>
        </w:tc>
        <w:tc>
          <w:tcPr>
            <w:tcW w:w="481" w:type="pct"/>
            <w:noWrap w:val="0"/>
            <w:vAlign w:val="center"/>
          </w:tcPr>
          <w:p w14:paraId="1B5D9548">
            <w:pPr>
              <w:kinsoku w:val="0"/>
              <w:overflowPunct w:val="0"/>
              <w:autoSpaceDE w:val="0"/>
              <w:autoSpaceDN w:val="0"/>
              <w:adjustRightInd w:val="0"/>
              <w:jc w:val="center"/>
              <w:rPr>
                <w:sz w:val="21"/>
                <w:szCs w:val="21"/>
                <w:highlight w:val="none"/>
              </w:rPr>
            </w:pPr>
            <w:r>
              <w:rPr>
                <w:sz w:val="21"/>
                <w:szCs w:val="21"/>
                <w:highlight w:val="none"/>
              </w:rPr>
              <w:t>1</w:t>
            </w:r>
          </w:p>
        </w:tc>
        <w:tc>
          <w:tcPr>
            <w:tcW w:w="427" w:type="pct"/>
            <w:noWrap w:val="0"/>
            <w:vAlign w:val="center"/>
          </w:tcPr>
          <w:p w14:paraId="6BB667F0">
            <w:pPr>
              <w:kinsoku w:val="0"/>
              <w:overflowPunct w:val="0"/>
              <w:autoSpaceDE w:val="0"/>
              <w:autoSpaceDN w:val="0"/>
              <w:adjustRightInd w:val="0"/>
              <w:jc w:val="center"/>
              <w:rPr>
                <w:sz w:val="21"/>
                <w:szCs w:val="21"/>
                <w:highlight w:val="none"/>
              </w:rPr>
            </w:pPr>
            <w:r>
              <w:rPr>
                <w:sz w:val="21"/>
                <w:szCs w:val="21"/>
                <w:highlight w:val="none"/>
              </w:rPr>
              <w:t>1</w:t>
            </w:r>
          </w:p>
        </w:tc>
        <w:tc>
          <w:tcPr>
            <w:tcW w:w="372" w:type="pct"/>
            <w:noWrap w:val="0"/>
            <w:vAlign w:val="center"/>
          </w:tcPr>
          <w:p w14:paraId="6233527D">
            <w:pPr>
              <w:kinsoku w:val="0"/>
              <w:overflowPunct w:val="0"/>
              <w:autoSpaceDE w:val="0"/>
              <w:autoSpaceDN w:val="0"/>
              <w:adjustRightInd w:val="0"/>
              <w:jc w:val="center"/>
              <w:rPr>
                <w:sz w:val="21"/>
                <w:szCs w:val="21"/>
                <w:highlight w:val="none"/>
              </w:rPr>
            </w:pPr>
            <w:r>
              <w:rPr>
                <w:sz w:val="21"/>
                <w:szCs w:val="21"/>
                <w:highlight w:val="none"/>
              </w:rPr>
              <w:t>1</w:t>
            </w:r>
          </w:p>
        </w:tc>
        <w:tc>
          <w:tcPr>
            <w:tcW w:w="481" w:type="pct"/>
            <w:noWrap w:val="0"/>
            <w:vAlign w:val="center"/>
          </w:tcPr>
          <w:p w14:paraId="0F0A5EEF">
            <w:pPr>
              <w:kinsoku w:val="0"/>
              <w:overflowPunct w:val="0"/>
              <w:autoSpaceDE w:val="0"/>
              <w:autoSpaceDN w:val="0"/>
              <w:adjustRightInd w:val="0"/>
              <w:jc w:val="center"/>
              <w:rPr>
                <w:sz w:val="21"/>
                <w:szCs w:val="21"/>
                <w:highlight w:val="none"/>
              </w:rPr>
            </w:pPr>
            <w:r>
              <w:rPr>
                <w:sz w:val="21"/>
                <w:szCs w:val="21"/>
                <w:highlight w:val="none"/>
              </w:rPr>
              <w:t>1</w:t>
            </w:r>
          </w:p>
        </w:tc>
        <w:tc>
          <w:tcPr>
            <w:tcW w:w="427" w:type="pct"/>
            <w:noWrap w:val="0"/>
            <w:vAlign w:val="center"/>
          </w:tcPr>
          <w:p w14:paraId="06D8C8C9">
            <w:pPr>
              <w:kinsoku w:val="0"/>
              <w:overflowPunct w:val="0"/>
              <w:autoSpaceDE w:val="0"/>
              <w:autoSpaceDN w:val="0"/>
              <w:adjustRightInd w:val="0"/>
              <w:jc w:val="center"/>
              <w:rPr>
                <w:sz w:val="21"/>
                <w:szCs w:val="21"/>
                <w:highlight w:val="none"/>
              </w:rPr>
            </w:pPr>
            <w:r>
              <w:rPr>
                <w:sz w:val="21"/>
                <w:szCs w:val="21"/>
                <w:highlight w:val="none"/>
              </w:rPr>
              <w:t>1</w:t>
            </w:r>
          </w:p>
        </w:tc>
        <w:tc>
          <w:tcPr>
            <w:tcW w:w="566" w:type="pct"/>
            <w:noWrap w:val="0"/>
            <w:vAlign w:val="center"/>
          </w:tcPr>
          <w:p w14:paraId="6A055B52">
            <w:pPr>
              <w:kinsoku w:val="0"/>
              <w:overflowPunct w:val="0"/>
              <w:autoSpaceDE w:val="0"/>
              <w:autoSpaceDN w:val="0"/>
              <w:adjustRightInd w:val="0"/>
              <w:jc w:val="center"/>
              <w:rPr>
                <w:sz w:val="21"/>
                <w:szCs w:val="21"/>
                <w:highlight w:val="none"/>
              </w:rPr>
            </w:pPr>
            <w:r>
              <w:rPr>
                <w:sz w:val="21"/>
                <w:szCs w:val="21"/>
                <w:highlight w:val="none"/>
              </w:rPr>
              <w:t>80</w:t>
            </w:r>
          </w:p>
        </w:tc>
      </w:tr>
      <w:tr w14:paraId="3208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exact"/>
          <w:jc w:val="center"/>
        </w:trPr>
        <w:tc>
          <w:tcPr>
            <w:tcW w:w="816" w:type="pct"/>
            <w:noWrap w:val="0"/>
            <w:vAlign w:val="center"/>
          </w:tcPr>
          <w:p w14:paraId="0729E227">
            <w:pPr>
              <w:kinsoku w:val="0"/>
              <w:overflowPunct w:val="0"/>
              <w:autoSpaceDE w:val="0"/>
              <w:autoSpaceDN w:val="0"/>
              <w:adjustRightInd w:val="0"/>
              <w:jc w:val="center"/>
              <w:rPr>
                <w:sz w:val="21"/>
                <w:szCs w:val="21"/>
                <w:highlight w:val="none"/>
              </w:rPr>
            </w:pPr>
            <w:r>
              <w:rPr>
                <w:sz w:val="21"/>
                <w:szCs w:val="21"/>
                <w:highlight w:val="none"/>
              </w:rPr>
              <w:t>悬浮物</w:t>
            </w:r>
          </w:p>
        </w:tc>
        <w:tc>
          <w:tcPr>
            <w:tcW w:w="519" w:type="pct"/>
            <w:noWrap w:val="0"/>
            <w:vAlign w:val="center"/>
          </w:tcPr>
          <w:p w14:paraId="14FA1C80">
            <w:pPr>
              <w:kinsoku w:val="0"/>
              <w:overflowPunct w:val="0"/>
              <w:autoSpaceDE w:val="0"/>
              <w:autoSpaceDN w:val="0"/>
              <w:adjustRightInd w:val="0"/>
              <w:jc w:val="center"/>
              <w:rPr>
                <w:sz w:val="21"/>
                <w:szCs w:val="21"/>
                <w:highlight w:val="none"/>
              </w:rPr>
            </w:pPr>
            <w:r>
              <w:rPr>
                <w:spacing w:val="1"/>
                <w:sz w:val="21"/>
                <w:szCs w:val="21"/>
                <w:highlight w:val="none"/>
              </w:rPr>
              <w:t>3</w:t>
            </w:r>
            <w:r>
              <w:rPr>
                <w:sz w:val="21"/>
                <w:szCs w:val="21"/>
                <w:highlight w:val="none"/>
              </w:rPr>
              <w:t>3</w:t>
            </w:r>
          </w:p>
        </w:tc>
        <w:tc>
          <w:tcPr>
            <w:tcW w:w="498" w:type="pct"/>
            <w:noWrap w:val="0"/>
            <w:vAlign w:val="center"/>
          </w:tcPr>
          <w:p w14:paraId="71BAC46D">
            <w:pPr>
              <w:kinsoku w:val="0"/>
              <w:overflowPunct w:val="0"/>
              <w:autoSpaceDE w:val="0"/>
              <w:autoSpaceDN w:val="0"/>
              <w:adjustRightInd w:val="0"/>
              <w:jc w:val="center"/>
              <w:rPr>
                <w:sz w:val="21"/>
                <w:szCs w:val="21"/>
                <w:highlight w:val="none"/>
              </w:rPr>
            </w:pPr>
            <w:r>
              <w:rPr>
                <w:spacing w:val="1"/>
                <w:sz w:val="21"/>
                <w:szCs w:val="21"/>
                <w:highlight w:val="none"/>
              </w:rPr>
              <w:t>2</w:t>
            </w:r>
            <w:r>
              <w:rPr>
                <w:sz w:val="21"/>
                <w:szCs w:val="21"/>
                <w:highlight w:val="none"/>
              </w:rPr>
              <w:t>6</w:t>
            </w:r>
          </w:p>
        </w:tc>
        <w:tc>
          <w:tcPr>
            <w:tcW w:w="407" w:type="pct"/>
            <w:noWrap w:val="0"/>
            <w:vAlign w:val="center"/>
          </w:tcPr>
          <w:p w14:paraId="3E012C3B">
            <w:pPr>
              <w:kinsoku w:val="0"/>
              <w:overflowPunct w:val="0"/>
              <w:autoSpaceDE w:val="0"/>
              <w:autoSpaceDN w:val="0"/>
              <w:adjustRightInd w:val="0"/>
              <w:jc w:val="center"/>
              <w:rPr>
                <w:sz w:val="21"/>
                <w:szCs w:val="21"/>
                <w:highlight w:val="none"/>
              </w:rPr>
            </w:pPr>
            <w:r>
              <w:rPr>
                <w:sz w:val="21"/>
                <w:szCs w:val="21"/>
                <w:highlight w:val="none"/>
              </w:rPr>
              <w:t>30</w:t>
            </w:r>
          </w:p>
        </w:tc>
        <w:tc>
          <w:tcPr>
            <w:tcW w:w="481" w:type="pct"/>
            <w:noWrap w:val="0"/>
            <w:vAlign w:val="center"/>
          </w:tcPr>
          <w:p w14:paraId="7F736F35">
            <w:pPr>
              <w:kinsoku w:val="0"/>
              <w:overflowPunct w:val="0"/>
              <w:autoSpaceDE w:val="0"/>
              <w:autoSpaceDN w:val="0"/>
              <w:adjustRightInd w:val="0"/>
              <w:jc w:val="center"/>
              <w:rPr>
                <w:sz w:val="21"/>
                <w:szCs w:val="21"/>
                <w:highlight w:val="none"/>
              </w:rPr>
            </w:pPr>
            <w:r>
              <w:rPr>
                <w:sz w:val="21"/>
                <w:szCs w:val="21"/>
                <w:highlight w:val="none"/>
              </w:rPr>
              <w:t>40</w:t>
            </w:r>
          </w:p>
        </w:tc>
        <w:tc>
          <w:tcPr>
            <w:tcW w:w="427" w:type="pct"/>
            <w:noWrap w:val="0"/>
            <w:vAlign w:val="center"/>
          </w:tcPr>
          <w:p w14:paraId="3E3AF5AE">
            <w:pPr>
              <w:kinsoku w:val="0"/>
              <w:overflowPunct w:val="0"/>
              <w:autoSpaceDE w:val="0"/>
              <w:autoSpaceDN w:val="0"/>
              <w:adjustRightInd w:val="0"/>
              <w:jc w:val="center"/>
              <w:rPr>
                <w:sz w:val="21"/>
                <w:szCs w:val="21"/>
                <w:highlight w:val="none"/>
              </w:rPr>
            </w:pPr>
            <w:r>
              <w:rPr>
                <w:sz w:val="21"/>
                <w:szCs w:val="21"/>
                <w:highlight w:val="none"/>
              </w:rPr>
              <w:t>31</w:t>
            </w:r>
          </w:p>
        </w:tc>
        <w:tc>
          <w:tcPr>
            <w:tcW w:w="372" w:type="pct"/>
            <w:noWrap w:val="0"/>
            <w:vAlign w:val="center"/>
          </w:tcPr>
          <w:p w14:paraId="1588958A">
            <w:pPr>
              <w:kinsoku w:val="0"/>
              <w:overflowPunct w:val="0"/>
              <w:autoSpaceDE w:val="0"/>
              <w:autoSpaceDN w:val="0"/>
              <w:adjustRightInd w:val="0"/>
              <w:jc w:val="center"/>
              <w:rPr>
                <w:sz w:val="21"/>
                <w:szCs w:val="21"/>
                <w:highlight w:val="none"/>
              </w:rPr>
            </w:pPr>
            <w:r>
              <w:rPr>
                <w:sz w:val="21"/>
                <w:szCs w:val="21"/>
                <w:highlight w:val="none"/>
              </w:rPr>
              <w:t>20</w:t>
            </w:r>
          </w:p>
        </w:tc>
        <w:tc>
          <w:tcPr>
            <w:tcW w:w="481" w:type="pct"/>
            <w:noWrap w:val="0"/>
            <w:vAlign w:val="center"/>
          </w:tcPr>
          <w:p w14:paraId="5E66A4A5">
            <w:pPr>
              <w:kinsoku w:val="0"/>
              <w:overflowPunct w:val="0"/>
              <w:autoSpaceDE w:val="0"/>
              <w:autoSpaceDN w:val="0"/>
              <w:adjustRightInd w:val="0"/>
              <w:jc w:val="center"/>
              <w:rPr>
                <w:sz w:val="21"/>
                <w:szCs w:val="21"/>
                <w:highlight w:val="none"/>
              </w:rPr>
            </w:pPr>
            <w:r>
              <w:rPr>
                <w:sz w:val="21"/>
                <w:szCs w:val="21"/>
                <w:highlight w:val="none"/>
              </w:rPr>
              <w:t>24</w:t>
            </w:r>
          </w:p>
        </w:tc>
        <w:tc>
          <w:tcPr>
            <w:tcW w:w="427" w:type="pct"/>
            <w:noWrap w:val="0"/>
            <w:vAlign w:val="center"/>
          </w:tcPr>
          <w:p w14:paraId="5968701A">
            <w:pPr>
              <w:kinsoku w:val="0"/>
              <w:overflowPunct w:val="0"/>
              <w:autoSpaceDE w:val="0"/>
              <w:autoSpaceDN w:val="0"/>
              <w:adjustRightInd w:val="0"/>
              <w:jc w:val="center"/>
              <w:rPr>
                <w:sz w:val="21"/>
                <w:szCs w:val="21"/>
                <w:highlight w:val="none"/>
              </w:rPr>
            </w:pPr>
            <w:r>
              <w:rPr>
                <w:sz w:val="21"/>
                <w:szCs w:val="21"/>
                <w:highlight w:val="none"/>
              </w:rPr>
              <w:t>30</w:t>
            </w:r>
          </w:p>
        </w:tc>
        <w:tc>
          <w:tcPr>
            <w:tcW w:w="566" w:type="pct"/>
            <w:noWrap w:val="0"/>
            <w:vAlign w:val="center"/>
          </w:tcPr>
          <w:p w14:paraId="720C3AD4">
            <w:pPr>
              <w:kinsoku w:val="0"/>
              <w:overflowPunct w:val="0"/>
              <w:autoSpaceDE w:val="0"/>
              <w:autoSpaceDN w:val="0"/>
              <w:adjustRightInd w:val="0"/>
              <w:jc w:val="center"/>
              <w:rPr>
                <w:sz w:val="21"/>
                <w:szCs w:val="21"/>
                <w:highlight w:val="none"/>
              </w:rPr>
            </w:pPr>
            <w:r>
              <w:rPr>
                <w:sz w:val="21"/>
                <w:szCs w:val="21"/>
                <w:highlight w:val="none"/>
              </w:rPr>
              <w:t>70</w:t>
            </w:r>
          </w:p>
        </w:tc>
      </w:tr>
      <w:tr w14:paraId="4DD3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exact"/>
          <w:jc w:val="center"/>
        </w:trPr>
        <w:tc>
          <w:tcPr>
            <w:tcW w:w="816" w:type="pct"/>
            <w:noWrap w:val="0"/>
            <w:vAlign w:val="center"/>
          </w:tcPr>
          <w:p w14:paraId="78139A15">
            <w:pPr>
              <w:kinsoku w:val="0"/>
              <w:overflowPunct w:val="0"/>
              <w:autoSpaceDE w:val="0"/>
              <w:autoSpaceDN w:val="0"/>
              <w:adjustRightInd w:val="0"/>
              <w:jc w:val="center"/>
              <w:rPr>
                <w:sz w:val="21"/>
                <w:szCs w:val="21"/>
                <w:highlight w:val="none"/>
              </w:rPr>
            </w:pPr>
            <w:r>
              <w:rPr>
                <w:sz w:val="21"/>
                <w:szCs w:val="21"/>
                <w:highlight w:val="none"/>
              </w:rPr>
              <w:t>化学需氧量</w:t>
            </w:r>
          </w:p>
        </w:tc>
        <w:tc>
          <w:tcPr>
            <w:tcW w:w="519" w:type="pct"/>
            <w:noWrap w:val="0"/>
            <w:vAlign w:val="center"/>
          </w:tcPr>
          <w:p w14:paraId="1D5AE7B2">
            <w:pPr>
              <w:kinsoku w:val="0"/>
              <w:overflowPunct w:val="0"/>
              <w:autoSpaceDE w:val="0"/>
              <w:autoSpaceDN w:val="0"/>
              <w:adjustRightInd w:val="0"/>
              <w:jc w:val="center"/>
              <w:rPr>
                <w:sz w:val="21"/>
                <w:szCs w:val="21"/>
                <w:highlight w:val="none"/>
              </w:rPr>
            </w:pPr>
            <w:r>
              <w:rPr>
                <w:sz w:val="21"/>
                <w:szCs w:val="21"/>
                <w:highlight w:val="none"/>
              </w:rPr>
              <w:t>8</w:t>
            </w:r>
          </w:p>
        </w:tc>
        <w:tc>
          <w:tcPr>
            <w:tcW w:w="498" w:type="pct"/>
            <w:noWrap w:val="0"/>
            <w:vAlign w:val="center"/>
          </w:tcPr>
          <w:p w14:paraId="1E01E794">
            <w:pPr>
              <w:kinsoku w:val="0"/>
              <w:overflowPunct w:val="0"/>
              <w:autoSpaceDE w:val="0"/>
              <w:autoSpaceDN w:val="0"/>
              <w:adjustRightInd w:val="0"/>
              <w:jc w:val="center"/>
              <w:rPr>
                <w:sz w:val="21"/>
                <w:szCs w:val="21"/>
                <w:highlight w:val="none"/>
              </w:rPr>
            </w:pPr>
            <w:r>
              <w:rPr>
                <w:sz w:val="21"/>
                <w:szCs w:val="21"/>
                <w:highlight w:val="none"/>
              </w:rPr>
              <w:t>9</w:t>
            </w:r>
          </w:p>
        </w:tc>
        <w:tc>
          <w:tcPr>
            <w:tcW w:w="407" w:type="pct"/>
            <w:noWrap w:val="0"/>
            <w:vAlign w:val="center"/>
          </w:tcPr>
          <w:p w14:paraId="75D55767">
            <w:pPr>
              <w:kinsoku w:val="0"/>
              <w:overflowPunct w:val="0"/>
              <w:autoSpaceDE w:val="0"/>
              <w:autoSpaceDN w:val="0"/>
              <w:adjustRightInd w:val="0"/>
              <w:jc w:val="center"/>
              <w:rPr>
                <w:sz w:val="21"/>
                <w:szCs w:val="21"/>
                <w:highlight w:val="none"/>
              </w:rPr>
            </w:pPr>
            <w:r>
              <w:rPr>
                <w:sz w:val="21"/>
                <w:szCs w:val="21"/>
                <w:highlight w:val="none"/>
              </w:rPr>
              <w:t>9</w:t>
            </w:r>
          </w:p>
        </w:tc>
        <w:tc>
          <w:tcPr>
            <w:tcW w:w="481" w:type="pct"/>
            <w:noWrap w:val="0"/>
            <w:vAlign w:val="center"/>
          </w:tcPr>
          <w:p w14:paraId="22D6C809">
            <w:pPr>
              <w:kinsoku w:val="0"/>
              <w:overflowPunct w:val="0"/>
              <w:autoSpaceDE w:val="0"/>
              <w:autoSpaceDN w:val="0"/>
              <w:adjustRightInd w:val="0"/>
              <w:jc w:val="center"/>
              <w:rPr>
                <w:sz w:val="21"/>
                <w:szCs w:val="21"/>
                <w:highlight w:val="none"/>
              </w:rPr>
            </w:pPr>
            <w:r>
              <w:rPr>
                <w:sz w:val="21"/>
                <w:szCs w:val="21"/>
                <w:highlight w:val="none"/>
              </w:rPr>
              <w:t>6</w:t>
            </w:r>
          </w:p>
        </w:tc>
        <w:tc>
          <w:tcPr>
            <w:tcW w:w="427" w:type="pct"/>
            <w:noWrap w:val="0"/>
            <w:vAlign w:val="center"/>
          </w:tcPr>
          <w:p w14:paraId="0946EF71">
            <w:pPr>
              <w:kinsoku w:val="0"/>
              <w:overflowPunct w:val="0"/>
              <w:autoSpaceDE w:val="0"/>
              <w:autoSpaceDN w:val="0"/>
              <w:adjustRightInd w:val="0"/>
              <w:jc w:val="center"/>
              <w:rPr>
                <w:sz w:val="21"/>
                <w:szCs w:val="21"/>
                <w:highlight w:val="none"/>
              </w:rPr>
            </w:pPr>
            <w:r>
              <w:rPr>
                <w:sz w:val="21"/>
                <w:szCs w:val="21"/>
                <w:highlight w:val="none"/>
              </w:rPr>
              <w:t>8</w:t>
            </w:r>
          </w:p>
        </w:tc>
        <w:tc>
          <w:tcPr>
            <w:tcW w:w="372" w:type="pct"/>
            <w:noWrap w:val="0"/>
            <w:vAlign w:val="center"/>
          </w:tcPr>
          <w:p w14:paraId="39356CCC">
            <w:pPr>
              <w:kinsoku w:val="0"/>
              <w:overflowPunct w:val="0"/>
              <w:autoSpaceDE w:val="0"/>
              <w:autoSpaceDN w:val="0"/>
              <w:adjustRightInd w:val="0"/>
              <w:jc w:val="center"/>
              <w:rPr>
                <w:sz w:val="21"/>
                <w:szCs w:val="21"/>
                <w:highlight w:val="none"/>
              </w:rPr>
            </w:pPr>
            <w:r>
              <w:rPr>
                <w:sz w:val="21"/>
                <w:szCs w:val="21"/>
                <w:highlight w:val="none"/>
              </w:rPr>
              <w:t>7</w:t>
            </w:r>
          </w:p>
        </w:tc>
        <w:tc>
          <w:tcPr>
            <w:tcW w:w="481" w:type="pct"/>
            <w:noWrap w:val="0"/>
            <w:vAlign w:val="center"/>
          </w:tcPr>
          <w:p w14:paraId="2EA7327F">
            <w:pPr>
              <w:kinsoku w:val="0"/>
              <w:overflowPunct w:val="0"/>
              <w:autoSpaceDE w:val="0"/>
              <w:autoSpaceDN w:val="0"/>
              <w:adjustRightInd w:val="0"/>
              <w:jc w:val="center"/>
              <w:rPr>
                <w:sz w:val="21"/>
                <w:szCs w:val="21"/>
                <w:highlight w:val="none"/>
              </w:rPr>
            </w:pPr>
            <w:r>
              <w:rPr>
                <w:sz w:val="21"/>
                <w:szCs w:val="21"/>
                <w:highlight w:val="none"/>
              </w:rPr>
              <w:t>9</w:t>
            </w:r>
          </w:p>
        </w:tc>
        <w:tc>
          <w:tcPr>
            <w:tcW w:w="427" w:type="pct"/>
            <w:noWrap w:val="0"/>
            <w:vAlign w:val="center"/>
          </w:tcPr>
          <w:p w14:paraId="571596AA">
            <w:pPr>
              <w:kinsoku w:val="0"/>
              <w:overflowPunct w:val="0"/>
              <w:autoSpaceDE w:val="0"/>
              <w:autoSpaceDN w:val="0"/>
              <w:adjustRightInd w:val="0"/>
              <w:jc w:val="center"/>
              <w:rPr>
                <w:sz w:val="21"/>
                <w:szCs w:val="21"/>
                <w:highlight w:val="none"/>
              </w:rPr>
            </w:pPr>
            <w:r>
              <w:rPr>
                <w:sz w:val="21"/>
                <w:szCs w:val="21"/>
                <w:highlight w:val="none"/>
              </w:rPr>
              <w:t>9</w:t>
            </w:r>
          </w:p>
        </w:tc>
        <w:tc>
          <w:tcPr>
            <w:tcW w:w="566" w:type="pct"/>
            <w:noWrap w:val="0"/>
            <w:vAlign w:val="center"/>
          </w:tcPr>
          <w:p w14:paraId="6C10C04C">
            <w:pPr>
              <w:kinsoku w:val="0"/>
              <w:overflowPunct w:val="0"/>
              <w:autoSpaceDE w:val="0"/>
              <w:autoSpaceDN w:val="0"/>
              <w:adjustRightInd w:val="0"/>
              <w:jc w:val="center"/>
              <w:rPr>
                <w:sz w:val="21"/>
                <w:szCs w:val="21"/>
                <w:highlight w:val="none"/>
              </w:rPr>
            </w:pPr>
            <w:r>
              <w:rPr>
                <w:sz w:val="21"/>
                <w:szCs w:val="21"/>
                <w:highlight w:val="none"/>
              </w:rPr>
              <w:t>100</w:t>
            </w:r>
          </w:p>
        </w:tc>
      </w:tr>
      <w:tr w14:paraId="72D0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exact"/>
          <w:jc w:val="center"/>
        </w:trPr>
        <w:tc>
          <w:tcPr>
            <w:tcW w:w="816" w:type="pct"/>
            <w:noWrap w:val="0"/>
            <w:vAlign w:val="center"/>
          </w:tcPr>
          <w:p w14:paraId="0CA919C4">
            <w:pPr>
              <w:kinsoku w:val="0"/>
              <w:overflowPunct w:val="0"/>
              <w:autoSpaceDE w:val="0"/>
              <w:autoSpaceDN w:val="0"/>
              <w:adjustRightInd w:val="0"/>
              <w:jc w:val="center"/>
              <w:rPr>
                <w:sz w:val="21"/>
                <w:szCs w:val="21"/>
                <w:highlight w:val="none"/>
              </w:rPr>
            </w:pPr>
            <w:r>
              <w:rPr>
                <w:sz w:val="21"/>
                <w:szCs w:val="21"/>
                <w:highlight w:val="none"/>
              </w:rPr>
              <w:t>五日生化需氧量</w:t>
            </w:r>
          </w:p>
        </w:tc>
        <w:tc>
          <w:tcPr>
            <w:tcW w:w="519" w:type="pct"/>
            <w:noWrap w:val="0"/>
            <w:vAlign w:val="center"/>
          </w:tcPr>
          <w:p w14:paraId="40BC5F6F">
            <w:pPr>
              <w:kinsoku w:val="0"/>
              <w:overflowPunct w:val="0"/>
              <w:autoSpaceDE w:val="0"/>
              <w:autoSpaceDN w:val="0"/>
              <w:adjustRightInd w:val="0"/>
              <w:jc w:val="center"/>
              <w:rPr>
                <w:sz w:val="21"/>
                <w:szCs w:val="21"/>
                <w:highlight w:val="none"/>
              </w:rPr>
            </w:pPr>
            <w:r>
              <w:rPr>
                <w:spacing w:val="1"/>
                <w:sz w:val="21"/>
                <w:szCs w:val="21"/>
                <w:highlight w:val="none"/>
              </w:rPr>
              <w:t>3</w:t>
            </w:r>
            <w:r>
              <w:rPr>
                <w:sz w:val="21"/>
                <w:szCs w:val="21"/>
                <w:highlight w:val="none"/>
              </w:rPr>
              <w:t>.0</w:t>
            </w:r>
          </w:p>
        </w:tc>
        <w:tc>
          <w:tcPr>
            <w:tcW w:w="498" w:type="pct"/>
            <w:noWrap w:val="0"/>
            <w:vAlign w:val="center"/>
          </w:tcPr>
          <w:p w14:paraId="76FCF24A">
            <w:pPr>
              <w:kinsoku w:val="0"/>
              <w:overflowPunct w:val="0"/>
              <w:autoSpaceDE w:val="0"/>
              <w:autoSpaceDN w:val="0"/>
              <w:adjustRightInd w:val="0"/>
              <w:jc w:val="center"/>
              <w:rPr>
                <w:sz w:val="21"/>
                <w:szCs w:val="21"/>
                <w:highlight w:val="none"/>
              </w:rPr>
            </w:pPr>
            <w:r>
              <w:rPr>
                <w:spacing w:val="1"/>
                <w:sz w:val="21"/>
                <w:szCs w:val="21"/>
                <w:highlight w:val="none"/>
              </w:rPr>
              <w:t>3</w:t>
            </w:r>
            <w:r>
              <w:rPr>
                <w:sz w:val="21"/>
                <w:szCs w:val="21"/>
                <w:highlight w:val="none"/>
              </w:rPr>
              <w:t>.5</w:t>
            </w:r>
          </w:p>
        </w:tc>
        <w:tc>
          <w:tcPr>
            <w:tcW w:w="407" w:type="pct"/>
            <w:noWrap w:val="0"/>
            <w:vAlign w:val="center"/>
          </w:tcPr>
          <w:p w14:paraId="0392C78D">
            <w:pPr>
              <w:kinsoku w:val="0"/>
              <w:overflowPunct w:val="0"/>
              <w:autoSpaceDE w:val="0"/>
              <w:autoSpaceDN w:val="0"/>
              <w:adjustRightInd w:val="0"/>
              <w:jc w:val="center"/>
              <w:rPr>
                <w:sz w:val="21"/>
                <w:szCs w:val="21"/>
                <w:highlight w:val="none"/>
              </w:rPr>
            </w:pPr>
            <w:r>
              <w:rPr>
                <w:sz w:val="21"/>
                <w:szCs w:val="21"/>
                <w:highlight w:val="none"/>
              </w:rPr>
              <w:t>3.3</w:t>
            </w:r>
          </w:p>
        </w:tc>
        <w:tc>
          <w:tcPr>
            <w:tcW w:w="481" w:type="pct"/>
            <w:noWrap w:val="0"/>
            <w:vAlign w:val="center"/>
          </w:tcPr>
          <w:p w14:paraId="6D669BE5">
            <w:pPr>
              <w:kinsoku w:val="0"/>
              <w:overflowPunct w:val="0"/>
              <w:autoSpaceDE w:val="0"/>
              <w:autoSpaceDN w:val="0"/>
              <w:adjustRightInd w:val="0"/>
              <w:jc w:val="center"/>
              <w:rPr>
                <w:sz w:val="21"/>
                <w:szCs w:val="21"/>
                <w:highlight w:val="none"/>
              </w:rPr>
            </w:pPr>
            <w:r>
              <w:rPr>
                <w:sz w:val="21"/>
                <w:szCs w:val="21"/>
                <w:highlight w:val="none"/>
              </w:rPr>
              <w:t>3.2</w:t>
            </w:r>
          </w:p>
        </w:tc>
        <w:tc>
          <w:tcPr>
            <w:tcW w:w="427" w:type="pct"/>
            <w:noWrap w:val="0"/>
            <w:vAlign w:val="center"/>
          </w:tcPr>
          <w:p w14:paraId="7D13AB85">
            <w:pPr>
              <w:kinsoku w:val="0"/>
              <w:overflowPunct w:val="0"/>
              <w:autoSpaceDE w:val="0"/>
              <w:autoSpaceDN w:val="0"/>
              <w:adjustRightInd w:val="0"/>
              <w:jc w:val="center"/>
              <w:rPr>
                <w:sz w:val="21"/>
                <w:szCs w:val="21"/>
                <w:highlight w:val="none"/>
              </w:rPr>
            </w:pPr>
            <w:r>
              <w:rPr>
                <w:sz w:val="21"/>
                <w:szCs w:val="21"/>
                <w:highlight w:val="none"/>
              </w:rPr>
              <w:t>3.7</w:t>
            </w:r>
          </w:p>
        </w:tc>
        <w:tc>
          <w:tcPr>
            <w:tcW w:w="372" w:type="pct"/>
            <w:noWrap w:val="0"/>
            <w:vAlign w:val="center"/>
          </w:tcPr>
          <w:p w14:paraId="1DC4F301">
            <w:pPr>
              <w:kinsoku w:val="0"/>
              <w:overflowPunct w:val="0"/>
              <w:autoSpaceDE w:val="0"/>
              <w:autoSpaceDN w:val="0"/>
              <w:adjustRightInd w:val="0"/>
              <w:jc w:val="center"/>
              <w:rPr>
                <w:sz w:val="21"/>
                <w:szCs w:val="21"/>
                <w:highlight w:val="none"/>
              </w:rPr>
            </w:pPr>
            <w:r>
              <w:rPr>
                <w:sz w:val="21"/>
                <w:szCs w:val="21"/>
                <w:highlight w:val="none"/>
              </w:rPr>
              <w:t>3.8</w:t>
            </w:r>
          </w:p>
        </w:tc>
        <w:tc>
          <w:tcPr>
            <w:tcW w:w="481" w:type="pct"/>
            <w:noWrap w:val="0"/>
            <w:vAlign w:val="center"/>
          </w:tcPr>
          <w:p w14:paraId="46816551">
            <w:pPr>
              <w:kinsoku w:val="0"/>
              <w:overflowPunct w:val="0"/>
              <w:autoSpaceDE w:val="0"/>
              <w:autoSpaceDN w:val="0"/>
              <w:adjustRightInd w:val="0"/>
              <w:jc w:val="center"/>
              <w:rPr>
                <w:sz w:val="21"/>
                <w:szCs w:val="21"/>
                <w:highlight w:val="none"/>
              </w:rPr>
            </w:pPr>
            <w:r>
              <w:rPr>
                <w:sz w:val="21"/>
                <w:szCs w:val="21"/>
                <w:highlight w:val="none"/>
              </w:rPr>
              <w:t>3.6</w:t>
            </w:r>
          </w:p>
        </w:tc>
        <w:tc>
          <w:tcPr>
            <w:tcW w:w="427" w:type="pct"/>
            <w:noWrap w:val="0"/>
            <w:vAlign w:val="center"/>
          </w:tcPr>
          <w:p w14:paraId="4106D1C8">
            <w:pPr>
              <w:kinsoku w:val="0"/>
              <w:overflowPunct w:val="0"/>
              <w:autoSpaceDE w:val="0"/>
              <w:autoSpaceDN w:val="0"/>
              <w:adjustRightInd w:val="0"/>
              <w:jc w:val="center"/>
              <w:rPr>
                <w:sz w:val="21"/>
                <w:szCs w:val="21"/>
                <w:highlight w:val="none"/>
              </w:rPr>
            </w:pPr>
            <w:r>
              <w:rPr>
                <w:sz w:val="21"/>
                <w:szCs w:val="21"/>
                <w:highlight w:val="none"/>
              </w:rPr>
              <w:t>3.2</w:t>
            </w:r>
          </w:p>
        </w:tc>
        <w:tc>
          <w:tcPr>
            <w:tcW w:w="566" w:type="pct"/>
            <w:noWrap w:val="0"/>
            <w:vAlign w:val="center"/>
          </w:tcPr>
          <w:p w14:paraId="36C05103">
            <w:pPr>
              <w:kinsoku w:val="0"/>
              <w:overflowPunct w:val="0"/>
              <w:autoSpaceDE w:val="0"/>
              <w:autoSpaceDN w:val="0"/>
              <w:adjustRightInd w:val="0"/>
              <w:jc w:val="center"/>
              <w:rPr>
                <w:sz w:val="21"/>
                <w:szCs w:val="21"/>
                <w:highlight w:val="none"/>
              </w:rPr>
            </w:pPr>
            <w:r>
              <w:rPr>
                <w:sz w:val="21"/>
                <w:szCs w:val="21"/>
                <w:highlight w:val="none"/>
              </w:rPr>
              <w:t>30</w:t>
            </w:r>
          </w:p>
        </w:tc>
      </w:tr>
      <w:tr w14:paraId="00F8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exact"/>
          <w:jc w:val="center"/>
        </w:trPr>
        <w:tc>
          <w:tcPr>
            <w:tcW w:w="816" w:type="pct"/>
            <w:noWrap w:val="0"/>
            <w:vAlign w:val="center"/>
          </w:tcPr>
          <w:p w14:paraId="709D16B2">
            <w:pPr>
              <w:kinsoku w:val="0"/>
              <w:overflowPunct w:val="0"/>
              <w:autoSpaceDE w:val="0"/>
              <w:autoSpaceDN w:val="0"/>
              <w:adjustRightInd w:val="0"/>
              <w:jc w:val="center"/>
              <w:rPr>
                <w:sz w:val="21"/>
                <w:szCs w:val="21"/>
                <w:highlight w:val="none"/>
              </w:rPr>
            </w:pPr>
            <w:r>
              <w:rPr>
                <w:sz w:val="21"/>
                <w:szCs w:val="21"/>
                <w:highlight w:val="none"/>
              </w:rPr>
              <w:t>氨氮</w:t>
            </w:r>
          </w:p>
        </w:tc>
        <w:tc>
          <w:tcPr>
            <w:tcW w:w="519" w:type="pct"/>
            <w:noWrap w:val="0"/>
            <w:vAlign w:val="center"/>
          </w:tcPr>
          <w:p w14:paraId="4DEE6DCA">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98" w:type="pct"/>
            <w:noWrap w:val="0"/>
            <w:vAlign w:val="center"/>
          </w:tcPr>
          <w:p w14:paraId="4E1B6681">
            <w:pPr>
              <w:kinsoku w:val="0"/>
              <w:overflowPunct w:val="0"/>
              <w:autoSpaceDE w:val="0"/>
              <w:autoSpaceDN w:val="0"/>
              <w:adjustRightInd w:val="0"/>
              <w:jc w:val="center"/>
              <w:rPr>
                <w:sz w:val="21"/>
                <w:szCs w:val="21"/>
                <w:highlight w:val="none"/>
              </w:rPr>
            </w:pPr>
            <w:r>
              <w:rPr>
                <w:sz w:val="21"/>
                <w:szCs w:val="21"/>
                <w:highlight w:val="none"/>
              </w:rPr>
              <w:t>0.025L</w:t>
            </w:r>
          </w:p>
        </w:tc>
        <w:tc>
          <w:tcPr>
            <w:tcW w:w="407" w:type="pct"/>
            <w:noWrap w:val="0"/>
            <w:vAlign w:val="center"/>
          </w:tcPr>
          <w:p w14:paraId="5E7A5057">
            <w:pPr>
              <w:kinsoku w:val="0"/>
              <w:overflowPunct w:val="0"/>
              <w:autoSpaceDE w:val="0"/>
              <w:autoSpaceDN w:val="0"/>
              <w:adjustRightInd w:val="0"/>
              <w:jc w:val="center"/>
              <w:rPr>
                <w:sz w:val="21"/>
                <w:szCs w:val="21"/>
                <w:highlight w:val="none"/>
              </w:rPr>
            </w:pPr>
            <w:r>
              <w:rPr>
                <w:sz w:val="21"/>
                <w:szCs w:val="21"/>
                <w:highlight w:val="none"/>
              </w:rPr>
              <w:t>0.025L</w:t>
            </w:r>
          </w:p>
        </w:tc>
        <w:tc>
          <w:tcPr>
            <w:tcW w:w="481" w:type="pct"/>
            <w:noWrap w:val="0"/>
            <w:vAlign w:val="center"/>
          </w:tcPr>
          <w:p w14:paraId="7CB7D4ED">
            <w:pPr>
              <w:kinsoku w:val="0"/>
              <w:overflowPunct w:val="0"/>
              <w:autoSpaceDE w:val="0"/>
              <w:autoSpaceDN w:val="0"/>
              <w:adjustRightInd w:val="0"/>
              <w:jc w:val="center"/>
              <w:rPr>
                <w:sz w:val="21"/>
                <w:szCs w:val="21"/>
                <w:highlight w:val="none"/>
              </w:rPr>
            </w:pPr>
            <w:r>
              <w:rPr>
                <w:sz w:val="21"/>
                <w:szCs w:val="21"/>
                <w:highlight w:val="none"/>
              </w:rPr>
              <w:t>0.025L</w:t>
            </w:r>
          </w:p>
        </w:tc>
        <w:tc>
          <w:tcPr>
            <w:tcW w:w="427" w:type="pct"/>
            <w:noWrap w:val="0"/>
            <w:vAlign w:val="center"/>
          </w:tcPr>
          <w:p w14:paraId="55DCD95A">
            <w:pPr>
              <w:kinsoku w:val="0"/>
              <w:overflowPunct w:val="0"/>
              <w:autoSpaceDE w:val="0"/>
              <w:autoSpaceDN w:val="0"/>
              <w:adjustRightInd w:val="0"/>
              <w:jc w:val="center"/>
              <w:rPr>
                <w:sz w:val="21"/>
                <w:szCs w:val="21"/>
                <w:highlight w:val="none"/>
              </w:rPr>
            </w:pPr>
            <w:r>
              <w:rPr>
                <w:sz w:val="21"/>
                <w:szCs w:val="21"/>
                <w:highlight w:val="none"/>
              </w:rPr>
              <w:t>0.026</w:t>
            </w:r>
          </w:p>
        </w:tc>
        <w:tc>
          <w:tcPr>
            <w:tcW w:w="372" w:type="pct"/>
            <w:noWrap w:val="0"/>
            <w:vAlign w:val="center"/>
          </w:tcPr>
          <w:p w14:paraId="6201761B">
            <w:pPr>
              <w:kinsoku w:val="0"/>
              <w:overflowPunct w:val="0"/>
              <w:autoSpaceDE w:val="0"/>
              <w:autoSpaceDN w:val="0"/>
              <w:adjustRightInd w:val="0"/>
              <w:jc w:val="center"/>
              <w:rPr>
                <w:sz w:val="21"/>
                <w:szCs w:val="21"/>
                <w:highlight w:val="none"/>
              </w:rPr>
            </w:pPr>
            <w:r>
              <w:rPr>
                <w:sz w:val="21"/>
                <w:szCs w:val="21"/>
                <w:highlight w:val="none"/>
              </w:rPr>
              <w:t>0.046</w:t>
            </w:r>
          </w:p>
        </w:tc>
        <w:tc>
          <w:tcPr>
            <w:tcW w:w="481" w:type="pct"/>
            <w:noWrap w:val="0"/>
            <w:vAlign w:val="center"/>
          </w:tcPr>
          <w:p w14:paraId="31F5DEB7">
            <w:pPr>
              <w:kinsoku w:val="0"/>
              <w:overflowPunct w:val="0"/>
              <w:autoSpaceDE w:val="0"/>
              <w:autoSpaceDN w:val="0"/>
              <w:adjustRightInd w:val="0"/>
              <w:jc w:val="center"/>
              <w:rPr>
                <w:sz w:val="21"/>
                <w:szCs w:val="21"/>
                <w:highlight w:val="none"/>
              </w:rPr>
            </w:pPr>
            <w:r>
              <w:rPr>
                <w:sz w:val="21"/>
                <w:szCs w:val="21"/>
                <w:highlight w:val="none"/>
              </w:rPr>
              <w:t>0.025L</w:t>
            </w:r>
          </w:p>
        </w:tc>
        <w:tc>
          <w:tcPr>
            <w:tcW w:w="427" w:type="pct"/>
            <w:noWrap w:val="0"/>
            <w:vAlign w:val="center"/>
          </w:tcPr>
          <w:p w14:paraId="67C0858B">
            <w:pPr>
              <w:kinsoku w:val="0"/>
              <w:overflowPunct w:val="0"/>
              <w:autoSpaceDE w:val="0"/>
              <w:autoSpaceDN w:val="0"/>
              <w:adjustRightInd w:val="0"/>
              <w:jc w:val="center"/>
              <w:rPr>
                <w:sz w:val="21"/>
                <w:szCs w:val="21"/>
                <w:highlight w:val="none"/>
              </w:rPr>
            </w:pPr>
            <w:r>
              <w:rPr>
                <w:sz w:val="21"/>
                <w:szCs w:val="21"/>
                <w:highlight w:val="none"/>
              </w:rPr>
              <w:t>0.025L</w:t>
            </w:r>
          </w:p>
        </w:tc>
        <w:tc>
          <w:tcPr>
            <w:tcW w:w="566" w:type="pct"/>
            <w:noWrap w:val="0"/>
            <w:vAlign w:val="center"/>
          </w:tcPr>
          <w:p w14:paraId="7CCE149E">
            <w:pPr>
              <w:kinsoku w:val="0"/>
              <w:overflowPunct w:val="0"/>
              <w:autoSpaceDE w:val="0"/>
              <w:autoSpaceDN w:val="0"/>
              <w:adjustRightInd w:val="0"/>
              <w:jc w:val="center"/>
              <w:rPr>
                <w:sz w:val="21"/>
                <w:szCs w:val="21"/>
                <w:highlight w:val="none"/>
              </w:rPr>
            </w:pPr>
            <w:r>
              <w:rPr>
                <w:sz w:val="21"/>
                <w:szCs w:val="21"/>
                <w:highlight w:val="none"/>
              </w:rPr>
              <w:t>15</w:t>
            </w:r>
          </w:p>
        </w:tc>
      </w:tr>
      <w:tr w14:paraId="6D62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exact"/>
          <w:jc w:val="center"/>
        </w:trPr>
        <w:tc>
          <w:tcPr>
            <w:tcW w:w="816" w:type="pct"/>
            <w:noWrap w:val="0"/>
            <w:vAlign w:val="center"/>
          </w:tcPr>
          <w:p w14:paraId="64D7B5B2">
            <w:pPr>
              <w:kinsoku w:val="0"/>
              <w:overflowPunct w:val="0"/>
              <w:autoSpaceDE w:val="0"/>
              <w:autoSpaceDN w:val="0"/>
              <w:adjustRightInd w:val="0"/>
              <w:jc w:val="center"/>
              <w:rPr>
                <w:sz w:val="21"/>
                <w:szCs w:val="21"/>
                <w:highlight w:val="none"/>
              </w:rPr>
            </w:pPr>
            <w:r>
              <w:rPr>
                <w:sz w:val="21"/>
                <w:szCs w:val="21"/>
                <w:highlight w:val="none"/>
              </w:rPr>
              <w:t>总磷</w:t>
            </w:r>
          </w:p>
        </w:tc>
        <w:tc>
          <w:tcPr>
            <w:tcW w:w="519" w:type="pct"/>
            <w:noWrap w:val="0"/>
            <w:vAlign w:val="center"/>
          </w:tcPr>
          <w:p w14:paraId="759F00D4">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1</w:t>
            </w:r>
            <w:r>
              <w:rPr>
                <w:sz w:val="21"/>
                <w:szCs w:val="21"/>
                <w:highlight w:val="none"/>
              </w:rPr>
              <w:t>3</w:t>
            </w:r>
          </w:p>
        </w:tc>
        <w:tc>
          <w:tcPr>
            <w:tcW w:w="498" w:type="pct"/>
            <w:noWrap w:val="0"/>
            <w:vAlign w:val="center"/>
          </w:tcPr>
          <w:p w14:paraId="6A8219F3">
            <w:pPr>
              <w:kinsoku w:val="0"/>
              <w:overflowPunct w:val="0"/>
              <w:autoSpaceDE w:val="0"/>
              <w:autoSpaceDN w:val="0"/>
              <w:adjustRightInd w:val="0"/>
              <w:jc w:val="center"/>
              <w:rPr>
                <w:sz w:val="21"/>
                <w:szCs w:val="21"/>
                <w:highlight w:val="none"/>
              </w:rPr>
            </w:pPr>
            <w:r>
              <w:rPr>
                <w:sz w:val="21"/>
                <w:szCs w:val="21"/>
                <w:highlight w:val="none"/>
              </w:rPr>
              <w:t>0.08</w:t>
            </w:r>
          </w:p>
        </w:tc>
        <w:tc>
          <w:tcPr>
            <w:tcW w:w="407" w:type="pct"/>
            <w:noWrap w:val="0"/>
            <w:vAlign w:val="center"/>
          </w:tcPr>
          <w:p w14:paraId="343D0064">
            <w:pPr>
              <w:kinsoku w:val="0"/>
              <w:overflowPunct w:val="0"/>
              <w:autoSpaceDE w:val="0"/>
              <w:autoSpaceDN w:val="0"/>
              <w:adjustRightInd w:val="0"/>
              <w:jc w:val="center"/>
              <w:rPr>
                <w:sz w:val="21"/>
                <w:szCs w:val="21"/>
                <w:highlight w:val="none"/>
              </w:rPr>
            </w:pPr>
            <w:r>
              <w:rPr>
                <w:sz w:val="21"/>
                <w:szCs w:val="21"/>
                <w:highlight w:val="none"/>
              </w:rPr>
              <w:t>0.05</w:t>
            </w:r>
          </w:p>
        </w:tc>
        <w:tc>
          <w:tcPr>
            <w:tcW w:w="481" w:type="pct"/>
            <w:noWrap w:val="0"/>
            <w:vAlign w:val="center"/>
          </w:tcPr>
          <w:p w14:paraId="33E48D66">
            <w:pPr>
              <w:kinsoku w:val="0"/>
              <w:overflowPunct w:val="0"/>
              <w:autoSpaceDE w:val="0"/>
              <w:autoSpaceDN w:val="0"/>
              <w:adjustRightInd w:val="0"/>
              <w:jc w:val="center"/>
              <w:rPr>
                <w:sz w:val="21"/>
                <w:szCs w:val="21"/>
                <w:highlight w:val="none"/>
              </w:rPr>
            </w:pPr>
            <w:r>
              <w:rPr>
                <w:sz w:val="21"/>
                <w:szCs w:val="21"/>
                <w:highlight w:val="none"/>
              </w:rPr>
              <w:t>0.12</w:t>
            </w:r>
          </w:p>
        </w:tc>
        <w:tc>
          <w:tcPr>
            <w:tcW w:w="427" w:type="pct"/>
            <w:noWrap w:val="0"/>
            <w:vAlign w:val="center"/>
          </w:tcPr>
          <w:p w14:paraId="1AC20768">
            <w:pPr>
              <w:kinsoku w:val="0"/>
              <w:overflowPunct w:val="0"/>
              <w:autoSpaceDE w:val="0"/>
              <w:autoSpaceDN w:val="0"/>
              <w:adjustRightInd w:val="0"/>
              <w:jc w:val="center"/>
              <w:rPr>
                <w:sz w:val="21"/>
                <w:szCs w:val="21"/>
                <w:highlight w:val="none"/>
              </w:rPr>
            </w:pPr>
            <w:r>
              <w:rPr>
                <w:sz w:val="21"/>
                <w:szCs w:val="21"/>
                <w:highlight w:val="none"/>
              </w:rPr>
              <w:t>0.10</w:t>
            </w:r>
          </w:p>
        </w:tc>
        <w:tc>
          <w:tcPr>
            <w:tcW w:w="372" w:type="pct"/>
            <w:noWrap w:val="0"/>
            <w:vAlign w:val="center"/>
          </w:tcPr>
          <w:p w14:paraId="6884670A">
            <w:pPr>
              <w:kinsoku w:val="0"/>
              <w:overflowPunct w:val="0"/>
              <w:autoSpaceDE w:val="0"/>
              <w:autoSpaceDN w:val="0"/>
              <w:adjustRightInd w:val="0"/>
              <w:jc w:val="center"/>
              <w:rPr>
                <w:sz w:val="21"/>
                <w:szCs w:val="21"/>
                <w:highlight w:val="none"/>
              </w:rPr>
            </w:pPr>
            <w:r>
              <w:rPr>
                <w:sz w:val="21"/>
                <w:szCs w:val="21"/>
                <w:highlight w:val="none"/>
              </w:rPr>
              <w:t>0.03</w:t>
            </w:r>
          </w:p>
        </w:tc>
        <w:tc>
          <w:tcPr>
            <w:tcW w:w="481" w:type="pct"/>
            <w:noWrap w:val="0"/>
            <w:vAlign w:val="center"/>
          </w:tcPr>
          <w:p w14:paraId="4DBABE29">
            <w:pPr>
              <w:kinsoku w:val="0"/>
              <w:overflowPunct w:val="0"/>
              <w:autoSpaceDE w:val="0"/>
              <w:autoSpaceDN w:val="0"/>
              <w:adjustRightInd w:val="0"/>
              <w:jc w:val="center"/>
              <w:rPr>
                <w:sz w:val="21"/>
                <w:szCs w:val="21"/>
                <w:highlight w:val="none"/>
              </w:rPr>
            </w:pPr>
            <w:r>
              <w:rPr>
                <w:sz w:val="21"/>
                <w:szCs w:val="21"/>
                <w:highlight w:val="none"/>
              </w:rPr>
              <w:t>0.02</w:t>
            </w:r>
          </w:p>
        </w:tc>
        <w:tc>
          <w:tcPr>
            <w:tcW w:w="427" w:type="pct"/>
            <w:noWrap w:val="0"/>
            <w:vAlign w:val="center"/>
          </w:tcPr>
          <w:p w14:paraId="7D4FA84C">
            <w:pPr>
              <w:kinsoku w:val="0"/>
              <w:overflowPunct w:val="0"/>
              <w:autoSpaceDE w:val="0"/>
              <w:autoSpaceDN w:val="0"/>
              <w:adjustRightInd w:val="0"/>
              <w:jc w:val="center"/>
              <w:rPr>
                <w:sz w:val="21"/>
                <w:szCs w:val="21"/>
                <w:highlight w:val="none"/>
              </w:rPr>
            </w:pPr>
            <w:r>
              <w:rPr>
                <w:sz w:val="21"/>
                <w:szCs w:val="21"/>
                <w:highlight w:val="none"/>
              </w:rPr>
              <w:t>0.04</w:t>
            </w:r>
          </w:p>
        </w:tc>
        <w:tc>
          <w:tcPr>
            <w:tcW w:w="566" w:type="pct"/>
            <w:noWrap w:val="0"/>
            <w:vAlign w:val="center"/>
          </w:tcPr>
          <w:p w14:paraId="3275CA15">
            <w:pPr>
              <w:kinsoku w:val="0"/>
              <w:overflowPunct w:val="0"/>
              <w:autoSpaceDE w:val="0"/>
              <w:autoSpaceDN w:val="0"/>
              <w:adjustRightInd w:val="0"/>
              <w:jc w:val="center"/>
              <w:rPr>
                <w:sz w:val="21"/>
                <w:szCs w:val="21"/>
                <w:highlight w:val="none"/>
              </w:rPr>
            </w:pPr>
            <w:r>
              <w:rPr>
                <w:sz w:val="21"/>
                <w:szCs w:val="21"/>
                <w:highlight w:val="none"/>
              </w:rPr>
              <w:t>/</w:t>
            </w:r>
          </w:p>
        </w:tc>
      </w:tr>
      <w:tr w14:paraId="3A40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816" w:type="pct"/>
            <w:noWrap w:val="0"/>
            <w:vAlign w:val="center"/>
          </w:tcPr>
          <w:p w14:paraId="555C8772">
            <w:pPr>
              <w:kinsoku w:val="0"/>
              <w:overflowPunct w:val="0"/>
              <w:autoSpaceDE w:val="0"/>
              <w:autoSpaceDN w:val="0"/>
              <w:adjustRightInd w:val="0"/>
              <w:jc w:val="center"/>
              <w:rPr>
                <w:sz w:val="21"/>
                <w:szCs w:val="21"/>
                <w:highlight w:val="none"/>
              </w:rPr>
            </w:pPr>
            <w:r>
              <w:rPr>
                <w:sz w:val="21"/>
                <w:szCs w:val="21"/>
                <w:highlight w:val="none"/>
              </w:rPr>
              <w:t>总氮</w:t>
            </w:r>
          </w:p>
        </w:tc>
        <w:tc>
          <w:tcPr>
            <w:tcW w:w="519" w:type="pct"/>
            <w:noWrap w:val="0"/>
            <w:vAlign w:val="center"/>
          </w:tcPr>
          <w:p w14:paraId="56D98067">
            <w:pPr>
              <w:kinsoku w:val="0"/>
              <w:overflowPunct w:val="0"/>
              <w:autoSpaceDE w:val="0"/>
              <w:autoSpaceDN w:val="0"/>
              <w:adjustRightInd w:val="0"/>
              <w:jc w:val="center"/>
              <w:rPr>
                <w:sz w:val="21"/>
                <w:szCs w:val="21"/>
                <w:highlight w:val="none"/>
              </w:rPr>
            </w:pPr>
            <w:r>
              <w:rPr>
                <w:spacing w:val="1"/>
                <w:sz w:val="21"/>
                <w:szCs w:val="21"/>
                <w:highlight w:val="none"/>
              </w:rPr>
              <w:t>9</w:t>
            </w:r>
            <w:r>
              <w:rPr>
                <w:sz w:val="21"/>
                <w:szCs w:val="21"/>
                <w:highlight w:val="none"/>
              </w:rPr>
              <w:t>.</w:t>
            </w:r>
            <w:r>
              <w:rPr>
                <w:spacing w:val="1"/>
                <w:sz w:val="21"/>
                <w:szCs w:val="21"/>
                <w:highlight w:val="none"/>
              </w:rPr>
              <w:t>0</w:t>
            </w:r>
            <w:r>
              <w:rPr>
                <w:sz w:val="21"/>
                <w:szCs w:val="21"/>
                <w:highlight w:val="none"/>
              </w:rPr>
              <w:t>2</w:t>
            </w:r>
          </w:p>
        </w:tc>
        <w:tc>
          <w:tcPr>
            <w:tcW w:w="498" w:type="pct"/>
            <w:noWrap w:val="0"/>
            <w:vAlign w:val="center"/>
          </w:tcPr>
          <w:p w14:paraId="2F1B6A0A">
            <w:pPr>
              <w:kinsoku w:val="0"/>
              <w:overflowPunct w:val="0"/>
              <w:autoSpaceDE w:val="0"/>
              <w:autoSpaceDN w:val="0"/>
              <w:adjustRightInd w:val="0"/>
              <w:jc w:val="center"/>
              <w:rPr>
                <w:sz w:val="21"/>
                <w:szCs w:val="21"/>
                <w:highlight w:val="none"/>
              </w:rPr>
            </w:pPr>
            <w:r>
              <w:rPr>
                <w:spacing w:val="1"/>
                <w:sz w:val="21"/>
                <w:szCs w:val="21"/>
                <w:highlight w:val="none"/>
              </w:rPr>
              <w:t>29</w:t>
            </w:r>
            <w:r>
              <w:rPr>
                <w:sz w:val="21"/>
                <w:szCs w:val="21"/>
                <w:highlight w:val="none"/>
              </w:rPr>
              <w:t>.3</w:t>
            </w:r>
          </w:p>
        </w:tc>
        <w:tc>
          <w:tcPr>
            <w:tcW w:w="407" w:type="pct"/>
            <w:noWrap w:val="0"/>
            <w:vAlign w:val="center"/>
          </w:tcPr>
          <w:p w14:paraId="3B290C9E">
            <w:pPr>
              <w:kinsoku w:val="0"/>
              <w:overflowPunct w:val="0"/>
              <w:autoSpaceDE w:val="0"/>
              <w:autoSpaceDN w:val="0"/>
              <w:adjustRightInd w:val="0"/>
              <w:jc w:val="center"/>
              <w:rPr>
                <w:sz w:val="21"/>
                <w:szCs w:val="21"/>
                <w:highlight w:val="none"/>
              </w:rPr>
            </w:pPr>
            <w:r>
              <w:rPr>
                <w:sz w:val="21"/>
                <w:szCs w:val="21"/>
                <w:highlight w:val="none"/>
              </w:rPr>
              <w:t>10.8</w:t>
            </w:r>
          </w:p>
        </w:tc>
        <w:tc>
          <w:tcPr>
            <w:tcW w:w="481" w:type="pct"/>
            <w:noWrap w:val="0"/>
            <w:vAlign w:val="center"/>
          </w:tcPr>
          <w:p w14:paraId="4F88742F">
            <w:pPr>
              <w:kinsoku w:val="0"/>
              <w:overflowPunct w:val="0"/>
              <w:autoSpaceDE w:val="0"/>
              <w:autoSpaceDN w:val="0"/>
              <w:adjustRightInd w:val="0"/>
              <w:jc w:val="center"/>
              <w:rPr>
                <w:sz w:val="21"/>
                <w:szCs w:val="21"/>
                <w:highlight w:val="none"/>
              </w:rPr>
            </w:pPr>
            <w:r>
              <w:rPr>
                <w:sz w:val="21"/>
                <w:szCs w:val="21"/>
                <w:highlight w:val="none"/>
              </w:rPr>
              <w:t>6.96</w:t>
            </w:r>
          </w:p>
        </w:tc>
        <w:tc>
          <w:tcPr>
            <w:tcW w:w="427" w:type="pct"/>
            <w:noWrap w:val="0"/>
            <w:vAlign w:val="center"/>
          </w:tcPr>
          <w:p w14:paraId="2BAE174D">
            <w:pPr>
              <w:kinsoku w:val="0"/>
              <w:overflowPunct w:val="0"/>
              <w:autoSpaceDE w:val="0"/>
              <w:autoSpaceDN w:val="0"/>
              <w:adjustRightInd w:val="0"/>
              <w:jc w:val="center"/>
              <w:rPr>
                <w:sz w:val="21"/>
                <w:szCs w:val="21"/>
                <w:highlight w:val="none"/>
              </w:rPr>
            </w:pPr>
            <w:r>
              <w:rPr>
                <w:sz w:val="21"/>
                <w:szCs w:val="21"/>
                <w:highlight w:val="none"/>
              </w:rPr>
              <w:t>8.67</w:t>
            </w:r>
          </w:p>
        </w:tc>
        <w:tc>
          <w:tcPr>
            <w:tcW w:w="372" w:type="pct"/>
            <w:noWrap w:val="0"/>
            <w:vAlign w:val="center"/>
          </w:tcPr>
          <w:p w14:paraId="1F235EDD">
            <w:pPr>
              <w:kinsoku w:val="0"/>
              <w:overflowPunct w:val="0"/>
              <w:autoSpaceDE w:val="0"/>
              <w:autoSpaceDN w:val="0"/>
              <w:adjustRightInd w:val="0"/>
              <w:jc w:val="center"/>
              <w:rPr>
                <w:sz w:val="21"/>
                <w:szCs w:val="21"/>
                <w:highlight w:val="none"/>
              </w:rPr>
            </w:pPr>
            <w:r>
              <w:rPr>
                <w:sz w:val="21"/>
                <w:szCs w:val="21"/>
                <w:highlight w:val="none"/>
              </w:rPr>
              <w:t>8.20</w:t>
            </w:r>
          </w:p>
        </w:tc>
        <w:tc>
          <w:tcPr>
            <w:tcW w:w="481" w:type="pct"/>
            <w:noWrap w:val="0"/>
            <w:vAlign w:val="center"/>
          </w:tcPr>
          <w:p w14:paraId="611961D6">
            <w:pPr>
              <w:kinsoku w:val="0"/>
              <w:overflowPunct w:val="0"/>
              <w:autoSpaceDE w:val="0"/>
              <w:autoSpaceDN w:val="0"/>
              <w:adjustRightInd w:val="0"/>
              <w:jc w:val="center"/>
              <w:rPr>
                <w:sz w:val="21"/>
                <w:szCs w:val="21"/>
                <w:highlight w:val="none"/>
              </w:rPr>
            </w:pPr>
            <w:r>
              <w:rPr>
                <w:spacing w:val="-5"/>
                <w:sz w:val="21"/>
                <w:szCs w:val="21"/>
                <w:highlight w:val="none"/>
              </w:rPr>
              <w:t>1</w:t>
            </w:r>
            <w:r>
              <w:rPr>
                <w:spacing w:val="-3"/>
                <w:sz w:val="21"/>
                <w:szCs w:val="21"/>
                <w:highlight w:val="none"/>
              </w:rPr>
              <w:t>1</w:t>
            </w:r>
            <w:r>
              <w:rPr>
                <w:sz w:val="21"/>
                <w:szCs w:val="21"/>
                <w:highlight w:val="none"/>
              </w:rPr>
              <w:t>.0</w:t>
            </w:r>
          </w:p>
        </w:tc>
        <w:tc>
          <w:tcPr>
            <w:tcW w:w="427" w:type="pct"/>
            <w:noWrap w:val="0"/>
            <w:vAlign w:val="center"/>
          </w:tcPr>
          <w:p w14:paraId="3A3E4D51">
            <w:pPr>
              <w:kinsoku w:val="0"/>
              <w:overflowPunct w:val="0"/>
              <w:autoSpaceDE w:val="0"/>
              <w:autoSpaceDN w:val="0"/>
              <w:adjustRightInd w:val="0"/>
              <w:jc w:val="center"/>
              <w:rPr>
                <w:sz w:val="21"/>
                <w:szCs w:val="21"/>
                <w:highlight w:val="none"/>
              </w:rPr>
            </w:pPr>
            <w:r>
              <w:rPr>
                <w:sz w:val="21"/>
                <w:szCs w:val="21"/>
                <w:highlight w:val="none"/>
              </w:rPr>
              <w:t>9.96</w:t>
            </w:r>
          </w:p>
        </w:tc>
        <w:tc>
          <w:tcPr>
            <w:tcW w:w="566" w:type="pct"/>
            <w:noWrap w:val="0"/>
            <w:vAlign w:val="center"/>
          </w:tcPr>
          <w:p w14:paraId="67A24DAF">
            <w:pPr>
              <w:kinsoku w:val="0"/>
              <w:overflowPunct w:val="0"/>
              <w:autoSpaceDE w:val="0"/>
              <w:autoSpaceDN w:val="0"/>
              <w:adjustRightInd w:val="0"/>
              <w:jc w:val="center"/>
              <w:rPr>
                <w:sz w:val="21"/>
                <w:szCs w:val="21"/>
                <w:highlight w:val="none"/>
              </w:rPr>
            </w:pPr>
            <w:r>
              <w:rPr>
                <w:sz w:val="21"/>
                <w:szCs w:val="21"/>
                <w:highlight w:val="none"/>
              </w:rPr>
              <w:t>/</w:t>
            </w:r>
          </w:p>
        </w:tc>
      </w:tr>
      <w:tr w14:paraId="2B62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816" w:type="pct"/>
            <w:noWrap w:val="0"/>
            <w:vAlign w:val="center"/>
          </w:tcPr>
          <w:p w14:paraId="084E88F9">
            <w:pPr>
              <w:kinsoku w:val="0"/>
              <w:overflowPunct w:val="0"/>
              <w:autoSpaceDE w:val="0"/>
              <w:autoSpaceDN w:val="0"/>
              <w:adjustRightInd w:val="0"/>
              <w:jc w:val="center"/>
              <w:rPr>
                <w:sz w:val="21"/>
                <w:szCs w:val="21"/>
                <w:highlight w:val="none"/>
              </w:rPr>
            </w:pPr>
            <w:r>
              <w:rPr>
                <w:sz w:val="21"/>
                <w:szCs w:val="21"/>
                <w:highlight w:val="none"/>
              </w:rPr>
              <w:t>硫化物</w:t>
            </w:r>
          </w:p>
        </w:tc>
        <w:tc>
          <w:tcPr>
            <w:tcW w:w="519" w:type="pct"/>
            <w:noWrap w:val="0"/>
            <w:vAlign w:val="center"/>
          </w:tcPr>
          <w:p w14:paraId="613F5E01">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498" w:type="pct"/>
            <w:noWrap w:val="0"/>
            <w:vAlign w:val="center"/>
          </w:tcPr>
          <w:p w14:paraId="421E2015">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407" w:type="pct"/>
            <w:noWrap w:val="0"/>
            <w:vAlign w:val="center"/>
          </w:tcPr>
          <w:p w14:paraId="0DDD1193">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481" w:type="pct"/>
            <w:noWrap w:val="0"/>
            <w:vAlign w:val="center"/>
          </w:tcPr>
          <w:p w14:paraId="612851CC">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5</w:t>
            </w:r>
            <w:r>
              <w:rPr>
                <w:sz w:val="21"/>
                <w:szCs w:val="21"/>
                <w:highlight w:val="none"/>
              </w:rPr>
              <w:t>L</w:t>
            </w:r>
          </w:p>
        </w:tc>
        <w:tc>
          <w:tcPr>
            <w:tcW w:w="427" w:type="pct"/>
            <w:noWrap w:val="0"/>
            <w:vAlign w:val="center"/>
          </w:tcPr>
          <w:p w14:paraId="61A1C4A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372" w:type="pct"/>
            <w:noWrap w:val="0"/>
            <w:vAlign w:val="center"/>
          </w:tcPr>
          <w:p w14:paraId="6ECA380C">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481" w:type="pct"/>
            <w:noWrap w:val="0"/>
            <w:vAlign w:val="center"/>
          </w:tcPr>
          <w:p w14:paraId="7541CE2A">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5</w:t>
            </w:r>
            <w:r>
              <w:rPr>
                <w:sz w:val="21"/>
                <w:szCs w:val="21"/>
                <w:highlight w:val="none"/>
              </w:rPr>
              <w:t>L</w:t>
            </w:r>
          </w:p>
        </w:tc>
        <w:tc>
          <w:tcPr>
            <w:tcW w:w="427" w:type="pct"/>
            <w:noWrap w:val="0"/>
            <w:vAlign w:val="center"/>
          </w:tcPr>
          <w:p w14:paraId="2FCAB0F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5</w:t>
            </w:r>
            <w:r>
              <w:rPr>
                <w:sz w:val="21"/>
                <w:szCs w:val="21"/>
                <w:highlight w:val="none"/>
              </w:rPr>
              <w:t>L</w:t>
            </w:r>
          </w:p>
        </w:tc>
        <w:tc>
          <w:tcPr>
            <w:tcW w:w="566" w:type="pct"/>
            <w:noWrap w:val="0"/>
            <w:vAlign w:val="center"/>
          </w:tcPr>
          <w:p w14:paraId="6707B7AC">
            <w:pPr>
              <w:kinsoku w:val="0"/>
              <w:overflowPunct w:val="0"/>
              <w:autoSpaceDE w:val="0"/>
              <w:autoSpaceDN w:val="0"/>
              <w:adjustRightInd w:val="0"/>
              <w:jc w:val="center"/>
              <w:rPr>
                <w:sz w:val="21"/>
                <w:szCs w:val="21"/>
                <w:highlight w:val="none"/>
              </w:rPr>
            </w:pPr>
            <w:r>
              <w:rPr>
                <w:sz w:val="21"/>
                <w:szCs w:val="21"/>
                <w:highlight w:val="none"/>
              </w:rPr>
              <w:t>1.0</w:t>
            </w:r>
          </w:p>
        </w:tc>
      </w:tr>
      <w:tr w14:paraId="6647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816" w:type="pct"/>
            <w:noWrap w:val="0"/>
            <w:vAlign w:val="center"/>
          </w:tcPr>
          <w:p w14:paraId="43AF32EB">
            <w:pPr>
              <w:kinsoku w:val="0"/>
              <w:overflowPunct w:val="0"/>
              <w:autoSpaceDE w:val="0"/>
              <w:autoSpaceDN w:val="0"/>
              <w:adjustRightInd w:val="0"/>
              <w:jc w:val="center"/>
              <w:rPr>
                <w:sz w:val="21"/>
                <w:szCs w:val="21"/>
                <w:highlight w:val="none"/>
              </w:rPr>
            </w:pPr>
            <w:r>
              <w:rPr>
                <w:sz w:val="21"/>
                <w:szCs w:val="21"/>
                <w:highlight w:val="none"/>
              </w:rPr>
              <w:t>氟化物</w:t>
            </w:r>
          </w:p>
        </w:tc>
        <w:tc>
          <w:tcPr>
            <w:tcW w:w="519" w:type="pct"/>
            <w:noWrap w:val="0"/>
            <w:vAlign w:val="center"/>
          </w:tcPr>
          <w:p w14:paraId="65EF4A47">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5</w:t>
            </w:r>
            <w:r>
              <w:rPr>
                <w:sz w:val="21"/>
                <w:szCs w:val="21"/>
                <w:highlight w:val="none"/>
              </w:rPr>
              <w:t>6</w:t>
            </w:r>
          </w:p>
        </w:tc>
        <w:tc>
          <w:tcPr>
            <w:tcW w:w="498" w:type="pct"/>
            <w:noWrap w:val="0"/>
            <w:vAlign w:val="center"/>
          </w:tcPr>
          <w:p w14:paraId="0B10AE25">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5</w:t>
            </w:r>
            <w:r>
              <w:rPr>
                <w:sz w:val="21"/>
                <w:szCs w:val="21"/>
                <w:highlight w:val="none"/>
              </w:rPr>
              <w:t>9</w:t>
            </w:r>
          </w:p>
        </w:tc>
        <w:tc>
          <w:tcPr>
            <w:tcW w:w="407" w:type="pct"/>
            <w:noWrap w:val="0"/>
            <w:vAlign w:val="center"/>
          </w:tcPr>
          <w:p w14:paraId="3050B898">
            <w:pPr>
              <w:kinsoku w:val="0"/>
              <w:overflowPunct w:val="0"/>
              <w:autoSpaceDE w:val="0"/>
              <w:autoSpaceDN w:val="0"/>
              <w:adjustRightInd w:val="0"/>
              <w:jc w:val="center"/>
              <w:rPr>
                <w:sz w:val="21"/>
                <w:szCs w:val="21"/>
                <w:highlight w:val="none"/>
              </w:rPr>
            </w:pPr>
            <w:r>
              <w:rPr>
                <w:sz w:val="21"/>
                <w:szCs w:val="21"/>
                <w:highlight w:val="none"/>
              </w:rPr>
              <w:t>0.58</w:t>
            </w:r>
          </w:p>
        </w:tc>
        <w:tc>
          <w:tcPr>
            <w:tcW w:w="481" w:type="pct"/>
            <w:noWrap w:val="0"/>
            <w:vAlign w:val="center"/>
          </w:tcPr>
          <w:p w14:paraId="2A634327">
            <w:pPr>
              <w:kinsoku w:val="0"/>
              <w:overflowPunct w:val="0"/>
              <w:autoSpaceDE w:val="0"/>
              <w:autoSpaceDN w:val="0"/>
              <w:adjustRightInd w:val="0"/>
              <w:jc w:val="center"/>
              <w:rPr>
                <w:sz w:val="21"/>
                <w:szCs w:val="21"/>
                <w:highlight w:val="none"/>
              </w:rPr>
            </w:pPr>
            <w:r>
              <w:rPr>
                <w:sz w:val="21"/>
                <w:szCs w:val="21"/>
                <w:highlight w:val="none"/>
              </w:rPr>
              <w:t>0.58</w:t>
            </w:r>
          </w:p>
        </w:tc>
        <w:tc>
          <w:tcPr>
            <w:tcW w:w="427" w:type="pct"/>
            <w:noWrap w:val="0"/>
            <w:vAlign w:val="center"/>
          </w:tcPr>
          <w:p w14:paraId="086A8A46">
            <w:pPr>
              <w:kinsoku w:val="0"/>
              <w:overflowPunct w:val="0"/>
              <w:autoSpaceDE w:val="0"/>
              <w:autoSpaceDN w:val="0"/>
              <w:adjustRightInd w:val="0"/>
              <w:jc w:val="center"/>
              <w:rPr>
                <w:sz w:val="21"/>
                <w:szCs w:val="21"/>
                <w:highlight w:val="none"/>
              </w:rPr>
            </w:pPr>
            <w:r>
              <w:rPr>
                <w:sz w:val="21"/>
                <w:szCs w:val="21"/>
                <w:highlight w:val="none"/>
              </w:rPr>
              <w:t>0.52</w:t>
            </w:r>
          </w:p>
        </w:tc>
        <w:tc>
          <w:tcPr>
            <w:tcW w:w="372" w:type="pct"/>
            <w:noWrap w:val="0"/>
            <w:vAlign w:val="center"/>
          </w:tcPr>
          <w:p w14:paraId="64F417A5">
            <w:pPr>
              <w:kinsoku w:val="0"/>
              <w:overflowPunct w:val="0"/>
              <w:autoSpaceDE w:val="0"/>
              <w:autoSpaceDN w:val="0"/>
              <w:adjustRightInd w:val="0"/>
              <w:jc w:val="center"/>
              <w:rPr>
                <w:sz w:val="21"/>
                <w:szCs w:val="21"/>
                <w:highlight w:val="none"/>
              </w:rPr>
            </w:pPr>
            <w:r>
              <w:rPr>
                <w:sz w:val="21"/>
                <w:szCs w:val="21"/>
                <w:highlight w:val="none"/>
              </w:rPr>
              <w:t>0.51</w:t>
            </w:r>
          </w:p>
        </w:tc>
        <w:tc>
          <w:tcPr>
            <w:tcW w:w="481" w:type="pct"/>
            <w:noWrap w:val="0"/>
            <w:vAlign w:val="center"/>
          </w:tcPr>
          <w:p w14:paraId="7A111A92">
            <w:pPr>
              <w:kinsoku w:val="0"/>
              <w:overflowPunct w:val="0"/>
              <w:autoSpaceDE w:val="0"/>
              <w:autoSpaceDN w:val="0"/>
              <w:adjustRightInd w:val="0"/>
              <w:jc w:val="center"/>
              <w:rPr>
                <w:sz w:val="21"/>
                <w:szCs w:val="21"/>
                <w:highlight w:val="none"/>
              </w:rPr>
            </w:pPr>
            <w:r>
              <w:rPr>
                <w:sz w:val="21"/>
                <w:szCs w:val="21"/>
                <w:highlight w:val="none"/>
              </w:rPr>
              <w:t>0.50</w:t>
            </w:r>
          </w:p>
        </w:tc>
        <w:tc>
          <w:tcPr>
            <w:tcW w:w="427" w:type="pct"/>
            <w:noWrap w:val="0"/>
            <w:vAlign w:val="center"/>
          </w:tcPr>
          <w:p w14:paraId="7564C512">
            <w:pPr>
              <w:kinsoku w:val="0"/>
              <w:overflowPunct w:val="0"/>
              <w:autoSpaceDE w:val="0"/>
              <w:autoSpaceDN w:val="0"/>
              <w:adjustRightInd w:val="0"/>
              <w:jc w:val="center"/>
              <w:rPr>
                <w:sz w:val="21"/>
                <w:szCs w:val="21"/>
                <w:highlight w:val="none"/>
              </w:rPr>
            </w:pPr>
            <w:r>
              <w:rPr>
                <w:sz w:val="21"/>
                <w:szCs w:val="21"/>
                <w:highlight w:val="none"/>
              </w:rPr>
              <w:t>0.53</w:t>
            </w:r>
          </w:p>
        </w:tc>
        <w:tc>
          <w:tcPr>
            <w:tcW w:w="566" w:type="pct"/>
            <w:noWrap w:val="0"/>
            <w:vAlign w:val="center"/>
          </w:tcPr>
          <w:p w14:paraId="27FBAC3B">
            <w:pPr>
              <w:kinsoku w:val="0"/>
              <w:overflowPunct w:val="0"/>
              <w:autoSpaceDE w:val="0"/>
              <w:autoSpaceDN w:val="0"/>
              <w:adjustRightInd w:val="0"/>
              <w:jc w:val="center"/>
              <w:rPr>
                <w:sz w:val="21"/>
                <w:szCs w:val="21"/>
                <w:highlight w:val="none"/>
              </w:rPr>
            </w:pPr>
            <w:r>
              <w:rPr>
                <w:sz w:val="21"/>
                <w:szCs w:val="21"/>
                <w:highlight w:val="none"/>
              </w:rPr>
              <w:t>10</w:t>
            </w:r>
          </w:p>
        </w:tc>
      </w:tr>
      <w:tr w14:paraId="06BF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816" w:type="pct"/>
            <w:noWrap w:val="0"/>
            <w:vAlign w:val="center"/>
          </w:tcPr>
          <w:p w14:paraId="1CA2CE69">
            <w:pPr>
              <w:kinsoku w:val="0"/>
              <w:overflowPunct w:val="0"/>
              <w:autoSpaceDE w:val="0"/>
              <w:autoSpaceDN w:val="0"/>
              <w:adjustRightInd w:val="0"/>
              <w:jc w:val="center"/>
              <w:rPr>
                <w:sz w:val="21"/>
                <w:szCs w:val="21"/>
                <w:highlight w:val="none"/>
              </w:rPr>
            </w:pPr>
            <w:r>
              <w:rPr>
                <w:sz w:val="21"/>
                <w:szCs w:val="21"/>
                <w:highlight w:val="none"/>
              </w:rPr>
              <w:t>总铅（μ</w:t>
            </w:r>
            <w:r>
              <w:rPr>
                <w:spacing w:val="-3"/>
                <w:sz w:val="21"/>
                <w:szCs w:val="21"/>
                <w:highlight w:val="none"/>
              </w:rPr>
              <w:t>g</w:t>
            </w:r>
            <w:r>
              <w:rPr>
                <w:sz w:val="21"/>
                <w:szCs w:val="21"/>
                <w:highlight w:val="none"/>
              </w:rPr>
              <w:t>/L）</w:t>
            </w:r>
          </w:p>
        </w:tc>
        <w:tc>
          <w:tcPr>
            <w:tcW w:w="519" w:type="pct"/>
            <w:noWrap w:val="0"/>
            <w:vAlign w:val="center"/>
          </w:tcPr>
          <w:p w14:paraId="3D34C95A">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2"/>
                <w:sz w:val="21"/>
                <w:szCs w:val="21"/>
                <w:highlight w:val="none"/>
              </w:rPr>
              <w:t>2</w:t>
            </w:r>
            <w:r>
              <w:rPr>
                <w:spacing w:val="1"/>
                <w:sz w:val="21"/>
                <w:szCs w:val="21"/>
                <w:highlight w:val="none"/>
              </w:rPr>
              <w:t>5</w:t>
            </w:r>
            <w:r>
              <w:rPr>
                <w:sz w:val="21"/>
                <w:szCs w:val="21"/>
                <w:highlight w:val="none"/>
              </w:rPr>
              <w:t>L</w:t>
            </w:r>
          </w:p>
        </w:tc>
        <w:tc>
          <w:tcPr>
            <w:tcW w:w="498" w:type="pct"/>
            <w:noWrap w:val="0"/>
            <w:vAlign w:val="center"/>
          </w:tcPr>
          <w:p w14:paraId="1E2F17BF">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407" w:type="pct"/>
            <w:noWrap w:val="0"/>
            <w:vAlign w:val="center"/>
          </w:tcPr>
          <w:p w14:paraId="07488D8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481" w:type="pct"/>
            <w:noWrap w:val="0"/>
            <w:vAlign w:val="center"/>
          </w:tcPr>
          <w:p w14:paraId="37AC882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w:t>
            </w:r>
            <w:r>
              <w:rPr>
                <w:spacing w:val="-2"/>
                <w:sz w:val="21"/>
                <w:szCs w:val="21"/>
                <w:highlight w:val="none"/>
              </w:rPr>
              <w:t>5</w:t>
            </w:r>
            <w:r>
              <w:rPr>
                <w:sz w:val="21"/>
                <w:szCs w:val="21"/>
                <w:highlight w:val="none"/>
              </w:rPr>
              <w:t>L</w:t>
            </w:r>
          </w:p>
        </w:tc>
        <w:tc>
          <w:tcPr>
            <w:tcW w:w="427" w:type="pct"/>
            <w:noWrap w:val="0"/>
            <w:vAlign w:val="center"/>
          </w:tcPr>
          <w:p w14:paraId="695C177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372" w:type="pct"/>
            <w:noWrap w:val="0"/>
            <w:vAlign w:val="center"/>
          </w:tcPr>
          <w:p w14:paraId="2EECAC95">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w:t>
            </w:r>
            <w:r>
              <w:rPr>
                <w:spacing w:val="-2"/>
                <w:sz w:val="21"/>
                <w:szCs w:val="21"/>
                <w:highlight w:val="none"/>
              </w:rPr>
              <w:t>5</w:t>
            </w:r>
            <w:r>
              <w:rPr>
                <w:sz w:val="21"/>
                <w:szCs w:val="21"/>
                <w:highlight w:val="none"/>
              </w:rPr>
              <w:t>L</w:t>
            </w:r>
          </w:p>
        </w:tc>
        <w:tc>
          <w:tcPr>
            <w:tcW w:w="481" w:type="pct"/>
            <w:noWrap w:val="0"/>
            <w:vAlign w:val="center"/>
          </w:tcPr>
          <w:p w14:paraId="5E69DAA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427" w:type="pct"/>
            <w:noWrap w:val="0"/>
            <w:vAlign w:val="center"/>
          </w:tcPr>
          <w:p w14:paraId="02C70BF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566" w:type="pct"/>
            <w:noWrap w:val="0"/>
            <w:vAlign w:val="center"/>
          </w:tcPr>
          <w:p w14:paraId="741AFE07">
            <w:pPr>
              <w:kinsoku w:val="0"/>
              <w:overflowPunct w:val="0"/>
              <w:autoSpaceDE w:val="0"/>
              <w:autoSpaceDN w:val="0"/>
              <w:adjustRightInd w:val="0"/>
              <w:jc w:val="center"/>
              <w:rPr>
                <w:sz w:val="21"/>
                <w:szCs w:val="21"/>
                <w:highlight w:val="none"/>
              </w:rPr>
            </w:pPr>
            <w:r>
              <w:rPr>
                <w:sz w:val="21"/>
                <w:szCs w:val="21"/>
                <w:highlight w:val="none"/>
              </w:rPr>
              <w:t>1.0</w:t>
            </w:r>
            <w:r>
              <w:rPr>
                <w:szCs w:val="21"/>
                <w:highlight w:val="none"/>
              </w:rPr>
              <w:t>mg/L</w:t>
            </w:r>
          </w:p>
        </w:tc>
      </w:tr>
      <w:tr w14:paraId="773B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816" w:type="pct"/>
            <w:noWrap w:val="0"/>
            <w:vAlign w:val="center"/>
          </w:tcPr>
          <w:p w14:paraId="0692500F">
            <w:pPr>
              <w:kinsoku w:val="0"/>
              <w:overflowPunct w:val="0"/>
              <w:autoSpaceDE w:val="0"/>
              <w:autoSpaceDN w:val="0"/>
              <w:adjustRightInd w:val="0"/>
              <w:jc w:val="center"/>
              <w:rPr>
                <w:sz w:val="21"/>
                <w:szCs w:val="21"/>
                <w:highlight w:val="none"/>
              </w:rPr>
            </w:pPr>
            <w:r>
              <w:rPr>
                <w:sz w:val="21"/>
                <w:szCs w:val="21"/>
                <w:highlight w:val="none"/>
              </w:rPr>
              <w:t>总镉（μ</w:t>
            </w:r>
            <w:r>
              <w:rPr>
                <w:spacing w:val="-3"/>
                <w:sz w:val="21"/>
                <w:szCs w:val="21"/>
                <w:highlight w:val="none"/>
              </w:rPr>
              <w:t>g</w:t>
            </w:r>
            <w:r>
              <w:rPr>
                <w:sz w:val="21"/>
                <w:szCs w:val="21"/>
                <w:highlight w:val="none"/>
              </w:rPr>
              <w:t>/L）</w:t>
            </w:r>
          </w:p>
        </w:tc>
        <w:tc>
          <w:tcPr>
            <w:tcW w:w="519" w:type="pct"/>
            <w:noWrap w:val="0"/>
            <w:vAlign w:val="center"/>
          </w:tcPr>
          <w:p w14:paraId="397C9E0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98" w:type="pct"/>
            <w:noWrap w:val="0"/>
            <w:vAlign w:val="center"/>
          </w:tcPr>
          <w:p w14:paraId="13C7705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07" w:type="pct"/>
            <w:noWrap w:val="0"/>
            <w:vAlign w:val="center"/>
          </w:tcPr>
          <w:p w14:paraId="2CAEB1D8">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81" w:type="pct"/>
            <w:noWrap w:val="0"/>
            <w:vAlign w:val="center"/>
          </w:tcPr>
          <w:p w14:paraId="548ED76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2</w:t>
            </w:r>
            <w:r>
              <w:rPr>
                <w:spacing w:val="1"/>
                <w:sz w:val="21"/>
                <w:szCs w:val="21"/>
                <w:highlight w:val="none"/>
              </w:rPr>
              <w:t>5</w:t>
            </w:r>
            <w:r>
              <w:rPr>
                <w:sz w:val="21"/>
                <w:szCs w:val="21"/>
                <w:highlight w:val="none"/>
              </w:rPr>
              <w:t>L</w:t>
            </w:r>
          </w:p>
        </w:tc>
        <w:tc>
          <w:tcPr>
            <w:tcW w:w="427" w:type="pct"/>
            <w:noWrap w:val="0"/>
            <w:vAlign w:val="center"/>
          </w:tcPr>
          <w:p w14:paraId="27EF722A">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372" w:type="pct"/>
            <w:noWrap w:val="0"/>
            <w:vAlign w:val="center"/>
          </w:tcPr>
          <w:p w14:paraId="033D014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81" w:type="pct"/>
            <w:noWrap w:val="0"/>
            <w:vAlign w:val="center"/>
          </w:tcPr>
          <w:p w14:paraId="680D45B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2</w:t>
            </w:r>
            <w:r>
              <w:rPr>
                <w:spacing w:val="1"/>
                <w:sz w:val="21"/>
                <w:szCs w:val="21"/>
                <w:highlight w:val="none"/>
              </w:rPr>
              <w:t>5</w:t>
            </w:r>
            <w:r>
              <w:rPr>
                <w:sz w:val="21"/>
                <w:szCs w:val="21"/>
                <w:highlight w:val="none"/>
              </w:rPr>
              <w:t>L</w:t>
            </w:r>
          </w:p>
        </w:tc>
        <w:tc>
          <w:tcPr>
            <w:tcW w:w="427" w:type="pct"/>
            <w:noWrap w:val="0"/>
            <w:vAlign w:val="center"/>
          </w:tcPr>
          <w:p w14:paraId="1B850DF4">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2</w:t>
            </w:r>
            <w:r>
              <w:rPr>
                <w:spacing w:val="1"/>
                <w:sz w:val="21"/>
                <w:szCs w:val="21"/>
                <w:highlight w:val="none"/>
              </w:rPr>
              <w:t>5</w:t>
            </w:r>
            <w:r>
              <w:rPr>
                <w:sz w:val="21"/>
                <w:szCs w:val="21"/>
                <w:highlight w:val="none"/>
              </w:rPr>
              <w:t>L</w:t>
            </w:r>
          </w:p>
        </w:tc>
        <w:tc>
          <w:tcPr>
            <w:tcW w:w="566" w:type="pct"/>
            <w:noWrap w:val="0"/>
            <w:vAlign w:val="center"/>
          </w:tcPr>
          <w:p w14:paraId="5FADCFAD">
            <w:pPr>
              <w:kinsoku w:val="0"/>
              <w:overflowPunct w:val="0"/>
              <w:autoSpaceDE w:val="0"/>
              <w:autoSpaceDN w:val="0"/>
              <w:adjustRightInd w:val="0"/>
              <w:jc w:val="center"/>
              <w:rPr>
                <w:sz w:val="21"/>
                <w:szCs w:val="21"/>
                <w:highlight w:val="none"/>
              </w:rPr>
            </w:pPr>
            <w:r>
              <w:rPr>
                <w:sz w:val="21"/>
                <w:szCs w:val="21"/>
                <w:highlight w:val="none"/>
              </w:rPr>
              <w:t>0.1</w:t>
            </w:r>
            <w:r>
              <w:rPr>
                <w:szCs w:val="21"/>
                <w:highlight w:val="none"/>
              </w:rPr>
              <w:t>mg/L</w:t>
            </w:r>
          </w:p>
        </w:tc>
      </w:tr>
      <w:tr w14:paraId="2A4D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816" w:type="pct"/>
            <w:noWrap w:val="0"/>
            <w:vAlign w:val="center"/>
          </w:tcPr>
          <w:p w14:paraId="4F5FDA96">
            <w:pPr>
              <w:kinsoku w:val="0"/>
              <w:overflowPunct w:val="0"/>
              <w:autoSpaceDE w:val="0"/>
              <w:autoSpaceDN w:val="0"/>
              <w:adjustRightInd w:val="0"/>
              <w:jc w:val="center"/>
              <w:rPr>
                <w:sz w:val="21"/>
                <w:szCs w:val="21"/>
                <w:highlight w:val="none"/>
              </w:rPr>
            </w:pPr>
            <w:r>
              <w:rPr>
                <w:sz w:val="21"/>
                <w:szCs w:val="21"/>
                <w:highlight w:val="none"/>
              </w:rPr>
              <w:t>六价铬</w:t>
            </w:r>
          </w:p>
        </w:tc>
        <w:tc>
          <w:tcPr>
            <w:tcW w:w="519" w:type="pct"/>
            <w:noWrap w:val="0"/>
            <w:vAlign w:val="center"/>
          </w:tcPr>
          <w:p w14:paraId="3DAFE7A3">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98" w:type="pct"/>
            <w:noWrap w:val="0"/>
            <w:vAlign w:val="center"/>
          </w:tcPr>
          <w:p w14:paraId="488EEB24">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07" w:type="pct"/>
            <w:noWrap w:val="0"/>
            <w:vAlign w:val="center"/>
          </w:tcPr>
          <w:p w14:paraId="6DD2F32E">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81" w:type="pct"/>
            <w:noWrap w:val="0"/>
            <w:vAlign w:val="center"/>
          </w:tcPr>
          <w:p w14:paraId="57A02B0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4</w:t>
            </w:r>
            <w:r>
              <w:rPr>
                <w:sz w:val="21"/>
                <w:szCs w:val="21"/>
                <w:highlight w:val="none"/>
              </w:rPr>
              <w:t>L</w:t>
            </w:r>
          </w:p>
        </w:tc>
        <w:tc>
          <w:tcPr>
            <w:tcW w:w="427" w:type="pct"/>
            <w:noWrap w:val="0"/>
            <w:vAlign w:val="center"/>
          </w:tcPr>
          <w:p w14:paraId="4C86615F">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372" w:type="pct"/>
            <w:noWrap w:val="0"/>
            <w:vAlign w:val="center"/>
          </w:tcPr>
          <w:p w14:paraId="2115357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81" w:type="pct"/>
            <w:noWrap w:val="0"/>
            <w:vAlign w:val="center"/>
          </w:tcPr>
          <w:p w14:paraId="3584AE98">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4</w:t>
            </w:r>
            <w:r>
              <w:rPr>
                <w:sz w:val="21"/>
                <w:szCs w:val="21"/>
                <w:highlight w:val="none"/>
              </w:rPr>
              <w:t>L</w:t>
            </w:r>
          </w:p>
        </w:tc>
        <w:tc>
          <w:tcPr>
            <w:tcW w:w="427" w:type="pct"/>
            <w:noWrap w:val="0"/>
            <w:vAlign w:val="center"/>
          </w:tcPr>
          <w:p w14:paraId="49A5912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4</w:t>
            </w:r>
            <w:r>
              <w:rPr>
                <w:sz w:val="21"/>
                <w:szCs w:val="21"/>
                <w:highlight w:val="none"/>
              </w:rPr>
              <w:t>L</w:t>
            </w:r>
          </w:p>
        </w:tc>
        <w:tc>
          <w:tcPr>
            <w:tcW w:w="566" w:type="pct"/>
            <w:noWrap w:val="0"/>
            <w:vAlign w:val="center"/>
          </w:tcPr>
          <w:p w14:paraId="25F9B081">
            <w:pPr>
              <w:kinsoku w:val="0"/>
              <w:overflowPunct w:val="0"/>
              <w:autoSpaceDE w:val="0"/>
              <w:autoSpaceDN w:val="0"/>
              <w:adjustRightInd w:val="0"/>
              <w:jc w:val="center"/>
              <w:rPr>
                <w:sz w:val="21"/>
                <w:szCs w:val="21"/>
                <w:highlight w:val="none"/>
              </w:rPr>
            </w:pPr>
            <w:r>
              <w:rPr>
                <w:sz w:val="21"/>
                <w:szCs w:val="21"/>
                <w:highlight w:val="none"/>
              </w:rPr>
              <w:t>0.5</w:t>
            </w:r>
          </w:p>
        </w:tc>
      </w:tr>
      <w:tr w14:paraId="106B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816" w:type="pct"/>
            <w:noWrap w:val="0"/>
            <w:vAlign w:val="center"/>
          </w:tcPr>
          <w:p w14:paraId="6F25271C">
            <w:pPr>
              <w:kinsoku w:val="0"/>
              <w:overflowPunct w:val="0"/>
              <w:autoSpaceDE w:val="0"/>
              <w:autoSpaceDN w:val="0"/>
              <w:adjustRightInd w:val="0"/>
              <w:jc w:val="center"/>
              <w:rPr>
                <w:sz w:val="21"/>
                <w:szCs w:val="21"/>
                <w:highlight w:val="none"/>
              </w:rPr>
            </w:pPr>
            <w:r>
              <w:rPr>
                <w:sz w:val="21"/>
                <w:szCs w:val="21"/>
                <w:highlight w:val="none"/>
              </w:rPr>
              <w:t>总铬</w:t>
            </w:r>
          </w:p>
        </w:tc>
        <w:tc>
          <w:tcPr>
            <w:tcW w:w="519" w:type="pct"/>
            <w:noWrap w:val="0"/>
            <w:vAlign w:val="center"/>
          </w:tcPr>
          <w:p w14:paraId="5B204FF3">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2"/>
                <w:sz w:val="21"/>
                <w:szCs w:val="21"/>
                <w:highlight w:val="none"/>
              </w:rPr>
              <w:t>0</w:t>
            </w:r>
            <w:r>
              <w:rPr>
                <w:spacing w:val="1"/>
                <w:sz w:val="21"/>
                <w:szCs w:val="21"/>
                <w:highlight w:val="none"/>
              </w:rPr>
              <w:t>3</w:t>
            </w:r>
            <w:r>
              <w:rPr>
                <w:sz w:val="21"/>
                <w:szCs w:val="21"/>
                <w:highlight w:val="none"/>
              </w:rPr>
              <w:t>L</w:t>
            </w:r>
          </w:p>
        </w:tc>
        <w:tc>
          <w:tcPr>
            <w:tcW w:w="498" w:type="pct"/>
            <w:noWrap w:val="0"/>
            <w:vAlign w:val="center"/>
          </w:tcPr>
          <w:p w14:paraId="65F30BD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407" w:type="pct"/>
            <w:noWrap w:val="0"/>
            <w:vAlign w:val="center"/>
          </w:tcPr>
          <w:p w14:paraId="6A3FA001">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481" w:type="pct"/>
            <w:noWrap w:val="0"/>
            <w:vAlign w:val="center"/>
          </w:tcPr>
          <w:p w14:paraId="300E2361">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3</w:t>
            </w:r>
            <w:r>
              <w:rPr>
                <w:sz w:val="21"/>
                <w:szCs w:val="21"/>
                <w:highlight w:val="none"/>
              </w:rPr>
              <w:t>L</w:t>
            </w:r>
          </w:p>
        </w:tc>
        <w:tc>
          <w:tcPr>
            <w:tcW w:w="427" w:type="pct"/>
            <w:noWrap w:val="0"/>
            <w:vAlign w:val="center"/>
          </w:tcPr>
          <w:p w14:paraId="6B9F8E4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372" w:type="pct"/>
            <w:noWrap w:val="0"/>
            <w:vAlign w:val="center"/>
          </w:tcPr>
          <w:p w14:paraId="3AC476EA">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3</w:t>
            </w:r>
            <w:r>
              <w:rPr>
                <w:sz w:val="21"/>
                <w:szCs w:val="21"/>
                <w:highlight w:val="none"/>
              </w:rPr>
              <w:t>L</w:t>
            </w:r>
          </w:p>
        </w:tc>
        <w:tc>
          <w:tcPr>
            <w:tcW w:w="481" w:type="pct"/>
            <w:noWrap w:val="0"/>
            <w:vAlign w:val="center"/>
          </w:tcPr>
          <w:p w14:paraId="7075096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427" w:type="pct"/>
            <w:noWrap w:val="0"/>
            <w:vAlign w:val="center"/>
          </w:tcPr>
          <w:p w14:paraId="1C8836BE">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566" w:type="pct"/>
            <w:noWrap w:val="0"/>
            <w:vAlign w:val="center"/>
          </w:tcPr>
          <w:p w14:paraId="32F1C7B6">
            <w:pPr>
              <w:kinsoku w:val="0"/>
              <w:overflowPunct w:val="0"/>
              <w:autoSpaceDE w:val="0"/>
              <w:autoSpaceDN w:val="0"/>
              <w:adjustRightInd w:val="0"/>
              <w:jc w:val="center"/>
              <w:rPr>
                <w:sz w:val="21"/>
                <w:szCs w:val="21"/>
                <w:highlight w:val="none"/>
              </w:rPr>
            </w:pPr>
            <w:r>
              <w:rPr>
                <w:sz w:val="21"/>
                <w:szCs w:val="21"/>
                <w:highlight w:val="none"/>
              </w:rPr>
              <w:t>1.5</w:t>
            </w:r>
          </w:p>
        </w:tc>
      </w:tr>
      <w:tr w14:paraId="70A0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816" w:type="pct"/>
            <w:noWrap w:val="0"/>
            <w:vAlign w:val="center"/>
          </w:tcPr>
          <w:p w14:paraId="5E162920">
            <w:pPr>
              <w:kinsoku w:val="0"/>
              <w:overflowPunct w:val="0"/>
              <w:autoSpaceDE w:val="0"/>
              <w:autoSpaceDN w:val="0"/>
              <w:adjustRightInd w:val="0"/>
              <w:jc w:val="center"/>
              <w:rPr>
                <w:sz w:val="21"/>
                <w:szCs w:val="21"/>
                <w:highlight w:val="none"/>
              </w:rPr>
            </w:pPr>
            <w:r>
              <w:rPr>
                <w:sz w:val="21"/>
                <w:szCs w:val="21"/>
                <w:highlight w:val="none"/>
              </w:rPr>
              <w:t>总砷（μ</w:t>
            </w:r>
            <w:r>
              <w:rPr>
                <w:spacing w:val="-3"/>
                <w:sz w:val="21"/>
                <w:szCs w:val="21"/>
                <w:highlight w:val="none"/>
              </w:rPr>
              <w:t>g</w:t>
            </w:r>
            <w:r>
              <w:rPr>
                <w:sz w:val="21"/>
                <w:szCs w:val="21"/>
                <w:highlight w:val="none"/>
              </w:rPr>
              <w:t>/L）</w:t>
            </w:r>
          </w:p>
        </w:tc>
        <w:tc>
          <w:tcPr>
            <w:tcW w:w="519" w:type="pct"/>
            <w:noWrap w:val="0"/>
            <w:vAlign w:val="center"/>
          </w:tcPr>
          <w:p w14:paraId="558D17DC">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.5</w:t>
            </w:r>
          </w:p>
        </w:tc>
        <w:tc>
          <w:tcPr>
            <w:tcW w:w="498" w:type="pct"/>
            <w:noWrap w:val="0"/>
            <w:vAlign w:val="center"/>
          </w:tcPr>
          <w:p w14:paraId="31285CA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.4</w:t>
            </w:r>
          </w:p>
        </w:tc>
        <w:tc>
          <w:tcPr>
            <w:tcW w:w="407" w:type="pct"/>
            <w:noWrap w:val="0"/>
            <w:vAlign w:val="center"/>
          </w:tcPr>
          <w:p w14:paraId="7B1B64ED">
            <w:pPr>
              <w:kinsoku w:val="0"/>
              <w:overflowPunct w:val="0"/>
              <w:autoSpaceDE w:val="0"/>
              <w:autoSpaceDN w:val="0"/>
              <w:adjustRightInd w:val="0"/>
              <w:jc w:val="center"/>
              <w:rPr>
                <w:sz w:val="21"/>
                <w:szCs w:val="21"/>
                <w:highlight w:val="none"/>
              </w:rPr>
            </w:pPr>
            <w:r>
              <w:rPr>
                <w:sz w:val="21"/>
                <w:szCs w:val="21"/>
                <w:highlight w:val="none"/>
              </w:rPr>
              <w:t>0.4</w:t>
            </w:r>
          </w:p>
        </w:tc>
        <w:tc>
          <w:tcPr>
            <w:tcW w:w="481" w:type="pct"/>
            <w:noWrap w:val="0"/>
            <w:vAlign w:val="center"/>
          </w:tcPr>
          <w:p w14:paraId="6D5EA644">
            <w:pPr>
              <w:kinsoku w:val="0"/>
              <w:overflowPunct w:val="0"/>
              <w:autoSpaceDE w:val="0"/>
              <w:autoSpaceDN w:val="0"/>
              <w:adjustRightInd w:val="0"/>
              <w:jc w:val="center"/>
              <w:rPr>
                <w:sz w:val="21"/>
                <w:szCs w:val="21"/>
                <w:highlight w:val="none"/>
              </w:rPr>
            </w:pPr>
            <w:r>
              <w:rPr>
                <w:sz w:val="21"/>
                <w:szCs w:val="21"/>
                <w:highlight w:val="none"/>
              </w:rPr>
              <w:t>0.4</w:t>
            </w:r>
          </w:p>
        </w:tc>
        <w:tc>
          <w:tcPr>
            <w:tcW w:w="427" w:type="pct"/>
            <w:noWrap w:val="0"/>
            <w:vAlign w:val="center"/>
          </w:tcPr>
          <w:p w14:paraId="2EE857A4">
            <w:pPr>
              <w:kinsoku w:val="0"/>
              <w:overflowPunct w:val="0"/>
              <w:autoSpaceDE w:val="0"/>
              <w:autoSpaceDN w:val="0"/>
              <w:adjustRightInd w:val="0"/>
              <w:jc w:val="center"/>
              <w:rPr>
                <w:sz w:val="21"/>
                <w:szCs w:val="21"/>
                <w:highlight w:val="none"/>
              </w:rPr>
            </w:pPr>
            <w:r>
              <w:rPr>
                <w:sz w:val="21"/>
                <w:szCs w:val="21"/>
                <w:highlight w:val="none"/>
              </w:rPr>
              <w:t>0.4</w:t>
            </w:r>
          </w:p>
        </w:tc>
        <w:tc>
          <w:tcPr>
            <w:tcW w:w="372" w:type="pct"/>
            <w:noWrap w:val="0"/>
            <w:vAlign w:val="center"/>
          </w:tcPr>
          <w:p w14:paraId="20D6F392">
            <w:pPr>
              <w:kinsoku w:val="0"/>
              <w:overflowPunct w:val="0"/>
              <w:autoSpaceDE w:val="0"/>
              <w:autoSpaceDN w:val="0"/>
              <w:adjustRightInd w:val="0"/>
              <w:jc w:val="center"/>
              <w:rPr>
                <w:sz w:val="21"/>
                <w:szCs w:val="21"/>
                <w:highlight w:val="none"/>
              </w:rPr>
            </w:pPr>
            <w:r>
              <w:rPr>
                <w:sz w:val="21"/>
                <w:szCs w:val="21"/>
                <w:highlight w:val="none"/>
              </w:rPr>
              <w:t>0.4</w:t>
            </w:r>
          </w:p>
        </w:tc>
        <w:tc>
          <w:tcPr>
            <w:tcW w:w="481" w:type="pct"/>
            <w:noWrap w:val="0"/>
            <w:vAlign w:val="center"/>
          </w:tcPr>
          <w:p w14:paraId="6D6D8A60">
            <w:pPr>
              <w:kinsoku w:val="0"/>
              <w:overflowPunct w:val="0"/>
              <w:autoSpaceDE w:val="0"/>
              <w:autoSpaceDN w:val="0"/>
              <w:adjustRightInd w:val="0"/>
              <w:jc w:val="center"/>
              <w:rPr>
                <w:sz w:val="21"/>
                <w:szCs w:val="21"/>
                <w:highlight w:val="none"/>
              </w:rPr>
            </w:pPr>
            <w:r>
              <w:rPr>
                <w:sz w:val="21"/>
                <w:szCs w:val="21"/>
                <w:highlight w:val="none"/>
              </w:rPr>
              <w:t>0.5</w:t>
            </w:r>
          </w:p>
        </w:tc>
        <w:tc>
          <w:tcPr>
            <w:tcW w:w="427" w:type="pct"/>
            <w:noWrap w:val="0"/>
            <w:vAlign w:val="center"/>
          </w:tcPr>
          <w:p w14:paraId="5C428B3D">
            <w:pPr>
              <w:kinsoku w:val="0"/>
              <w:overflowPunct w:val="0"/>
              <w:autoSpaceDE w:val="0"/>
              <w:autoSpaceDN w:val="0"/>
              <w:adjustRightInd w:val="0"/>
              <w:jc w:val="center"/>
              <w:rPr>
                <w:sz w:val="21"/>
                <w:szCs w:val="21"/>
                <w:highlight w:val="none"/>
              </w:rPr>
            </w:pPr>
            <w:r>
              <w:rPr>
                <w:sz w:val="21"/>
                <w:szCs w:val="21"/>
                <w:highlight w:val="none"/>
              </w:rPr>
              <w:t>0.4</w:t>
            </w:r>
          </w:p>
        </w:tc>
        <w:tc>
          <w:tcPr>
            <w:tcW w:w="566" w:type="pct"/>
            <w:noWrap w:val="0"/>
            <w:vAlign w:val="center"/>
          </w:tcPr>
          <w:p w14:paraId="1B87FDCB">
            <w:pPr>
              <w:kinsoku w:val="0"/>
              <w:overflowPunct w:val="0"/>
              <w:autoSpaceDE w:val="0"/>
              <w:autoSpaceDN w:val="0"/>
              <w:adjustRightInd w:val="0"/>
              <w:jc w:val="center"/>
              <w:rPr>
                <w:sz w:val="21"/>
                <w:szCs w:val="21"/>
                <w:highlight w:val="none"/>
              </w:rPr>
            </w:pPr>
            <w:r>
              <w:rPr>
                <w:sz w:val="21"/>
                <w:szCs w:val="21"/>
                <w:highlight w:val="none"/>
              </w:rPr>
              <w:t>0.5</w:t>
            </w:r>
            <w:r>
              <w:rPr>
                <w:szCs w:val="21"/>
                <w:highlight w:val="none"/>
              </w:rPr>
              <w:t>mg/L</w:t>
            </w:r>
          </w:p>
        </w:tc>
      </w:tr>
      <w:tr w14:paraId="24EB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816" w:type="pct"/>
            <w:noWrap w:val="0"/>
            <w:vAlign w:val="center"/>
          </w:tcPr>
          <w:p w14:paraId="421E3AAA">
            <w:pPr>
              <w:kinsoku w:val="0"/>
              <w:overflowPunct w:val="0"/>
              <w:autoSpaceDE w:val="0"/>
              <w:autoSpaceDN w:val="0"/>
              <w:adjustRightInd w:val="0"/>
              <w:jc w:val="center"/>
              <w:rPr>
                <w:sz w:val="21"/>
                <w:szCs w:val="21"/>
                <w:highlight w:val="none"/>
              </w:rPr>
            </w:pPr>
            <w:r>
              <w:rPr>
                <w:sz w:val="21"/>
                <w:szCs w:val="21"/>
                <w:highlight w:val="none"/>
              </w:rPr>
              <w:t>总汞（μ</w:t>
            </w:r>
            <w:r>
              <w:rPr>
                <w:spacing w:val="-3"/>
                <w:sz w:val="21"/>
                <w:szCs w:val="21"/>
                <w:highlight w:val="none"/>
              </w:rPr>
              <w:t>g</w:t>
            </w:r>
            <w:r>
              <w:rPr>
                <w:sz w:val="21"/>
                <w:szCs w:val="21"/>
                <w:highlight w:val="none"/>
              </w:rPr>
              <w:t>/L）</w:t>
            </w:r>
          </w:p>
        </w:tc>
        <w:tc>
          <w:tcPr>
            <w:tcW w:w="519" w:type="pct"/>
            <w:noWrap w:val="0"/>
            <w:vAlign w:val="center"/>
          </w:tcPr>
          <w:p w14:paraId="2AC0959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z w:val="21"/>
                <w:szCs w:val="21"/>
                <w:highlight w:val="none"/>
              </w:rPr>
              <w:t>9</w:t>
            </w:r>
          </w:p>
        </w:tc>
        <w:tc>
          <w:tcPr>
            <w:tcW w:w="498" w:type="pct"/>
            <w:noWrap w:val="0"/>
            <w:vAlign w:val="center"/>
          </w:tcPr>
          <w:p w14:paraId="24542651">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z w:val="21"/>
                <w:szCs w:val="21"/>
                <w:highlight w:val="none"/>
              </w:rPr>
              <w:t>9</w:t>
            </w:r>
          </w:p>
        </w:tc>
        <w:tc>
          <w:tcPr>
            <w:tcW w:w="407" w:type="pct"/>
            <w:noWrap w:val="0"/>
            <w:vAlign w:val="center"/>
          </w:tcPr>
          <w:p w14:paraId="510FB355">
            <w:pPr>
              <w:kinsoku w:val="0"/>
              <w:overflowPunct w:val="0"/>
              <w:autoSpaceDE w:val="0"/>
              <w:autoSpaceDN w:val="0"/>
              <w:adjustRightInd w:val="0"/>
              <w:jc w:val="center"/>
              <w:rPr>
                <w:sz w:val="21"/>
                <w:szCs w:val="21"/>
                <w:highlight w:val="none"/>
              </w:rPr>
            </w:pPr>
            <w:r>
              <w:rPr>
                <w:sz w:val="21"/>
                <w:szCs w:val="21"/>
                <w:highlight w:val="none"/>
              </w:rPr>
              <w:t>0.09</w:t>
            </w:r>
          </w:p>
        </w:tc>
        <w:tc>
          <w:tcPr>
            <w:tcW w:w="481" w:type="pct"/>
            <w:noWrap w:val="0"/>
            <w:vAlign w:val="center"/>
          </w:tcPr>
          <w:p w14:paraId="580EE89E">
            <w:pPr>
              <w:kinsoku w:val="0"/>
              <w:overflowPunct w:val="0"/>
              <w:autoSpaceDE w:val="0"/>
              <w:autoSpaceDN w:val="0"/>
              <w:adjustRightInd w:val="0"/>
              <w:jc w:val="center"/>
              <w:rPr>
                <w:sz w:val="21"/>
                <w:szCs w:val="21"/>
                <w:highlight w:val="none"/>
              </w:rPr>
            </w:pPr>
            <w:r>
              <w:rPr>
                <w:sz w:val="21"/>
                <w:szCs w:val="21"/>
                <w:highlight w:val="none"/>
              </w:rPr>
              <w:t>0.10</w:t>
            </w:r>
          </w:p>
        </w:tc>
        <w:tc>
          <w:tcPr>
            <w:tcW w:w="427" w:type="pct"/>
            <w:noWrap w:val="0"/>
            <w:vAlign w:val="center"/>
          </w:tcPr>
          <w:p w14:paraId="79944B0B">
            <w:pPr>
              <w:kinsoku w:val="0"/>
              <w:overflowPunct w:val="0"/>
              <w:autoSpaceDE w:val="0"/>
              <w:autoSpaceDN w:val="0"/>
              <w:adjustRightInd w:val="0"/>
              <w:jc w:val="center"/>
              <w:rPr>
                <w:sz w:val="21"/>
                <w:szCs w:val="21"/>
                <w:highlight w:val="none"/>
              </w:rPr>
            </w:pPr>
            <w:r>
              <w:rPr>
                <w:sz w:val="21"/>
                <w:szCs w:val="21"/>
                <w:highlight w:val="none"/>
              </w:rPr>
              <w:t>0.</w:t>
            </w:r>
            <w:r>
              <w:rPr>
                <w:spacing w:val="-5"/>
                <w:sz w:val="21"/>
                <w:szCs w:val="21"/>
                <w:highlight w:val="none"/>
              </w:rPr>
              <w:t>1</w:t>
            </w:r>
            <w:r>
              <w:rPr>
                <w:sz w:val="21"/>
                <w:szCs w:val="21"/>
                <w:highlight w:val="none"/>
              </w:rPr>
              <w:t>1</w:t>
            </w:r>
          </w:p>
        </w:tc>
        <w:tc>
          <w:tcPr>
            <w:tcW w:w="372" w:type="pct"/>
            <w:noWrap w:val="0"/>
            <w:vAlign w:val="center"/>
          </w:tcPr>
          <w:p w14:paraId="753BE72F">
            <w:pPr>
              <w:kinsoku w:val="0"/>
              <w:overflowPunct w:val="0"/>
              <w:autoSpaceDE w:val="0"/>
              <w:autoSpaceDN w:val="0"/>
              <w:adjustRightInd w:val="0"/>
              <w:jc w:val="center"/>
              <w:rPr>
                <w:sz w:val="21"/>
                <w:szCs w:val="21"/>
                <w:highlight w:val="none"/>
              </w:rPr>
            </w:pPr>
            <w:r>
              <w:rPr>
                <w:sz w:val="21"/>
                <w:szCs w:val="21"/>
                <w:highlight w:val="none"/>
              </w:rPr>
              <w:t>0.</w:t>
            </w:r>
            <w:r>
              <w:rPr>
                <w:spacing w:val="-5"/>
                <w:sz w:val="21"/>
                <w:szCs w:val="21"/>
                <w:highlight w:val="none"/>
              </w:rPr>
              <w:t>1</w:t>
            </w:r>
            <w:r>
              <w:rPr>
                <w:sz w:val="21"/>
                <w:szCs w:val="21"/>
                <w:highlight w:val="none"/>
              </w:rPr>
              <w:t>1</w:t>
            </w:r>
          </w:p>
        </w:tc>
        <w:tc>
          <w:tcPr>
            <w:tcW w:w="481" w:type="pct"/>
            <w:noWrap w:val="0"/>
            <w:vAlign w:val="center"/>
          </w:tcPr>
          <w:p w14:paraId="79F5A422">
            <w:pPr>
              <w:kinsoku w:val="0"/>
              <w:overflowPunct w:val="0"/>
              <w:autoSpaceDE w:val="0"/>
              <w:autoSpaceDN w:val="0"/>
              <w:adjustRightInd w:val="0"/>
              <w:jc w:val="center"/>
              <w:rPr>
                <w:sz w:val="21"/>
                <w:szCs w:val="21"/>
                <w:highlight w:val="none"/>
              </w:rPr>
            </w:pPr>
            <w:r>
              <w:rPr>
                <w:sz w:val="21"/>
                <w:szCs w:val="21"/>
                <w:highlight w:val="none"/>
              </w:rPr>
              <w:t>0.12</w:t>
            </w:r>
          </w:p>
        </w:tc>
        <w:tc>
          <w:tcPr>
            <w:tcW w:w="427" w:type="pct"/>
            <w:noWrap w:val="0"/>
            <w:vAlign w:val="center"/>
          </w:tcPr>
          <w:p w14:paraId="3A8E6E26">
            <w:pPr>
              <w:kinsoku w:val="0"/>
              <w:overflowPunct w:val="0"/>
              <w:autoSpaceDE w:val="0"/>
              <w:autoSpaceDN w:val="0"/>
              <w:adjustRightInd w:val="0"/>
              <w:jc w:val="center"/>
              <w:rPr>
                <w:sz w:val="21"/>
                <w:szCs w:val="21"/>
                <w:highlight w:val="none"/>
              </w:rPr>
            </w:pPr>
            <w:r>
              <w:rPr>
                <w:sz w:val="21"/>
                <w:szCs w:val="21"/>
                <w:highlight w:val="none"/>
              </w:rPr>
              <w:t>0.12</w:t>
            </w:r>
          </w:p>
        </w:tc>
        <w:tc>
          <w:tcPr>
            <w:tcW w:w="566" w:type="pct"/>
            <w:noWrap w:val="0"/>
            <w:vAlign w:val="center"/>
          </w:tcPr>
          <w:p w14:paraId="17DC3C5C">
            <w:pPr>
              <w:kinsoku w:val="0"/>
              <w:overflowPunct w:val="0"/>
              <w:autoSpaceDE w:val="0"/>
              <w:autoSpaceDN w:val="0"/>
              <w:adjustRightInd w:val="0"/>
              <w:jc w:val="center"/>
              <w:rPr>
                <w:sz w:val="21"/>
                <w:szCs w:val="21"/>
                <w:highlight w:val="none"/>
              </w:rPr>
            </w:pPr>
            <w:r>
              <w:rPr>
                <w:sz w:val="21"/>
                <w:szCs w:val="21"/>
                <w:highlight w:val="none"/>
              </w:rPr>
              <w:t>0.05</w:t>
            </w:r>
            <w:r>
              <w:rPr>
                <w:szCs w:val="21"/>
                <w:highlight w:val="none"/>
              </w:rPr>
              <w:t>mg/L</w:t>
            </w:r>
          </w:p>
        </w:tc>
      </w:tr>
      <w:tr w14:paraId="3FFB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816" w:type="pct"/>
            <w:noWrap w:val="0"/>
            <w:vAlign w:val="center"/>
          </w:tcPr>
          <w:p w14:paraId="68A17F51">
            <w:pPr>
              <w:kinsoku w:val="0"/>
              <w:overflowPunct w:val="0"/>
              <w:autoSpaceDE w:val="0"/>
              <w:autoSpaceDN w:val="0"/>
              <w:adjustRightInd w:val="0"/>
              <w:jc w:val="center"/>
              <w:rPr>
                <w:sz w:val="21"/>
                <w:szCs w:val="21"/>
                <w:highlight w:val="none"/>
              </w:rPr>
            </w:pPr>
            <w:r>
              <w:rPr>
                <w:sz w:val="21"/>
                <w:szCs w:val="21"/>
                <w:highlight w:val="none"/>
              </w:rPr>
              <w:t>挥发酚</w:t>
            </w:r>
          </w:p>
        </w:tc>
        <w:tc>
          <w:tcPr>
            <w:tcW w:w="519" w:type="pct"/>
            <w:noWrap w:val="0"/>
            <w:vAlign w:val="center"/>
          </w:tcPr>
          <w:p w14:paraId="7E3C87D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z w:val="21"/>
                <w:szCs w:val="21"/>
                <w:highlight w:val="none"/>
              </w:rPr>
              <w:t>2</w:t>
            </w:r>
          </w:p>
        </w:tc>
        <w:tc>
          <w:tcPr>
            <w:tcW w:w="498" w:type="pct"/>
            <w:noWrap w:val="0"/>
            <w:vAlign w:val="center"/>
          </w:tcPr>
          <w:p w14:paraId="2B148A5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8"/>
                <w:sz w:val="21"/>
                <w:szCs w:val="21"/>
                <w:highlight w:val="none"/>
              </w:rPr>
              <w:t>1</w:t>
            </w:r>
            <w:r>
              <w:rPr>
                <w:sz w:val="21"/>
                <w:szCs w:val="21"/>
                <w:highlight w:val="none"/>
              </w:rPr>
              <w:t>1</w:t>
            </w:r>
          </w:p>
        </w:tc>
        <w:tc>
          <w:tcPr>
            <w:tcW w:w="407" w:type="pct"/>
            <w:noWrap w:val="0"/>
            <w:vAlign w:val="center"/>
          </w:tcPr>
          <w:p w14:paraId="0E7733BA">
            <w:pPr>
              <w:kinsoku w:val="0"/>
              <w:overflowPunct w:val="0"/>
              <w:autoSpaceDE w:val="0"/>
              <w:autoSpaceDN w:val="0"/>
              <w:adjustRightInd w:val="0"/>
              <w:jc w:val="center"/>
              <w:rPr>
                <w:sz w:val="21"/>
                <w:szCs w:val="21"/>
                <w:highlight w:val="none"/>
              </w:rPr>
            </w:pPr>
            <w:r>
              <w:rPr>
                <w:sz w:val="21"/>
                <w:szCs w:val="21"/>
                <w:highlight w:val="none"/>
              </w:rPr>
              <w:t>0.006</w:t>
            </w:r>
          </w:p>
        </w:tc>
        <w:tc>
          <w:tcPr>
            <w:tcW w:w="481" w:type="pct"/>
            <w:noWrap w:val="0"/>
            <w:vAlign w:val="center"/>
          </w:tcPr>
          <w:p w14:paraId="639FC213">
            <w:pPr>
              <w:kinsoku w:val="0"/>
              <w:overflowPunct w:val="0"/>
              <w:autoSpaceDE w:val="0"/>
              <w:autoSpaceDN w:val="0"/>
              <w:adjustRightInd w:val="0"/>
              <w:jc w:val="center"/>
              <w:rPr>
                <w:sz w:val="21"/>
                <w:szCs w:val="21"/>
                <w:highlight w:val="none"/>
              </w:rPr>
            </w:pPr>
            <w:r>
              <w:rPr>
                <w:sz w:val="21"/>
                <w:szCs w:val="21"/>
                <w:highlight w:val="none"/>
              </w:rPr>
              <w:t>0.004</w:t>
            </w:r>
          </w:p>
        </w:tc>
        <w:tc>
          <w:tcPr>
            <w:tcW w:w="427" w:type="pct"/>
            <w:noWrap w:val="0"/>
            <w:vAlign w:val="center"/>
          </w:tcPr>
          <w:p w14:paraId="2344AA7B">
            <w:pPr>
              <w:kinsoku w:val="0"/>
              <w:overflowPunct w:val="0"/>
              <w:autoSpaceDE w:val="0"/>
              <w:autoSpaceDN w:val="0"/>
              <w:adjustRightInd w:val="0"/>
              <w:jc w:val="center"/>
              <w:rPr>
                <w:sz w:val="21"/>
                <w:szCs w:val="21"/>
                <w:highlight w:val="none"/>
              </w:rPr>
            </w:pPr>
            <w:r>
              <w:rPr>
                <w:sz w:val="21"/>
                <w:szCs w:val="21"/>
                <w:highlight w:val="none"/>
              </w:rPr>
              <w:t>0.005</w:t>
            </w:r>
          </w:p>
        </w:tc>
        <w:tc>
          <w:tcPr>
            <w:tcW w:w="372" w:type="pct"/>
            <w:noWrap w:val="0"/>
            <w:vAlign w:val="center"/>
          </w:tcPr>
          <w:p w14:paraId="7529E705">
            <w:pPr>
              <w:kinsoku w:val="0"/>
              <w:overflowPunct w:val="0"/>
              <w:autoSpaceDE w:val="0"/>
              <w:autoSpaceDN w:val="0"/>
              <w:adjustRightInd w:val="0"/>
              <w:jc w:val="center"/>
              <w:rPr>
                <w:sz w:val="21"/>
                <w:szCs w:val="21"/>
                <w:highlight w:val="none"/>
              </w:rPr>
            </w:pPr>
            <w:r>
              <w:rPr>
                <w:sz w:val="21"/>
                <w:szCs w:val="21"/>
                <w:highlight w:val="none"/>
              </w:rPr>
              <w:t>0.004</w:t>
            </w:r>
          </w:p>
        </w:tc>
        <w:tc>
          <w:tcPr>
            <w:tcW w:w="481" w:type="pct"/>
            <w:noWrap w:val="0"/>
            <w:vAlign w:val="center"/>
          </w:tcPr>
          <w:p w14:paraId="7B276D46">
            <w:pPr>
              <w:kinsoku w:val="0"/>
              <w:overflowPunct w:val="0"/>
              <w:autoSpaceDE w:val="0"/>
              <w:autoSpaceDN w:val="0"/>
              <w:adjustRightInd w:val="0"/>
              <w:jc w:val="center"/>
              <w:rPr>
                <w:sz w:val="21"/>
                <w:szCs w:val="21"/>
                <w:highlight w:val="none"/>
              </w:rPr>
            </w:pPr>
            <w:r>
              <w:rPr>
                <w:sz w:val="21"/>
                <w:szCs w:val="21"/>
                <w:highlight w:val="none"/>
              </w:rPr>
              <w:t>0.002</w:t>
            </w:r>
          </w:p>
        </w:tc>
        <w:tc>
          <w:tcPr>
            <w:tcW w:w="427" w:type="pct"/>
            <w:noWrap w:val="0"/>
            <w:vAlign w:val="center"/>
          </w:tcPr>
          <w:p w14:paraId="48DAA13B">
            <w:pPr>
              <w:kinsoku w:val="0"/>
              <w:overflowPunct w:val="0"/>
              <w:autoSpaceDE w:val="0"/>
              <w:autoSpaceDN w:val="0"/>
              <w:adjustRightInd w:val="0"/>
              <w:jc w:val="center"/>
              <w:rPr>
                <w:sz w:val="21"/>
                <w:szCs w:val="21"/>
                <w:highlight w:val="none"/>
              </w:rPr>
            </w:pPr>
            <w:r>
              <w:rPr>
                <w:sz w:val="21"/>
                <w:szCs w:val="21"/>
                <w:highlight w:val="none"/>
              </w:rPr>
              <w:t>0.002</w:t>
            </w:r>
          </w:p>
        </w:tc>
        <w:tc>
          <w:tcPr>
            <w:tcW w:w="566" w:type="pct"/>
            <w:noWrap w:val="0"/>
            <w:vAlign w:val="center"/>
          </w:tcPr>
          <w:p w14:paraId="0A3C3125">
            <w:pPr>
              <w:kinsoku w:val="0"/>
              <w:overflowPunct w:val="0"/>
              <w:autoSpaceDE w:val="0"/>
              <w:autoSpaceDN w:val="0"/>
              <w:adjustRightInd w:val="0"/>
              <w:jc w:val="center"/>
              <w:rPr>
                <w:sz w:val="21"/>
                <w:szCs w:val="21"/>
                <w:highlight w:val="none"/>
              </w:rPr>
            </w:pPr>
            <w:r>
              <w:rPr>
                <w:sz w:val="21"/>
                <w:szCs w:val="21"/>
                <w:highlight w:val="none"/>
              </w:rPr>
              <w:t>0.5</w:t>
            </w:r>
          </w:p>
        </w:tc>
      </w:tr>
      <w:tr w14:paraId="7EE9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816" w:type="pct"/>
            <w:noWrap w:val="0"/>
            <w:vAlign w:val="center"/>
          </w:tcPr>
          <w:p w14:paraId="11A39492">
            <w:pPr>
              <w:kinsoku w:val="0"/>
              <w:overflowPunct w:val="0"/>
              <w:autoSpaceDE w:val="0"/>
              <w:autoSpaceDN w:val="0"/>
              <w:adjustRightInd w:val="0"/>
              <w:jc w:val="center"/>
              <w:rPr>
                <w:sz w:val="21"/>
                <w:szCs w:val="21"/>
                <w:highlight w:val="none"/>
              </w:rPr>
            </w:pPr>
            <w:r>
              <w:rPr>
                <w:sz w:val="21"/>
                <w:szCs w:val="21"/>
                <w:highlight w:val="none"/>
              </w:rPr>
              <w:t>总钒</w:t>
            </w:r>
          </w:p>
        </w:tc>
        <w:tc>
          <w:tcPr>
            <w:tcW w:w="519" w:type="pct"/>
            <w:noWrap w:val="0"/>
            <w:vAlign w:val="center"/>
          </w:tcPr>
          <w:p w14:paraId="70992F2D">
            <w:pPr>
              <w:kinsoku w:val="0"/>
              <w:overflowPunct w:val="0"/>
              <w:autoSpaceDE w:val="0"/>
              <w:autoSpaceDN w:val="0"/>
              <w:adjustRightInd w:val="0"/>
              <w:jc w:val="center"/>
              <w:rPr>
                <w:sz w:val="21"/>
                <w:szCs w:val="21"/>
                <w:highlight w:val="none"/>
              </w:rPr>
            </w:pPr>
            <w:r>
              <w:rPr>
                <w:sz w:val="21"/>
                <w:szCs w:val="21"/>
                <w:highlight w:val="none"/>
              </w:rPr>
              <w:t>0.01L</w:t>
            </w:r>
          </w:p>
        </w:tc>
        <w:tc>
          <w:tcPr>
            <w:tcW w:w="498" w:type="pct"/>
            <w:noWrap w:val="0"/>
            <w:vAlign w:val="center"/>
          </w:tcPr>
          <w:p w14:paraId="553E5866">
            <w:pPr>
              <w:kinsoku w:val="0"/>
              <w:overflowPunct w:val="0"/>
              <w:autoSpaceDE w:val="0"/>
              <w:autoSpaceDN w:val="0"/>
              <w:adjustRightInd w:val="0"/>
              <w:jc w:val="center"/>
              <w:rPr>
                <w:sz w:val="21"/>
                <w:szCs w:val="21"/>
                <w:highlight w:val="none"/>
              </w:rPr>
            </w:pPr>
            <w:r>
              <w:rPr>
                <w:sz w:val="21"/>
                <w:szCs w:val="21"/>
                <w:highlight w:val="none"/>
              </w:rPr>
              <w:t>0.01L</w:t>
            </w:r>
          </w:p>
        </w:tc>
        <w:tc>
          <w:tcPr>
            <w:tcW w:w="407" w:type="pct"/>
            <w:noWrap w:val="0"/>
            <w:vAlign w:val="center"/>
          </w:tcPr>
          <w:p w14:paraId="0135F7BE">
            <w:pPr>
              <w:kinsoku w:val="0"/>
              <w:overflowPunct w:val="0"/>
              <w:autoSpaceDE w:val="0"/>
              <w:autoSpaceDN w:val="0"/>
              <w:adjustRightInd w:val="0"/>
              <w:jc w:val="center"/>
              <w:rPr>
                <w:sz w:val="21"/>
                <w:szCs w:val="21"/>
                <w:highlight w:val="none"/>
              </w:rPr>
            </w:pPr>
            <w:r>
              <w:rPr>
                <w:sz w:val="21"/>
                <w:szCs w:val="21"/>
                <w:highlight w:val="none"/>
              </w:rPr>
              <w:t>0.01L</w:t>
            </w:r>
          </w:p>
        </w:tc>
        <w:tc>
          <w:tcPr>
            <w:tcW w:w="481" w:type="pct"/>
            <w:noWrap w:val="0"/>
            <w:vAlign w:val="center"/>
          </w:tcPr>
          <w:p w14:paraId="522B0A44">
            <w:pPr>
              <w:kinsoku w:val="0"/>
              <w:overflowPunct w:val="0"/>
              <w:autoSpaceDE w:val="0"/>
              <w:autoSpaceDN w:val="0"/>
              <w:adjustRightInd w:val="0"/>
              <w:jc w:val="center"/>
              <w:rPr>
                <w:sz w:val="21"/>
                <w:szCs w:val="21"/>
                <w:highlight w:val="none"/>
              </w:rPr>
            </w:pPr>
            <w:r>
              <w:rPr>
                <w:sz w:val="21"/>
                <w:szCs w:val="21"/>
                <w:highlight w:val="none"/>
              </w:rPr>
              <w:t>0.01L</w:t>
            </w:r>
          </w:p>
        </w:tc>
        <w:tc>
          <w:tcPr>
            <w:tcW w:w="427" w:type="pct"/>
            <w:noWrap w:val="0"/>
            <w:vAlign w:val="center"/>
          </w:tcPr>
          <w:p w14:paraId="7496D3DB">
            <w:pPr>
              <w:kinsoku w:val="0"/>
              <w:overflowPunct w:val="0"/>
              <w:autoSpaceDE w:val="0"/>
              <w:autoSpaceDN w:val="0"/>
              <w:adjustRightInd w:val="0"/>
              <w:jc w:val="center"/>
              <w:rPr>
                <w:sz w:val="21"/>
                <w:szCs w:val="21"/>
                <w:highlight w:val="none"/>
              </w:rPr>
            </w:pPr>
            <w:r>
              <w:rPr>
                <w:sz w:val="21"/>
                <w:szCs w:val="21"/>
                <w:highlight w:val="none"/>
              </w:rPr>
              <w:t>0.01L</w:t>
            </w:r>
          </w:p>
        </w:tc>
        <w:tc>
          <w:tcPr>
            <w:tcW w:w="372" w:type="pct"/>
            <w:noWrap w:val="0"/>
            <w:vAlign w:val="center"/>
          </w:tcPr>
          <w:p w14:paraId="7A0DD4AD">
            <w:pPr>
              <w:kinsoku w:val="0"/>
              <w:overflowPunct w:val="0"/>
              <w:autoSpaceDE w:val="0"/>
              <w:autoSpaceDN w:val="0"/>
              <w:adjustRightInd w:val="0"/>
              <w:jc w:val="center"/>
              <w:rPr>
                <w:sz w:val="21"/>
                <w:szCs w:val="21"/>
                <w:highlight w:val="none"/>
              </w:rPr>
            </w:pPr>
            <w:r>
              <w:rPr>
                <w:sz w:val="21"/>
                <w:szCs w:val="21"/>
                <w:highlight w:val="none"/>
              </w:rPr>
              <w:t>0.01L</w:t>
            </w:r>
          </w:p>
        </w:tc>
        <w:tc>
          <w:tcPr>
            <w:tcW w:w="481" w:type="pct"/>
            <w:noWrap w:val="0"/>
            <w:vAlign w:val="center"/>
          </w:tcPr>
          <w:p w14:paraId="5C38A3CC">
            <w:pPr>
              <w:kinsoku w:val="0"/>
              <w:overflowPunct w:val="0"/>
              <w:autoSpaceDE w:val="0"/>
              <w:autoSpaceDN w:val="0"/>
              <w:adjustRightInd w:val="0"/>
              <w:jc w:val="center"/>
              <w:rPr>
                <w:sz w:val="21"/>
                <w:szCs w:val="21"/>
                <w:highlight w:val="none"/>
              </w:rPr>
            </w:pPr>
            <w:r>
              <w:rPr>
                <w:sz w:val="21"/>
                <w:szCs w:val="21"/>
                <w:highlight w:val="none"/>
              </w:rPr>
              <w:t>0.01L</w:t>
            </w:r>
          </w:p>
        </w:tc>
        <w:tc>
          <w:tcPr>
            <w:tcW w:w="427" w:type="pct"/>
            <w:noWrap w:val="0"/>
            <w:vAlign w:val="center"/>
          </w:tcPr>
          <w:p w14:paraId="54CCF4AA">
            <w:pPr>
              <w:kinsoku w:val="0"/>
              <w:overflowPunct w:val="0"/>
              <w:autoSpaceDE w:val="0"/>
              <w:autoSpaceDN w:val="0"/>
              <w:adjustRightInd w:val="0"/>
              <w:jc w:val="center"/>
              <w:rPr>
                <w:sz w:val="21"/>
                <w:szCs w:val="21"/>
                <w:highlight w:val="none"/>
              </w:rPr>
            </w:pPr>
            <w:r>
              <w:rPr>
                <w:sz w:val="21"/>
                <w:szCs w:val="21"/>
                <w:highlight w:val="none"/>
              </w:rPr>
              <w:t>0.01L</w:t>
            </w:r>
          </w:p>
        </w:tc>
        <w:tc>
          <w:tcPr>
            <w:tcW w:w="566" w:type="pct"/>
            <w:noWrap w:val="0"/>
            <w:vAlign w:val="center"/>
          </w:tcPr>
          <w:p w14:paraId="6B8C6433">
            <w:pPr>
              <w:kinsoku w:val="0"/>
              <w:overflowPunct w:val="0"/>
              <w:autoSpaceDE w:val="0"/>
              <w:autoSpaceDN w:val="0"/>
              <w:adjustRightInd w:val="0"/>
              <w:jc w:val="center"/>
              <w:rPr>
                <w:sz w:val="21"/>
                <w:szCs w:val="21"/>
                <w:highlight w:val="none"/>
              </w:rPr>
            </w:pPr>
            <w:r>
              <w:rPr>
                <w:sz w:val="21"/>
                <w:szCs w:val="21"/>
                <w:highlight w:val="none"/>
              </w:rPr>
              <w:t>/</w:t>
            </w:r>
          </w:p>
        </w:tc>
      </w:tr>
      <w:tr w14:paraId="23FD0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816" w:type="pct"/>
            <w:noWrap w:val="0"/>
            <w:vAlign w:val="center"/>
          </w:tcPr>
          <w:p w14:paraId="693141A6">
            <w:pPr>
              <w:kinsoku w:val="0"/>
              <w:overflowPunct w:val="0"/>
              <w:autoSpaceDE w:val="0"/>
              <w:autoSpaceDN w:val="0"/>
              <w:adjustRightInd w:val="0"/>
              <w:jc w:val="center"/>
              <w:rPr>
                <w:sz w:val="21"/>
                <w:szCs w:val="21"/>
                <w:highlight w:val="none"/>
              </w:rPr>
            </w:pPr>
            <w:r>
              <w:rPr>
                <w:sz w:val="21"/>
                <w:szCs w:val="21"/>
                <w:highlight w:val="none"/>
              </w:rPr>
              <w:t>总铜</w:t>
            </w:r>
          </w:p>
        </w:tc>
        <w:tc>
          <w:tcPr>
            <w:tcW w:w="519" w:type="pct"/>
            <w:noWrap w:val="0"/>
            <w:vAlign w:val="center"/>
          </w:tcPr>
          <w:p w14:paraId="462C8792">
            <w:pPr>
              <w:kinsoku w:val="0"/>
              <w:overflowPunct w:val="0"/>
              <w:autoSpaceDE w:val="0"/>
              <w:autoSpaceDN w:val="0"/>
              <w:adjustRightInd w:val="0"/>
              <w:jc w:val="center"/>
              <w:rPr>
                <w:sz w:val="21"/>
                <w:szCs w:val="21"/>
                <w:highlight w:val="none"/>
              </w:rPr>
            </w:pPr>
            <w:r>
              <w:rPr>
                <w:sz w:val="21"/>
                <w:szCs w:val="21"/>
                <w:highlight w:val="none"/>
              </w:rPr>
              <w:t>0.04L</w:t>
            </w:r>
          </w:p>
        </w:tc>
        <w:tc>
          <w:tcPr>
            <w:tcW w:w="498" w:type="pct"/>
            <w:noWrap w:val="0"/>
            <w:vAlign w:val="center"/>
          </w:tcPr>
          <w:p w14:paraId="0B7B1226">
            <w:pPr>
              <w:kinsoku w:val="0"/>
              <w:overflowPunct w:val="0"/>
              <w:autoSpaceDE w:val="0"/>
              <w:autoSpaceDN w:val="0"/>
              <w:adjustRightInd w:val="0"/>
              <w:jc w:val="center"/>
              <w:rPr>
                <w:sz w:val="21"/>
                <w:szCs w:val="21"/>
                <w:highlight w:val="none"/>
              </w:rPr>
            </w:pPr>
            <w:r>
              <w:rPr>
                <w:sz w:val="21"/>
                <w:szCs w:val="21"/>
                <w:highlight w:val="none"/>
              </w:rPr>
              <w:t>0.04L</w:t>
            </w:r>
          </w:p>
        </w:tc>
        <w:tc>
          <w:tcPr>
            <w:tcW w:w="407" w:type="pct"/>
            <w:noWrap w:val="0"/>
            <w:vAlign w:val="center"/>
          </w:tcPr>
          <w:p w14:paraId="02EE6710">
            <w:pPr>
              <w:kinsoku w:val="0"/>
              <w:overflowPunct w:val="0"/>
              <w:autoSpaceDE w:val="0"/>
              <w:autoSpaceDN w:val="0"/>
              <w:adjustRightInd w:val="0"/>
              <w:jc w:val="center"/>
              <w:rPr>
                <w:sz w:val="21"/>
                <w:szCs w:val="21"/>
                <w:highlight w:val="none"/>
              </w:rPr>
            </w:pPr>
            <w:r>
              <w:rPr>
                <w:sz w:val="21"/>
                <w:szCs w:val="21"/>
                <w:highlight w:val="none"/>
              </w:rPr>
              <w:t>0.04L</w:t>
            </w:r>
          </w:p>
        </w:tc>
        <w:tc>
          <w:tcPr>
            <w:tcW w:w="481" w:type="pct"/>
            <w:noWrap w:val="0"/>
            <w:vAlign w:val="center"/>
          </w:tcPr>
          <w:p w14:paraId="1A6CE151">
            <w:pPr>
              <w:kinsoku w:val="0"/>
              <w:overflowPunct w:val="0"/>
              <w:autoSpaceDE w:val="0"/>
              <w:autoSpaceDN w:val="0"/>
              <w:adjustRightInd w:val="0"/>
              <w:jc w:val="center"/>
              <w:rPr>
                <w:sz w:val="21"/>
                <w:szCs w:val="21"/>
                <w:highlight w:val="none"/>
              </w:rPr>
            </w:pPr>
            <w:r>
              <w:rPr>
                <w:sz w:val="21"/>
                <w:szCs w:val="21"/>
                <w:highlight w:val="none"/>
              </w:rPr>
              <w:t>0.04L</w:t>
            </w:r>
          </w:p>
        </w:tc>
        <w:tc>
          <w:tcPr>
            <w:tcW w:w="427" w:type="pct"/>
            <w:noWrap w:val="0"/>
            <w:vAlign w:val="center"/>
          </w:tcPr>
          <w:p w14:paraId="4ACDE490">
            <w:pPr>
              <w:kinsoku w:val="0"/>
              <w:overflowPunct w:val="0"/>
              <w:autoSpaceDE w:val="0"/>
              <w:autoSpaceDN w:val="0"/>
              <w:adjustRightInd w:val="0"/>
              <w:jc w:val="center"/>
              <w:rPr>
                <w:sz w:val="21"/>
                <w:szCs w:val="21"/>
                <w:highlight w:val="none"/>
              </w:rPr>
            </w:pPr>
            <w:r>
              <w:rPr>
                <w:sz w:val="21"/>
                <w:szCs w:val="21"/>
                <w:highlight w:val="none"/>
              </w:rPr>
              <w:t>0.04L</w:t>
            </w:r>
          </w:p>
        </w:tc>
        <w:tc>
          <w:tcPr>
            <w:tcW w:w="372" w:type="pct"/>
            <w:noWrap w:val="0"/>
            <w:vAlign w:val="center"/>
          </w:tcPr>
          <w:p w14:paraId="412BB7EB">
            <w:pPr>
              <w:kinsoku w:val="0"/>
              <w:overflowPunct w:val="0"/>
              <w:autoSpaceDE w:val="0"/>
              <w:autoSpaceDN w:val="0"/>
              <w:adjustRightInd w:val="0"/>
              <w:jc w:val="center"/>
              <w:rPr>
                <w:sz w:val="21"/>
                <w:szCs w:val="21"/>
                <w:highlight w:val="none"/>
              </w:rPr>
            </w:pPr>
            <w:r>
              <w:rPr>
                <w:sz w:val="21"/>
                <w:szCs w:val="21"/>
                <w:highlight w:val="none"/>
              </w:rPr>
              <w:t>0.04L</w:t>
            </w:r>
          </w:p>
        </w:tc>
        <w:tc>
          <w:tcPr>
            <w:tcW w:w="481" w:type="pct"/>
            <w:noWrap w:val="0"/>
            <w:vAlign w:val="center"/>
          </w:tcPr>
          <w:p w14:paraId="3C5F9AB5">
            <w:pPr>
              <w:kinsoku w:val="0"/>
              <w:overflowPunct w:val="0"/>
              <w:autoSpaceDE w:val="0"/>
              <w:autoSpaceDN w:val="0"/>
              <w:adjustRightInd w:val="0"/>
              <w:jc w:val="center"/>
              <w:rPr>
                <w:sz w:val="21"/>
                <w:szCs w:val="21"/>
                <w:highlight w:val="none"/>
              </w:rPr>
            </w:pPr>
            <w:r>
              <w:rPr>
                <w:sz w:val="21"/>
                <w:szCs w:val="21"/>
                <w:highlight w:val="none"/>
              </w:rPr>
              <w:t>0.04L</w:t>
            </w:r>
          </w:p>
        </w:tc>
        <w:tc>
          <w:tcPr>
            <w:tcW w:w="427" w:type="pct"/>
            <w:noWrap w:val="0"/>
            <w:vAlign w:val="center"/>
          </w:tcPr>
          <w:p w14:paraId="41C0FE61">
            <w:pPr>
              <w:kinsoku w:val="0"/>
              <w:overflowPunct w:val="0"/>
              <w:autoSpaceDE w:val="0"/>
              <w:autoSpaceDN w:val="0"/>
              <w:adjustRightInd w:val="0"/>
              <w:jc w:val="center"/>
              <w:rPr>
                <w:sz w:val="21"/>
                <w:szCs w:val="21"/>
                <w:highlight w:val="none"/>
              </w:rPr>
            </w:pPr>
            <w:r>
              <w:rPr>
                <w:sz w:val="21"/>
                <w:szCs w:val="21"/>
                <w:highlight w:val="none"/>
              </w:rPr>
              <w:t>0.04L</w:t>
            </w:r>
          </w:p>
        </w:tc>
        <w:tc>
          <w:tcPr>
            <w:tcW w:w="566" w:type="pct"/>
            <w:noWrap w:val="0"/>
            <w:vAlign w:val="center"/>
          </w:tcPr>
          <w:p w14:paraId="42AB3136">
            <w:pPr>
              <w:kinsoku w:val="0"/>
              <w:overflowPunct w:val="0"/>
              <w:autoSpaceDE w:val="0"/>
              <w:autoSpaceDN w:val="0"/>
              <w:adjustRightInd w:val="0"/>
              <w:jc w:val="center"/>
              <w:rPr>
                <w:sz w:val="21"/>
                <w:szCs w:val="21"/>
                <w:highlight w:val="none"/>
              </w:rPr>
            </w:pPr>
            <w:r>
              <w:rPr>
                <w:sz w:val="21"/>
                <w:szCs w:val="21"/>
                <w:highlight w:val="none"/>
              </w:rPr>
              <w:t>0.5</w:t>
            </w:r>
          </w:p>
        </w:tc>
      </w:tr>
      <w:tr w14:paraId="1F73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1" w:hRule="exact"/>
          <w:jc w:val="center"/>
        </w:trPr>
        <w:tc>
          <w:tcPr>
            <w:tcW w:w="816" w:type="pct"/>
            <w:noWrap w:val="0"/>
            <w:vAlign w:val="center"/>
          </w:tcPr>
          <w:p w14:paraId="146034BB">
            <w:pPr>
              <w:kinsoku w:val="0"/>
              <w:overflowPunct w:val="0"/>
              <w:autoSpaceDE w:val="0"/>
              <w:autoSpaceDN w:val="0"/>
              <w:adjustRightInd w:val="0"/>
              <w:jc w:val="center"/>
              <w:rPr>
                <w:sz w:val="21"/>
                <w:szCs w:val="21"/>
                <w:highlight w:val="none"/>
              </w:rPr>
            </w:pPr>
            <w:r>
              <w:rPr>
                <w:sz w:val="21"/>
                <w:szCs w:val="21"/>
                <w:highlight w:val="none"/>
              </w:rPr>
              <w:t>总锌</w:t>
            </w:r>
          </w:p>
        </w:tc>
        <w:tc>
          <w:tcPr>
            <w:tcW w:w="519" w:type="pct"/>
            <w:noWrap w:val="0"/>
            <w:vAlign w:val="center"/>
          </w:tcPr>
          <w:p w14:paraId="512CC57B">
            <w:pPr>
              <w:kinsoku w:val="0"/>
              <w:overflowPunct w:val="0"/>
              <w:autoSpaceDE w:val="0"/>
              <w:autoSpaceDN w:val="0"/>
              <w:adjustRightInd w:val="0"/>
              <w:jc w:val="center"/>
              <w:rPr>
                <w:sz w:val="21"/>
                <w:szCs w:val="21"/>
                <w:highlight w:val="none"/>
              </w:rPr>
            </w:pPr>
            <w:r>
              <w:rPr>
                <w:sz w:val="21"/>
                <w:szCs w:val="21"/>
                <w:highlight w:val="none"/>
              </w:rPr>
              <w:t>0.009L</w:t>
            </w:r>
          </w:p>
        </w:tc>
        <w:tc>
          <w:tcPr>
            <w:tcW w:w="498" w:type="pct"/>
            <w:noWrap w:val="0"/>
            <w:vAlign w:val="center"/>
          </w:tcPr>
          <w:p w14:paraId="5557D4E7">
            <w:pPr>
              <w:kinsoku w:val="0"/>
              <w:overflowPunct w:val="0"/>
              <w:autoSpaceDE w:val="0"/>
              <w:autoSpaceDN w:val="0"/>
              <w:adjustRightInd w:val="0"/>
              <w:jc w:val="center"/>
              <w:rPr>
                <w:sz w:val="21"/>
                <w:szCs w:val="21"/>
                <w:highlight w:val="none"/>
              </w:rPr>
            </w:pPr>
            <w:r>
              <w:rPr>
                <w:sz w:val="21"/>
                <w:szCs w:val="21"/>
                <w:highlight w:val="none"/>
              </w:rPr>
              <w:t>0.009L</w:t>
            </w:r>
          </w:p>
        </w:tc>
        <w:tc>
          <w:tcPr>
            <w:tcW w:w="407" w:type="pct"/>
            <w:noWrap w:val="0"/>
            <w:vAlign w:val="center"/>
          </w:tcPr>
          <w:p w14:paraId="24254A92">
            <w:pPr>
              <w:kinsoku w:val="0"/>
              <w:overflowPunct w:val="0"/>
              <w:autoSpaceDE w:val="0"/>
              <w:autoSpaceDN w:val="0"/>
              <w:adjustRightInd w:val="0"/>
              <w:jc w:val="center"/>
              <w:rPr>
                <w:sz w:val="21"/>
                <w:szCs w:val="21"/>
                <w:highlight w:val="none"/>
              </w:rPr>
            </w:pPr>
            <w:r>
              <w:rPr>
                <w:sz w:val="21"/>
                <w:szCs w:val="21"/>
                <w:highlight w:val="none"/>
              </w:rPr>
              <w:t>0.009L</w:t>
            </w:r>
          </w:p>
        </w:tc>
        <w:tc>
          <w:tcPr>
            <w:tcW w:w="481" w:type="pct"/>
            <w:noWrap w:val="0"/>
            <w:vAlign w:val="center"/>
          </w:tcPr>
          <w:p w14:paraId="4A28DC87">
            <w:pPr>
              <w:kinsoku w:val="0"/>
              <w:overflowPunct w:val="0"/>
              <w:autoSpaceDE w:val="0"/>
              <w:autoSpaceDN w:val="0"/>
              <w:adjustRightInd w:val="0"/>
              <w:jc w:val="center"/>
              <w:rPr>
                <w:sz w:val="21"/>
                <w:szCs w:val="21"/>
                <w:highlight w:val="none"/>
              </w:rPr>
            </w:pPr>
            <w:r>
              <w:rPr>
                <w:sz w:val="21"/>
                <w:szCs w:val="21"/>
                <w:highlight w:val="none"/>
              </w:rPr>
              <w:t>0.009L</w:t>
            </w:r>
          </w:p>
        </w:tc>
        <w:tc>
          <w:tcPr>
            <w:tcW w:w="427" w:type="pct"/>
            <w:noWrap w:val="0"/>
            <w:vAlign w:val="center"/>
          </w:tcPr>
          <w:p w14:paraId="2E301B27">
            <w:pPr>
              <w:kinsoku w:val="0"/>
              <w:overflowPunct w:val="0"/>
              <w:autoSpaceDE w:val="0"/>
              <w:autoSpaceDN w:val="0"/>
              <w:adjustRightInd w:val="0"/>
              <w:jc w:val="center"/>
              <w:rPr>
                <w:sz w:val="21"/>
                <w:szCs w:val="21"/>
                <w:highlight w:val="none"/>
              </w:rPr>
            </w:pPr>
            <w:r>
              <w:rPr>
                <w:sz w:val="21"/>
                <w:szCs w:val="21"/>
                <w:highlight w:val="none"/>
              </w:rPr>
              <w:t>0.009L</w:t>
            </w:r>
          </w:p>
        </w:tc>
        <w:tc>
          <w:tcPr>
            <w:tcW w:w="372" w:type="pct"/>
            <w:noWrap w:val="0"/>
            <w:vAlign w:val="center"/>
          </w:tcPr>
          <w:p w14:paraId="32231AA9">
            <w:pPr>
              <w:kinsoku w:val="0"/>
              <w:overflowPunct w:val="0"/>
              <w:autoSpaceDE w:val="0"/>
              <w:autoSpaceDN w:val="0"/>
              <w:adjustRightInd w:val="0"/>
              <w:jc w:val="center"/>
              <w:rPr>
                <w:sz w:val="21"/>
                <w:szCs w:val="21"/>
                <w:highlight w:val="none"/>
              </w:rPr>
            </w:pPr>
            <w:r>
              <w:rPr>
                <w:sz w:val="21"/>
                <w:szCs w:val="21"/>
                <w:highlight w:val="none"/>
              </w:rPr>
              <w:t>0.009L</w:t>
            </w:r>
          </w:p>
        </w:tc>
        <w:tc>
          <w:tcPr>
            <w:tcW w:w="481" w:type="pct"/>
            <w:noWrap w:val="0"/>
            <w:vAlign w:val="center"/>
          </w:tcPr>
          <w:p w14:paraId="0AA7123F">
            <w:pPr>
              <w:kinsoku w:val="0"/>
              <w:overflowPunct w:val="0"/>
              <w:autoSpaceDE w:val="0"/>
              <w:autoSpaceDN w:val="0"/>
              <w:adjustRightInd w:val="0"/>
              <w:jc w:val="center"/>
              <w:rPr>
                <w:sz w:val="21"/>
                <w:szCs w:val="21"/>
                <w:highlight w:val="none"/>
              </w:rPr>
            </w:pPr>
            <w:r>
              <w:rPr>
                <w:sz w:val="21"/>
                <w:szCs w:val="21"/>
                <w:highlight w:val="none"/>
              </w:rPr>
              <w:t>0.009L</w:t>
            </w:r>
          </w:p>
        </w:tc>
        <w:tc>
          <w:tcPr>
            <w:tcW w:w="427" w:type="pct"/>
            <w:noWrap w:val="0"/>
            <w:vAlign w:val="center"/>
          </w:tcPr>
          <w:p w14:paraId="6DB0C1FF">
            <w:pPr>
              <w:kinsoku w:val="0"/>
              <w:overflowPunct w:val="0"/>
              <w:autoSpaceDE w:val="0"/>
              <w:autoSpaceDN w:val="0"/>
              <w:adjustRightInd w:val="0"/>
              <w:jc w:val="center"/>
              <w:rPr>
                <w:sz w:val="21"/>
                <w:szCs w:val="21"/>
                <w:highlight w:val="none"/>
              </w:rPr>
            </w:pPr>
            <w:r>
              <w:rPr>
                <w:sz w:val="21"/>
                <w:szCs w:val="21"/>
                <w:highlight w:val="none"/>
              </w:rPr>
              <w:t>0.009L</w:t>
            </w:r>
          </w:p>
        </w:tc>
        <w:tc>
          <w:tcPr>
            <w:tcW w:w="566" w:type="pct"/>
            <w:noWrap w:val="0"/>
            <w:vAlign w:val="center"/>
          </w:tcPr>
          <w:p w14:paraId="0B7E33D7">
            <w:pPr>
              <w:kinsoku w:val="0"/>
              <w:overflowPunct w:val="0"/>
              <w:autoSpaceDE w:val="0"/>
              <w:autoSpaceDN w:val="0"/>
              <w:adjustRightInd w:val="0"/>
              <w:jc w:val="center"/>
              <w:rPr>
                <w:sz w:val="21"/>
                <w:szCs w:val="21"/>
                <w:highlight w:val="none"/>
              </w:rPr>
            </w:pPr>
            <w:r>
              <w:rPr>
                <w:sz w:val="21"/>
                <w:szCs w:val="21"/>
                <w:highlight w:val="none"/>
              </w:rPr>
              <w:t>2.0</w:t>
            </w:r>
          </w:p>
        </w:tc>
      </w:tr>
      <w:tr w14:paraId="1A87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816" w:type="pct"/>
            <w:noWrap w:val="0"/>
            <w:vAlign w:val="center"/>
          </w:tcPr>
          <w:p w14:paraId="08547F61">
            <w:pPr>
              <w:kinsoku w:val="0"/>
              <w:overflowPunct w:val="0"/>
              <w:autoSpaceDE w:val="0"/>
              <w:autoSpaceDN w:val="0"/>
              <w:adjustRightInd w:val="0"/>
              <w:jc w:val="center"/>
              <w:rPr>
                <w:sz w:val="21"/>
                <w:szCs w:val="21"/>
                <w:highlight w:val="none"/>
              </w:rPr>
            </w:pPr>
            <w:r>
              <w:rPr>
                <w:sz w:val="21"/>
                <w:szCs w:val="21"/>
                <w:highlight w:val="none"/>
              </w:rPr>
              <w:t>总氰化物</w:t>
            </w:r>
          </w:p>
        </w:tc>
        <w:tc>
          <w:tcPr>
            <w:tcW w:w="519" w:type="pct"/>
            <w:noWrap w:val="0"/>
            <w:vAlign w:val="center"/>
          </w:tcPr>
          <w:p w14:paraId="07E39475">
            <w:pPr>
              <w:kinsoku w:val="0"/>
              <w:overflowPunct w:val="0"/>
              <w:autoSpaceDE w:val="0"/>
              <w:autoSpaceDN w:val="0"/>
              <w:adjustRightInd w:val="0"/>
              <w:jc w:val="center"/>
              <w:rPr>
                <w:sz w:val="21"/>
                <w:szCs w:val="21"/>
                <w:highlight w:val="none"/>
              </w:rPr>
            </w:pPr>
            <w:r>
              <w:rPr>
                <w:sz w:val="21"/>
                <w:szCs w:val="21"/>
                <w:highlight w:val="none"/>
              </w:rPr>
              <w:t>0.007</w:t>
            </w:r>
          </w:p>
        </w:tc>
        <w:tc>
          <w:tcPr>
            <w:tcW w:w="498" w:type="pct"/>
            <w:noWrap w:val="0"/>
            <w:vAlign w:val="center"/>
          </w:tcPr>
          <w:p w14:paraId="5BD512E3">
            <w:pPr>
              <w:kinsoku w:val="0"/>
              <w:overflowPunct w:val="0"/>
              <w:autoSpaceDE w:val="0"/>
              <w:autoSpaceDN w:val="0"/>
              <w:adjustRightInd w:val="0"/>
              <w:jc w:val="center"/>
              <w:rPr>
                <w:sz w:val="21"/>
                <w:szCs w:val="21"/>
                <w:highlight w:val="none"/>
              </w:rPr>
            </w:pPr>
            <w:r>
              <w:rPr>
                <w:sz w:val="21"/>
                <w:szCs w:val="21"/>
                <w:highlight w:val="none"/>
              </w:rPr>
              <w:t>0.006</w:t>
            </w:r>
          </w:p>
        </w:tc>
        <w:tc>
          <w:tcPr>
            <w:tcW w:w="407" w:type="pct"/>
            <w:noWrap w:val="0"/>
            <w:vAlign w:val="center"/>
          </w:tcPr>
          <w:p w14:paraId="74476BF6">
            <w:pPr>
              <w:kinsoku w:val="0"/>
              <w:overflowPunct w:val="0"/>
              <w:autoSpaceDE w:val="0"/>
              <w:autoSpaceDN w:val="0"/>
              <w:adjustRightInd w:val="0"/>
              <w:jc w:val="center"/>
              <w:rPr>
                <w:sz w:val="21"/>
                <w:szCs w:val="21"/>
                <w:highlight w:val="none"/>
              </w:rPr>
            </w:pPr>
            <w:r>
              <w:rPr>
                <w:sz w:val="21"/>
                <w:szCs w:val="21"/>
                <w:highlight w:val="none"/>
              </w:rPr>
              <w:t>0.006</w:t>
            </w:r>
          </w:p>
        </w:tc>
        <w:tc>
          <w:tcPr>
            <w:tcW w:w="481" w:type="pct"/>
            <w:noWrap w:val="0"/>
            <w:vAlign w:val="center"/>
          </w:tcPr>
          <w:p w14:paraId="3627BE28">
            <w:pPr>
              <w:kinsoku w:val="0"/>
              <w:overflowPunct w:val="0"/>
              <w:autoSpaceDE w:val="0"/>
              <w:autoSpaceDN w:val="0"/>
              <w:adjustRightInd w:val="0"/>
              <w:jc w:val="center"/>
              <w:rPr>
                <w:sz w:val="21"/>
                <w:szCs w:val="21"/>
                <w:highlight w:val="none"/>
              </w:rPr>
            </w:pPr>
            <w:r>
              <w:rPr>
                <w:sz w:val="21"/>
                <w:szCs w:val="21"/>
                <w:highlight w:val="none"/>
              </w:rPr>
              <w:t>0.006</w:t>
            </w:r>
          </w:p>
        </w:tc>
        <w:tc>
          <w:tcPr>
            <w:tcW w:w="427" w:type="pct"/>
            <w:noWrap w:val="0"/>
            <w:vAlign w:val="center"/>
          </w:tcPr>
          <w:p w14:paraId="7EEA7F16">
            <w:pPr>
              <w:kinsoku w:val="0"/>
              <w:overflowPunct w:val="0"/>
              <w:autoSpaceDE w:val="0"/>
              <w:autoSpaceDN w:val="0"/>
              <w:adjustRightInd w:val="0"/>
              <w:jc w:val="center"/>
              <w:rPr>
                <w:sz w:val="21"/>
                <w:szCs w:val="21"/>
                <w:highlight w:val="none"/>
              </w:rPr>
            </w:pPr>
            <w:r>
              <w:rPr>
                <w:sz w:val="21"/>
                <w:szCs w:val="21"/>
                <w:highlight w:val="none"/>
              </w:rPr>
              <w:t>0.006</w:t>
            </w:r>
          </w:p>
        </w:tc>
        <w:tc>
          <w:tcPr>
            <w:tcW w:w="372" w:type="pct"/>
            <w:noWrap w:val="0"/>
            <w:vAlign w:val="center"/>
          </w:tcPr>
          <w:p w14:paraId="5CF25449">
            <w:pPr>
              <w:kinsoku w:val="0"/>
              <w:overflowPunct w:val="0"/>
              <w:autoSpaceDE w:val="0"/>
              <w:autoSpaceDN w:val="0"/>
              <w:adjustRightInd w:val="0"/>
              <w:jc w:val="center"/>
              <w:rPr>
                <w:sz w:val="21"/>
                <w:szCs w:val="21"/>
                <w:highlight w:val="none"/>
              </w:rPr>
            </w:pPr>
            <w:r>
              <w:rPr>
                <w:sz w:val="21"/>
                <w:szCs w:val="21"/>
                <w:highlight w:val="none"/>
              </w:rPr>
              <w:t>0.006</w:t>
            </w:r>
          </w:p>
        </w:tc>
        <w:tc>
          <w:tcPr>
            <w:tcW w:w="481" w:type="pct"/>
            <w:noWrap w:val="0"/>
            <w:vAlign w:val="center"/>
          </w:tcPr>
          <w:p w14:paraId="01CD113B">
            <w:pPr>
              <w:kinsoku w:val="0"/>
              <w:overflowPunct w:val="0"/>
              <w:autoSpaceDE w:val="0"/>
              <w:autoSpaceDN w:val="0"/>
              <w:adjustRightInd w:val="0"/>
              <w:jc w:val="center"/>
              <w:rPr>
                <w:sz w:val="21"/>
                <w:szCs w:val="21"/>
                <w:highlight w:val="none"/>
              </w:rPr>
            </w:pPr>
            <w:r>
              <w:rPr>
                <w:sz w:val="21"/>
                <w:szCs w:val="21"/>
                <w:highlight w:val="none"/>
              </w:rPr>
              <w:t>0.006</w:t>
            </w:r>
          </w:p>
        </w:tc>
        <w:tc>
          <w:tcPr>
            <w:tcW w:w="427" w:type="pct"/>
            <w:noWrap w:val="0"/>
            <w:vAlign w:val="center"/>
          </w:tcPr>
          <w:p w14:paraId="1F43AB7B">
            <w:pPr>
              <w:kinsoku w:val="0"/>
              <w:overflowPunct w:val="0"/>
              <w:autoSpaceDE w:val="0"/>
              <w:autoSpaceDN w:val="0"/>
              <w:adjustRightInd w:val="0"/>
              <w:jc w:val="center"/>
              <w:rPr>
                <w:sz w:val="21"/>
                <w:szCs w:val="21"/>
                <w:highlight w:val="none"/>
              </w:rPr>
            </w:pPr>
            <w:r>
              <w:rPr>
                <w:sz w:val="21"/>
                <w:szCs w:val="21"/>
                <w:highlight w:val="none"/>
              </w:rPr>
              <w:t>0.006</w:t>
            </w:r>
          </w:p>
        </w:tc>
        <w:tc>
          <w:tcPr>
            <w:tcW w:w="566" w:type="pct"/>
            <w:noWrap w:val="0"/>
            <w:vAlign w:val="center"/>
          </w:tcPr>
          <w:p w14:paraId="58885237">
            <w:pPr>
              <w:kinsoku w:val="0"/>
              <w:overflowPunct w:val="0"/>
              <w:autoSpaceDE w:val="0"/>
              <w:autoSpaceDN w:val="0"/>
              <w:adjustRightInd w:val="0"/>
              <w:jc w:val="center"/>
              <w:rPr>
                <w:sz w:val="21"/>
                <w:szCs w:val="21"/>
                <w:highlight w:val="none"/>
              </w:rPr>
            </w:pPr>
            <w:r>
              <w:rPr>
                <w:sz w:val="21"/>
                <w:szCs w:val="21"/>
                <w:highlight w:val="none"/>
              </w:rPr>
              <w:t>0.5</w:t>
            </w:r>
          </w:p>
        </w:tc>
      </w:tr>
      <w:tr w14:paraId="54D4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exact"/>
          <w:jc w:val="center"/>
        </w:trPr>
        <w:tc>
          <w:tcPr>
            <w:tcW w:w="816" w:type="pct"/>
            <w:noWrap w:val="0"/>
            <w:vAlign w:val="center"/>
          </w:tcPr>
          <w:p w14:paraId="493D01A4">
            <w:pPr>
              <w:kinsoku w:val="0"/>
              <w:overflowPunct w:val="0"/>
              <w:autoSpaceDE w:val="0"/>
              <w:autoSpaceDN w:val="0"/>
              <w:adjustRightInd w:val="0"/>
              <w:jc w:val="center"/>
              <w:rPr>
                <w:sz w:val="21"/>
                <w:szCs w:val="21"/>
                <w:highlight w:val="none"/>
              </w:rPr>
            </w:pPr>
            <w:r>
              <w:rPr>
                <w:sz w:val="21"/>
                <w:szCs w:val="21"/>
                <w:highlight w:val="none"/>
              </w:rPr>
              <w:t>阴离子表面活性剂</w:t>
            </w:r>
          </w:p>
        </w:tc>
        <w:tc>
          <w:tcPr>
            <w:tcW w:w="519" w:type="pct"/>
            <w:noWrap w:val="0"/>
            <w:vAlign w:val="center"/>
          </w:tcPr>
          <w:p w14:paraId="58AAA415">
            <w:pPr>
              <w:kinsoku w:val="0"/>
              <w:overflowPunct w:val="0"/>
              <w:autoSpaceDE w:val="0"/>
              <w:autoSpaceDN w:val="0"/>
              <w:adjustRightInd w:val="0"/>
              <w:jc w:val="center"/>
              <w:rPr>
                <w:sz w:val="21"/>
                <w:szCs w:val="21"/>
                <w:highlight w:val="none"/>
              </w:rPr>
            </w:pPr>
            <w:r>
              <w:rPr>
                <w:sz w:val="21"/>
                <w:szCs w:val="21"/>
                <w:highlight w:val="none"/>
              </w:rPr>
              <w:t>0.05</w:t>
            </w:r>
          </w:p>
        </w:tc>
        <w:tc>
          <w:tcPr>
            <w:tcW w:w="498" w:type="pct"/>
            <w:noWrap w:val="0"/>
            <w:vAlign w:val="center"/>
          </w:tcPr>
          <w:p w14:paraId="721BE902">
            <w:pPr>
              <w:kinsoku w:val="0"/>
              <w:overflowPunct w:val="0"/>
              <w:autoSpaceDE w:val="0"/>
              <w:autoSpaceDN w:val="0"/>
              <w:adjustRightInd w:val="0"/>
              <w:jc w:val="center"/>
              <w:rPr>
                <w:sz w:val="21"/>
                <w:szCs w:val="21"/>
                <w:highlight w:val="none"/>
              </w:rPr>
            </w:pPr>
            <w:r>
              <w:rPr>
                <w:sz w:val="21"/>
                <w:szCs w:val="21"/>
                <w:highlight w:val="none"/>
              </w:rPr>
              <w:t>0.04L</w:t>
            </w:r>
          </w:p>
        </w:tc>
        <w:tc>
          <w:tcPr>
            <w:tcW w:w="407" w:type="pct"/>
            <w:noWrap w:val="0"/>
            <w:vAlign w:val="center"/>
          </w:tcPr>
          <w:p w14:paraId="0FF75F94">
            <w:pPr>
              <w:kinsoku w:val="0"/>
              <w:overflowPunct w:val="0"/>
              <w:autoSpaceDE w:val="0"/>
              <w:autoSpaceDN w:val="0"/>
              <w:adjustRightInd w:val="0"/>
              <w:jc w:val="center"/>
              <w:rPr>
                <w:sz w:val="21"/>
                <w:szCs w:val="21"/>
                <w:highlight w:val="none"/>
              </w:rPr>
            </w:pPr>
            <w:r>
              <w:rPr>
                <w:sz w:val="21"/>
                <w:szCs w:val="21"/>
                <w:highlight w:val="none"/>
              </w:rPr>
              <w:t>0.04L</w:t>
            </w:r>
          </w:p>
        </w:tc>
        <w:tc>
          <w:tcPr>
            <w:tcW w:w="481" w:type="pct"/>
            <w:noWrap w:val="0"/>
            <w:vAlign w:val="center"/>
          </w:tcPr>
          <w:p w14:paraId="6C57D92E">
            <w:pPr>
              <w:kinsoku w:val="0"/>
              <w:overflowPunct w:val="0"/>
              <w:autoSpaceDE w:val="0"/>
              <w:autoSpaceDN w:val="0"/>
              <w:adjustRightInd w:val="0"/>
              <w:jc w:val="center"/>
              <w:rPr>
                <w:sz w:val="21"/>
                <w:szCs w:val="21"/>
                <w:highlight w:val="none"/>
              </w:rPr>
            </w:pPr>
            <w:r>
              <w:rPr>
                <w:sz w:val="21"/>
                <w:szCs w:val="21"/>
                <w:highlight w:val="none"/>
              </w:rPr>
              <w:t>0.04L</w:t>
            </w:r>
          </w:p>
        </w:tc>
        <w:tc>
          <w:tcPr>
            <w:tcW w:w="427" w:type="pct"/>
            <w:noWrap w:val="0"/>
            <w:vAlign w:val="center"/>
          </w:tcPr>
          <w:p w14:paraId="4A0BC286">
            <w:pPr>
              <w:kinsoku w:val="0"/>
              <w:overflowPunct w:val="0"/>
              <w:autoSpaceDE w:val="0"/>
              <w:autoSpaceDN w:val="0"/>
              <w:adjustRightInd w:val="0"/>
              <w:jc w:val="center"/>
              <w:rPr>
                <w:sz w:val="21"/>
                <w:szCs w:val="21"/>
                <w:highlight w:val="none"/>
              </w:rPr>
            </w:pPr>
            <w:r>
              <w:rPr>
                <w:sz w:val="21"/>
                <w:szCs w:val="21"/>
                <w:highlight w:val="none"/>
              </w:rPr>
              <w:t>0.07</w:t>
            </w:r>
          </w:p>
        </w:tc>
        <w:tc>
          <w:tcPr>
            <w:tcW w:w="372" w:type="pct"/>
            <w:noWrap w:val="0"/>
            <w:vAlign w:val="center"/>
          </w:tcPr>
          <w:p w14:paraId="12B64D4E">
            <w:pPr>
              <w:kinsoku w:val="0"/>
              <w:overflowPunct w:val="0"/>
              <w:autoSpaceDE w:val="0"/>
              <w:autoSpaceDN w:val="0"/>
              <w:adjustRightInd w:val="0"/>
              <w:jc w:val="center"/>
              <w:rPr>
                <w:sz w:val="21"/>
                <w:szCs w:val="21"/>
                <w:highlight w:val="none"/>
              </w:rPr>
            </w:pPr>
            <w:r>
              <w:rPr>
                <w:sz w:val="21"/>
                <w:szCs w:val="21"/>
                <w:highlight w:val="none"/>
              </w:rPr>
              <w:t>0.05</w:t>
            </w:r>
          </w:p>
        </w:tc>
        <w:tc>
          <w:tcPr>
            <w:tcW w:w="481" w:type="pct"/>
            <w:noWrap w:val="0"/>
            <w:vAlign w:val="center"/>
          </w:tcPr>
          <w:p w14:paraId="48C41009">
            <w:pPr>
              <w:kinsoku w:val="0"/>
              <w:overflowPunct w:val="0"/>
              <w:autoSpaceDE w:val="0"/>
              <w:autoSpaceDN w:val="0"/>
              <w:adjustRightInd w:val="0"/>
              <w:jc w:val="center"/>
              <w:rPr>
                <w:sz w:val="21"/>
                <w:szCs w:val="21"/>
                <w:highlight w:val="none"/>
              </w:rPr>
            </w:pPr>
            <w:r>
              <w:rPr>
                <w:sz w:val="21"/>
                <w:szCs w:val="21"/>
                <w:highlight w:val="none"/>
              </w:rPr>
              <w:t>0.48</w:t>
            </w:r>
          </w:p>
        </w:tc>
        <w:tc>
          <w:tcPr>
            <w:tcW w:w="427" w:type="pct"/>
            <w:noWrap w:val="0"/>
            <w:vAlign w:val="center"/>
          </w:tcPr>
          <w:p w14:paraId="37C3C107">
            <w:pPr>
              <w:kinsoku w:val="0"/>
              <w:overflowPunct w:val="0"/>
              <w:autoSpaceDE w:val="0"/>
              <w:autoSpaceDN w:val="0"/>
              <w:adjustRightInd w:val="0"/>
              <w:jc w:val="center"/>
              <w:rPr>
                <w:sz w:val="21"/>
                <w:szCs w:val="21"/>
                <w:highlight w:val="none"/>
              </w:rPr>
            </w:pPr>
            <w:r>
              <w:rPr>
                <w:sz w:val="21"/>
                <w:szCs w:val="21"/>
                <w:highlight w:val="none"/>
              </w:rPr>
              <w:t>0.06</w:t>
            </w:r>
          </w:p>
        </w:tc>
        <w:tc>
          <w:tcPr>
            <w:tcW w:w="566" w:type="pct"/>
            <w:noWrap w:val="0"/>
            <w:vAlign w:val="center"/>
          </w:tcPr>
          <w:p w14:paraId="2B9CD0B9">
            <w:pPr>
              <w:kinsoku w:val="0"/>
              <w:overflowPunct w:val="0"/>
              <w:autoSpaceDE w:val="0"/>
              <w:autoSpaceDN w:val="0"/>
              <w:adjustRightInd w:val="0"/>
              <w:jc w:val="center"/>
              <w:rPr>
                <w:sz w:val="21"/>
                <w:szCs w:val="21"/>
                <w:highlight w:val="none"/>
              </w:rPr>
            </w:pPr>
            <w:r>
              <w:rPr>
                <w:sz w:val="21"/>
                <w:szCs w:val="21"/>
                <w:highlight w:val="none"/>
              </w:rPr>
              <w:t>5.0</w:t>
            </w:r>
          </w:p>
        </w:tc>
      </w:tr>
      <w:tr w14:paraId="6DAE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816" w:type="pct"/>
            <w:noWrap w:val="0"/>
            <w:vAlign w:val="center"/>
          </w:tcPr>
          <w:p w14:paraId="2B590218">
            <w:pPr>
              <w:kinsoku w:val="0"/>
              <w:overflowPunct w:val="0"/>
              <w:autoSpaceDE w:val="0"/>
              <w:autoSpaceDN w:val="0"/>
              <w:adjustRightInd w:val="0"/>
              <w:jc w:val="center"/>
              <w:rPr>
                <w:sz w:val="21"/>
                <w:szCs w:val="21"/>
                <w:highlight w:val="none"/>
              </w:rPr>
            </w:pPr>
            <w:r>
              <w:rPr>
                <w:sz w:val="21"/>
                <w:szCs w:val="21"/>
                <w:highlight w:val="none"/>
              </w:rPr>
              <w:t>石油类</w:t>
            </w:r>
          </w:p>
        </w:tc>
        <w:tc>
          <w:tcPr>
            <w:tcW w:w="519" w:type="pct"/>
            <w:noWrap w:val="0"/>
            <w:vAlign w:val="center"/>
          </w:tcPr>
          <w:p w14:paraId="6DA7D115">
            <w:pPr>
              <w:kinsoku w:val="0"/>
              <w:overflowPunct w:val="0"/>
              <w:autoSpaceDE w:val="0"/>
              <w:autoSpaceDN w:val="0"/>
              <w:adjustRightInd w:val="0"/>
              <w:jc w:val="center"/>
              <w:rPr>
                <w:sz w:val="21"/>
                <w:szCs w:val="21"/>
                <w:highlight w:val="none"/>
              </w:rPr>
            </w:pPr>
            <w:r>
              <w:rPr>
                <w:sz w:val="21"/>
                <w:szCs w:val="21"/>
                <w:highlight w:val="none"/>
              </w:rPr>
              <w:t>0.06L</w:t>
            </w:r>
          </w:p>
        </w:tc>
        <w:tc>
          <w:tcPr>
            <w:tcW w:w="498" w:type="pct"/>
            <w:noWrap w:val="0"/>
            <w:vAlign w:val="center"/>
          </w:tcPr>
          <w:p w14:paraId="574D6800">
            <w:pPr>
              <w:kinsoku w:val="0"/>
              <w:overflowPunct w:val="0"/>
              <w:autoSpaceDE w:val="0"/>
              <w:autoSpaceDN w:val="0"/>
              <w:adjustRightInd w:val="0"/>
              <w:jc w:val="center"/>
              <w:rPr>
                <w:sz w:val="21"/>
                <w:szCs w:val="21"/>
                <w:highlight w:val="none"/>
              </w:rPr>
            </w:pPr>
            <w:r>
              <w:rPr>
                <w:sz w:val="21"/>
                <w:szCs w:val="21"/>
                <w:highlight w:val="none"/>
              </w:rPr>
              <w:t>0.06L</w:t>
            </w:r>
          </w:p>
        </w:tc>
        <w:tc>
          <w:tcPr>
            <w:tcW w:w="407" w:type="pct"/>
            <w:noWrap w:val="0"/>
            <w:vAlign w:val="center"/>
          </w:tcPr>
          <w:p w14:paraId="4F472ECC">
            <w:pPr>
              <w:kinsoku w:val="0"/>
              <w:overflowPunct w:val="0"/>
              <w:autoSpaceDE w:val="0"/>
              <w:autoSpaceDN w:val="0"/>
              <w:adjustRightInd w:val="0"/>
              <w:jc w:val="center"/>
              <w:rPr>
                <w:sz w:val="21"/>
                <w:szCs w:val="21"/>
                <w:highlight w:val="none"/>
              </w:rPr>
            </w:pPr>
            <w:r>
              <w:rPr>
                <w:sz w:val="21"/>
                <w:szCs w:val="21"/>
                <w:highlight w:val="none"/>
              </w:rPr>
              <w:t>0.06L</w:t>
            </w:r>
          </w:p>
        </w:tc>
        <w:tc>
          <w:tcPr>
            <w:tcW w:w="481" w:type="pct"/>
            <w:noWrap w:val="0"/>
            <w:vAlign w:val="center"/>
          </w:tcPr>
          <w:p w14:paraId="21AD980B">
            <w:pPr>
              <w:kinsoku w:val="0"/>
              <w:overflowPunct w:val="0"/>
              <w:autoSpaceDE w:val="0"/>
              <w:autoSpaceDN w:val="0"/>
              <w:adjustRightInd w:val="0"/>
              <w:jc w:val="center"/>
              <w:rPr>
                <w:sz w:val="21"/>
                <w:szCs w:val="21"/>
                <w:highlight w:val="none"/>
              </w:rPr>
            </w:pPr>
            <w:r>
              <w:rPr>
                <w:sz w:val="21"/>
                <w:szCs w:val="21"/>
                <w:highlight w:val="none"/>
              </w:rPr>
              <w:t>0.06L</w:t>
            </w:r>
          </w:p>
        </w:tc>
        <w:tc>
          <w:tcPr>
            <w:tcW w:w="427" w:type="pct"/>
            <w:noWrap w:val="0"/>
            <w:vAlign w:val="center"/>
          </w:tcPr>
          <w:p w14:paraId="21F02A85">
            <w:pPr>
              <w:kinsoku w:val="0"/>
              <w:overflowPunct w:val="0"/>
              <w:autoSpaceDE w:val="0"/>
              <w:autoSpaceDN w:val="0"/>
              <w:adjustRightInd w:val="0"/>
              <w:jc w:val="center"/>
              <w:rPr>
                <w:sz w:val="21"/>
                <w:szCs w:val="21"/>
                <w:highlight w:val="none"/>
              </w:rPr>
            </w:pPr>
            <w:r>
              <w:rPr>
                <w:sz w:val="21"/>
                <w:szCs w:val="21"/>
                <w:highlight w:val="none"/>
              </w:rPr>
              <w:t>0.06L</w:t>
            </w:r>
          </w:p>
        </w:tc>
        <w:tc>
          <w:tcPr>
            <w:tcW w:w="372" w:type="pct"/>
            <w:noWrap w:val="0"/>
            <w:vAlign w:val="center"/>
          </w:tcPr>
          <w:p w14:paraId="412781F6">
            <w:pPr>
              <w:kinsoku w:val="0"/>
              <w:overflowPunct w:val="0"/>
              <w:autoSpaceDE w:val="0"/>
              <w:autoSpaceDN w:val="0"/>
              <w:adjustRightInd w:val="0"/>
              <w:jc w:val="center"/>
              <w:rPr>
                <w:sz w:val="21"/>
                <w:szCs w:val="21"/>
                <w:highlight w:val="none"/>
              </w:rPr>
            </w:pPr>
            <w:r>
              <w:rPr>
                <w:sz w:val="21"/>
                <w:szCs w:val="21"/>
                <w:highlight w:val="none"/>
              </w:rPr>
              <w:t>0.06L</w:t>
            </w:r>
          </w:p>
        </w:tc>
        <w:tc>
          <w:tcPr>
            <w:tcW w:w="481" w:type="pct"/>
            <w:noWrap w:val="0"/>
            <w:vAlign w:val="center"/>
          </w:tcPr>
          <w:p w14:paraId="51764E6B">
            <w:pPr>
              <w:kinsoku w:val="0"/>
              <w:overflowPunct w:val="0"/>
              <w:autoSpaceDE w:val="0"/>
              <w:autoSpaceDN w:val="0"/>
              <w:adjustRightInd w:val="0"/>
              <w:jc w:val="center"/>
              <w:rPr>
                <w:sz w:val="21"/>
                <w:szCs w:val="21"/>
                <w:highlight w:val="none"/>
              </w:rPr>
            </w:pPr>
            <w:r>
              <w:rPr>
                <w:sz w:val="21"/>
                <w:szCs w:val="21"/>
                <w:highlight w:val="none"/>
              </w:rPr>
              <w:t>0.06L</w:t>
            </w:r>
          </w:p>
        </w:tc>
        <w:tc>
          <w:tcPr>
            <w:tcW w:w="427" w:type="pct"/>
            <w:noWrap w:val="0"/>
            <w:vAlign w:val="center"/>
          </w:tcPr>
          <w:p w14:paraId="6BF589B4">
            <w:pPr>
              <w:kinsoku w:val="0"/>
              <w:overflowPunct w:val="0"/>
              <w:autoSpaceDE w:val="0"/>
              <w:autoSpaceDN w:val="0"/>
              <w:adjustRightInd w:val="0"/>
              <w:jc w:val="center"/>
              <w:rPr>
                <w:sz w:val="21"/>
                <w:szCs w:val="21"/>
                <w:highlight w:val="none"/>
              </w:rPr>
            </w:pPr>
            <w:r>
              <w:rPr>
                <w:sz w:val="21"/>
                <w:szCs w:val="21"/>
                <w:highlight w:val="none"/>
              </w:rPr>
              <w:t>0.06L</w:t>
            </w:r>
          </w:p>
        </w:tc>
        <w:tc>
          <w:tcPr>
            <w:tcW w:w="566" w:type="pct"/>
            <w:noWrap w:val="0"/>
            <w:vAlign w:val="center"/>
          </w:tcPr>
          <w:p w14:paraId="78A535F4">
            <w:pPr>
              <w:kinsoku w:val="0"/>
              <w:overflowPunct w:val="0"/>
              <w:autoSpaceDE w:val="0"/>
              <w:autoSpaceDN w:val="0"/>
              <w:adjustRightInd w:val="0"/>
              <w:jc w:val="center"/>
              <w:rPr>
                <w:sz w:val="21"/>
                <w:szCs w:val="21"/>
                <w:highlight w:val="none"/>
              </w:rPr>
            </w:pPr>
            <w:r>
              <w:rPr>
                <w:sz w:val="21"/>
                <w:szCs w:val="21"/>
                <w:highlight w:val="none"/>
              </w:rPr>
              <w:t>10</w:t>
            </w:r>
          </w:p>
        </w:tc>
      </w:tr>
      <w:tr w14:paraId="44E1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816" w:type="pct"/>
            <w:noWrap w:val="0"/>
            <w:vAlign w:val="center"/>
          </w:tcPr>
          <w:p w14:paraId="65F68577">
            <w:pPr>
              <w:kinsoku w:val="0"/>
              <w:overflowPunct w:val="0"/>
              <w:autoSpaceDE w:val="0"/>
              <w:autoSpaceDN w:val="0"/>
              <w:adjustRightInd w:val="0"/>
              <w:jc w:val="center"/>
              <w:rPr>
                <w:sz w:val="21"/>
                <w:szCs w:val="21"/>
                <w:highlight w:val="none"/>
              </w:rPr>
            </w:pPr>
            <w:r>
              <w:rPr>
                <w:sz w:val="21"/>
                <w:szCs w:val="21"/>
                <w:highlight w:val="none"/>
              </w:rPr>
              <w:t>动植物油</w:t>
            </w:r>
          </w:p>
        </w:tc>
        <w:tc>
          <w:tcPr>
            <w:tcW w:w="519" w:type="pct"/>
            <w:noWrap w:val="0"/>
            <w:vAlign w:val="center"/>
          </w:tcPr>
          <w:p w14:paraId="663FB62F">
            <w:pPr>
              <w:kinsoku w:val="0"/>
              <w:overflowPunct w:val="0"/>
              <w:autoSpaceDE w:val="0"/>
              <w:autoSpaceDN w:val="0"/>
              <w:adjustRightInd w:val="0"/>
              <w:jc w:val="center"/>
              <w:rPr>
                <w:sz w:val="21"/>
                <w:szCs w:val="21"/>
                <w:highlight w:val="none"/>
              </w:rPr>
            </w:pPr>
            <w:r>
              <w:rPr>
                <w:sz w:val="21"/>
                <w:szCs w:val="21"/>
                <w:highlight w:val="none"/>
              </w:rPr>
              <w:t>0.06L</w:t>
            </w:r>
          </w:p>
        </w:tc>
        <w:tc>
          <w:tcPr>
            <w:tcW w:w="498" w:type="pct"/>
            <w:noWrap w:val="0"/>
            <w:vAlign w:val="center"/>
          </w:tcPr>
          <w:p w14:paraId="799AE8FF">
            <w:pPr>
              <w:kinsoku w:val="0"/>
              <w:overflowPunct w:val="0"/>
              <w:autoSpaceDE w:val="0"/>
              <w:autoSpaceDN w:val="0"/>
              <w:adjustRightInd w:val="0"/>
              <w:jc w:val="center"/>
              <w:rPr>
                <w:sz w:val="21"/>
                <w:szCs w:val="21"/>
                <w:highlight w:val="none"/>
              </w:rPr>
            </w:pPr>
            <w:r>
              <w:rPr>
                <w:sz w:val="21"/>
                <w:szCs w:val="21"/>
                <w:highlight w:val="none"/>
              </w:rPr>
              <w:t>0.06L</w:t>
            </w:r>
          </w:p>
        </w:tc>
        <w:tc>
          <w:tcPr>
            <w:tcW w:w="407" w:type="pct"/>
            <w:noWrap w:val="0"/>
            <w:vAlign w:val="center"/>
          </w:tcPr>
          <w:p w14:paraId="2334AF43">
            <w:pPr>
              <w:kinsoku w:val="0"/>
              <w:overflowPunct w:val="0"/>
              <w:autoSpaceDE w:val="0"/>
              <w:autoSpaceDN w:val="0"/>
              <w:adjustRightInd w:val="0"/>
              <w:jc w:val="center"/>
              <w:rPr>
                <w:sz w:val="21"/>
                <w:szCs w:val="21"/>
                <w:highlight w:val="none"/>
              </w:rPr>
            </w:pPr>
            <w:r>
              <w:rPr>
                <w:sz w:val="21"/>
                <w:szCs w:val="21"/>
                <w:highlight w:val="none"/>
              </w:rPr>
              <w:t>0.06L</w:t>
            </w:r>
          </w:p>
        </w:tc>
        <w:tc>
          <w:tcPr>
            <w:tcW w:w="481" w:type="pct"/>
            <w:noWrap w:val="0"/>
            <w:vAlign w:val="center"/>
          </w:tcPr>
          <w:p w14:paraId="6B088D28">
            <w:pPr>
              <w:kinsoku w:val="0"/>
              <w:overflowPunct w:val="0"/>
              <w:autoSpaceDE w:val="0"/>
              <w:autoSpaceDN w:val="0"/>
              <w:adjustRightInd w:val="0"/>
              <w:jc w:val="center"/>
              <w:rPr>
                <w:sz w:val="21"/>
                <w:szCs w:val="21"/>
                <w:highlight w:val="none"/>
              </w:rPr>
            </w:pPr>
            <w:r>
              <w:rPr>
                <w:sz w:val="21"/>
                <w:szCs w:val="21"/>
                <w:highlight w:val="none"/>
              </w:rPr>
              <w:t>0.06L</w:t>
            </w:r>
          </w:p>
        </w:tc>
        <w:tc>
          <w:tcPr>
            <w:tcW w:w="427" w:type="pct"/>
            <w:noWrap w:val="0"/>
            <w:vAlign w:val="center"/>
          </w:tcPr>
          <w:p w14:paraId="7E1740F4">
            <w:pPr>
              <w:kinsoku w:val="0"/>
              <w:overflowPunct w:val="0"/>
              <w:autoSpaceDE w:val="0"/>
              <w:autoSpaceDN w:val="0"/>
              <w:adjustRightInd w:val="0"/>
              <w:jc w:val="center"/>
              <w:rPr>
                <w:sz w:val="21"/>
                <w:szCs w:val="21"/>
                <w:highlight w:val="none"/>
              </w:rPr>
            </w:pPr>
            <w:r>
              <w:rPr>
                <w:sz w:val="21"/>
                <w:szCs w:val="21"/>
                <w:highlight w:val="none"/>
              </w:rPr>
              <w:t>0.06L</w:t>
            </w:r>
          </w:p>
        </w:tc>
        <w:tc>
          <w:tcPr>
            <w:tcW w:w="372" w:type="pct"/>
            <w:noWrap w:val="0"/>
            <w:vAlign w:val="center"/>
          </w:tcPr>
          <w:p w14:paraId="3BA3C6C2">
            <w:pPr>
              <w:kinsoku w:val="0"/>
              <w:overflowPunct w:val="0"/>
              <w:autoSpaceDE w:val="0"/>
              <w:autoSpaceDN w:val="0"/>
              <w:adjustRightInd w:val="0"/>
              <w:jc w:val="center"/>
              <w:rPr>
                <w:sz w:val="21"/>
                <w:szCs w:val="21"/>
                <w:highlight w:val="none"/>
              </w:rPr>
            </w:pPr>
            <w:r>
              <w:rPr>
                <w:sz w:val="21"/>
                <w:szCs w:val="21"/>
                <w:highlight w:val="none"/>
              </w:rPr>
              <w:t>0.06L</w:t>
            </w:r>
          </w:p>
        </w:tc>
        <w:tc>
          <w:tcPr>
            <w:tcW w:w="481" w:type="pct"/>
            <w:noWrap w:val="0"/>
            <w:vAlign w:val="center"/>
          </w:tcPr>
          <w:p w14:paraId="52B992B6">
            <w:pPr>
              <w:kinsoku w:val="0"/>
              <w:overflowPunct w:val="0"/>
              <w:autoSpaceDE w:val="0"/>
              <w:autoSpaceDN w:val="0"/>
              <w:adjustRightInd w:val="0"/>
              <w:jc w:val="center"/>
              <w:rPr>
                <w:sz w:val="21"/>
                <w:szCs w:val="21"/>
                <w:highlight w:val="none"/>
              </w:rPr>
            </w:pPr>
            <w:r>
              <w:rPr>
                <w:sz w:val="21"/>
                <w:szCs w:val="21"/>
                <w:highlight w:val="none"/>
              </w:rPr>
              <w:t>0.06L</w:t>
            </w:r>
          </w:p>
        </w:tc>
        <w:tc>
          <w:tcPr>
            <w:tcW w:w="427" w:type="pct"/>
            <w:noWrap w:val="0"/>
            <w:vAlign w:val="center"/>
          </w:tcPr>
          <w:p w14:paraId="6BDB6BCB">
            <w:pPr>
              <w:kinsoku w:val="0"/>
              <w:overflowPunct w:val="0"/>
              <w:autoSpaceDE w:val="0"/>
              <w:autoSpaceDN w:val="0"/>
              <w:adjustRightInd w:val="0"/>
              <w:jc w:val="center"/>
              <w:rPr>
                <w:sz w:val="21"/>
                <w:szCs w:val="21"/>
                <w:highlight w:val="none"/>
              </w:rPr>
            </w:pPr>
            <w:r>
              <w:rPr>
                <w:sz w:val="21"/>
                <w:szCs w:val="21"/>
                <w:highlight w:val="none"/>
              </w:rPr>
              <w:t>0.06L</w:t>
            </w:r>
          </w:p>
        </w:tc>
        <w:tc>
          <w:tcPr>
            <w:tcW w:w="566" w:type="pct"/>
            <w:noWrap w:val="0"/>
            <w:vAlign w:val="center"/>
          </w:tcPr>
          <w:p w14:paraId="68B14669">
            <w:pPr>
              <w:kinsoku w:val="0"/>
              <w:overflowPunct w:val="0"/>
              <w:autoSpaceDE w:val="0"/>
              <w:autoSpaceDN w:val="0"/>
              <w:adjustRightInd w:val="0"/>
              <w:jc w:val="center"/>
              <w:rPr>
                <w:sz w:val="21"/>
                <w:szCs w:val="21"/>
                <w:highlight w:val="none"/>
              </w:rPr>
            </w:pPr>
            <w:r>
              <w:rPr>
                <w:sz w:val="21"/>
                <w:szCs w:val="21"/>
                <w:highlight w:val="none"/>
              </w:rPr>
              <w:t>20</w:t>
            </w:r>
          </w:p>
        </w:tc>
      </w:tr>
      <w:tr w14:paraId="34D1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816" w:type="pct"/>
            <w:noWrap w:val="0"/>
            <w:vAlign w:val="center"/>
          </w:tcPr>
          <w:p w14:paraId="289959B8">
            <w:pPr>
              <w:kinsoku w:val="0"/>
              <w:overflowPunct w:val="0"/>
              <w:autoSpaceDE w:val="0"/>
              <w:autoSpaceDN w:val="0"/>
              <w:adjustRightInd w:val="0"/>
              <w:jc w:val="center"/>
              <w:rPr>
                <w:sz w:val="21"/>
                <w:szCs w:val="21"/>
                <w:highlight w:val="none"/>
              </w:rPr>
            </w:pPr>
            <w:r>
              <w:rPr>
                <w:sz w:val="21"/>
                <w:szCs w:val="21"/>
                <w:highlight w:val="none"/>
              </w:rPr>
              <w:t>磷酸盐</w:t>
            </w:r>
          </w:p>
        </w:tc>
        <w:tc>
          <w:tcPr>
            <w:tcW w:w="519" w:type="pct"/>
            <w:noWrap w:val="0"/>
            <w:vAlign w:val="center"/>
          </w:tcPr>
          <w:p w14:paraId="12CD6639">
            <w:pPr>
              <w:kinsoku w:val="0"/>
              <w:overflowPunct w:val="0"/>
              <w:autoSpaceDE w:val="0"/>
              <w:autoSpaceDN w:val="0"/>
              <w:adjustRightInd w:val="0"/>
              <w:jc w:val="center"/>
              <w:rPr>
                <w:sz w:val="21"/>
                <w:szCs w:val="21"/>
                <w:highlight w:val="none"/>
              </w:rPr>
            </w:pPr>
            <w:r>
              <w:rPr>
                <w:sz w:val="21"/>
                <w:szCs w:val="21"/>
                <w:highlight w:val="none"/>
              </w:rPr>
              <w:t>0.01</w:t>
            </w:r>
          </w:p>
        </w:tc>
        <w:tc>
          <w:tcPr>
            <w:tcW w:w="498" w:type="pct"/>
            <w:noWrap w:val="0"/>
            <w:vAlign w:val="center"/>
          </w:tcPr>
          <w:p w14:paraId="74BA9BB0">
            <w:pPr>
              <w:kinsoku w:val="0"/>
              <w:overflowPunct w:val="0"/>
              <w:autoSpaceDE w:val="0"/>
              <w:autoSpaceDN w:val="0"/>
              <w:adjustRightInd w:val="0"/>
              <w:jc w:val="center"/>
              <w:rPr>
                <w:sz w:val="21"/>
                <w:szCs w:val="21"/>
                <w:highlight w:val="none"/>
              </w:rPr>
            </w:pPr>
            <w:r>
              <w:rPr>
                <w:sz w:val="21"/>
                <w:szCs w:val="21"/>
                <w:highlight w:val="none"/>
              </w:rPr>
              <w:t>0.01</w:t>
            </w:r>
          </w:p>
        </w:tc>
        <w:tc>
          <w:tcPr>
            <w:tcW w:w="407" w:type="pct"/>
            <w:noWrap w:val="0"/>
            <w:vAlign w:val="center"/>
          </w:tcPr>
          <w:p w14:paraId="198FBF04">
            <w:pPr>
              <w:kinsoku w:val="0"/>
              <w:overflowPunct w:val="0"/>
              <w:autoSpaceDE w:val="0"/>
              <w:autoSpaceDN w:val="0"/>
              <w:adjustRightInd w:val="0"/>
              <w:jc w:val="center"/>
              <w:rPr>
                <w:sz w:val="21"/>
                <w:szCs w:val="21"/>
                <w:highlight w:val="none"/>
              </w:rPr>
            </w:pPr>
            <w:r>
              <w:rPr>
                <w:sz w:val="21"/>
                <w:szCs w:val="21"/>
                <w:highlight w:val="none"/>
              </w:rPr>
              <w:t>0.01</w:t>
            </w:r>
          </w:p>
        </w:tc>
        <w:tc>
          <w:tcPr>
            <w:tcW w:w="481" w:type="pct"/>
            <w:noWrap w:val="0"/>
            <w:vAlign w:val="center"/>
          </w:tcPr>
          <w:p w14:paraId="6456A887">
            <w:pPr>
              <w:kinsoku w:val="0"/>
              <w:overflowPunct w:val="0"/>
              <w:autoSpaceDE w:val="0"/>
              <w:autoSpaceDN w:val="0"/>
              <w:adjustRightInd w:val="0"/>
              <w:jc w:val="center"/>
              <w:rPr>
                <w:sz w:val="21"/>
                <w:szCs w:val="21"/>
                <w:highlight w:val="none"/>
              </w:rPr>
            </w:pPr>
            <w:r>
              <w:rPr>
                <w:sz w:val="21"/>
                <w:szCs w:val="21"/>
                <w:highlight w:val="none"/>
              </w:rPr>
              <w:t>0.01</w:t>
            </w:r>
          </w:p>
        </w:tc>
        <w:tc>
          <w:tcPr>
            <w:tcW w:w="427" w:type="pct"/>
            <w:noWrap w:val="0"/>
            <w:vAlign w:val="center"/>
          </w:tcPr>
          <w:p w14:paraId="4704ADBB">
            <w:pPr>
              <w:kinsoku w:val="0"/>
              <w:overflowPunct w:val="0"/>
              <w:autoSpaceDE w:val="0"/>
              <w:autoSpaceDN w:val="0"/>
              <w:adjustRightInd w:val="0"/>
              <w:jc w:val="center"/>
              <w:rPr>
                <w:sz w:val="21"/>
                <w:szCs w:val="21"/>
                <w:highlight w:val="none"/>
              </w:rPr>
            </w:pPr>
            <w:r>
              <w:rPr>
                <w:sz w:val="21"/>
                <w:szCs w:val="21"/>
                <w:highlight w:val="none"/>
              </w:rPr>
              <w:t>0.02</w:t>
            </w:r>
          </w:p>
        </w:tc>
        <w:tc>
          <w:tcPr>
            <w:tcW w:w="372" w:type="pct"/>
            <w:noWrap w:val="0"/>
            <w:vAlign w:val="center"/>
          </w:tcPr>
          <w:p w14:paraId="3663DD84">
            <w:pPr>
              <w:kinsoku w:val="0"/>
              <w:overflowPunct w:val="0"/>
              <w:autoSpaceDE w:val="0"/>
              <w:autoSpaceDN w:val="0"/>
              <w:adjustRightInd w:val="0"/>
              <w:jc w:val="center"/>
              <w:rPr>
                <w:sz w:val="21"/>
                <w:szCs w:val="21"/>
                <w:highlight w:val="none"/>
              </w:rPr>
            </w:pPr>
            <w:r>
              <w:rPr>
                <w:sz w:val="21"/>
                <w:szCs w:val="21"/>
                <w:highlight w:val="none"/>
              </w:rPr>
              <w:t>0.12</w:t>
            </w:r>
          </w:p>
        </w:tc>
        <w:tc>
          <w:tcPr>
            <w:tcW w:w="481" w:type="pct"/>
            <w:noWrap w:val="0"/>
            <w:vAlign w:val="center"/>
          </w:tcPr>
          <w:p w14:paraId="1D4AB8AC">
            <w:pPr>
              <w:kinsoku w:val="0"/>
              <w:overflowPunct w:val="0"/>
              <w:autoSpaceDE w:val="0"/>
              <w:autoSpaceDN w:val="0"/>
              <w:adjustRightInd w:val="0"/>
              <w:jc w:val="center"/>
              <w:rPr>
                <w:sz w:val="21"/>
                <w:szCs w:val="21"/>
                <w:highlight w:val="none"/>
              </w:rPr>
            </w:pPr>
            <w:r>
              <w:rPr>
                <w:sz w:val="21"/>
                <w:szCs w:val="21"/>
                <w:highlight w:val="none"/>
              </w:rPr>
              <w:t>0.02</w:t>
            </w:r>
          </w:p>
        </w:tc>
        <w:tc>
          <w:tcPr>
            <w:tcW w:w="427" w:type="pct"/>
            <w:noWrap w:val="0"/>
            <w:vAlign w:val="center"/>
          </w:tcPr>
          <w:p w14:paraId="33B359C9">
            <w:pPr>
              <w:kinsoku w:val="0"/>
              <w:overflowPunct w:val="0"/>
              <w:autoSpaceDE w:val="0"/>
              <w:autoSpaceDN w:val="0"/>
              <w:adjustRightInd w:val="0"/>
              <w:jc w:val="center"/>
              <w:rPr>
                <w:sz w:val="21"/>
                <w:szCs w:val="21"/>
                <w:highlight w:val="none"/>
              </w:rPr>
            </w:pPr>
            <w:r>
              <w:rPr>
                <w:sz w:val="21"/>
                <w:szCs w:val="21"/>
                <w:highlight w:val="none"/>
              </w:rPr>
              <w:t>0.02</w:t>
            </w:r>
          </w:p>
        </w:tc>
        <w:tc>
          <w:tcPr>
            <w:tcW w:w="566" w:type="pct"/>
            <w:noWrap w:val="0"/>
            <w:vAlign w:val="center"/>
          </w:tcPr>
          <w:p w14:paraId="50C36BD0">
            <w:pPr>
              <w:kinsoku w:val="0"/>
              <w:overflowPunct w:val="0"/>
              <w:autoSpaceDE w:val="0"/>
              <w:autoSpaceDN w:val="0"/>
              <w:adjustRightInd w:val="0"/>
              <w:jc w:val="center"/>
              <w:rPr>
                <w:sz w:val="21"/>
                <w:szCs w:val="21"/>
                <w:highlight w:val="none"/>
              </w:rPr>
            </w:pPr>
            <w:r>
              <w:rPr>
                <w:sz w:val="21"/>
                <w:szCs w:val="21"/>
                <w:highlight w:val="none"/>
              </w:rPr>
              <w:t>0.5</w:t>
            </w:r>
          </w:p>
        </w:tc>
      </w:tr>
      <w:tr w14:paraId="0258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jc w:val="center"/>
        </w:trPr>
        <w:tc>
          <w:tcPr>
            <w:tcW w:w="816" w:type="pct"/>
            <w:noWrap w:val="0"/>
            <w:vAlign w:val="center"/>
          </w:tcPr>
          <w:p w14:paraId="18AB8D46">
            <w:pPr>
              <w:kinsoku w:val="0"/>
              <w:overflowPunct w:val="0"/>
              <w:autoSpaceDE w:val="0"/>
              <w:autoSpaceDN w:val="0"/>
              <w:adjustRightInd w:val="0"/>
              <w:jc w:val="center"/>
              <w:rPr>
                <w:sz w:val="21"/>
                <w:szCs w:val="21"/>
                <w:highlight w:val="none"/>
              </w:rPr>
            </w:pPr>
            <w:r>
              <w:rPr>
                <w:sz w:val="21"/>
                <w:szCs w:val="21"/>
                <w:highlight w:val="none"/>
              </w:rPr>
              <w:t>粪大肠菌群（MP</w:t>
            </w:r>
            <w:r>
              <w:rPr>
                <w:spacing w:val="-1"/>
                <w:sz w:val="21"/>
                <w:szCs w:val="21"/>
                <w:highlight w:val="none"/>
              </w:rPr>
              <w:t>N</w:t>
            </w:r>
            <w:r>
              <w:rPr>
                <w:sz w:val="21"/>
                <w:szCs w:val="21"/>
                <w:highlight w:val="none"/>
              </w:rPr>
              <w:t>/</w:t>
            </w:r>
            <w:r>
              <w:rPr>
                <w:spacing w:val="-3"/>
                <w:sz w:val="21"/>
                <w:szCs w:val="21"/>
                <w:highlight w:val="none"/>
              </w:rPr>
              <w:t>L</w:t>
            </w:r>
            <w:r>
              <w:rPr>
                <w:sz w:val="21"/>
                <w:szCs w:val="21"/>
                <w:highlight w:val="none"/>
              </w:rPr>
              <w:t>）</w:t>
            </w:r>
          </w:p>
        </w:tc>
        <w:tc>
          <w:tcPr>
            <w:tcW w:w="519" w:type="pct"/>
            <w:noWrap w:val="0"/>
            <w:vAlign w:val="center"/>
          </w:tcPr>
          <w:p w14:paraId="4FF59C98">
            <w:pPr>
              <w:kinsoku w:val="0"/>
              <w:overflowPunct w:val="0"/>
              <w:autoSpaceDE w:val="0"/>
              <w:autoSpaceDN w:val="0"/>
              <w:adjustRightInd w:val="0"/>
              <w:jc w:val="center"/>
              <w:rPr>
                <w:sz w:val="21"/>
                <w:szCs w:val="21"/>
                <w:highlight w:val="none"/>
              </w:rPr>
            </w:pPr>
            <w:r>
              <w:rPr>
                <w:sz w:val="21"/>
                <w:szCs w:val="21"/>
                <w:highlight w:val="none"/>
              </w:rPr>
              <w:t>＜20</w:t>
            </w:r>
          </w:p>
        </w:tc>
        <w:tc>
          <w:tcPr>
            <w:tcW w:w="498" w:type="pct"/>
            <w:noWrap w:val="0"/>
            <w:vAlign w:val="center"/>
          </w:tcPr>
          <w:p w14:paraId="3DB21C12">
            <w:pPr>
              <w:kinsoku w:val="0"/>
              <w:overflowPunct w:val="0"/>
              <w:autoSpaceDE w:val="0"/>
              <w:autoSpaceDN w:val="0"/>
              <w:adjustRightInd w:val="0"/>
              <w:jc w:val="center"/>
              <w:rPr>
                <w:sz w:val="21"/>
                <w:szCs w:val="21"/>
                <w:highlight w:val="none"/>
              </w:rPr>
            </w:pPr>
            <w:r>
              <w:rPr>
                <w:sz w:val="21"/>
                <w:szCs w:val="21"/>
                <w:highlight w:val="none"/>
              </w:rPr>
              <w:t>＜20</w:t>
            </w:r>
          </w:p>
        </w:tc>
        <w:tc>
          <w:tcPr>
            <w:tcW w:w="407" w:type="pct"/>
            <w:noWrap w:val="0"/>
            <w:vAlign w:val="center"/>
          </w:tcPr>
          <w:p w14:paraId="3B35639D">
            <w:pPr>
              <w:kinsoku w:val="0"/>
              <w:overflowPunct w:val="0"/>
              <w:autoSpaceDE w:val="0"/>
              <w:autoSpaceDN w:val="0"/>
              <w:adjustRightInd w:val="0"/>
              <w:jc w:val="center"/>
              <w:rPr>
                <w:sz w:val="21"/>
                <w:szCs w:val="21"/>
                <w:highlight w:val="none"/>
              </w:rPr>
            </w:pPr>
            <w:r>
              <w:rPr>
                <w:sz w:val="21"/>
                <w:szCs w:val="21"/>
                <w:highlight w:val="none"/>
              </w:rPr>
              <w:t>＜20</w:t>
            </w:r>
          </w:p>
        </w:tc>
        <w:tc>
          <w:tcPr>
            <w:tcW w:w="481" w:type="pct"/>
            <w:noWrap w:val="0"/>
            <w:vAlign w:val="center"/>
          </w:tcPr>
          <w:p w14:paraId="5CE2B0FA">
            <w:pPr>
              <w:kinsoku w:val="0"/>
              <w:overflowPunct w:val="0"/>
              <w:autoSpaceDE w:val="0"/>
              <w:autoSpaceDN w:val="0"/>
              <w:adjustRightInd w:val="0"/>
              <w:jc w:val="center"/>
              <w:rPr>
                <w:sz w:val="21"/>
                <w:szCs w:val="21"/>
                <w:highlight w:val="none"/>
              </w:rPr>
            </w:pPr>
            <w:r>
              <w:rPr>
                <w:sz w:val="21"/>
                <w:szCs w:val="21"/>
                <w:highlight w:val="none"/>
              </w:rPr>
              <w:t>＜20</w:t>
            </w:r>
          </w:p>
        </w:tc>
        <w:tc>
          <w:tcPr>
            <w:tcW w:w="427" w:type="pct"/>
            <w:noWrap w:val="0"/>
            <w:vAlign w:val="center"/>
          </w:tcPr>
          <w:p w14:paraId="4B930D1B">
            <w:pPr>
              <w:kinsoku w:val="0"/>
              <w:overflowPunct w:val="0"/>
              <w:autoSpaceDE w:val="0"/>
              <w:autoSpaceDN w:val="0"/>
              <w:adjustRightInd w:val="0"/>
              <w:jc w:val="center"/>
              <w:rPr>
                <w:sz w:val="21"/>
                <w:szCs w:val="21"/>
                <w:highlight w:val="none"/>
              </w:rPr>
            </w:pPr>
            <w:r>
              <w:rPr>
                <w:sz w:val="21"/>
                <w:szCs w:val="21"/>
                <w:highlight w:val="none"/>
              </w:rPr>
              <w:t>＜20</w:t>
            </w:r>
          </w:p>
        </w:tc>
        <w:tc>
          <w:tcPr>
            <w:tcW w:w="372" w:type="pct"/>
            <w:noWrap w:val="0"/>
            <w:vAlign w:val="center"/>
          </w:tcPr>
          <w:p w14:paraId="435954A7">
            <w:pPr>
              <w:kinsoku w:val="0"/>
              <w:overflowPunct w:val="0"/>
              <w:autoSpaceDE w:val="0"/>
              <w:autoSpaceDN w:val="0"/>
              <w:adjustRightInd w:val="0"/>
              <w:jc w:val="center"/>
              <w:rPr>
                <w:sz w:val="21"/>
                <w:szCs w:val="21"/>
                <w:highlight w:val="none"/>
              </w:rPr>
            </w:pPr>
            <w:r>
              <w:rPr>
                <w:sz w:val="21"/>
                <w:szCs w:val="21"/>
                <w:highlight w:val="none"/>
              </w:rPr>
              <w:t>＜20</w:t>
            </w:r>
          </w:p>
        </w:tc>
        <w:tc>
          <w:tcPr>
            <w:tcW w:w="481" w:type="pct"/>
            <w:noWrap w:val="0"/>
            <w:vAlign w:val="center"/>
          </w:tcPr>
          <w:p w14:paraId="79F7379C">
            <w:pPr>
              <w:kinsoku w:val="0"/>
              <w:overflowPunct w:val="0"/>
              <w:autoSpaceDE w:val="0"/>
              <w:autoSpaceDN w:val="0"/>
              <w:adjustRightInd w:val="0"/>
              <w:jc w:val="center"/>
              <w:rPr>
                <w:sz w:val="21"/>
                <w:szCs w:val="21"/>
                <w:highlight w:val="none"/>
              </w:rPr>
            </w:pPr>
            <w:r>
              <w:rPr>
                <w:sz w:val="21"/>
                <w:szCs w:val="21"/>
                <w:highlight w:val="none"/>
              </w:rPr>
              <w:t>＜20</w:t>
            </w:r>
          </w:p>
        </w:tc>
        <w:tc>
          <w:tcPr>
            <w:tcW w:w="427" w:type="pct"/>
            <w:noWrap w:val="0"/>
            <w:vAlign w:val="center"/>
          </w:tcPr>
          <w:p w14:paraId="65CCE871">
            <w:pPr>
              <w:kinsoku w:val="0"/>
              <w:overflowPunct w:val="0"/>
              <w:autoSpaceDE w:val="0"/>
              <w:autoSpaceDN w:val="0"/>
              <w:adjustRightInd w:val="0"/>
              <w:jc w:val="center"/>
              <w:rPr>
                <w:sz w:val="21"/>
                <w:szCs w:val="21"/>
                <w:highlight w:val="none"/>
              </w:rPr>
            </w:pPr>
            <w:r>
              <w:rPr>
                <w:sz w:val="21"/>
                <w:szCs w:val="21"/>
                <w:highlight w:val="none"/>
              </w:rPr>
              <w:t>＜20</w:t>
            </w:r>
          </w:p>
        </w:tc>
        <w:tc>
          <w:tcPr>
            <w:tcW w:w="566" w:type="pct"/>
            <w:noWrap w:val="0"/>
            <w:vAlign w:val="center"/>
          </w:tcPr>
          <w:p w14:paraId="52790569">
            <w:pPr>
              <w:kinsoku w:val="0"/>
              <w:overflowPunct w:val="0"/>
              <w:autoSpaceDE w:val="0"/>
              <w:autoSpaceDN w:val="0"/>
              <w:adjustRightInd w:val="0"/>
              <w:jc w:val="center"/>
              <w:rPr>
                <w:sz w:val="21"/>
                <w:szCs w:val="21"/>
                <w:highlight w:val="none"/>
              </w:rPr>
            </w:pPr>
            <w:r>
              <w:rPr>
                <w:sz w:val="21"/>
                <w:szCs w:val="21"/>
                <w:highlight w:val="none"/>
              </w:rPr>
              <w:t>100</w:t>
            </w:r>
          </w:p>
        </w:tc>
      </w:tr>
      <w:tr w14:paraId="2F16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exact"/>
          <w:jc w:val="center"/>
        </w:trPr>
        <w:tc>
          <w:tcPr>
            <w:tcW w:w="816" w:type="pct"/>
            <w:noWrap w:val="0"/>
            <w:vAlign w:val="center"/>
          </w:tcPr>
          <w:p w14:paraId="16535EC9">
            <w:pPr>
              <w:kinsoku w:val="0"/>
              <w:overflowPunct w:val="0"/>
              <w:autoSpaceDE w:val="0"/>
              <w:autoSpaceDN w:val="0"/>
              <w:adjustRightInd w:val="0"/>
              <w:jc w:val="center"/>
              <w:rPr>
                <w:sz w:val="21"/>
                <w:szCs w:val="21"/>
                <w:highlight w:val="none"/>
              </w:rPr>
            </w:pPr>
            <w:r>
              <w:rPr>
                <w:sz w:val="21"/>
                <w:szCs w:val="21"/>
                <w:highlight w:val="none"/>
              </w:rPr>
              <w:t>电导率（</w:t>
            </w:r>
            <w:r>
              <w:rPr>
                <w:spacing w:val="-2"/>
                <w:sz w:val="21"/>
                <w:szCs w:val="21"/>
                <w:highlight w:val="none"/>
              </w:rPr>
              <w:t>μ</w:t>
            </w:r>
            <w:r>
              <w:rPr>
                <w:sz w:val="21"/>
                <w:szCs w:val="21"/>
                <w:highlight w:val="none"/>
              </w:rPr>
              <w:t>s/</w:t>
            </w:r>
            <w:r>
              <w:rPr>
                <w:spacing w:val="-1"/>
                <w:sz w:val="21"/>
                <w:szCs w:val="21"/>
                <w:highlight w:val="none"/>
              </w:rPr>
              <w:t>c</w:t>
            </w:r>
            <w:r>
              <w:rPr>
                <w:sz w:val="21"/>
                <w:szCs w:val="21"/>
                <w:highlight w:val="none"/>
              </w:rPr>
              <w:t>m）</w:t>
            </w:r>
          </w:p>
        </w:tc>
        <w:tc>
          <w:tcPr>
            <w:tcW w:w="519" w:type="pct"/>
            <w:noWrap w:val="0"/>
            <w:vAlign w:val="center"/>
          </w:tcPr>
          <w:p w14:paraId="198D9453">
            <w:pPr>
              <w:kinsoku w:val="0"/>
              <w:overflowPunct w:val="0"/>
              <w:autoSpaceDE w:val="0"/>
              <w:autoSpaceDN w:val="0"/>
              <w:adjustRightInd w:val="0"/>
              <w:jc w:val="center"/>
              <w:rPr>
                <w:sz w:val="21"/>
                <w:szCs w:val="21"/>
                <w:highlight w:val="none"/>
              </w:rPr>
            </w:pPr>
            <w:r>
              <w:rPr>
                <w:sz w:val="21"/>
                <w:szCs w:val="21"/>
                <w:highlight w:val="none"/>
              </w:rPr>
              <w:t>467</w:t>
            </w:r>
          </w:p>
        </w:tc>
        <w:tc>
          <w:tcPr>
            <w:tcW w:w="498" w:type="pct"/>
            <w:noWrap w:val="0"/>
            <w:vAlign w:val="center"/>
          </w:tcPr>
          <w:p w14:paraId="376C4796">
            <w:pPr>
              <w:kinsoku w:val="0"/>
              <w:overflowPunct w:val="0"/>
              <w:autoSpaceDE w:val="0"/>
              <w:autoSpaceDN w:val="0"/>
              <w:adjustRightInd w:val="0"/>
              <w:jc w:val="center"/>
              <w:rPr>
                <w:sz w:val="21"/>
                <w:szCs w:val="21"/>
                <w:highlight w:val="none"/>
              </w:rPr>
            </w:pPr>
            <w:r>
              <w:rPr>
                <w:sz w:val="21"/>
                <w:szCs w:val="21"/>
                <w:highlight w:val="none"/>
              </w:rPr>
              <w:t>468</w:t>
            </w:r>
          </w:p>
        </w:tc>
        <w:tc>
          <w:tcPr>
            <w:tcW w:w="407" w:type="pct"/>
            <w:noWrap w:val="0"/>
            <w:vAlign w:val="center"/>
          </w:tcPr>
          <w:p w14:paraId="0FFA21BE">
            <w:pPr>
              <w:kinsoku w:val="0"/>
              <w:overflowPunct w:val="0"/>
              <w:autoSpaceDE w:val="0"/>
              <w:autoSpaceDN w:val="0"/>
              <w:adjustRightInd w:val="0"/>
              <w:jc w:val="center"/>
              <w:rPr>
                <w:sz w:val="21"/>
                <w:szCs w:val="21"/>
                <w:highlight w:val="none"/>
              </w:rPr>
            </w:pPr>
            <w:r>
              <w:rPr>
                <w:sz w:val="21"/>
                <w:szCs w:val="21"/>
                <w:highlight w:val="none"/>
              </w:rPr>
              <w:t>465</w:t>
            </w:r>
          </w:p>
        </w:tc>
        <w:tc>
          <w:tcPr>
            <w:tcW w:w="481" w:type="pct"/>
            <w:noWrap w:val="0"/>
            <w:vAlign w:val="center"/>
          </w:tcPr>
          <w:p w14:paraId="245B0619">
            <w:pPr>
              <w:kinsoku w:val="0"/>
              <w:overflowPunct w:val="0"/>
              <w:autoSpaceDE w:val="0"/>
              <w:autoSpaceDN w:val="0"/>
              <w:adjustRightInd w:val="0"/>
              <w:jc w:val="center"/>
              <w:rPr>
                <w:sz w:val="21"/>
                <w:szCs w:val="21"/>
                <w:highlight w:val="none"/>
              </w:rPr>
            </w:pPr>
            <w:r>
              <w:rPr>
                <w:sz w:val="21"/>
                <w:szCs w:val="21"/>
                <w:highlight w:val="none"/>
              </w:rPr>
              <w:t>467</w:t>
            </w:r>
          </w:p>
        </w:tc>
        <w:tc>
          <w:tcPr>
            <w:tcW w:w="427" w:type="pct"/>
            <w:noWrap w:val="0"/>
            <w:vAlign w:val="center"/>
          </w:tcPr>
          <w:p w14:paraId="4640C602">
            <w:pPr>
              <w:kinsoku w:val="0"/>
              <w:overflowPunct w:val="0"/>
              <w:autoSpaceDE w:val="0"/>
              <w:autoSpaceDN w:val="0"/>
              <w:adjustRightInd w:val="0"/>
              <w:jc w:val="center"/>
              <w:rPr>
                <w:sz w:val="21"/>
                <w:szCs w:val="21"/>
                <w:highlight w:val="none"/>
              </w:rPr>
            </w:pPr>
            <w:r>
              <w:rPr>
                <w:sz w:val="21"/>
                <w:szCs w:val="21"/>
                <w:highlight w:val="none"/>
              </w:rPr>
              <w:t>413</w:t>
            </w:r>
          </w:p>
        </w:tc>
        <w:tc>
          <w:tcPr>
            <w:tcW w:w="372" w:type="pct"/>
            <w:noWrap w:val="0"/>
            <w:vAlign w:val="center"/>
          </w:tcPr>
          <w:p w14:paraId="51EFD66B">
            <w:pPr>
              <w:kinsoku w:val="0"/>
              <w:overflowPunct w:val="0"/>
              <w:autoSpaceDE w:val="0"/>
              <w:autoSpaceDN w:val="0"/>
              <w:adjustRightInd w:val="0"/>
              <w:jc w:val="center"/>
              <w:rPr>
                <w:sz w:val="21"/>
                <w:szCs w:val="21"/>
                <w:highlight w:val="none"/>
              </w:rPr>
            </w:pPr>
            <w:r>
              <w:rPr>
                <w:sz w:val="21"/>
                <w:szCs w:val="21"/>
                <w:highlight w:val="none"/>
              </w:rPr>
              <w:t>413</w:t>
            </w:r>
          </w:p>
        </w:tc>
        <w:tc>
          <w:tcPr>
            <w:tcW w:w="481" w:type="pct"/>
            <w:noWrap w:val="0"/>
            <w:vAlign w:val="center"/>
          </w:tcPr>
          <w:p w14:paraId="06AE3BCC">
            <w:pPr>
              <w:kinsoku w:val="0"/>
              <w:overflowPunct w:val="0"/>
              <w:autoSpaceDE w:val="0"/>
              <w:autoSpaceDN w:val="0"/>
              <w:adjustRightInd w:val="0"/>
              <w:jc w:val="center"/>
              <w:rPr>
                <w:sz w:val="21"/>
                <w:szCs w:val="21"/>
                <w:highlight w:val="none"/>
              </w:rPr>
            </w:pPr>
            <w:r>
              <w:rPr>
                <w:sz w:val="21"/>
                <w:szCs w:val="21"/>
                <w:highlight w:val="none"/>
              </w:rPr>
              <w:t>415</w:t>
            </w:r>
          </w:p>
        </w:tc>
        <w:tc>
          <w:tcPr>
            <w:tcW w:w="427" w:type="pct"/>
            <w:noWrap w:val="0"/>
            <w:vAlign w:val="center"/>
          </w:tcPr>
          <w:p w14:paraId="1BE75937">
            <w:pPr>
              <w:kinsoku w:val="0"/>
              <w:overflowPunct w:val="0"/>
              <w:autoSpaceDE w:val="0"/>
              <w:autoSpaceDN w:val="0"/>
              <w:adjustRightInd w:val="0"/>
              <w:jc w:val="center"/>
              <w:rPr>
                <w:sz w:val="21"/>
                <w:szCs w:val="21"/>
                <w:highlight w:val="none"/>
              </w:rPr>
            </w:pPr>
            <w:r>
              <w:rPr>
                <w:sz w:val="21"/>
                <w:szCs w:val="21"/>
                <w:highlight w:val="none"/>
              </w:rPr>
              <w:t>414</w:t>
            </w:r>
          </w:p>
        </w:tc>
        <w:tc>
          <w:tcPr>
            <w:tcW w:w="566" w:type="pct"/>
            <w:noWrap w:val="0"/>
            <w:vAlign w:val="center"/>
          </w:tcPr>
          <w:p w14:paraId="666FAEAE">
            <w:pPr>
              <w:kinsoku w:val="0"/>
              <w:overflowPunct w:val="0"/>
              <w:autoSpaceDE w:val="0"/>
              <w:autoSpaceDN w:val="0"/>
              <w:adjustRightInd w:val="0"/>
              <w:jc w:val="center"/>
              <w:rPr>
                <w:sz w:val="21"/>
                <w:szCs w:val="21"/>
                <w:highlight w:val="none"/>
              </w:rPr>
            </w:pPr>
            <w:r>
              <w:rPr>
                <w:sz w:val="21"/>
                <w:szCs w:val="21"/>
                <w:highlight w:val="none"/>
              </w:rPr>
              <w:t>/</w:t>
            </w:r>
          </w:p>
        </w:tc>
      </w:tr>
      <w:tr w14:paraId="1B48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exact"/>
          <w:jc w:val="center"/>
        </w:trPr>
        <w:tc>
          <w:tcPr>
            <w:tcW w:w="816" w:type="pct"/>
            <w:noWrap w:val="0"/>
            <w:vAlign w:val="center"/>
          </w:tcPr>
          <w:p w14:paraId="043570FC">
            <w:pPr>
              <w:kinsoku w:val="0"/>
              <w:overflowPunct w:val="0"/>
              <w:autoSpaceDE w:val="0"/>
              <w:autoSpaceDN w:val="0"/>
              <w:adjustRightInd w:val="0"/>
              <w:jc w:val="center"/>
              <w:rPr>
                <w:sz w:val="21"/>
                <w:szCs w:val="21"/>
                <w:highlight w:val="none"/>
              </w:rPr>
            </w:pPr>
            <w:r>
              <w:rPr>
                <w:sz w:val="21"/>
                <w:szCs w:val="21"/>
                <w:highlight w:val="none"/>
              </w:rPr>
              <w:t>全盐量</w:t>
            </w:r>
          </w:p>
        </w:tc>
        <w:tc>
          <w:tcPr>
            <w:tcW w:w="519" w:type="pct"/>
            <w:noWrap w:val="0"/>
            <w:vAlign w:val="center"/>
          </w:tcPr>
          <w:p w14:paraId="0ED2B9F8">
            <w:pPr>
              <w:kinsoku w:val="0"/>
              <w:overflowPunct w:val="0"/>
              <w:autoSpaceDE w:val="0"/>
              <w:autoSpaceDN w:val="0"/>
              <w:adjustRightInd w:val="0"/>
              <w:jc w:val="center"/>
              <w:rPr>
                <w:sz w:val="21"/>
                <w:szCs w:val="21"/>
                <w:highlight w:val="none"/>
              </w:rPr>
            </w:pPr>
            <w:r>
              <w:rPr>
                <w:sz w:val="21"/>
                <w:szCs w:val="21"/>
                <w:highlight w:val="none"/>
              </w:rPr>
              <w:t>335</w:t>
            </w:r>
          </w:p>
        </w:tc>
        <w:tc>
          <w:tcPr>
            <w:tcW w:w="498" w:type="pct"/>
            <w:noWrap w:val="0"/>
            <w:vAlign w:val="center"/>
          </w:tcPr>
          <w:p w14:paraId="2DD47A0F">
            <w:pPr>
              <w:kinsoku w:val="0"/>
              <w:overflowPunct w:val="0"/>
              <w:autoSpaceDE w:val="0"/>
              <w:autoSpaceDN w:val="0"/>
              <w:adjustRightInd w:val="0"/>
              <w:jc w:val="center"/>
              <w:rPr>
                <w:sz w:val="21"/>
                <w:szCs w:val="21"/>
                <w:highlight w:val="none"/>
              </w:rPr>
            </w:pPr>
            <w:r>
              <w:rPr>
                <w:sz w:val="21"/>
                <w:szCs w:val="21"/>
                <w:highlight w:val="none"/>
              </w:rPr>
              <w:t>350</w:t>
            </w:r>
          </w:p>
        </w:tc>
        <w:tc>
          <w:tcPr>
            <w:tcW w:w="407" w:type="pct"/>
            <w:noWrap w:val="0"/>
            <w:vAlign w:val="center"/>
          </w:tcPr>
          <w:p w14:paraId="341B2755">
            <w:pPr>
              <w:kinsoku w:val="0"/>
              <w:overflowPunct w:val="0"/>
              <w:autoSpaceDE w:val="0"/>
              <w:autoSpaceDN w:val="0"/>
              <w:adjustRightInd w:val="0"/>
              <w:jc w:val="center"/>
              <w:rPr>
                <w:sz w:val="21"/>
                <w:szCs w:val="21"/>
                <w:highlight w:val="none"/>
              </w:rPr>
            </w:pPr>
            <w:r>
              <w:rPr>
                <w:sz w:val="21"/>
                <w:szCs w:val="21"/>
                <w:highlight w:val="none"/>
              </w:rPr>
              <w:t>348</w:t>
            </w:r>
          </w:p>
        </w:tc>
        <w:tc>
          <w:tcPr>
            <w:tcW w:w="481" w:type="pct"/>
            <w:noWrap w:val="0"/>
            <w:vAlign w:val="center"/>
          </w:tcPr>
          <w:p w14:paraId="183D1BCA">
            <w:pPr>
              <w:kinsoku w:val="0"/>
              <w:overflowPunct w:val="0"/>
              <w:autoSpaceDE w:val="0"/>
              <w:autoSpaceDN w:val="0"/>
              <w:adjustRightInd w:val="0"/>
              <w:jc w:val="center"/>
              <w:rPr>
                <w:sz w:val="21"/>
                <w:szCs w:val="21"/>
                <w:highlight w:val="none"/>
              </w:rPr>
            </w:pPr>
            <w:r>
              <w:rPr>
                <w:sz w:val="21"/>
                <w:szCs w:val="21"/>
                <w:highlight w:val="none"/>
              </w:rPr>
              <w:t>393</w:t>
            </w:r>
          </w:p>
        </w:tc>
        <w:tc>
          <w:tcPr>
            <w:tcW w:w="427" w:type="pct"/>
            <w:noWrap w:val="0"/>
            <w:vAlign w:val="center"/>
          </w:tcPr>
          <w:p w14:paraId="059B1E57">
            <w:pPr>
              <w:kinsoku w:val="0"/>
              <w:overflowPunct w:val="0"/>
              <w:autoSpaceDE w:val="0"/>
              <w:autoSpaceDN w:val="0"/>
              <w:adjustRightInd w:val="0"/>
              <w:jc w:val="center"/>
              <w:rPr>
                <w:sz w:val="21"/>
                <w:szCs w:val="21"/>
                <w:highlight w:val="none"/>
              </w:rPr>
            </w:pPr>
            <w:r>
              <w:rPr>
                <w:sz w:val="21"/>
                <w:szCs w:val="21"/>
                <w:highlight w:val="none"/>
              </w:rPr>
              <w:t>3</w:t>
            </w:r>
            <w:r>
              <w:rPr>
                <w:spacing w:val="-5"/>
                <w:sz w:val="21"/>
                <w:szCs w:val="21"/>
                <w:highlight w:val="none"/>
              </w:rPr>
              <w:t>1</w:t>
            </w:r>
            <w:r>
              <w:rPr>
                <w:sz w:val="21"/>
                <w:szCs w:val="21"/>
                <w:highlight w:val="none"/>
              </w:rPr>
              <w:t>1</w:t>
            </w:r>
          </w:p>
        </w:tc>
        <w:tc>
          <w:tcPr>
            <w:tcW w:w="372" w:type="pct"/>
            <w:noWrap w:val="0"/>
            <w:vAlign w:val="center"/>
          </w:tcPr>
          <w:p w14:paraId="4D9E225A">
            <w:pPr>
              <w:kinsoku w:val="0"/>
              <w:overflowPunct w:val="0"/>
              <w:autoSpaceDE w:val="0"/>
              <w:autoSpaceDN w:val="0"/>
              <w:adjustRightInd w:val="0"/>
              <w:jc w:val="center"/>
              <w:rPr>
                <w:sz w:val="21"/>
                <w:szCs w:val="21"/>
                <w:highlight w:val="none"/>
              </w:rPr>
            </w:pPr>
            <w:r>
              <w:rPr>
                <w:sz w:val="21"/>
                <w:szCs w:val="21"/>
                <w:highlight w:val="none"/>
              </w:rPr>
              <w:t>328</w:t>
            </w:r>
          </w:p>
        </w:tc>
        <w:tc>
          <w:tcPr>
            <w:tcW w:w="481" w:type="pct"/>
            <w:noWrap w:val="0"/>
            <w:vAlign w:val="center"/>
          </w:tcPr>
          <w:p w14:paraId="5A7986BF">
            <w:pPr>
              <w:kinsoku w:val="0"/>
              <w:overflowPunct w:val="0"/>
              <w:autoSpaceDE w:val="0"/>
              <w:autoSpaceDN w:val="0"/>
              <w:adjustRightInd w:val="0"/>
              <w:jc w:val="center"/>
              <w:rPr>
                <w:sz w:val="21"/>
                <w:szCs w:val="21"/>
                <w:highlight w:val="none"/>
              </w:rPr>
            </w:pPr>
            <w:r>
              <w:rPr>
                <w:sz w:val="21"/>
                <w:szCs w:val="21"/>
                <w:highlight w:val="none"/>
              </w:rPr>
              <w:t>399</w:t>
            </w:r>
          </w:p>
        </w:tc>
        <w:tc>
          <w:tcPr>
            <w:tcW w:w="427" w:type="pct"/>
            <w:noWrap w:val="0"/>
            <w:vAlign w:val="center"/>
          </w:tcPr>
          <w:p w14:paraId="21A7F13E">
            <w:pPr>
              <w:kinsoku w:val="0"/>
              <w:overflowPunct w:val="0"/>
              <w:autoSpaceDE w:val="0"/>
              <w:autoSpaceDN w:val="0"/>
              <w:adjustRightInd w:val="0"/>
              <w:jc w:val="center"/>
              <w:rPr>
                <w:sz w:val="21"/>
                <w:szCs w:val="21"/>
                <w:highlight w:val="none"/>
              </w:rPr>
            </w:pPr>
            <w:r>
              <w:rPr>
                <w:sz w:val="21"/>
                <w:szCs w:val="21"/>
                <w:highlight w:val="none"/>
              </w:rPr>
              <w:t>336</w:t>
            </w:r>
          </w:p>
        </w:tc>
        <w:tc>
          <w:tcPr>
            <w:tcW w:w="566" w:type="pct"/>
            <w:noWrap w:val="0"/>
            <w:vAlign w:val="center"/>
          </w:tcPr>
          <w:p w14:paraId="17D8051A">
            <w:pPr>
              <w:kinsoku w:val="0"/>
              <w:overflowPunct w:val="0"/>
              <w:autoSpaceDE w:val="0"/>
              <w:autoSpaceDN w:val="0"/>
              <w:adjustRightInd w:val="0"/>
              <w:jc w:val="center"/>
              <w:rPr>
                <w:sz w:val="21"/>
                <w:szCs w:val="21"/>
                <w:highlight w:val="none"/>
              </w:rPr>
            </w:pPr>
            <w:r>
              <w:rPr>
                <w:sz w:val="21"/>
                <w:szCs w:val="21"/>
                <w:highlight w:val="none"/>
              </w:rPr>
              <w:t>/</w:t>
            </w:r>
          </w:p>
        </w:tc>
      </w:tr>
    </w:tbl>
    <w:p w14:paraId="5C45F580">
      <w:pPr>
        <w:widowControl/>
        <w:snapToGrid w:val="0"/>
        <w:jc w:val="center"/>
        <w:rPr>
          <w:szCs w:val="21"/>
          <w:highlight w:val="none"/>
        </w:rPr>
      </w:pPr>
      <w:r>
        <w:rPr>
          <w:b/>
          <w:bCs/>
          <w:szCs w:val="21"/>
          <w:highlight w:val="none"/>
        </w:rPr>
        <w:t>表</w:t>
      </w:r>
      <w:r>
        <w:rPr>
          <w:rFonts w:hint="eastAsia"/>
          <w:b/>
          <w:bCs/>
          <w:szCs w:val="21"/>
          <w:highlight w:val="none"/>
          <w:lang w:val="en-US" w:eastAsia="zh-CN"/>
        </w:rPr>
        <w:t xml:space="preserve">3-8   </w:t>
      </w:r>
      <w:r>
        <w:rPr>
          <w:b/>
          <w:bCs/>
          <w:szCs w:val="21"/>
          <w:highlight w:val="none"/>
        </w:rPr>
        <w:t>回用单元回用（清净废水处理）出口回用水水质监测结果（</w:t>
      </w:r>
      <w:r>
        <w:rPr>
          <w:b/>
          <w:bCs/>
          <w:spacing w:val="-2"/>
          <w:szCs w:val="21"/>
          <w:highlight w:val="none"/>
        </w:rPr>
        <w:t>mg</w:t>
      </w:r>
      <w:r>
        <w:rPr>
          <w:b/>
          <w:bCs/>
          <w:spacing w:val="2"/>
          <w:szCs w:val="21"/>
          <w:highlight w:val="none"/>
        </w:rPr>
        <w:t>/L</w:t>
      </w:r>
      <w:r>
        <w:rPr>
          <w:b/>
          <w:bCs/>
          <w:spacing w:val="-1"/>
          <w:szCs w:val="21"/>
          <w:highlight w:val="none"/>
        </w:rPr>
        <w:t>，</w:t>
      </w:r>
      <w:r>
        <w:rPr>
          <w:b/>
          <w:bCs/>
          <w:spacing w:val="2"/>
          <w:szCs w:val="21"/>
          <w:highlight w:val="none"/>
        </w:rPr>
        <w:t>特</w:t>
      </w:r>
      <w:r>
        <w:rPr>
          <w:b/>
          <w:bCs/>
          <w:spacing w:val="-1"/>
          <w:szCs w:val="21"/>
          <w:highlight w:val="none"/>
        </w:rPr>
        <w:t>殊</w:t>
      </w:r>
      <w:r>
        <w:rPr>
          <w:b/>
          <w:bCs/>
          <w:spacing w:val="2"/>
          <w:szCs w:val="21"/>
          <w:highlight w:val="none"/>
        </w:rPr>
        <w:t>项</w:t>
      </w:r>
      <w:r>
        <w:rPr>
          <w:b/>
          <w:bCs/>
          <w:spacing w:val="-1"/>
          <w:szCs w:val="21"/>
          <w:highlight w:val="none"/>
        </w:rPr>
        <w:t>目</w:t>
      </w:r>
      <w:r>
        <w:rPr>
          <w:b/>
          <w:bCs/>
          <w:spacing w:val="2"/>
          <w:szCs w:val="21"/>
          <w:highlight w:val="none"/>
        </w:rPr>
        <w:t>除</w:t>
      </w:r>
      <w:r>
        <w:rPr>
          <w:b/>
          <w:bCs/>
          <w:spacing w:val="-1"/>
          <w:szCs w:val="21"/>
          <w:highlight w:val="none"/>
        </w:rPr>
        <w:t>外</w:t>
      </w:r>
      <w:r>
        <w:rPr>
          <w:b/>
          <w:bCs/>
          <w:szCs w:val="21"/>
          <w:highlight w:val="none"/>
        </w:rPr>
        <w:t>）</w:t>
      </w:r>
    </w:p>
    <w:tbl>
      <w:tblPr>
        <w:tblStyle w:val="19"/>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03"/>
        <w:gridCol w:w="1100"/>
        <w:gridCol w:w="1150"/>
        <w:gridCol w:w="1150"/>
        <w:gridCol w:w="1298"/>
        <w:gridCol w:w="1150"/>
        <w:gridCol w:w="1298"/>
        <w:gridCol w:w="1150"/>
        <w:gridCol w:w="1441"/>
        <w:gridCol w:w="1249"/>
      </w:tblGrid>
      <w:tr w14:paraId="6500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exact"/>
          <w:jc w:val="center"/>
        </w:trPr>
        <w:tc>
          <w:tcPr>
            <w:tcW w:w="928" w:type="pct"/>
            <w:vMerge w:val="restart"/>
            <w:noWrap w:val="0"/>
            <w:vAlign w:val="center"/>
          </w:tcPr>
          <w:p w14:paraId="1A8E2390">
            <w:pPr>
              <w:kinsoku w:val="0"/>
              <w:overflowPunct w:val="0"/>
              <w:autoSpaceDE w:val="0"/>
              <w:autoSpaceDN w:val="0"/>
              <w:adjustRightInd w:val="0"/>
              <w:jc w:val="center"/>
              <w:rPr>
                <w:sz w:val="21"/>
                <w:szCs w:val="21"/>
                <w:highlight w:val="none"/>
              </w:rPr>
            </w:pPr>
            <w:r>
              <w:rPr>
                <w:spacing w:val="-1"/>
                <w:sz w:val="21"/>
                <w:szCs w:val="21"/>
                <w:highlight w:val="none"/>
              </w:rPr>
              <w:t>检</w:t>
            </w:r>
            <w:r>
              <w:rPr>
                <w:spacing w:val="2"/>
                <w:sz w:val="21"/>
                <w:szCs w:val="21"/>
                <w:highlight w:val="none"/>
              </w:rPr>
              <w:t>测</w:t>
            </w:r>
            <w:r>
              <w:rPr>
                <w:spacing w:val="-1"/>
                <w:sz w:val="21"/>
                <w:szCs w:val="21"/>
                <w:highlight w:val="none"/>
              </w:rPr>
              <w:t>因</w:t>
            </w:r>
            <w:r>
              <w:rPr>
                <w:sz w:val="21"/>
                <w:szCs w:val="21"/>
                <w:highlight w:val="none"/>
              </w:rPr>
              <w:t>子</w:t>
            </w:r>
          </w:p>
        </w:tc>
        <w:tc>
          <w:tcPr>
            <w:tcW w:w="4071" w:type="pct"/>
            <w:gridSpan w:val="9"/>
            <w:noWrap w:val="0"/>
            <w:vAlign w:val="center"/>
          </w:tcPr>
          <w:p w14:paraId="2834E7EF">
            <w:pPr>
              <w:kinsoku w:val="0"/>
              <w:overflowPunct w:val="0"/>
              <w:autoSpaceDE w:val="0"/>
              <w:autoSpaceDN w:val="0"/>
              <w:adjustRightInd w:val="0"/>
              <w:jc w:val="center"/>
              <w:rPr>
                <w:sz w:val="21"/>
                <w:szCs w:val="21"/>
                <w:highlight w:val="none"/>
              </w:rPr>
            </w:pPr>
            <w:r>
              <w:rPr>
                <w:rFonts w:hint="eastAsia"/>
                <w:spacing w:val="-1"/>
                <w:sz w:val="21"/>
                <w:szCs w:val="21"/>
                <w:highlight w:val="none"/>
                <w:lang w:eastAsia="zh-CN"/>
              </w:rPr>
              <w:t>监测</w:t>
            </w:r>
            <w:r>
              <w:rPr>
                <w:spacing w:val="-1"/>
                <w:sz w:val="21"/>
                <w:szCs w:val="21"/>
                <w:highlight w:val="none"/>
              </w:rPr>
              <w:t>点</w:t>
            </w:r>
            <w:r>
              <w:rPr>
                <w:sz w:val="21"/>
                <w:szCs w:val="21"/>
                <w:highlight w:val="none"/>
              </w:rPr>
              <w:t>位</w:t>
            </w:r>
          </w:p>
        </w:tc>
      </w:tr>
      <w:tr w14:paraId="2B59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vMerge w:val="continue"/>
            <w:noWrap w:val="0"/>
            <w:vAlign w:val="center"/>
          </w:tcPr>
          <w:p w14:paraId="54881017">
            <w:pPr>
              <w:kinsoku w:val="0"/>
              <w:overflowPunct w:val="0"/>
              <w:autoSpaceDE w:val="0"/>
              <w:autoSpaceDN w:val="0"/>
              <w:adjustRightInd w:val="0"/>
              <w:jc w:val="center"/>
              <w:rPr>
                <w:sz w:val="21"/>
                <w:szCs w:val="21"/>
                <w:highlight w:val="none"/>
              </w:rPr>
            </w:pPr>
          </w:p>
        </w:tc>
        <w:tc>
          <w:tcPr>
            <w:tcW w:w="4071" w:type="pct"/>
            <w:gridSpan w:val="9"/>
            <w:noWrap w:val="0"/>
            <w:vAlign w:val="center"/>
          </w:tcPr>
          <w:p w14:paraId="7BE20AB2">
            <w:pPr>
              <w:kinsoku w:val="0"/>
              <w:overflowPunct w:val="0"/>
              <w:autoSpaceDE w:val="0"/>
              <w:autoSpaceDN w:val="0"/>
              <w:adjustRightInd w:val="0"/>
              <w:jc w:val="center"/>
              <w:rPr>
                <w:sz w:val="21"/>
                <w:szCs w:val="21"/>
                <w:highlight w:val="none"/>
              </w:rPr>
            </w:pPr>
            <w:r>
              <w:rPr>
                <w:sz w:val="21"/>
                <w:szCs w:val="21"/>
                <w:highlight w:val="none"/>
              </w:rPr>
              <w:t>废水处理系统及回用单元回用工序2</w:t>
            </w:r>
          </w:p>
        </w:tc>
      </w:tr>
      <w:tr w14:paraId="5255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exact"/>
          <w:jc w:val="center"/>
        </w:trPr>
        <w:tc>
          <w:tcPr>
            <w:tcW w:w="928" w:type="pct"/>
            <w:vMerge w:val="continue"/>
            <w:noWrap w:val="0"/>
            <w:vAlign w:val="center"/>
          </w:tcPr>
          <w:p w14:paraId="616C5A56">
            <w:pPr>
              <w:kinsoku w:val="0"/>
              <w:overflowPunct w:val="0"/>
              <w:autoSpaceDE w:val="0"/>
              <w:autoSpaceDN w:val="0"/>
              <w:adjustRightInd w:val="0"/>
              <w:jc w:val="center"/>
              <w:rPr>
                <w:sz w:val="21"/>
                <w:szCs w:val="21"/>
                <w:highlight w:val="none"/>
              </w:rPr>
            </w:pPr>
          </w:p>
        </w:tc>
        <w:tc>
          <w:tcPr>
            <w:tcW w:w="408" w:type="pct"/>
            <w:noWrap w:val="0"/>
            <w:vAlign w:val="center"/>
          </w:tcPr>
          <w:p w14:paraId="179F87F5">
            <w:pPr>
              <w:kinsoku w:val="0"/>
              <w:overflowPunct w:val="0"/>
              <w:autoSpaceDE w:val="0"/>
              <w:autoSpaceDN w:val="0"/>
              <w:adjustRightInd w:val="0"/>
              <w:jc w:val="center"/>
              <w:rPr>
                <w:sz w:val="21"/>
                <w:szCs w:val="21"/>
                <w:highlight w:val="none"/>
              </w:rPr>
            </w:pPr>
            <w:r>
              <w:rPr>
                <w:sz w:val="21"/>
                <w:szCs w:val="21"/>
                <w:highlight w:val="none"/>
              </w:rPr>
              <w:t>第1次</w:t>
            </w:r>
          </w:p>
        </w:tc>
        <w:tc>
          <w:tcPr>
            <w:tcW w:w="426" w:type="pct"/>
            <w:noWrap w:val="0"/>
            <w:vAlign w:val="center"/>
          </w:tcPr>
          <w:p w14:paraId="39051AB3">
            <w:pPr>
              <w:kinsoku w:val="0"/>
              <w:overflowPunct w:val="0"/>
              <w:autoSpaceDE w:val="0"/>
              <w:autoSpaceDN w:val="0"/>
              <w:adjustRightInd w:val="0"/>
              <w:jc w:val="center"/>
              <w:rPr>
                <w:sz w:val="21"/>
                <w:szCs w:val="21"/>
                <w:highlight w:val="none"/>
              </w:rPr>
            </w:pPr>
            <w:r>
              <w:rPr>
                <w:sz w:val="21"/>
                <w:szCs w:val="21"/>
                <w:highlight w:val="none"/>
              </w:rPr>
              <w:t>第2次</w:t>
            </w:r>
          </w:p>
        </w:tc>
        <w:tc>
          <w:tcPr>
            <w:tcW w:w="426" w:type="pct"/>
            <w:noWrap w:val="0"/>
            <w:vAlign w:val="center"/>
          </w:tcPr>
          <w:p w14:paraId="79FBE432">
            <w:pPr>
              <w:kinsoku w:val="0"/>
              <w:overflowPunct w:val="0"/>
              <w:autoSpaceDE w:val="0"/>
              <w:autoSpaceDN w:val="0"/>
              <w:adjustRightInd w:val="0"/>
              <w:jc w:val="center"/>
              <w:rPr>
                <w:sz w:val="21"/>
                <w:szCs w:val="21"/>
                <w:highlight w:val="none"/>
              </w:rPr>
            </w:pPr>
            <w:r>
              <w:rPr>
                <w:sz w:val="21"/>
                <w:szCs w:val="21"/>
                <w:highlight w:val="none"/>
              </w:rPr>
              <w:t>第3次</w:t>
            </w:r>
          </w:p>
        </w:tc>
        <w:tc>
          <w:tcPr>
            <w:tcW w:w="481" w:type="pct"/>
            <w:noWrap w:val="0"/>
            <w:vAlign w:val="center"/>
          </w:tcPr>
          <w:p w14:paraId="4B50799B">
            <w:pPr>
              <w:kinsoku w:val="0"/>
              <w:overflowPunct w:val="0"/>
              <w:autoSpaceDE w:val="0"/>
              <w:autoSpaceDN w:val="0"/>
              <w:adjustRightInd w:val="0"/>
              <w:jc w:val="center"/>
              <w:rPr>
                <w:sz w:val="21"/>
                <w:szCs w:val="21"/>
                <w:highlight w:val="none"/>
              </w:rPr>
            </w:pPr>
            <w:r>
              <w:rPr>
                <w:sz w:val="21"/>
                <w:szCs w:val="21"/>
                <w:highlight w:val="none"/>
              </w:rPr>
              <w:t>第4次</w:t>
            </w:r>
          </w:p>
        </w:tc>
        <w:tc>
          <w:tcPr>
            <w:tcW w:w="426" w:type="pct"/>
            <w:noWrap w:val="0"/>
            <w:vAlign w:val="center"/>
          </w:tcPr>
          <w:p w14:paraId="15C78D06">
            <w:pPr>
              <w:kinsoku w:val="0"/>
              <w:overflowPunct w:val="0"/>
              <w:autoSpaceDE w:val="0"/>
              <w:autoSpaceDN w:val="0"/>
              <w:adjustRightInd w:val="0"/>
              <w:jc w:val="center"/>
              <w:rPr>
                <w:sz w:val="21"/>
                <w:szCs w:val="21"/>
                <w:highlight w:val="none"/>
              </w:rPr>
            </w:pPr>
            <w:r>
              <w:rPr>
                <w:sz w:val="21"/>
                <w:szCs w:val="21"/>
                <w:highlight w:val="none"/>
              </w:rPr>
              <w:t>第1次</w:t>
            </w:r>
          </w:p>
        </w:tc>
        <w:tc>
          <w:tcPr>
            <w:tcW w:w="481" w:type="pct"/>
            <w:noWrap w:val="0"/>
            <w:vAlign w:val="center"/>
          </w:tcPr>
          <w:p w14:paraId="5C656DD1">
            <w:pPr>
              <w:kinsoku w:val="0"/>
              <w:overflowPunct w:val="0"/>
              <w:autoSpaceDE w:val="0"/>
              <w:autoSpaceDN w:val="0"/>
              <w:adjustRightInd w:val="0"/>
              <w:jc w:val="center"/>
              <w:rPr>
                <w:sz w:val="21"/>
                <w:szCs w:val="21"/>
                <w:highlight w:val="none"/>
              </w:rPr>
            </w:pPr>
            <w:r>
              <w:rPr>
                <w:sz w:val="21"/>
                <w:szCs w:val="21"/>
                <w:highlight w:val="none"/>
              </w:rPr>
              <w:t>第2次</w:t>
            </w:r>
          </w:p>
        </w:tc>
        <w:tc>
          <w:tcPr>
            <w:tcW w:w="426" w:type="pct"/>
            <w:noWrap w:val="0"/>
            <w:vAlign w:val="center"/>
          </w:tcPr>
          <w:p w14:paraId="591E52EE">
            <w:pPr>
              <w:kinsoku w:val="0"/>
              <w:overflowPunct w:val="0"/>
              <w:autoSpaceDE w:val="0"/>
              <w:autoSpaceDN w:val="0"/>
              <w:adjustRightInd w:val="0"/>
              <w:jc w:val="center"/>
              <w:rPr>
                <w:sz w:val="21"/>
                <w:szCs w:val="21"/>
                <w:highlight w:val="none"/>
              </w:rPr>
            </w:pPr>
            <w:r>
              <w:rPr>
                <w:sz w:val="21"/>
                <w:szCs w:val="21"/>
                <w:highlight w:val="none"/>
              </w:rPr>
              <w:t>第3次</w:t>
            </w:r>
          </w:p>
        </w:tc>
        <w:tc>
          <w:tcPr>
            <w:tcW w:w="534" w:type="pct"/>
            <w:noWrap w:val="0"/>
            <w:vAlign w:val="center"/>
          </w:tcPr>
          <w:p w14:paraId="4169E51A">
            <w:pPr>
              <w:kinsoku w:val="0"/>
              <w:overflowPunct w:val="0"/>
              <w:autoSpaceDE w:val="0"/>
              <w:autoSpaceDN w:val="0"/>
              <w:adjustRightInd w:val="0"/>
              <w:jc w:val="center"/>
              <w:rPr>
                <w:sz w:val="21"/>
                <w:szCs w:val="21"/>
                <w:highlight w:val="none"/>
              </w:rPr>
            </w:pPr>
            <w:r>
              <w:rPr>
                <w:sz w:val="21"/>
                <w:szCs w:val="21"/>
                <w:highlight w:val="none"/>
              </w:rPr>
              <w:t>第4次</w:t>
            </w:r>
          </w:p>
        </w:tc>
        <w:tc>
          <w:tcPr>
            <w:tcW w:w="459" w:type="pct"/>
            <w:noWrap w:val="0"/>
            <w:vAlign w:val="center"/>
          </w:tcPr>
          <w:p w14:paraId="57DB8639">
            <w:pPr>
              <w:kinsoku w:val="0"/>
              <w:overflowPunct w:val="0"/>
              <w:autoSpaceDE w:val="0"/>
              <w:autoSpaceDN w:val="0"/>
              <w:adjustRightInd w:val="0"/>
              <w:jc w:val="center"/>
              <w:rPr>
                <w:sz w:val="21"/>
                <w:szCs w:val="21"/>
                <w:highlight w:val="none"/>
              </w:rPr>
            </w:pPr>
            <w:r>
              <w:rPr>
                <w:sz w:val="21"/>
                <w:szCs w:val="21"/>
                <w:highlight w:val="none"/>
              </w:rPr>
              <w:t>标准值</w:t>
            </w:r>
          </w:p>
        </w:tc>
      </w:tr>
      <w:tr w14:paraId="6F5C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50847EA7">
            <w:pPr>
              <w:kinsoku w:val="0"/>
              <w:overflowPunct w:val="0"/>
              <w:autoSpaceDE w:val="0"/>
              <w:autoSpaceDN w:val="0"/>
              <w:adjustRightInd w:val="0"/>
              <w:jc w:val="center"/>
              <w:rPr>
                <w:sz w:val="21"/>
                <w:szCs w:val="21"/>
                <w:highlight w:val="none"/>
              </w:rPr>
            </w:pPr>
            <w:r>
              <w:rPr>
                <w:sz w:val="21"/>
                <w:szCs w:val="21"/>
                <w:highlight w:val="none"/>
              </w:rPr>
              <w:t>p</w:t>
            </w:r>
            <w:r>
              <w:rPr>
                <w:spacing w:val="-1"/>
                <w:sz w:val="21"/>
                <w:szCs w:val="21"/>
                <w:highlight w:val="none"/>
              </w:rPr>
              <w:t>H</w:t>
            </w:r>
            <w:r>
              <w:rPr>
                <w:rFonts w:hint="eastAsia"/>
                <w:spacing w:val="1"/>
                <w:sz w:val="21"/>
                <w:szCs w:val="21"/>
                <w:highlight w:val="none"/>
                <w:lang w:eastAsia="zh-CN"/>
              </w:rPr>
              <w:t>（</w:t>
            </w:r>
            <w:r>
              <w:rPr>
                <w:sz w:val="21"/>
                <w:szCs w:val="21"/>
                <w:highlight w:val="none"/>
              </w:rPr>
              <w:t>无量纲</w:t>
            </w:r>
            <w:r>
              <w:rPr>
                <w:rFonts w:hint="eastAsia"/>
                <w:spacing w:val="1"/>
                <w:sz w:val="21"/>
                <w:szCs w:val="21"/>
                <w:highlight w:val="none"/>
                <w:lang w:eastAsia="zh-CN"/>
              </w:rPr>
              <w:t>）</w:t>
            </w:r>
          </w:p>
        </w:tc>
        <w:tc>
          <w:tcPr>
            <w:tcW w:w="408" w:type="pct"/>
            <w:noWrap w:val="0"/>
            <w:vAlign w:val="center"/>
          </w:tcPr>
          <w:p w14:paraId="61A4A1AA">
            <w:pPr>
              <w:kinsoku w:val="0"/>
              <w:overflowPunct w:val="0"/>
              <w:autoSpaceDE w:val="0"/>
              <w:autoSpaceDN w:val="0"/>
              <w:adjustRightInd w:val="0"/>
              <w:jc w:val="center"/>
              <w:rPr>
                <w:sz w:val="21"/>
                <w:szCs w:val="21"/>
                <w:highlight w:val="none"/>
              </w:rPr>
            </w:pPr>
            <w:r>
              <w:rPr>
                <w:spacing w:val="1"/>
                <w:sz w:val="21"/>
                <w:szCs w:val="21"/>
                <w:highlight w:val="none"/>
              </w:rPr>
              <w:t>6</w:t>
            </w:r>
            <w:r>
              <w:rPr>
                <w:sz w:val="21"/>
                <w:szCs w:val="21"/>
                <w:highlight w:val="none"/>
              </w:rPr>
              <w:t>.</w:t>
            </w:r>
            <w:r>
              <w:rPr>
                <w:spacing w:val="1"/>
                <w:sz w:val="21"/>
                <w:szCs w:val="21"/>
                <w:highlight w:val="none"/>
              </w:rPr>
              <w:t>5</w:t>
            </w:r>
            <w:r>
              <w:rPr>
                <w:sz w:val="21"/>
                <w:szCs w:val="21"/>
                <w:highlight w:val="none"/>
              </w:rPr>
              <w:t>3</w:t>
            </w:r>
          </w:p>
        </w:tc>
        <w:tc>
          <w:tcPr>
            <w:tcW w:w="426" w:type="pct"/>
            <w:noWrap w:val="0"/>
            <w:vAlign w:val="center"/>
          </w:tcPr>
          <w:p w14:paraId="18558D6A">
            <w:pPr>
              <w:kinsoku w:val="0"/>
              <w:overflowPunct w:val="0"/>
              <w:autoSpaceDE w:val="0"/>
              <w:autoSpaceDN w:val="0"/>
              <w:adjustRightInd w:val="0"/>
              <w:jc w:val="center"/>
              <w:rPr>
                <w:sz w:val="21"/>
                <w:szCs w:val="21"/>
                <w:highlight w:val="none"/>
              </w:rPr>
            </w:pPr>
            <w:r>
              <w:rPr>
                <w:spacing w:val="1"/>
                <w:sz w:val="21"/>
                <w:szCs w:val="21"/>
                <w:highlight w:val="none"/>
              </w:rPr>
              <w:t>6</w:t>
            </w:r>
            <w:r>
              <w:rPr>
                <w:sz w:val="21"/>
                <w:szCs w:val="21"/>
                <w:highlight w:val="none"/>
              </w:rPr>
              <w:t>.</w:t>
            </w:r>
            <w:r>
              <w:rPr>
                <w:spacing w:val="1"/>
                <w:sz w:val="21"/>
                <w:szCs w:val="21"/>
                <w:highlight w:val="none"/>
              </w:rPr>
              <w:t>6</w:t>
            </w:r>
            <w:r>
              <w:rPr>
                <w:sz w:val="21"/>
                <w:szCs w:val="21"/>
                <w:highlight w:val="none"/>
              </w:rPr>
              <w:t>4</w:t>
            </w:r>
          </w:p>
        </w:tc>
        <w:tc>
          <w:tcPr>
            <w:tcW w:w="426" w:type="pct"/>
            <w:noWrap w:val="0"/>
            <w:vAlign w:val="center"/>
          </w:tcPr>
          <w:p w14:paraId="77390CE8">
            <w:pPr>
              <w:kinsoku w:val="0"/>
              <w:overflowPunct w:val="0"/>
              <w:autoSpaceDE w:val="0"/>
              <w:autoSpaceDN w:val="0"/>
              <w:adjustRightInd w:val="0"/>
              <w:jc w:val="center"/>
              <w:rPr>
                <w:sz w:val="21"/>
                <w:szCs w:val="21"/>
                <w:highlight w:val="none"/>
              </w:rPr>
            </w:pPr>
            <w:r>
              <w:rPr>
                <w:sz w:val="21"/>
                <w:szCs w:val="21"/>
                <w:highlight w:val="none"/>
              </w:rPr>
              <w:t>7.31</w:t>
            </w:r>
          </w:p>
        </w:tc>
        <w:tc>
          <w:tcPr>
            <w:tcW w:w="481" w:type="pct"/>
            <w:noWrap w:val="0"/>
            <w:vAlign w:val="center"/>
          </w:tcPr>
          <w:p w14:paraId="222D7633">
            <w:pPr>
              <w:kinsoku w:val="0"/>
              <w:overflowPunct w:val="0"/>
              <w:autoSpaceDE w:val="0"/>
              <w:autoSpaceDN w:val="0"/>
              <w:adjustRightInd w:val="0"/>
              <w:jc w:val="center"/>
              <w:rPr>
                <w:sz w:val="21"/>
                <w:szCs w:val="21"/>
                <w:highlight w:val="none"/>
              </w:rPr>
            </w:pPr>
            <w:r>
              <w:rPr>
                <w:sz w:val="21"/>
                <w:szCs w:val="21"/>
                <w:highlight w:val="none"/>
              </w:rPr>
              <w:t>7.18</w:t>
            </w:r>
          </w:p>
        </w:tc>
        <w:tc>
          <w:tcPr>
            <w:tcW w:w="426" w:type="pct"/>
            <w:noWrap w:val="0"/>
            <w:vAlign w:val="center"/>
          </w:tcPr>
          <w:p w14:paraId="65907CB4">
            <w:pPr>
              <w:kinsoku w:val="0"/>
              <w:overflowPunct w:val="0"/>
              <w:autoSpaceDE w:val="0"/>
              <w:autoSpaceDN w:val="0"/>
              <w:adjustRightInd w:val="0"/>
              <w:jc w:val="center"/>
              <w:rPr>
                <w:sz w:val="21"/>
                <w:szCs w:val="21"/>
                <w:highlight w:val="none"/>
              </w:rPr>
            </w:pPr>
            <w:r>
              <w:rPr>
                <w:sz w:val="21"/>
                <w:szCs w:val="21"/>
                <w:highlight w:val="none"/>
              </w:rPr>
              <w:t>6.40</w:t>
            </w:r>
          </w:p>
        </w:tc>
        <w:tc>
          <w:tcPr>
            <w:tcW w:w="481" w:type="pct"/>
            <w:noWrap w:val="0"/>
            <w:vAlign w:val="center"/>
          </w:tcPr>
          <w:p w14:paraId="786E2E24">
            <w:pPr>
              <w:kinsoku w:val="0"/>
              <w:overflowPunct w:val="0"/>
              <w:autoSpaceDE w:val="0"/>
              <w:autoSpaceDN w:val="0"/>
              <w:adjustRightInd w:val="0"/>
              <w:jc w:val="center"/>
              <w:rPr>
                <w:sz w:val="21"/>
                <w:szCs w:val="21"/>
                <w:highlight w:val="none"/>
              </w:rPr>
            </w:pPr>
            <w:r>
              <w:rPr>
                <w:sz w:val="21"/>
                <w:szCs w:val="21"/>
                <w:highlight w:val="none"/>
              </w:rPr>
              <w:t>6.42</w:t>
            </w:r>
          </w:p>
        </w:tc>
        <w:tc>
          <w:tcPr>
            <w:tcW w:w="426" w:type="pct"/>
            <w:noWrap w:val="0"/>
            <w:vAlign w:val="center"/>
          </w:tcPr>
          <w:p w14:paraId="04994B92">
            <w:pPr>
              <w:kinsoku w:val="0"/>
              <w:overflowPunct w:val="0"/>
              <w:autoSpaceDE w:val="0"/>
              <w:autoSpaceDN w:val="0"/>
              <w:adjustRightInd w:val="0"/>
              <w:jc w:val="center"/>
              <w:rPr>
                <w:sz w:val="21"/>
                <w:szCs w:val="21"/>
                <w:highlight w:val="none"/>
              </w:rPr>
            </w:pPr>
            <w:r>
              <w:rPr>
                <w:sz w:val="21"/>
                <w:szCs w:val="21"/>
                <w:highlight w:val="none"/>
              </w:rPr>
              <w:t>6.65</w:t>
            </w:r>
          </w:p>
        </w:tc>
        <w:tc>
          <w:tcPr>
            <w:tcW w:w="534" w:type="pct"/>
            <w:noWrap w:val="0"/>
            <w:vAlign w:val="center"/>
          </w:tcPr>
          <w:p w14:paraId="3A1CC8D9">
            <w:pPr>
              <w:kinsoku w:val="0"/>
              <w:overflowPunct w:val="0"/>
              <w:autoSpaceDE w:val="0"/>
              <w:autoSpaceDN w:val="0"/>
              <w:adjustRightInd w:val="0"/>
              <w:jc w:val="center"/>
              <w:rPr>
                <w:sz w:val="21"/>
                <w:szCs w:val="21"/>
                <w:highlight w:val="none"/>
              </w:rPr>
            </w:pPr>
            <w:r>
              <w:rPr>
                <w:sz w:val="21"/>
                <w:szCs w:val="21"/>
                <w:highlight w:val="none"/>
              </w:rPr>
              <w:t>6.68</w:t>
            </w:r>
          </w:p>
        </w:tc>
        <w:tc>
          <w:tcPr>
            <w:tcW w:w="459" w:type="pct"/>
            <w:noWrap w:val="0"/>
            <w:vAlign w:val="bottom"/>
          </w:tcPr>
          <w:p w14:paraId="1C6200A1">
            <w:pPr>
              <w:kinsoku w:val="0"/>
              <w:overflowPunct w:val="0"/>
              <w:autoSpaceDE w:val="0"/>
              <w:autoSpaceDN w:val="0"/>
              <w:adjustRightInd w:val="0"/>
              <w:jc w:val="center"/>
              <w:rPr>
                <w:sz w:val="21"/>
                <w:szCs w:val="21"/>
                <w:highlight w:val="none"/>
              </w:rPr>
            </w:pPr>
            <w:r>
              <w:rPr>
                <w:sz w:val="21"/>
                <w:szCs w:val="21"/>
                <w:highlight w:val="none"/>
              </w:rPr>
              <w:t>6~9</w:t>
            </w:r>
          </w:p>
        </w:tc>
      </w:tr>
      <w:tr w14:paraId="0294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580656E0">
            <w:pPr>
              <w:kinsoku w:val="0"/>
              <w:overflowPunct w:val="0"/>
              <w:autoSpaceDE w:val="0"/>
              <w:autoSpaceDN w:val="0"/>
              <w:adjustRightInd w:val="0"/>
              <w:jc w:val="center"/>
              <w:rPr>
                <w:sz w:val="21"/>
                <w:szCs w:val="21"/>
                <w:highlight w:val="none"/>
              </w:rPr>
            </w:pPr>
            <w:r>
              <w:rPr>
                <w:spacing w:val="-1"/>
                <w:sz w:val="21"/>
                <w:szCs w:val="21"/>
                <w:highlight w:val="none"/>
              </w:rPr>
              <w:t>水</w:t>
            </w:r>
            <w:r>
              <w:rPr>
                <w:spacing w:val="2"/>
                <w:sz w:val="21"/>
                <w:szCs w:val="21"/>
                <w:highlight w:val="none"/>
              </w:rPr>
              <w:t>温（</w:t>
            </w:r>
            <w:r>
              <w:rPr>
                <w:spacing w:val="-1"/>
                <w:sz w:val="21"/>
                <w:szCs w:val="21"/>
                <w:highlight w:val="none"/>
              </w:rPr>
              <w:t>℃</w:t>
            </w:r>
            <w:r>
              <w:rPr>
                <w:sz w:val="21"/>
                <w:szCs w:val="21"/>
                <w:highlight w:val="none"/>
              </w:rPr>
              <w:t>）</w:t>
            </w:r>
          </w:p>
        </w:tc>
        <w:tc>
          <w:tcPr>
            <w:tcW w:w="408" w:type="pct"/>
            <w:noWrap w:val="0"/>
            <w:vAlign w:val="center"/>
          </w:tcPr>
          <w:p w14:paraId="4A3F838D">
            <w:pPr>
              <w:kinsoku w:val="0"/>
              <w:overflowPunct w:val="0"/>
              <w:autoSpaceDE w:val="0"/>
              <w:autoSpaceDN w:val="0"/>
              <w:adjustRightInd w:val="0"/>
              <w:jc w:val="center"/>
              <w:rPr>
                <w:sz w:val="21"/>
                <w:szCs w:val="21"/>
                <w:highlight w:val="none"/>
              </w:rPr>
            </w:pPr>
            <w:r>
              <w:rPr>
                <w:spacing w:val="1"/>
                <w:sz w:val="21"/>
                <w:szCs w:val="21"/>
                <w:highlight w:val="none"/>
              </w:rPr>
              <w:t>27</w:t>
            </w:r>
            <w:r>
              <w:rPr>
                <w:sz w:val="21"/>
                <w:szCs w:val="21"/>
                <w:highlight w:val="none"/>
              </w:rPr>
              <w:t>.4</w:t>
            </w:r>
          </w:p>
        </w:tc>
        <w:tc>
          <w:tcPr>
            <w:tcW w:w="426" w:type="pct"/>
            <w:noWrap w:val="0"/>
            <w:vAlign w:val="center"/>
          </w:tcPr>
          <w:p w14:paraId="3DF8DC08">
            <w:pPr>
              <w:kinsoku w:val="0"/>
              <w:overflowPunct w:val="0"/>
              <w:autoSpaceDE w:val="0"/>
              <w:autoSpaceDN w:val="0"/>
              <w:adjustRightInd w:val="0"/>
              <w:jc w:val="center"/>
              <w:rPr>
                <w:sz w:val="21"/>
                <w:szCs w:val="21"/>
                <w:highlight w:val="none"/>
              </w:rPr>
            </w:pPr>
            <w:r>
              <w:rPr>
                <w:spacing w:val="1"/>
                <w:sz w:val="21"/>
                <w:szCs w:val="21"/>
                <w:highlight w:val="none"/>
              </w:rPr>
              <w:t>27</w:t>
            </w:r>
            <w:r>
              <w:rPr>
                <w:sz w:val="21"/>
                <w:szCs w:val="21"/>
                <w:highlight w:val="none"/>
              </w:rPr>
              <w:t>.8</w:t>
            </w:r>
          </w:p>
        </w:tc>
        <w:tc>
          <w:tcPr>
            <w:tcW w:w="426" w:type="pct"/>
            <w:noWrap w:val="0"/>
            <w:vAlign w:val="center"/>
          </w:tcPr>
          <w:p w14:paraId="68FD76B3">
            <w:pPr>
              <w:kinsoku w:val="0"/>
              <w:overflowPunct w:val="0"/>
              <w:autoSpaceDE w:val="0"/>
              <w:autoSpaceDN w:val="0"/>
              <w:adjustRightInd w:val="0"/>
              <w:jc w:val="center"/>
              <w:rPr>
                <w:sz w:val="21"/>
                <w:szCs w:val="21"/>
                <w:highlight w:val="none"/>
              </w:rPr>
            </w:pPr>
            <w:r>
              <w:rPr>
                <w:sz w:val="21"/>
                <w:szCs w:val="21"/>
                <w:highlight w:val="none"/>
              </w:rPr>
              <w:t>28.9</w:t>
            </w:r>
          </w:p>
        </w:tc>
        <w:tc>
          <w:tcPr>
            <w:tcW w:w="481" w:type="pct"/>
            <w:noWrap w:val="0"/>
            <w:vAlign w:val="center"/>
          </w:tcPr>
          <w:p w14:paraId="282A7DF1">
            <w:pPr>
              <w:kinsoku w:val="0"/>
              <w:overflowPunct w:val="0"/>
              <w:autoSpaceDE w:val="0"/>
              <w:autoSpaceDN w:val="0"/>
              <w:adjustRightInd w:val="0"/>
              <w:jc w:val="center"/>
              <w:rPr>
                <w:sz w:val="21"/>
                <w:szCs w:val="21"/>
                <w:highlight w:val="none"/>
              </w:rPr>
            </w:pPr>
            <w:r>
              <w:rPr>
                <w:sz w:val="21"/>
                <w:szCs w:val="21"/>
                <w:highlight w:val="none"/>
              </w:rPr>
              <w:t>28.9</w:t>
            </w:r>
          </w:p>
        </w:tc>
        <w:tc>
          <w:tcPr>
            <w:tcW w:w="426" w:type="pct"/>
            <w:noWrap w:val="0"/>
            <w:vAlign w:val="center"/>
          </w:tcPr>
          <w:p w14:paraId="543764BD">
            <w:pPr>
              <w:kinsoku w:val="0"/>
              <w:overflowPunct w:val="0"/>
              <w:autoSpaceDE w:val="0"/>
              <w:autoSpaceDN w:val="0"/>
              <w:adjustRightInd w:val="0"/>
              <w:jc w:val="center"/>
              <w:rPr>
                <w:sz w:val="21"/>
                <w:szCs w:val="21"/>
                <w:highlight w:val="none"/>
              </w:rPr>
            </w:pPr>
            <w:r>
              <w:rPr>
                <w:sz w:val="21"/>
                <w:szCs w:val="21"/>
                <w:highlight w:val="none"/>
              </w:rPr>
              <w:t>26.2</w:t>
            </w:r>
          </w:p>
        </w:tc>
        <w:tc>
          <w:tcPr>
            <w:tcW w:w="481" w:type="pct"/>
            <w:noWrap w:val="0"/>
            <w:vAlign w:val="center"/>
          </w:tcPr>
          <w:p w14:paraId="3DAC0F50">
            <w:pPr>
              <w:kinsoku w:val="0"/>
              <w:overflowPunct w:val="0"/>
              <w:autoSpaceDE w:val="0"/>
              <w:autoSpaceDN w:val="0"/>
              <w:adjustRightInd w:val="0"/>
              <w:jc w:val="center"/>
              <w:rPr>
                <w:sz w:val="21"/>
                <w:szCs w:val="21"/>
                <w:highlight w:val="none"/>
              </w:rPr>
            </w:pPr>
            <w:r>
              <w:rPr>
                <w:sz w:val="21"/>
                <w:szCs w:val="21"/>
                <w:highlight w:val="none"/>
              </w:rPr>
              <w:t>26.1</w:t>
            </w:r>
          </w:p>
        </w:tc>
        <w:tc>
          <w:tcPr>
            <w:tcW w:w="426" w:type="pct"/>
            <w:noWrap w:val="0"/>
            <w:vAlign w:val="center"/>
          </w:tcPr>
          <w:p w14:paraId="7386F10A">
            <w:pPr>
              <w:kinsoku w:val="0"/>
              <w:overflowPunct w:val="0"/>
              <w:autoSpaceDE w:val="0"/>
              <w:autoSpaceDN w:val="0"/>
              <w:adjustRightInd w:val="0"/>
              <w:jc w:val="center"/>
              <w:rPr>
                <w:sz w:val="21"/>
                <w:szCs w:val="21"/>
                <w:highlight w:val="none"/>
              </w:rPr>
            </w:pPr>
            <w:r>
              <w:rPr>
                <w:sz w:val="21"/>
                <w:szCs w:val="21"/>
                <w:highlight w:val="none"/>
              </w:rPr>
              <w:t>26.8</w:t>
            </w:r>
          </w:p>
        </w:tc>
        <w:tc>
          <w:tcPr>
            <w:tcW w:w="534" w:type="pct"/>
            <w:noWrap w:val="0"/>
            <w:vAlign w:val="center"/>
          </w:tcPr>
          <w:p w14:paraId="026FED07">
            <w:pPr>
              <w:kinsoku w:val="0"/>
              <w:overflowPunct w:val="0"/>
              <w:autoSpaceDE w:val="0"/>
              <w:autoSpaceDN w:val="0"/>
              <w:adjustRightInd w:val="0"/>
              <w:jc w:val="center"/>
              <w:rPr>
                <w:sz w:val="21"/>
                <w:szCs w:val="21"/>
                <w:highlight w:val="none"/>
              </w:rPr>
            </w:pPr>
            <w:r>
              <w:rPr>
                <w:sz w:val="21"/>
                <w:szCs w:val="21"/>
                <w:highlight w:val="none"/>
              </w:rPr>
              <w:t>27.0</w:t>
            </w:r>
          </w:p>
        </w:tc>
        <w:tc>
          <w:tcPr>
            <w:tcW w:w="459" w:type="pct"/>
            <w:noWrap w:val="0"/>
            <w:vAlign w:val="bottom"/>
          </w:tcPr>
          <w:p w14:paraId="23B5E166">
            <w:pPr>
              <w:kinsoku w:val="0"/>
              <w:overflowPunct w:val="0"/>
              <w:autoSpaceDE w:val="0"/>
              <w:autoSpaceDN w:val="0"/>
              <w:adjustRightInd w:val="0"/>
              <w:jc w:val="center"/>
              <w:rPr>
                <w:sz w:val="21"/>
                <w:szCs w:val="21"/>
                <w:highlight w:val="none"/>
              </w:rPr>
            </w:pPr>
            <w:r>
              <w:rPr>
                <w:sz w:val="21"/>
                <w:szCs w:val="21"/>
                <w:highlight w:val="none"/>
              </w:rPr>
              <w:t>/</w:t>
            </w:r>
          </w:p>
        </w:tc>
      </w:tr>
      <w:tr w14:paraId="49AF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3CD8A041">
            <w:pPr>
              <w:kinsoku w:val="0"/>
              <w:overflowPunct w:val="0"/>
              <w:autoSpaceDE w:val="0"/>
              <w:autoSpaceDN w:val="0"/>
              <w:adjustRightInd w:val="0"/>
              <w:jc w:val="center"/>
              <w:rPr>
                <w:sz w:val="21"/>
                <w:szCs w:val="21"/>
                <w:highlight w:val="none"/>
              </w:rPr>
            </w:pPr>
            <w:r>
              <w:rPr>
                <w:sz w:val="21"/>
                <w:szCs w:val="21"/>
                <w:highlight w:val="none"/>
              </w:rPr>
              <w:t>色度（倍）</w:t>
            </w:r>
          </w:p>
        </w:tc>
        <w:tc>
          <w:tcPr>
            <w:tcW w:w="408" w:type="pct"/>
            <w:noWrap w:val="0"/>
            <w:vAlign w:val="center"/>
          </w:tcPr>
          <w:p w14:paraId="39CF6A16">
            <w:pPr>
              <w:kinsoku w:val="0"/>
              <w:overflowPunct w:val="0"/>
              <w:autoSpaceDE w:val="0"/>
              <w:autoSpaceDN w:val="0"/>
              <w:adjustRightInd w:val="0"/>
              <w:jc w:val="center"/>
              <w:rPr>
                <w:sz w:val="21"/>
                <w:szCs w:val="21"/>
                <w:highlight w:val="none"/>
              </w:rPr>
            </w:pPr>
            <w:r>
              <w:rPr>
                <w:sz w:val="21"/>
                <w:szCs w:val="21"/>
                <w:highlight w:val="none"/>
              </w:rPr>
              <w:t>1</w:t>
            </w:r>
          </w:p>
        </w:tc>
        <w:tc>
          <w:tcPr>
            <w:tcW w:w="426" w:type="pct"/>
            <w:noWrap w:val="0"/>
            <w:vAlign w:val="center"/>
          </w:tcPr>
          <w:p w14:paraId="4EC56339">
            <w:pPr>
              <w:kinsoku w:val="0"/>
              <w:overflowPunct w:val="0"/>
              <w:autoSpaceDE w:val="0"/>
              <w:autoSpaceDN w:val="0"/>
              <w:adjustRightInd w:val="0"/>
              <w:jc w:val="center"/>
              <w:rPr>
                <w:sz w:val="21"/>
                <w:szCs w:val="21"/>
                <w:highlight w:val="none"/>
              </w:rPr>
            </w:pPr>
            <w:r>
              <w:rPr>
                <w:sz w:val="21"/>
                <w:szCs w:val="21"/>
                <w:highlight w:val="none"/>
              </w:rPr>
              <w:t>1</w:t>
            </w:r>
          </w:p>
        </w:tc>
        <w:tc>
          <w:tcPr>
            <w:tcW w:w="426" w:type="pct"/>
            <w:noWrap w:val="0"/>
            <w:vAlign w:val="center"/>
          </w:tcPr>
          <w:p w14:paraId="5C1F1309">
            <w:pPr>
              <w:kinsoku w:val="0"/>
              <w:overflowPunct w:val="0"/>
              <w:autoSpaceDE w:val="0"/>
              <w:autoSpaceDN w:val="0"/>
              <w:adjustRightInd w:val="0"/>
              <w:jc w:val="center"/>
              <w:rPr>
                <w:sz w:val="21"/>
                <w:szCs w:val="21"/>
                <w:highlight w:val="none"/>
              </w:rPr>
            </w:pPr>
            <w:r>
              <w:rPr>
                <w:sz w:val="21"/>
                <w:szCs w:val="21"/>
                <w:highlight w:val="none"/>
              </w:rPr>
              <w:t>1</w:t>
            </w:r>
          </w:p>
        </w:tc>
        <w:tc>
          <w:tcPr>
            <w:tcW w:w="481" w:type="pct"/>
            <w:noWrap w:val="0"/>
            <w:vAlign w:val="center"/>
          </w:tcPr>
          <w:p w14:paraId="0C64EB05">
            <w:pPr>
              <w:kinsoku w:val="0"/>
              <w:overflowPunct w:val="0"/>
              <w:autoSpaceDE w:val="0"/>
              <w:autoSpaceDN w:val="0"/>
              <w:adjustRightInd w:val="0"/>
              <w:jc w:val="center"/>
              <w:rPr>
                <w:sz w:val="21"/>
                <w:szCs w:val="21"/>
                <w:highlight w:val="none"/>
              </w:rPr>
            </w:pPr>
            <w:r>
              <w:rPr>
                <w:sz w:val="21"/>
                <w:szCs w:val="21"/>
                <w:highlight w:val="none"/>
              </w:rPr>
              <w:t>1</w:t>
            </w:r>
          </w:p>
        </w:tc>
        <w:tc>
          <w:tcPr>
            <w:tcW w:w="426" w:type="pct"/>
            <w:noWrap w:val="0"/>
            <w:vAlign w:val="center"/>
          </w:tcPr>
          <w:p w14:paraId="5D265634">
            <w:pPr>
              <w:kinsoku w:val="0"/>
              <w:overflowPunct w:val="0"/>
              <w:autoSpaceDE w:val="0"/>
              <w:autoSpaceDN w:val="0"/>
              <w:adjustRightInd w:val="0"/>
              <w:jc w:val="center"/>
              <w:rPr>
                <w:sz w:val="21"/>
                <w:szCs w:val="21"/>
                <w:highlight w:val="none"/>
              </w:rPr>
            </w:pPr>
            <w:r>
              <w:rPr>
                <w:sz w:val="21"/>
                <w:szCs w:val="21"/>
                <w:highlight w:val="none"/>
              </w:rPr>
              <w:t>1</w:t>
            </w:r>
          </w:p>
        </w:tc>
        <w:tc>
          <w:tcPr>
            <w:tcW w:w="481" w:type="pct"/>
            <w:noWrap w:val="0"/>
            <w:vAlign w:val="center"/>
          </w:tcPr>
          <w:p w14:paraId="115FDF56">
            <w:pPr>
              <w:kinsoku w:val="0"/>
              <w:overflowPunct w:val="0"/>
              <w:autoSpaceDE w:val="0"/>
              <w:autoSpaceDN w:val="0"/>
              <w:adjustRightInd w:val="0"/>
              <w:jc w:val="center"/>
              <w:rPr>
                <w:sz w:val="21"/>
                <w:szCs w:val="21"/>
                <w:highlight w:val="none"/>
              </w:rPr>
            </w:pPr>
            <w:r>
              <w:rPr>
                <w:sz w:val="21"/>
                <w:szCs w:val="21"/>
                <w:highlight w:val="none"/>
              </w:rPr>
              <w:t>1</w:t>
            </w:r>
          </w:p>
        </w:tc>
        <w:tc>
          <w:tcPr>
            <w:tcW w:w="426" w:type="pct"/>
            <w:noWrap w:val="0"/>
            <w:vAlign w:val="center"/>
          </w:tcPr>
          <w:p w14:paraId="6BA11607">
            <w:pPr>
              <w:kinsoku w:val="0"/>
              <w:overflowPunct w:val="0"/>
              <w:autoSpaceDE w:val="0"/>
              <w:autoSpaceDN w:val="0"/>
              <w:adjustRightInd w:val="0"/>
              <w:jc w:val="center"/>
              <w:rPr>
                <w:sz w:val="21"/>
                <w:szCs w:val="21"/>
                <w:highlight w:val="none"/>
              </w:rPr>
            </w:pPr>
            <w:r>
              <w:rPr>
                <w:sz w:val="21"/>
                <w:szCs w:val="21"/>
                <w:highlight w:val="none"/>
              </w:rPr>
              <w:t>1</w:t>
            </w:r>
          </w:p>
        </w:tc>
        <w:tc>
          <w:tcPr>
            <w:tcW w:w="534" w:type="pct"/>
            <w:noWrap w:val="0"/>
            <w:vAlign w:val="center"/>
          </w:tcPr>
          <w:p w14:paraId="0F5AADBC">
            <w:pPr>
              <w:kinsoku w:val="0"/>
              <w:overflowPunct w:val="0"/>
              <w:autoSpaceDE w:val="0"/>
              <w:autoSpaceDN w:val="0"/>
              <w:adjustRightInd w:val="0"/>
              <w:jc w:val="center"/>
              <w:rPr>
                <w:sz w:val="21"/>
                <w:szCs w:val="21"/>
                <w:highlight w:val="none"/>
              </w:rPr>
            </w:pPr>
            <w:r>
              <w:rPr>
                <w:sz w:val="21"/>
                <w:szCs w:val="21"/>
                <w:highlight w:val="none"/>
              </w:rPr>
              <w:t>1</w:t>
            </w:r>
          </w:p>
        </w:tc>
        <w:tc>
          <w:tcPr>
            <w:tcW w:w="459" w:type="pct"/>
            <w:noWrap w:val="0"/>
            <w:vAlign w:val="bottom"/>
          </w:tcPr>
          <w:p w14:paraId="6D6FF3F9">
            <w:pPr>
              <w:kinsoku w:val="0"/>
              <w:overflowPunct w:val="0"/>
              <w:autoSpaceDE w:val="0"/>
              <w:autoSpaceDN w:val="0"/>
              <w:adjustRightInd w:val="0"/>
              <w:jc w:val="center"/>
              <w:rPr>
                <w:sz w:val="21"/>
                <w:szCs w:val="21"/>
                <w:highlight w:val="none"/>
              </w:rPr>
            </w:pPr>
            <w:r>
              <w:rPr>
                <w:sz w:val="21"/>
                <w:szCs w:val="21"/>
                <w:highlight w:val="none"/>
              </w:rPr>
              <w:t>80</w:t>
            </w:r>
          </w:p>
        </w:tc>
      </w:tr>
      <w:tr w14:paraId="1E06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17817F50">
            <w:pPr>
              <w:kinsoku w:val="0"/>
              <w:overflowPunct w:val="0"/>
              <w:autoSpaceDE w:val="0"/>
              <w:autoSpaceDN w:val="0"/>
              <w:adjustRightInd w:val="0"/>
              <w:jc w:val="center"/>
              <w:rPr>
                <w:sz w:val="21"/>
                <w:szCs w:val="21"/>
                <w:highlight w:val="none"/>
              </w:rPr>
            </w:pPr>
            <w:r>
              <w:rPr>
                <w:sz w:val="21"/>
                <w:szCs w:val="21"/>
                <w:highlight w:val="none"/>
              </w:rPr>
              <w:t>悬浮物</w:t>
            </w:r>
          </w:p>
        </w:tc>
        <w:tc>
          <w:tcPr>
            <w:tcW w:w="408" w:type="pct"/>
            <w:noWrap w:val="0"/>
            <w:vAlign w:val="center"/>
          </w:tcPr>
          <w:p w14:paraId="41A90D1B">
            <w:pPr>
              <w:kinsoku w:val="0"/>
              <w:overflowPunct w:val="0"/>
              <w:autoSpaceDE w:val="0"/>
              <w:autoSpaceDN w:val="0"/>
              <w:adjustRightInd w:val="0"/>
              <w:jc w:val="center"/>
              <w:rPr>
                <w:sz w:val="21"/>
                <w:szCs w:val="21"/>
                <w:highlight w:val="none"/>
              </w:rPr>
            </w:pPr>
            <w:r>
              <w:rPr>
                <w:sz w:val="21"/>
                <w:szCs w:val="21"/>
                <w:highlight w:val="none"/>
              </w:rPr>
              <w:t>7</w:t>
            </w:r>
          </w:p>
        </w:tc>
        <w:tc>
          <w:tcPr>
            <w:tcW w:w="426" w:type="pct"/>
            <w:noWrap w:val="0"/>
            <w:vAlign w:val="center"/>
          </w:tcPr>
          <w:p w14:paraId="3F840549">
            <w:pPr>
              <w:kinsoku w:val="0"/>
              <w:overflowPunct w:val="0"/>
              <w:autoSpaceDE w:val="0"/>
              <w:autoSpaceDN w:val="0"/>
              <w:adjustRightInd w:val="0"/>
              <w:jc w:val="center"/>
              <w:rPr>
                <w:sz w:val="21"/>
                <w:szCs w:val="21"/>
                <w:highlight w:val="none"/>
              </w:rPr>
            </w:pPr>
            <w:r>
              <w:rPr>
                <w:spacing w:val="1"/>
                <w:sz w:val="21"/>
                <w:szCs w:val="21"/>
                <w:highlight w:val="none"/>
              </w:rPr>
              <w:t>1</w:t>
            </w:r>
            <w:r>
              <w:rPr>
                <w:sz w:val="21"/>
                <w:szCs w:val="21"/>
                <w:highlight w:val="none"/>
              </w:rPr>
              <w:t>0</w:t>
            </w:r>
          </w:p>
        </w:tc>
        <w:tc>
          <w:tcPr>
            <w:tcW w:w="426" w:type="pct"/>
            <w:noWrap w:val="0"/>
            <w:vAlign w:val="center"/>
          </w:tcPr>
          <w:p w14:paraId="430C3A96">
            <w:pPr>
              <w:kinsoku w:val="0"/>
              <w:overflowPunct w:val="0"/>
              <w:autoSpaceDE w:val="0"/>
              <w:autoSpaceDN w:val="0"/>
              <w:adjustRightInd w:val="0"/>
              <w:jc w:val="center"/>
              <w:rPr>
                <w:sz w:val="21"/>
                <w:szCs w:val="21"/>
                <w:highlight w:val="none"/>
              </w:rPr>
            </w:pPr>
            <w:r>
              <w:rPr>
                <w:sz w:val="21"/>
                <w:szCs w:val="21"/>
                <w:highlight w:val="none"/>
              </w:rPr>
              <w:t>13</w:t>
            </w:r>
          </w:p>
        </w:tc>
        <w:tc>
          <w:tcPr>
            <w:tcW w:w="481" w:type="pct"/>
            <w:noWrap w:val="0"/>
            <w:vAlign w:val="center"/>
          </w:tcPr>
          <w:p w14:paraId="16C9488B">
            <w:pPr>
              <w:kinsoku w:val="0"/>
              <w:overflowPunct w:val="0"/>
              <w:autoSpaceDE w:val="0"/>
              <w:autoSpaceDN w:val="0"/>
              <w:adjustRightInd w:val="0"/>
              <w:jc w:val="center"/>
              <w:rPr>
                <w:sz w:val="21"/>
                <w:szCs w:val="21"/>
                <w:highlight w:val="none"/>
              </w:rPr>
            </w:pPr>
            <w:r>
              <w:rPr>
                <w:sz w:val="21"/>
                <w:szCs w:val="21"/>
                <w:highlight w:val="none"/>
              </w:rPr>
              <w:t>8</w:t>
            </w:r>
          </w:p>
        </w:tc>
        <w:tc>
          <w:tcPr>
            <w:tcW w:w="426" w:type="pct"/>
            <w:noWrap w:val="0"/>
            <w:vAlign w:val="center"/>
          </w:tcPr>
          <w:p w14:paraId="1E88EC4C">
            <w:pPr>
              <w:kinsoku w:val="0"/>
              <w:overflowPunct w:val="0"/>
              <w:autoSpaceDE w:val="0"/>
              <w:autoSpaceDN w:val="0"/>
              <w:adjustRightInd w:val="0"/>
              <w:jc w:val="center"/>
              <w:rPr>
                <w:sz w:val="21"/>
                <w:szCs w:val="21"/>
                <w:highlight w:val="none"/>
              </w:rPr>
            </w:pPr>
            <w:r>
              <w:rPr>
                <w:sz w:val="21"/>
                <w:szCs w:val="21"/>
                <w:highlight w:val="none"/>
              </w:rPr>
              <w:t>9</w:t>
            </w:r>
          </w:p>
        </w:tc>
        <w:tc>
          <w:tcPr>
            <w:tcW w:w="481" w:type="pct"/>
            <w:noWrap w:val="0"/>
            <w:vAlign w:val="center"/>
          </w:tcPr>
          <w:p w14:paraId="7C48C87C">
            <w:pPr>
              <w:kinsoku w:val="0"/>
              <w:overflowPunct w:val="0"/>
              <w:autoSpaceDE w:val="0"/>
              <w:autoSpaceDN w:val="0"/>
              <w:adjustRightInd w:val="0"/>
              <w:jc w:val="center"/>
              <w:rPr>
                <w:sz w:val="21"/>
                <w:szCs w:val="21"/>
                <w:highlight w:val="none"/>
              </w:rPr>
            </w:pPr>
            <w:r>
              <w:rPr>
                <w:sz w:val="21"/>
                <w:szCs w:val="21"/>
                <w:highlight w:val="none"/>
              </w:rPr>
              <w:t>6</w:t>
            </w:r>
          </w:p>
        </w:tc>
        <w:tc>
          <w:tcPr>
            <w:tcW w:w="426" w:type="pct"/>
            <w:noWrap w:val="0"/>
            <w:vAlign w:val="center"/>
          </w:tcPr>
          <w:p w14:paraId="4B0A6350">
            <w:pPr>
              <w:kinsoku w:val="0"/>
              <w:overflowPunct w:val="0"/>
              <w:autoSpaceDE w:val="0"/>
              <w:autoSpaceDN w:val="0"/>
              <w:adjustRightInd w:val="0"/>
              <w:jc w:val="center"/>
              <w:rPr>
                <w:sz w:val="21"/>
                <w:szCs w:val="21"/>
                <w:highlight w:val="none"/>
              </w:rPr>
            </w:pPr>
            <w:r>
              <w:rPr>
                <w:sz w:val="21"/>
                <w:szCs w:val="21"/>
                <w:highlight w:val="none"/>
              </w:rPr>
              <w:t>13</w:t>
            </w:r>
          </w:p>
        </w:tc>
        <w:tc>
          <w:tcPr>
            <w:tcW w:w="534" w:type="pct"/>
            <w:noWrap w:val="0"/>
            <w:vAlign w:val="center"/>
          </w:tcPr>
          <w:p w14:paraId="43595624">
            <w:pPr>
              <w:kinsoku w:val="0"/>
              <w:overflowPunct w:val="0"/>
              <w:autoSpaceDE w:val="0"/>
              <w:autoSpaceDN w:val="0"/>
              <w:adjustRightInd w:val="0"/>
              <w:jc w:val="center"/>
              <w:rPr>
                <w:sz w:val="21"/>
                <w:szCs w:val="21"/>
                <w:highlight w:val="none"/>
              </w:rPr>
            </w:pPr>
            <w:r>
              <w:rPr>
                <w:sz w:val="21"/>
                <w:szCs w:val="21"/>
                <w:highlight w:val="none"/>
              </w:rPr>
              <w:t>7</w:t>
            </w:r>
          </w:p>
        </w:tc>
        <w:tc>
          <w:tcPr>
            <w:tcW w:w="459" w:type="pct"/>
            <w:noWrap w:val="0"/>
            <w:vAlign w:val="center"/>
          </w:tcPr>
          <w:p w14:paraId="5E5AAA17">
            <w:pPr>
              <w:kinsoku w:val="0"/>
              <w:overflowPunct w:val="0"/>
              <w:autoSpaceDE w:val="0"/>
              <w:autoSpaceDN w:val="0"/>
              <w:adjustRightInd w:val="0"/>
              <w:jc w:val="center"/>
              <w:rPr>
                <w:sz w:val="21"/>
                <w:szCs w:val="21"/>
                <w:highlight w:val="none"/>
              </w:rPr>
            </w:pPr>
            <w:r>
              <w:rPr>
                <w:sz w:val="21"/>
                <w:szCs w:val="21"/>
                <w:highlight w:val="none"/>
              </w:rPr>
              <w:t>70</w:t>
            </w:r>
          </w:p>
        </w:tc>
      </w:tr>
      <w:tr w14:paraId="0A85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7F8A071A">
            <w:pPr>
              <w:kinsoku w:val="0"/>
              <w:overflowPunct w:val="0"/>
              <w:autoSpaceDE w:val="0"/>
              <w:autoSpaceDN w:val="0"/>
              <w:adjustRightInd w:val="0"/>
              <w:jc w:val="center"/>
              <w:rPr>
                <w:sz w:val="21"/>
                <w:szCs w:val="21"/>
                <w:highlight w:val="none"/>
              </w:rPr>
            </w:pPr>
            <w:r>
              <w:rPr>
                <w:sz w:val="21"/>
                <w:szCs w:val="21"/>
                <w:highlight w:val="none"/>
              </w:rPr>
              <w:t>化学需氧量</w:t>
            </w:r>
          </w:p>
        </w:tc>
        <w:tc>
          <w:tcPr>
            <w:tcW w:w="408" w:type="pct"/>
            <w:noWrap w:val="0"/>
            <w:vAlign w:val="center"/>
          </w:tcPr>
          <w:p w14:paraId="02236930">
            <w:pPr>
              <w:kinsoku w:val="0"/>
              <w:overflowPunct w:val="0"/>
              <w:autoSpaceDE w:val="0"/>
              <w:autoSpaceDN w:val="0"/>
              <w:adjustRightInd w:val="0"/>
              <w:jc w:val="center"/>
              <w:rPr>
                <w:sz w:val="21"/>
                <w:szCs w:val="21"/>
                <w:highlight w:val="none"/>
              </w:rPr>
            </w:pPr>
            <w:r>
              <w:rPr>
                <w:sz w:val="21"/>
                <w:szCs w:val="21"/>
                <w:highlight w:val="none"/>
              </w:rPr>
              <w:t>9</w:t>
            </w:r>
          </w:p>
        </w:tc>
        <w:tc>
          <w:tcPr>
            <w:tcW w:w="426" w:type="pct"/>
            <w:noWrap w:val="0"/>
            <w:vAlign w:val="center"/>
          </w:tcPr>
          <w:p w14:paraId="5194A704">
            <w:pPr>
              <w:kinsoku w:val="0"/>
              <w:overflowPunct w:val="0"/>
              <w:autoSpaceDE w:val="0"/>
              <w:autoSpaceDN w:val="0"/>
              <w:adjustRightInd w:val="0"/>
              <w:jc w:val="center"/>
              <w:rPr>
                <w:sz w:val="21"/>
                <w:szCs w:val="21"/>
                <w:highlight w:val="none"/>
              </w:rPr>
            </w:pPr>
            <w:r>
              <w:rPr>
                <w:sz w:val="21"/>
                <w:szCs w:val="21"/>
                <w:highlight w:val="none"/>
              </w:rPr>
              <w:t>8</w:t>
            </w:r>
          </w:p>
        </w:tc>
        <w:tc>
          <w:tcPr>
            <w:tcW w:w="426" w:type="pct"/>
            <w:noWrap w:val="0"/>
            <w:vAlign w:val="center"/>
          </w:tcPr>
          <w:p w14:paraId="3021F986">
            <w:pPr>
              <w:kinsoku w:val="0"/>
              <w:overflowPunct w:val="0"/>
              <w:autoSpaceDE w:val="0"/>
              <w:autoSpaceDN w:val="0"/>
              <w:adjustRightInd w:val="0"/>
              <w:jc w:val="center"/>
              <w:rPr>
                <w:sz w:val="21"/>
                <w:szCs w:val="21"/>
                <w:highlight w:val="none"/>
              </w:rPr>
            </w:pPr>
            <w:r>
              <w:rPr>
                <w:sz w:val="21"/>
                <w:szCs w:val="21"/>
                <w:highlight w:val="none"/>
              </w:rPr>
              <w:t>9</w:t>
            </w:r>
          </w:p>
        </w:tc>
        <w:tc>
          <w:tcPr>
            <w:tcW w:w="481" w:type="pct"/>
            <w:noWrap w:val="0"/>
            <w:vAlign w:val="center"/>
          </w:tcPr>
          <w:p w14:paraId="4919AF0F">
            <w:pPr>
              <w:kinsoku w:val="0"/>
              <w:overflowPunct w:val="0"/>
              <w:autoSpaceDE w:val="0"/>
              <w:autoSpaceDN w:val="0"/>
              <w:adjustRightInd w:val="0"/>
              <w:jc w:val="center"/>
              <w:rPr>
                <w:sz w:val="21"/>
                <w:szCs w:val="21"/>
                <w:highlight w:val="none"/>
              </w:rPr>
            </w:pPr>
            <w:r>
              <w:rPr>
                <w:sz w:val="21"/>
                <w:szCs w:val="21"/>
                <w:highlight w:val="none"/>
              </w:rPr>
              <w:t>9</w:t>
            </w:r>
          </w:p>
        </w:tc>
        <w:tc>
          <w:tcPr>
            <w:tcW w:w="426" w:type="pct"/>
            <w:noWrap w:val="0"/>
            <w:vAlign w:val="center"/>
          </w:tcPr>
          <w:p w14:paraId="48AD84A7">
            <w:pPr>
              <w:kinsoku w:val="0"/>
              <w:overflowPunct w:val="0"/>
              <w:autoSpaceDE w:val="0"/>
              <w:autoSpaceDN w:val="0"/>
              <w:adjustRightInd w:val="0"/>
              <w:jc w:val="center"/>
              <w:rPr>
                <w:sz w:val="21"/>
                <w:szCs w:val="21"/>
                <w:highlight w:val="none"/>
              </w:rPr>
            </w:pPr>
            <w:r>
              <w:rPr>
                <w:sz w:val="21"/>
                <w:szCs w:val="21"/>
                <w:highlight w:val="none"/>
              </w:rPr>
              <w:t>8</w:t>
            </w:r>
          </w:p>
        </w:tc>
        <w:tc>
          <w:tcPr>
            <w:tcW w:w="481" w:type="pct"/>
            <w:noWrap w:val="0"/>
            <w:vAlign w:val="center"/>
          </w:tcPr>
          <w:p w14:paraId="335ADCE0">
            <w:pPr>
              <w:kinsoku w:val="0"/>
              <w:overflowPunct w:val="0"/>
              <w:autoSpaceDE w:val="0"/>
              <w:autoSpaceDN w:val="0"/>
              <w:adjustRightInd w:val="0"/>
              <w:jc w:val="center"/>
              <w:rPr>
                <w:sz w:val="21"/>
                <w:szCs w:val="21"/>
                <w:highlight w:val="none"/>
              </w:rPr>
            </w:pPr>
            <w:r>
              <w:rPr>
                <w:sz w:val="21"/>
                <w:szCs w:val="21"/>
                <w:highlight w:val="none"/>
              </w:rPr>
              <w:t>7</w:t>
            </w:r>
          </w:p>
        </w:tc>
        <w:tc>
          <w:tcPr>
            <w:tcW w:w="426" w:type="pct"/>
            <w:noWrap w:val="0"/>
            <w:vAlign w:val="center"/>
          </w:tcPr>
          <w:p w14:paraId="5A2BC3D0">
            <w:pPr>
              <w:kinsoku w:val="0"/>
              <w:overflowPunct w:val="0"/>
              <w:autoSpaceDE w:val="0"/>
              <w:autoSpaceDN w:val="0"/>
              <w:adjustRightInd w:val="0"/>
              <w:jc w:val="center"/>
              <w:rPr>
                <w:sz w:val="21"/>
                <w:szCs w:val="21"/>
                <w:highlight w:val="none"/>
              </w:rPr>
            </w:pPr>
            <w:r>
              <w:rPr>
                <w:sz w:val="21"/>
                <w:szCs w:val="21"/>
                <w:highlight w:val="none"/>
              </w:rPr>
              <w:t>8</w:t>
            </w:r>
          </w:p>
        </w:tc>
        <w:tc>
          <w:tcPr>
            <w:tcW w:w="534" w:type="pct"/>
            <w:noWrap w:val="0"/>
            <w:vAlign w:val="center"/>
          </w:tcPr>
          <w:p w14:paraId="4E565D21">
            <w:pPr>
              <w:kinsoku w:val="0"/>
              <w:overflowPunct w:val="0"/>
              <w:autoSpaceDE w:val="0"/>
              <w:autoSpaceDN w:val="0"/>
              <w:adjustRightInd w:val="0"/>
              <w:jc w:val="center"/>
              <w:rPr>
                <w:sz w:val="21"/>
                <w:szCs w:val="21"/>
                <w:highlight w:val="none"/>
              </w:rPr>
            </w:pPr>
            <w:r>
              <w:rPr>
                <w:sz w:val="21"/>
                <w:szCs w:val="21"/>
                <w:highlight w:val="none"/>
              </w:rPr>
              <w:t>5</w:t>
            </w:r>
          </w:p>
        </w:tc>
        <w:tc>
          <w:tcPr>
            <w:tcW w:w="459" w:type="pct"/>
            <w:noWrap w:val="0"/>
            <w:vAlign w:val="bottom"/>
          </w:tcPr>
          <w:p w14:paraId="6A65969B">
            <w:pPr>
              <w:kinsoku w:val="0"/>
              <w:overflowPunct w:val="0"/>
              <w:autoSpaceDE w:val="0"/>
              <w:autoSpaceDN w:val="0"/>
              <w:adjustRightInd w:val="0"/>
              <w:jc w:val="center"/>
              <w:rPr>
                <w:sz w:val="21"/>
                <w:szCs w:val="21"/>
                <w:highlight w:val="none"/>
              </w:rPr>
            </w:pPr>
            <w:r>
              <w:rPr>
                <w:sz w:val="21"/>
                <w:szCs w:val="21"/>
                <w:highlight w:val="none"/>
              </w:rPr>
              <w:t>100</w:t>
            </w:r>
          </w:p>
        </w:tc>
      </w:tr>
      <w:tr w14:paraId="13DE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exact"/>
          <w:jc w:val="center"/>
        </w:trPr>
        <w:tc>
          <w:tcPr>
            <w:tcW w:w="928" w:type="pct"/>
            <w:noWrap w:val="0"/>
            <w:vAlign w:val="center"/>
          </w:tcPr>
          <w:p w14:paraId="1ACB32AB">
            <w:pPr>
              <w:kinsoku w:val="0"/>
              <w:overflowPunct w:val="0"/>
              <w:autoSpaceDE w:val="0"/>
              <w:autoSpaceDN w:val="0"/>
              <w:adjustRightInd w:val="0"/>
              <w:jc w:val="center"/>
              <w:rPr>
                <w:sz w:val="21"/>
                <w:szCs w:val="21"/>
                <w:highlight w:val="none"/>
              </w:rPr>
            </w:pPr>
            <w:r>
              <w:rPr>
                <w:sz w:val="21"/>
                <w:szCs w:val="21"/>
                <w:highlight w:val="none"/>
              </w:rPr>
              <w:t>五日生化需氧量</w:t>
            </w:r>
          </w:p>
        </w:tc>
        <w:tc>
          <w:tcPr>
            <w:tcW w:w="408" w:type="pct"/>
            <w:noWrap w:val="0"/>
            <w:vAlign w:val="center"/>
          </w:tcPr>
          <w:p w14:paraId="016343FD">
            <w:pPr>
              <w:kinsoku w:val="0"/>
              <w:overflowPunct w:val="0"/>
              <w:autoSpaceDE w:val="0"/>
              <w:autoSpaceDN w:val="0"/>
              <w:adjustRightInd w:val="0"/>
              <w:jc w:val="center"/>
              <w:rPr>
                <w:sz w:val="21"/>
                <w:szCs w:val="21"/>
                <w:highlight w:val="none"/>
              </w:rPr>
            </w:pPr>
            <w:r>
              <w:rPr>
                <w:spacing w:val="1"/>
                <w:sz w:val="21"/>
                <w:szCs w:val="21"/>
                <w:highlight w:val="none"/>
              </w:rPr>
              <w:t>3</w:t>
            </w:r>
            <w:r>
              <w:rPr>
                <w:sz w:val="21"/>
                <w:szCs w:val="21"/>
                <w:highlight w:val="none"/>
              </w:rPr>
              <w:t>.6</w:t>
            </w:r>
          </w:p>
        </w:tc>
        <w:tc>
          <w:tcPr>
            <w:tcW w:w="426" w:type="pct"/>
            <w:noWrap w:val="0"/>
            <w:vAlign w:val="center"/>
          </w:tcPr>
          <w:p w14:paraId="77A57880">
            <w:pPr>
              <w:kinsoku w:val="0"/>
              <w:overflowPunct w:val="0"/>
              <w:autoSpaceDE w:val="0"/>
              <w:autoSpaceDN w:val="0"/>
              <w:adjustRightInd w:val="0"/>
              <w:jc w:val="center"/>
              <w:rPr>
                <w:sz w:val="21"/>
                <w:szCs w:val="21"/>
                <w:highlight w:val="none"/>
              </w:rPr>
            </w:pPr>
            <w:r>
              <w:rPr>
                <w:spacing w:val="1"/>
                <w:sz w:val="21"/>
                <w:szCs w:val="21"/>
                <w:highlight w:val="none"/>
              </w:rPr>
              <w:t>3</w:t>
            </w:r>
            <w:r>
              <w:rPr>
                <w:sz w:val="21"/>
                <w:szCs w:val="21"/>
                <w:highlight w:val="none"/>
              </w:rPr>
              <w:t>.5</w:t>
            </w:r>
          </w:p>
        </w:tc>
        <w:tc>
          <w:tcPr>
            <w:tcW w:w="426" w:type="pct"/>
            <w:noWrap w:val="0"/>
            <w:vAlign w:val="center"/>
          </w:tcPr>
          <w:p w14:paraId="56903331">
            <w:pPr>
              <w:kinsoku w:val="0"/>
              <w:overflowPunct w:val="0"/>
              <w:autoSpaceDE w:val="0"/>
              <w:autoSpaceDN w:val="0"/>
              <w:adjustRightInd w:val="0"/>
              <w:jc w:val="center"/>
              <w:rPr>
                <w:sz w:val="21"/>
                <w:szCs w:val="21"/>
                <w:highlight w:val="none"/>
              </w:rPr>
            </w:pPr>
            <w:r>
              <w:rPr>
                <w:sz w:val="21"/>
                <w:szCs w:val="21"/>
                <w:highlight w:val="none"/>
              </w:rPr>
              <w:t>3.2</w:t>
            </w:r>
          </w:p>
        </w:tc>
        <w:tc>
          <w:tcPr>
            <w:tcW w:w="481" w:type="pct"/>
            <w:noWrap w:val="0"/>
            <w:vAlign w:val="center"/>
          </w:tcPr>
          <w:p w14:paraId="5B2DA054">
            <w:pPr>
              <w:kinsoku w:val="0"/>
              <w:overflowPunct w:val="0"/>
              <w:autoSpaceDE w:val="0"/>
              <w:autoSpaceDN w:val="0"/>
              <w:adjustRightInd w:val="0"/>
              <w:jc w:val="center"/>
              <w:rPr>
                <w:sz w:val="21"/>
                <w:szCs w:val="21"/>
                <w:highlight w:val="none"/>
              </w:rPr>
            </w:pPr>
            <w:r>
              <w:rPr>
                <w:sz w:val="21"/>
                <w:szCs w:val="21"/>
                <w:highlight w:val="none"/>
              </w:rPr>
              <w:t>3.2</w:t>
            </w:r>
          </w:p>
        </w:tc>
        <w:tc>
          <w:tcPr>
            <w:tcW w:w="426" w:type="pct"/>
            <w:noWrap w:val="0"/>
            <w:vAlign w:val="center"/>
          </w:tcPr>
          <w:p w14:paraId="2EB3C4F7">
            <w:pPr>
              <w:kinsoku w:val="0"/>
              <w:overflowPunct w:val="0"/>
              <w:autoSpaceDE w:val="0"/>
              <w:autoSpaceDN w:val="0"/>
              <w:adjustRightInd w:val="0"/>
              <w:jc w:val="center"/>
              <w:rPr>
                <w:sz w:val="21"/>
                <w:szCs w:val="21"/>
                <w:highlight w:val="none"/>
              </w:rPr>
            </w:pPr>
            <w:r>
              <w:rPr>
                <w:sz w:val="21"/>
                <w:szCs w:val="21"/>
                <w:highlight w:val="none"/>
              </w:rPr>
              <w:t>3.3</w:t>
            </w:r>
          </w:p>
        </w:tc>
        <w:tc>
          <w:tcPr>
            <w:tcW w:w="481" w:type="pct"/>
            <w:noWrap w:val="0"/>
            <w:vAlign w:val="center"/>
          </w:tcPr>
          <w:p w14:paraId="3B6F07E3">
            <w:pPr>
              <w:kinsoku w:val="0"/>
              <w:overflowPunct w:val="0"/>
              <w:autoSpaceDE w:val="0"/>
              <w:autoSpaceDN w:val="0"/>
              <w:adjustRightInd w:val="0"/>
              <w:jc w:val="center"/>
              <w:rPr>
                <w:sz w:val="21"/>
                <w:szCs w:val="21"/>
                <w:highlight w:val="none"/>
              </w:rPr>
            </w:pPr>
            <w:r>
              <w:rPr>
                <w:sz w:val="21"/>
                <w:szCs w:val="21"/>
                <w:highlight w:val="none"/>
              </w:rPr>
              <w:t>2.8</w:t>
            </w:r>
          </w:p>
        </w:tc>
        <w:tc>
          <w:tcPr>
            <w:tcW w:w="426" w:type="pct"/>
            <w:noWrap w:val="0"/>
            <w:vAlign w:val="center"/>
          </w:tcPr>
          <w:p w14:paraId="2F0B1200">
            <w:pPr>
              <w:kinsoku w:val="0"/>
              <w:overflowPunct w:val="0"/>
              <w:autoSpaceDE w:val="0"/>
              <w:autoSpaceDN w:val="0"/>
              <w:adjustRightInd w:val="0"/>
              <w:jc w:val="center"/>
              <w:rPr>
                <w:sz w:val="21"/>
                <w:szCs w:val="21"/>
                <w:highlight w:val="none"/>
              </w:rPr>
            </w:pPr>
            <w:r>
              <w:rPr>
                <w:sz w:val="21"/>
                <w:szCs w:val="21"/>
                <w:highlight w:val="none"/>
              </w:rPr>
              <w:t>2.9</w:t>
            </w:r>
          </w:p>
        </w:tc>
        <w:tc>
          <w:tcPr>
            <w:tcW w:w="534" w:type="pct"/>
            <w:noWrap w:val="0"/>
            <w:vAlign w:val="center"/>
          </w:tcPr>
          <w:p w14:paraId="5323E41B">
            <w:pPr>
              <w:kinsoku w:val="0"/>
              <w:overflowPunct w:val="0"/>
              <w:autoSpaceDE w:val="0"/>
              <w:autoSpaceDN w:val="0"/>
              <w:adjustRightInd w:val="0"/>
              <w:jc w:val="center"/>
              <w:rPr>
                <w:sz w:val="21"/>
                <w:szCs w:val="21"/>
                <w:highlight w:val="none"/>
              </w:rPr>
            </w:pPr>
            <w:r>
              <w:rPr>
                <w:sz w:val="21"/>
                <w:szCs w:val="21"/>
                <w:highlight w:val="none"/>
              </w:rPr>
              <w:t>2.8</w:t>
            </w:r>
          </w:p>
        </w:tc>
        <w:tc>
          <w:tcPr>
            <w:tcW w:w="459" w:type="pct"/>
            <w:noWrap w:val="0"/>
            <w:vAlign w:val="bottom"/>
          </w:tcPr>
          <w:p w14:paraId="6D36C7C8">
            <w:pPr>
              <w:kinsoku w:val="0"/>
              <w:overflowPunct w:val="0"/>
              <w:autoSpaceDE w:val="0"/>
              <w:autoSpaceDN w:val="0"/>
              <w:adjustRightInd w:val="0"/>
              <w:jc w:val="center"/>
              <w:rPr>
                <w:sz w:val="21"/>
                <w:szCs w:val="21"/>
                <w:highlight w:val="none"/>
              </w:rPr>
            </w:pPr>
            <w:r>
              <w:rPr>
                <w:sz w:val="21"/>
                <w:szCs w:val="21"/>
                <w:highlight w:val="none"/>
              </w:rPr>
              <w:t>30</w:t>
            </w:r>
          </w:p>
        </w:tc>
      </w:tr>
      <w:tr w14:paraId="0FED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exact"/>
          <w:jc w:val="center"/>
        </w:trPr>
        <w:tc>
          <w:tcPr>
            <w:tcW w:w="928" w:type="pct"/>
            <w:noWrap w:val="0"/>
            <w:vAlign w:val="center"/>
          </w:tcPr>
          <w:p w14:paraId="037DE975">
            <w:pPr>
              <w:kinsoku w:val="0"/>
              <w:overflowPunct w:val="0"/>
              <w:autoSpaceDE w:val="0"/>
              <w:autoSpaceDN w:val="0"/>
              <w:adjustRightInd w:val="0"/>
              <w:jc w:val="center"/>
              <w:rPr>
                <w:sz w:val="21"/>
                <w:szCs w:val="21"/>
                <w:highlight w:val="none"/>
              </w:rPr>
            </w:pPr>
            <w:r>
              <w:rPr>
                <w:sz w:val="21"/>
                <w:szCs w:val="21"/>
                <w:highlight w:val="none"/>
              </w:rPr>
              <w:t>氨氮</w:t>
            </w:r>
          </w:p>
        </w:tc>
        <w:tc>
          <w:tcPr>
            <w:tcW w:w="408" w:type="pct"/>
            <w:noWrap w:val="0"/>
            <w:vAlign w:val="center"/>
          </w:tcPr>
          <w:p w14:paraId="713AB225">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26" w:type="pct"/>
            <w:noWrap w:val="0"/>
            <w:vAlign w:val="center"/>
          </w:tcPr>
          <w:p w14:paraId="469566C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26" w:type="pct"/>
            <w:noWrap w:val="0"/>
            <w:vAlign w:val="center"/>
          </w:tcPr>
          <w:p w14:paraId="05B2F54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81" w:type="pct"/>
            <w:noWrap w:val="0"/>
            <w:vAlign w:val="center"/>
          </w:tcPr>
          <w:p w14:paraId="24A7F0B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2</w:t>
            </w:r>
            <w:r>
              <w:rPr>
                <w:spacing w:val="1"/>
                <w:sz w:val="21"/>
                <w:szCs w:val="21"/>
                <w:highlight w:val="none"/>
              </w:rPr>
              <w:t>5</w:t>
            </w:r>
            <w:r>
              <w:rPr>
                <w:sz w:val="21"/>
                <w:szCs w:val="21"/>
                <w:highlight w:val="none"/>
              </w:rPr>
              <w:t>L</w:t>
            </w:r>
          </w:p>
        </w:tc>
        <w:tc>
          <w:tcPr>
            <w:tcW w:w="426" w:type="pct"/>
            <w:noWrap w:val="0"/>
            <w:vAlign w:val="center"/>
          </w:tcPr>
          <w:p w14:paraId="5A3270EF">
            <w:pPr>
              <w:kinsoku w:val="0"/>
              <w:overflowPunct w:val="0"/>
              <w:autoSpaceDE w:val="0"/>
              <w:autoSpaceDN w:val="0"/>
              <w:adjustRightInd w:val="0"/>
              <w:jc w:val="center"/>
              <w:rPr>
                <w:sz w:val="21"/>
                <w:szCs w:val="21"/>
                <w:highlight w:val="none"/>
              </w:rPr>
            </w:pPr>
            <w:r>
              <w:rPr>
                <w:sz w:val="21"/>
                <w:szCs w:val="21"/>
                <w:highlight w:val="none"/>
              </w:rPr>
              <w:t>0.292</w:t>
            </w:r>
          </w:p>
        </w:tc>
        <w:tc>
          <w:tcPr>
            <w:tcW w:w="481" w:type="pct"/>
            <w:noWrap w:val="0"/>
            <w:vAlign w:val="center"/>
          </w:tcPr>
          <w:p w14:paraId="5E684F21">
            <w:pPr>
              <w:kinsoku w:val="0"/>
              <w:overflowPunct w:val="0"/>
              <w:autoSpaceDE w:val="0"/>
              <w:autoSpaceDN w:val="0"/>
              <w:adjustRightInd w:val="0"/>
              <w:jc w:val="center"/>
              <w:rPr>
                <w:sz w:val="21"/>
                <w:szCs w:val="21"/>
                <w:highlight w:val="none"/>
              </w:rPr>
            </w:pPr>
            <w:r>
              <w:rPr>
                <w:sz w:val="21"/>
                <w:szCs w:val="21"/>
                <w:highlight w:val="none"/>
              </w:rPr>
              <w:t>0.344</w:t>
            </w:r>
          </w:p>
        </w:tc>
        <w:tc>
          <w:tcPr>
            <w:tcW w:w="426" w:type="pct"/>
            <w:noWrap w:val="0"/>
            <w:vAlign w:val="center"/>
          </w:tcPr>
          <w:p w14:paraId="67E7D058">
            <w:pPr>
              <w:kinsoku w:val="0"/>
              <w:overflowPunct w:val="0"/>
              <w:autoSpaceDE w:val="0"/>
              <w:autoSpaceDN w:val="0"/>
              <w:adjustRightInd w:val="0"/>
              <w:jc w:val="center"/>
              <w:rPr>
                <w:sz w:val="21"/>
                <w:szCs w:val="21"/>
                <w:highlight w:val="none"/>
              </w:rPr>
            </w:pPr>
            <w:r>
              <w:rPr>
                <w:sz w:val="21"/>
                <w:szCs w:val="21"/>
                <w:highlight w:val="none"/>
              </w:rPr>
              <w:t>0.025L</w:t>
            </w:r>
          </w:p>
        </w:tc>
        <w:tc>
          <w:tcPr>
            <w:tcW w:w="534" w:type="pct"/>
            <w:noWrap w:val="0"/>
            <w:vAlign w:val="center"/>
          </w:tcPr>
          <w:p w14:paraId="0CB8615E">
            <w:pPr>
              <w:kinsoku w:val="0"/>
              <w:overflowPunct w:val="0"/>
              <w:autoSpaceDE w:val="0"/>
              <w:autoSpaceDN w:val="0"/>
              <w:adjustRightInd w:val="0"/>
              <w:jc w:val="center"/>
              <w:rPr>
                <w:sz w:val="21"/>
                <w:szCs w:val="21"/>
                <w:highlight w:val="none"/>
              </w:rPr>
            </w:pPr>
            <w:r>
              <w:rPr>
                <w:sz w:val="21"/>
                <w:szCs w:val="21"/>
                <w:highlight w:val="none"/>
              </w:rPr>
              <w:t>0.025L</w:t>
            </w:r>
          </w:p>
        </w:tc>
        <w:tc>
          <w:tcPr>
            <w:tcW w:w="459" w:type="pct"/>
            <w:noWrap w:val="0"/>
            <w:vAlign w:val="bottom"/>
          </w:tcPr>
          <w:p w14:paraId="1FA35574">
            <w:pPr>
              <w:kinsoku w:val="0"/>
              <w:overflowPunct w:val="0"/>
              <w:autoSpaceDE w:val="0"/>
              <w:autoSpaceDN w:val="0"/>
              <w:adjustRightInd w:val="0"/>
              <w:jc w:val="center"/>
              <w:rPr>
                <w:sz w:val="21"/>
                <w:szCs w:val="21"/>
                <w:highlight w:val="none"/>
              </w:rPr>
            </w:pPr>
            <w:r>
              <w:rPr>
                <w:sz w:val="21"/>
                <w:szCs w:val="21"/>
                <w:highlight w:val="none"/>
              </w:rPr>
              <w:t>15</w:t>
            </w:r>
          </w:p>
        </w:tc>
      </w:tr>
      <w:tr w14:paraId="5BF6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69F95E22">
            <w:pPr>
              <w:kinsoku w:val="0"/>
              <w:overflowPunct w:val="0"/>
              <w:autoSpaceDE w:val="0"/>
              <w:autoSpaceDN w:val="0"/>
              <w:adjustRightInd w:val="0"/>
              <w:jc w:val="center"/>
              <w:rPr>
                <w:sz w:val="21"/>
                <w:szCs w:val="21"/>
                <w:highlight w:val="none"/>
              </w:rPr>
            </w:pPr>
            <w:r>
              <w:rPr>
                <w:sz w:val="21"/>
                <w:szCs w:val="21"/>
                <w:highlight w:val="none"/>
              </w:rPr>
              <w:t>总磷</w:t>
            </w:r>
          </w:p>
        </w:tc>
        <w:tc>
          <w:tcPr>
            <w:tcW w:w="408" w:type="pct"/>
            <w:noWrap w:val="0"/>
            <w:vAlign w:val="center"/>
          </w:tcPr>
          <w:p w14:paraId="41181804">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z w:val="21"/>
                <w:szCs w:val="21"/>
                <w:highlight w:val="none"/>
              </w:rPr>
              <w:t>3</w:t>
            </w:r>
          </w:p>
        </w:tc>
        <w:tc>
          <w:tcPr>
            <w:tcW w:w="426" w:type="pct"/>
            <w:noWrap w:val="0"/>
            <w:vAlign w:val="center"/>
          </w:tcPr>
          <w:p w14:paraId="6B36685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z w:val="21"/>
                <w:szCs w:val="21"/>
                <w:highlight w:val="none"/>
              </w:rPr>
              <w:t>4</w:t>
            </w:r>
          </w:p>
        </w:tc>
        <w:tc>
          <w:tcPr>
            <w:tcW w:w="426" w:type="pct"/>
            <w:noWrap w:val="0"/>
            <w:vAlign w:val="center"/>
          </w:tcPr>
          <w:p w14:paraId="783654F9">
            <w:pPr>
              <w:kinsoku w:val="0"/>
              <w:overflowPunct w:val="0"/>
              <w:autoSpaceDE w:val="0"/>
              <w:autoSpaceDN w:val="0"/>
              <w:adjustRightInd w:val="0"/>
              <w:jc w:val="center"/>
              <w:rPr>
                <w:sz w:val="21"/>
                <w:szCs w:val="21"/>
                <w:highlight w:val="none"/>
              </w:rPr>
            </w:pPr>
            <w:r>
              <w:rPr>
                <w:sz w:val="21"/>
                <w:szCs w:val="21"/>
                <w:highlight w:val="none"/>
              </w:rPr>
              <w:t>0.03</w:t>
            </w:r>
          </w:p>
        </w:tc>
        <w:tc>
          <w:tcPr>
            <w:tcW w:w="481" w:type="pct"/>
            <w:noWrap w:val="0"/>
            <w:vAlign w:val="center"/>
          </w:tcPr>
          <w:p w14:paraId="41513C2A">
            <w:pPr>
              <w:kinsoku w:val="0"/>
              <w:overflowPunct w:val="0"/>
              <w:autoSpaceDE w:val="0"/>
              <w:autoSpaceDN w:val="0"/>
              <w:adjustRightInd w:val="0"/>
              <w:jc w:val="center"/>
              <w:rPr>
                <w:sz w:val="21"/>
                <w:szCs w:val="21"/>
                <w:highlight w:val="none"/>
              </w:rPr>
            </w:pPr>
            <w:r>
              <w:rPr>
                <w:sz w:val="21"/>
                <w:szCs w:val="21"/>
                <w:highlight w:val="none"/>
              </w:rPr>
              <w:t>0.03</w:t>
            </w:r>
          </w:p>
        </w:tc>
        <w:tc>
          <w:tcPr>
            <w:tcW w:w="426" w:type="pct"/>
            <w:noWrap w:val="0"/>
            <w:vAlign w:val="center"/>
          </w:tcPr>
          <w:p w14:paraId="0C5CDC12">
            <w:pPr>
              <w:kinsoku w:val="0"/>
              <w:overflowPunct w:val="0"/>
              <w:autoSpaceDE w:val="0"/>
              <w:autoSpaceDN w:val="0"/>
              <w:adjustRightInd w:val="0"/>
              <w:jc w:val="center"/>
              <w:rPr>
                <w:sz w:val="21"/>
                <w:szCs w:val="21"/>
                <w:highlight w:val="none"/>
              </w:rPr>
            </w:pPr>
            <w:r>
              <w:rPr>
                <w:sz w:val="21"/>
                <w:szCs w:val="21"/>
                <w:highlight w:val="none"/>
              </w:rPr>
              <w:t>0.22</w:t>
            </w:r>
          </w:p>
        </w:tc>
        <w:tc>
          <w:tcPr>
            <w:tcW w:w="481" w:type="pct"/>
            <w:noWrap w:val="0"/>
            <w:vAlign w:val="center"/>
          </w:tcPr>
          <w:p w14:paraId="62188935">
            <w:pPr>
              <w:kinsoku w:val="0"/>
              <w:overflowPunct w:val="0"/>
              <w:autoSpaceDE w:val="0"/>
              <w:autoSpaceDN w:val="0"/>
              <w:adjustRightInd w:val="0"/>
              <w:jc w:val="center"/>
              <w:rPr>
                <w:sz w:val="21"/>
                <w:szCs w:val="21"/>
                <w:highlight w:val="none"/>
              </w:rPr>
            </w:pPr>
            <w:r>
              <w:rPr>
                <w:sz w:val="21"/>
                <w:szCs w:val="21"/>
                <w:highlight w:val="none"/>
              </w:rPr>
              <w:t>0.13</w:t>
            </w:r>
          </w:p>
        </w:tc>
        <w:tc>
          <w:tcPr>
            <w:tcW w:w="426" w:type="pct"/>
            <w:noWrap w:val="0"/>
            <w:vAlign w:val="center"/>
          </w:tcPr>
          <w:p w14:paraId="1CAEACE4">
            <w:pPr>
              <w:kinsoku w:val="0"/>
              <w:overflowPunct w:val="0"/>
              <w:autoSpaceDE w:val="0"/>
              <w:autoSpaceDN w:val="0"/>
              <w:adjustRightInd w:val="0"/>
              <w:jc w:val="center"/>
              <w:rPr>
                <w:sz w:val="21"/>
                <w:szCs w:val="21"/>
                <w:highlight w:val="none"/>
              </w:rPr>
            </w:pPr>
            <w:r>
              <w:rPr>
                <w:sz w:val="21"/>
                <w:szCs w:val="21"/>
                <w:highlight w:val="none"/>
              </w:rPr>
              <w:t>0.52</w:t>
            </w:r>
          </w:p>
        </w:tc>
        <w:tc>
          <w:tcPr>
            <w:tcW w:w="534" w:type="pct"/>
            <w:noWrap w:val="0"/>
            <w:vAlign w:val="center"/>
          </w:tcPr>
          <w:p w14:paraId="10DE4D8A">
            <w:pPr>
              <w:kinsoku w:val="0"/>
              <w:overflowPunct w:val="0"/>
              <w:autoSpaceDE w:val="0"/>
              <w:autoSpaceDN w:val="0"/>
              <w:adjustRightInd w:val="0"/>
              <w:jc w:val="center"/>
              <w:rPr>
                <w:sz w:val="21"/>
                <w:szCs w:val="21"/>
                <w:highlight w:val="none"/>
              </w:rPr>
            </w:pPr>
            <w:r>
              <w:rPr>
                <w:sz w:val="21"/>
                <w:szCs w:val="21"/>
                <w:highlight w:val="none"/>
              </w:rPr>
              <w:t>0.04</w:t>
            </w:r>
          </w:p>
        </w:tc>
        <w:tc>
          <w:tcPr>
            <w:tcW w:w="459" w:type="pct"/>
            <w:noWrap w:val="0"/>
            <w:vAlign w:val="bottom"/>
          </w:tcPr>
          <w:p w14:paraId="22709BCC">
            <w:pPr>
              <w:kinsoku w:val="0"/>
              <w:overflowPunct w:val="0"/>
              <w:autoSpaceDE w:val="0"/>
              <w:autoSpaceDN w:val="0"/>
              <w:adjustRightInd w:val="0"/>
              <w:jc w:val="center"/>
              <w:rPr>
                <w:sz w:val="21"/>
                <w:szCs w:val="21"/>
                <w:highlight w:val="none"/>
              </w:rPr>
            </w:pPr>
            <w:r>
              <w:rPr>
                <w:sz w:val="21"/>
                <w:szCs w:val="21"/>
                <w:highlight w:val="none"/>
              </w:rPr>
              <w:t>/</w:t>
            </w:r>
          </w:p>
        </w:tc>
      </w:tr>
      <w:tr w14:paraId="1453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5D9FCE8D">
            <w:pPr>
              <w:kinsoku w:val="0"/>
              <w:overflowPunct w:val="0"/>
              <w:autoSpaceDE w:val="0"/>
              <w:autoSpaceDN w:val="0"/>
              <w:adjustRightInd w:val="0"/>
              <w:jc w:val="center"/>
              <w:rPr>
                <w:sz w:val="21"/>
                <w:szCs w:val="21"/>
                <w:highlight w:val="none"/>
              </w:rPr>
            </w:pPr>
            <w:r>
              <w:rPr>
                <w:sz w:val="21"/>
                <w:szCs w:val="21"/>
                <w:highlight w:val="none"/>
              </w:rPr>
              <w:t>总氮</w:t>
            </w:r>
          </w:p>
        </w:tc>
        <w:tc>
          <w:tcPr>
            <w:tcW w:w="408" w:type="pct"/>
            <w:noWrap w:val="0"/>
            <w:vAlign w:val="center"/>
          </w:tcPr>
          <w:p w14:paraId="479B41D8">
            <w:pPr>
              <w:kinsoku w:val="0"/>
              <w:overflowPunct w:val="0"/>
              <w:autoSpaceDE w:val="0"/>
              <w:autoSpaceDN w:val="0"/>
              <w:adjustRightInd w:val="0"/>
              <w:jc w:val="center"/>
              <w:rPr>
                <w:sz w:val="21"/>
                <w:szCs w:val="21"/>
                <w:highlight w:val="none"/>
              </w:rPr>
            </w:pPr>
            <w:r>
              <w:rPr>
                <w:spacing w:val="1"/>
                <w:sz w:val="21"/>
                <w:szCs w:val="21"/>
                <w:highlight w:val="none"/>
              </w:rPr>
              <w:t>22</w:t>
            </w:r>
            <w:r>
              <w:rPr>
                <w:sz w:val="21"/>
                <w:szCs w:val="21"/>
                <w:highlight w:val="none"/>
              </w:rPr>
              <w:t>.3</w:t>
            </w:r>
          </w:p>
        </w:tc>
        <w:tc>
          <w:tcPr>
            <w:tcW w:w="426" w:type="pct"/>
            <w:noWrap w:val="0"/>
            <w:vAlign w:val="center"/>
          </w:tcPr>
          <w:p w14:paraId="191DB264">
            <w:pPr>
              <w:kinsoku w:val="0"/>
              <w:overflowPunct w:val="0"/>
              <w:autoSpaceDE w:val="0"/>
              <w:autoSpaceDN w:val="0"/>
              <w:adjustRightInd w:val="0"/>
              <w:jc w:val="center"/>
              <w:rPr>
                <w:sz w:val="21"/>
                <w:szCs w:val="21"/>
                <w:highlight w:val="none"/>
              </w:rPr>
            </w:pPr>
            <w:r>
              <w:rPr>
                <w:spacing w:val="1"/>
                <w:sz w:val="21"/>
                <w:szCs w:val="21"/>
                <w:highlight w:val="none"/>
              </w:rPr>
              <w:t>7</w:t>
            </w:r>
            <w:r>
              <w:rPr>
                <w:sz w:val="21"/>
                <w:szCs w:val="21"/>
                <w:highlight w:val="none"/>
              </w:rPr>
              <w:t>.</w:t>
            </w:r>
            <w:r>
              <w:rPr>
                <w:spacing w:val="1"/>
                <w:sz w:val="21"/>
                <w:szCs w:val="21"/>
                <w:highlight w:val="none"/>
              </w:rPr>
              <w:t>7</w:t>
            </w:r>
            <w:r>
              <w:rPr>
                <w:sz w:val="21"/>
                <w:szCs w:val="21"/>
                <w:highlight w:val="none"/>
              </w:rPr>
              <w:t>3</w:t>
            </w:r>
          </w:p>
        </w:tc>
        <w:tc>
          <w:tcPr>
            <w:tcW w:w="426" w:type="pct"/>
            <w:noWrap w:val="0"/>
            <w:vAlign w:val="center"/>
          </w:tcPr>
          <w:p w14:paraId="2189798B">
            <w:pPr>
              <w:kinsoku w:val="0"/>
              <w:overflowPunct w:val="0"/>
              <w:autoSpaceDE w:val="0"/>
              <w:autoSpaceDN w:val="0"/>
              <w:adjustRightInd w:val="0"/>
              <w:jc w:val="center"/>
              <w:rPr>
                <w:sz w:val="21"/>
                <w:szCs w:val="21"/>
                <w:highlight w:val="none"/>
              </w:rPr>
            </w:pPr>
            <w:r>
              <w:rPr>
                <w:sz w:val="21"/>
                <w:szCs w:val="21"/>
                <w:highlight w:val="none"/>
              </w:rPr>
              <w:t>7.61</w:t>
            </w:r>
          </w:p>
        </w:tc>
        <w:tc>
          <w:tcPr>
            <w:tcW w:w="481" w:type="pct"/>
            <w:noWrap w:val="0"/>
            <w:vAlign w:val="center"/>
          </w:tcPr>
          <w:p w14:paraId="62BBEA59">
            <w:pPr>
              <w:kinsoku w:val="0"/>
              <w:overflowPunct w:val="0"/>
              <w:autoSpaceDE w:val="0"/>
              <w:autoSpaceDN w:val="0"/>
              <w:adjustRightInd w:val="0"/>
              <w:jc w:val="center"/>
              <w:rPr>
                <w:sz w:val="21"/>
                <w:szCs w:val="21"/>
                <w:highlight w:val="none"/>
              </w:rPr>
            </w:pPr>
            <w:r>
              <w:rPr>
                <w:sz w:val="21"/>
                <w:szCs w:val="21"/>
                <w:highlight w:val="none"/>
              </w:rPr>
              <w:t>8.44</w:t>
            </w:r>
          </w:p>
        </w:tc>
        <w:tc>
          <w:tcPr>
            <w:tcW w:w="426" w:type="pct"/>
            <w:noWrap w:val="0"/>
            <w:vAlign w:val="center"/>
          </w:tcPr>
          <w:p w14:paraId="60500F7A">
            <w:pPr>
              <w:kinsoku w:val="0"/>
              <w:overflowPunct w:val="0"/>
              <w:autoSpaceDE w:val="0"/>
              <w:autoSpaceDN w:val="0"/>
              <w:adjustRightInd w:val="0"/>
              <w:jc w:val="center"/>
              <w:rPr>
                <w:sz w:val="21"/>
                <w:szCs w:val="21"/>
                <w:highlight w:val="none"/>
              </w:rPr>
            </w:pPr>
            <w:r>
              <w:rPr>
                <w:sz w:val="21"/>
                <w:szCs w:val="21"/>
                <w:highlight w:val="none"/>
              </w:rPr>
              <w:t>6.91</w:t>
            </w:r>
          </w:p>
        </w:tc>
        <w:tc>
          <w:tcPr>
            <w:tcW w:w="481" w:type="pct"/>
            <w:noWrap w:val="0"/>
            <w:vAlign w:val="center"/>
          </w:tcPr>
          <w:p w14:paraId="13DFC5DC">
            <w:pPr>
              <w:kinsoku w:val="0"/>
              <w:overflowPunct w:val="0"/>
              <w:autoSpaceDE w:val="0"/>
              <w:autoSpaceDN w:val="0"/>
              <w:adjustRightInd w:val="0"/>
              <w:jc w:val="center"/>
              <w:rPr>
                <w:sz w:val="21"/>
                <w:szCs w:val="21"/>
                <w:highlight w:val="none"/>
              </w:rPr>
            </w:pPr>
            <w:r>
              <w:rPr>
                <w:sz w:val="21"/>
                <w:szCs w:val="21"/>
                <w:highlight w:val="none"/>
              </w:rPr>
              <w:t>6.79</w:t>
            </w:r>
          </w:p>
        </w:tc>
        <w:tc>
          <w:tcPr>
            <w:tcW w:w="426" w:type="pct"/>
            <w:noWrap w:val="0"/>
            <w:vAlign w:val="center"/>
          </w:tcPr>
          <w:p w14:paraId="558A45F2">
            <w:pPr>
              <w:kinsoku w:val="0"/>
              <w:overflowPunct w:val="0"/>
              <w:autoSpaceDE w:val="0"/>
              <w:autoSpaceDN w:val="0"/>
              <w:adjustRightInd w:val="0"/>
              <w:jc w:val="center"/>
              <w:rPr>
                <w:sz w:val="21"/>
                <w:szCs w:val="21"/>
                <w:highlight w:val="none"/>
              </w:rPr>
            </w:pPr>
            <w:r>
              <w:rPr>
                <w:sz w:val="21"/>
                <w:szCs w:val="21"/>
                <w:highlight w:val="none"/>
              </w:rPr>
              <w:t>6.67</w:t>
            </w:r>
          </w:p>
        </w:tc>
        <w:tc>
          <w:tcPr>
            <w:tcW w:w="534" w:type="pct"/>
            <w:noWrap w:val="0"/>
            <w:vAlign w:val="center"/>
          </w:tcPr>
          <w:p w14:paraId="2741DB4F">
            <w:pPr>
              <w:kinsoku w:val="0"/>
              <w:overflowPunct w:val="0"/>
              <w:autoSpaceDE w:val="0"/>
              <w:autoSpaceDN w:val="0"/>
              <w:adjustRightInd w:val="0"/>
              <w:jc w:val="center"/>
              <w:rPr>
                <w:sz w:val="21"/>
                <w:szCs w:val="21"/>
                <w:highlight w:val="none"/>
              </w:rPr>
            </w:pPr>
            <w:r>
              <w:rPr>
                <w:sz w:val="21"/>
                <w:szCs w:val="21"/>
                <w:highlight w:val="none"/>
              </w:rPr>
              <w:t>6.34</w:t>
            </w:r>
          </w:p>
        </w:tc>
        <w:tc>
          <w:tcPr>
            <w:tcW w:w="459" w:type="pct"/>
            <w:noWrap w:val="0"/>
            <w:vAlign w:val="bottom"/>
          </w:tcPr>
          <w:p w14:paraId="5CB07E96">
            <w:pPr>
              <w:kinsoku w:val="0"/>
              <w:overflowPunct w:val="0"/>
              <w:autoSpaceDE w:val="0"/>
              <w:autoSpaceDN w:val="0"/>
              <w:adjustRightInd w:val="0"/>
              <w:jc w:val="center"/>
              <w:rPr>
                <w:sz w:val="21"/>
                <w:szCs w:val="21"/>
                <w:highlight w:val="none"/>
              </w:rPr>
            </w:pPr>
            <w:r>
              <w:rPr>
                <w:sz w:val="21"/>
                <w:szCs w:val="21"/>
                <w:highlight w:val="none"/>
              </w:rPr>
              <w:t>/</w:t>
            </w:r>
          </w:p>
        </w:tc>
      </w:tr>
      <w:tr w14:paraId="08E5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2A897CDE">
            <w:pPr>
              <w:kinsoku w:val="0"/>
              <w:overflowPunct w:val="0"/>
              <w:autoSpaceDE w:val="0"/>
              <w:autoSpaceDN w:val="0"/>
              <w:adjustRightInd w:val="0"/>
              <w:jc w:val="center"/>
              <w:rPr>
                <w:sz w:val="21"/>
                <w:szCs w:val="21"/>
                <w:highlight w:val="none"/>
              </w:rPr>
            </w:pPr>
            <w:r>
              <w:rPr>
                <w:sz w:val="21"/>
                <w:szCs w:val="21"/>
                <w:highlight w:val="none"/>
              </w:rPr>
              <w:t>硫化物</w:t>
            </w:r>
          </w:p>
        </w:tc>
        <w:tc>
          <w:tcPr>
            <w:tcW w:w="408" w:type="pct"/>
            <w:noWrap w:val="0"/>
            <w:vAlign w:val="center"/>
          </w:tcPr>
          <w:p w14:paraId="28C8A4B1">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426" w:type="pct"/>
            <w:noWrap w:val="0"/>
            <w:vAlign w:val="center"/>
          </w:tcPr>
          <w:p w14:paraId="3EEF63C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426" w:type="pct"/>
            <w:noWrap w:val="0"/>
            <w:vAlign w:val="center"/>
          </w:tcPr>
          <w:p w14:paraId="3F0C7FC9">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481" w:type="pct"/>
            <w:noWrap w:val="0"/>
            <w:vAlign w:val="center"/>
          </w:tcPr>
          <w:p w14:paraId="30C0483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5</w:t>
            </w:r>
            <w:r>
              <w:rPr>
                <w:sz w:val="21"/>
                <w:szCs w:val="21"/>
                <w:highlight w:val="none"/>
              </w:rPr>
              <w:t>L</w:t>
            </w:r>
          </w:p>
        </w:tc>
        <w:tc>
          <w:tcPr>
            <w:tcW w:w="426" w:type="pct"/>
            <w:noWrap w:val="0"/>
            <w:vAlign w:val="center"/>
          </w:tcPr>
          <w:p w14:paraId="6DB35474">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481" w:type="pct"/>
            <w:noWrap w:val="0"/>
            <w:vAlign w:val="center"/>
          </w:tcPr>
          <w:p w14:paraId="575E47CE">
            <w:pPr>
              <w:kinsoku w:val="0"/>
              <w:overflowPunct w:val="0"/>
              <w:autoSpaceDE w:val="0"/>
              <w:autoSpaceDN w:val="0"/>
              <w:adjustRightInd w:val="0"/>
              <w:jc w:val="center"/>
              <w:rPr>
                <w:sz w:val="21"/>
                <w:szCs w:val="21"/>
                <w:highlight w:val="none"/>
              </w:rPr>
            </w:pPr>
            <w:r>
              <w:rPr>
                <w:sz w:val="21"/>
                <w:szCs w:val="21"/>
                <w:highlight w:val="none"/>
              </w:rPr>
              <w:t>0.009</w:t>
            </w:r>
          </w:p>
        </w:tc>
        <w:tc>
          <w:tcPr>
            <w:tcW w:w="426" w:type="pct"/>
            <w:noWrap w:val="0"/>
            <w:vAlign w:val="center"/>
          </w:tcPr>
          <w:p w14:paraId="0496E62F">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5</w:t>
            </w:r>
            <w:r>
              <w:rPr>
                <w:sz w:val="21"/>
                <w:szCs w:val="21"/>
                <w:highlight w:val="none"/>
              </w:rPr>
              <w:t>L</w:t>
            </w:r>
          </w:p>
        </w:tc>
        <w:tc>
          <w:tcPr>
            <w:tcW w:w="534" w:type="pct"/>
            <w:noWrap w:val="0"/>
            <w:vAlign w:val="center"/>
          </w:tcPr>
          <w:p w14:paraId="523AD13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5</w:t>
            </w:r>
            <w:r>
              <w:rPr>
                <w:sz w:val="21"/>
                <w:szCs w:val="21"/>
                <w:highlight w:val="none"/>
              </w:rPr>
              <w:t>L</w:t>
            </w:r>
          </w:p>
        </w:tc>
        <w:tc>
          <w:tcPr>
            <w:tcW w:w="459" w:type="pct"/>
            <w:noWrap w:val="0"/>
            <w:vAlign w:val="bottom"/>
          </w:tcPr>
          <w:p w14:paraId="6CB7F0C0">
            <w:pPr>
              <w:kinsoku w:val="0"/>
              <w:overflowPunct w:val="0"/>
              <w:autoSpaceDE w:val="0"/>
              <w:autoSpaceDN w:val="0"/>
              <w:adjustRightInd w:val="0"/>
              <w:jc w:val="center"/>
              <w:rPr>
                <w:sz w:val="21"/>
                <w:szCs w:val="21"/>
                <w:highlight w:val="none"/>
              </w:rPr>
            </w:pPr>
            <w:r>
              <w:rPr>
                <w:sz w:val="21"/>
                <w:szCs w:val="21"/>
                <w:highlight w:val="none"/>
              </w:rPr>
              <w:t>1.0</w:t>
            </w:r>
          </w:p>
        </w:tc>
      </w:tr>
      <w:tr w14:paraId="50F1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21C02761">
            <w:pPr>
              <w:kinsoku w:val="0"/>
              <w:overflowPunct w:val="0"/>
              <w:autoSpaceDE w:val="0"/>
              <w:autoSpaceDN w:val="0"/>
              <w:adjustRightInd w:val="0"/>
              <w:jc w:val="center"/>
              <w:rPr>
                <w:sz w:val="21"/>
                <w:szCs w:val="21"/>
                <w:highlight w:val="none"/>
              </w:rPr>
            </w:pPr>
            <w:r>
              <w:rPr>
                <w:sz w:val="21"/>
                <w:szCs w:val="21"/>
                <w:highlight w:val="none"/>
              </w:rPr>
              <w:t>氟化物</w:t>
            </w:r>
          </w:p>
        </w:tc>
        <w:tc>
          <w:tcPr>
            <w:tcW w:w="408" w:type="pct"/>
            <w:noWrap w:val="0"/>
            <w:vAlign w:val="center"/>
          </w:tcPr>
          <w:p w14:paraId="3F868AEC">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4</w:t>
            </w:r>
            <w:r>
              <w:rPr>
                <w:sz w:val="21"/>
                <w:szCs w:val="21"/>
                <w:highlight w:val="none"/>
              </w:rPr>
              <w:t>0</w:t>
            </w:r>
          </w:p>
        </w:tc>
        <w:tc>
          <w:tcPr>
            <w:tcW w:w="426" w:type="pct"/>
            <w:noWrap w:val="0"/>
            <w:vAlign w:val="center"/>
          </w:tcPr>
          <w:p w14:paraId="7959FFA8">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4</w:t>
            </w:r>
            <w:r>
              <w:rPr>
                <w:sz w:val="21"/>
                <w:szCs w:val="21"/>
                <w:highlight w:val="none"/>
              </w:rPr>
              <w:t>1</w:t>
            </w:r>
          </w:p>
        </w:tc>
        <w:tc>
          <w:tcPr>
            <w:tcW w:w="426" w:type="pct"/>
            <w:noWrap w:val="0"/>
            <w:vAlign w:val="center"/>
          </w:tcPr>
          <w:p w14:paraId="7EFD02EA">
            <w:pPr>
              <w:kinsoku w:val="0"/>
              <w:overflowPunct w:val="0"/>
              <w:autoSpaceDE w:val="0"/>
              <w:autoSpaceDN w:val="0"/>
              <w:adjustRightInd w:val="0"/>
              <w:jc w:val="center"/>
              <w:rPr>
                <w:sz w:val="21"/>
                <w:szCs w:val="21"/>
                <w:highlight w:val="none"/>
              </w:rPr>
            </w:pPr>
            <w:r>
              <w:rPr>
                <w:sz w:val="21"/>
                <w:szCs w:val="21"/>
                <w:highlight w:val="none"/>
              </w:rPr>
              <w:t>0.39</w:t>
            </w:r>
          </w:p>
        </w:tc>
        <w:tc>
          <w:tcPr>
            <w:tcW w:w="481" w:type="pct"/>
            <w:noWrap w:val="0"/>
            <w:vAlign w:val="center"/>
          </w:tcPr>
          <w:p w14:paraId="640D4724">
            <w:pPr>
              <w:kinsoku w:val="0"/>
              <w:overflowPunct w:val="0"/>
              <w:autoSpaceDE w:val="0"/>
              <w:autoSpaceDN w:val="0"/>
              <w:adjustRightInd w:val="0"/>
              <w:jc w:val="center"/>
              <w:rPr>
                <w:sz w:val="21"/>
                <w:szCs w:val="21"/>
                <w:highlight w:val="none"/>
              </w:rPr>
            </w:pPr>
            <w:r>
              <w:rPr>
                <w:sz w:val="21"/>
                <w:szCs w:val="21"/>
                <w:highlight w:val="none"/>
              </w:rPr>
              <w:t>0.42</w:t>
            </w:r>
          </w:p>
        </w:tc>
        <w:tc>
          <w:tcPr>
            <w:tcW w:w="426" w:type="pct"/>
            <w:noWrap w:val="0"/>
            <w:vAlign w:val="center"/>
          </w:tcPr>
          <w:p w14:paraId="2BC156C8">
            <w:pPr>
              <w:kinsoku w:val="0"/>
              <w:overflowPunct w:val="0"/>
              <w:autoSpaceDE w:val="0"/>
              <w:autoSpaceDN w:val="0"/>
              <w:adjustRightInd w:val="0"/>
              <w:jc w:val="center"/>
              <w:rPr>
                <w:sz w:val="21"/>
                <w:szCs w:val="21"/>
                <w:highlight w:val="none"/>
              </w:rPr>
            </w:pPr>
            <w:r>
              <w:rPr>
                <w:sz w:val="21"/>
                <w:szCs w:val="21"/>
                <w:highlight w:val="none"/>
              </w:rPr>
              <w:t>0.47</w:t>
            </w:r>
          </w:p>
        </w:tc>
        <w:tc>
          <w:tcPr>
            <w:tcW w:w="481" w:type="pct"/>
            <w:noWrap w:val="0"/>
            <w:vAlign w:val="center"/>
          </w:tcPr>
          <w:p w14:paraId="02745843">
            <w:pPr>
              <w:kinsoku w:val="0"/>
              <w:overflowPunct w:val="0"/>
              <w:autoSpaceDE w:val="0"/>
              <w:autoSpaceDN w:val="0"/>
              <w:adjustRightInd w:val="0"/>
              <w:jc w:val="center"/>
              <w:rPr>
                <w:sz w:val="21"/>
                <w:szCs w:val="21"/>
                <w:highlight w:val="none"/>
              </w:rPr>
            </w:pPr>
            <w:r>
              <w:rPr>
                <w:sz w:val="21"/>
                <w:szCs w:val="21"/>
                <w:highlight w:val="none"/>
              </w:rPr>
              <w:t>0.45</w:t>
            </w:r>
          </w:p>
        </w:tc>
        <w:tc>
          <w:tcPr>
            <w:tcW w:w="426" w:type="pct"/>
            <w:noWrap w:val="0"/>
            <w:vAlign w:val="center"/>
          </w:tcPr>
          <w:p w14:paraId="373703CF">
            <w:pPr>
              <w:kinsoku w:val="0"/>
              <w:overflowPunct w:val="0"/>
              <w:autoSpaceDE w:val="0"/>
              <w:autoSpaceDN w:val="0"/>
              <w:adjustRightInd w:val="0"/>
              <w:jc w:val="center"/>
              <w:rPr>
                <w:sz w:val="21"/>
                <w:szCs w:val="21"/>
                <w:highlight w:val="none"/>
              </w:rPr>
            </w:pPr>
            <w:r>
              <w:rPr>
                <w:sz w:val="21"/>
                <w:szCs w:val="21"/>
                <w:highlight w:val="none"/>
              </w:rPr>
              <w:t>0.39</w:t>
            </w:r>
          </w:p>
        </w:tc>
        <w:tc>
          <w:tcPr>
            <w:tcW w:w="534" w:type="pct"/>
            <w:noWrap w:val="0"/>
            <w:vAlign w:val="center"/>
          </w:tcPr>
          <w:p w14:paraId="0746D8D9">
            <w:pPr>
              <w:kinsoku w:val="0"/>
              <w:overflowPunct w:val="0"/>
              <w:autoSpaceDE w:val="0"/>
              <w:autoSpaceDN w:val="0"/>
              <w:adjustRightInd w:val="0"/>
              <w:jc w:val="center"/>
              <w:rPr>
                <w:sz w:val="21"/>
                <w:szCs w:val="21"/>
                <w:highlight w:val="none"/>
              </w:rPr>
            </w:pPr>
            <w:r>
              <w:rPr>
                <w:sz w:val="21"/>
                <w:szCs w:val="21"/>
                <w:highlight w:val="none"/>
              </w:rPr>
              <w:t>0.33</w:t>
            </w:r>
          </w:p>
        </w:tc>
        <w:tc>
          <w:tcPr>
            <w:tcW w:w="459" w:type="pct"/>
            <w:noWrap w:val="0"/>
            <w:vAlign w:val="bottom"/>
          </w:tcPr>
          <w:p w14:paraId="4BA00FF4">
            <w:pPr>
              <w:kinsoku w:val="0"/>
              <w:overflowPunct w:val="0"/>
              <w:autoSpaceDE w:val="0"/>
              <w:autoSpaceDN w:val="0"/>
              <w:adjustRightInd w:val="0"/>
              <w:jc w:val="center"/>
              <w:rPr>
                <w:sz w:val="21"/>
                <w:szCs w:val="21"/>
                <w:highlight w:val="none"/>
              </w:rPr>
            </w:pPr>
            <w:r>
              <w:rPr>
                <w:sz w:val="21"/>
                <w:szCs w:val="21"/>
                <w:highlight w:val="none"/>
              </w:rPr>
              <w:t>10</w:t>
            </w:r>
          </w:p>
        </w:tc>
      </w:tr>
      <w:tr w14:paraId="1EF3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47BAC528">
            <w:pPr>
              <w:kinsoku w:val="0"/>
              <w:overflowPunct w:val="0"/>
              <w:autoSpaceDE w:val="0"/>
              <w:autoSpaceDN w:val="0"/>
              <w:adjustRightInd w:val="0"/>
              <w:jc w:val="center"/>
              <w:rPr>
                <w:sz w:val="21"/>
                <w:szCs w:val="21"/>
                <w:highlight w:val="none"/>
              </w:rPr>
            </w:pPr>
            <w:r>
              <w:rPr>
                <w:sz w:val="21"/>
                <w:szCs w:val="21"/>
                <w:highlight w:val="none"/>
              </w:rPr>
              <w:t>总铅（μ</w:t>
            </w:r>
            <w:r>
              <w:rPr>
                <w:spacing w:val="-3"/>
                <w:sz w:val="21"/>
                <w:szCs w:val="21"/>
                <w:highlight w:val="none"/>
              </w:rPr>
              <w:t>g</w:t>
            </w:r>
            <w:r>
              <w:rPr>
                <w:sz w:val="21"/>
                <w:szCs w:val="21"/>
                <w:highlight w:val="none"/>
              </w:rPr>
              <w:t>/L）</w:t>
            </w:r>
          </w:p>
        </w:tc>
        <w:tc>
          <w:tcPr>
            <w:tcW w:w="408" w:type="pct"/>
            <w:noWrap w:val="0"/>
            <w:vAlign w:val="center"/>
          </w:tcPr>
          <w:p w14:paraId="66C19C58">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2"/>
                <w:sz w:val="21"/>
                <w:szCs w:val="21"/>
                <w:highlight w:val="none"/>
              </w:rPr>
              <w:t>2</w:t>
            </w:r>
            <w:r>
              <w:rPr>
                <w:spacing w:val="1"/>
                <w:sz w:val="21"/>
                <w:szCs w:val="21"/>
                <w:highlight w:val="none"/>
              </w:rPr>
              <w:t>5</w:t>
            </w:r>
            <w:r>
              <w:rPr>
                <w:sz w:val="21"/>
                <w:szCs w:val="21"/>
                <w:highlight w:val="none"/>
              </w:rPr>
              <w:t>L</w:t>
            </w:r>
          </w:p>
        </w:tc>
        <w:tc>
          <w:tcPr>
            <w:tcW w:w="426" w:type="pct"/>
            <w:noWrap w:val="0"/>
            <w:vAlign w:val="center"/>
          </w:tcPr>
          <w:p w14:paraId="0E2016D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426" w:type="pct"/>
            <w:noWrap w:val="0"/>
            <w:vAlign w:val="center"/>
          </w:tcPr>
          <w:p w14:paraId="1DFA2A2A">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481" w:type="pct"/>
            <w:noWrap w:val="0"/>
            <w:vAlign w:val="center"/>
          </w:tcPr>
          <w:p w14:paraId="35E8251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w:t>
            </w:r>
            <w:r>
              <w:rPr>
                <w:spacing w:val="-2"/>
                <w:sz w:val="21"/>
                <w:szCs w:val="21"/>
                <w:highlight w:val="none"/>
              </w:rPr>
              <w:t>5</w:t>
            </w:r>
            <w:r>
              <w:rPr>
                <w:sz w:val="21"/>
                <w:szCs w:val="21"/>
                <w:highlight w:val="none"/>
              </w:rPr>
              <w:t>L</w:t>
            </w:r>
          </w:p>
        </w:tc>
        <w:tc>
          <w:tcPr>
            <w:tcW w:w="426" w:type="pct"/>
            <w:noWrap w:val="0"/>
            <w:vAlign w:val="center"/>
          </w:tcPr>
          <w:p w14:paraId="6550954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481" w:type="pct"/>
            <w:noWrap w:val="0"/>
            <w:vAlign w:val="center"/>
          </w:tcPr>
          <w:p w14:paraId="034ED823">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w:t>
            </w:r>
            <w:r>
              <w:rPr>
                <w:spacing w:val="-2"/>
                <w:sz w:val="21"/>
                <w:szCs w:val="21"/>
                <w:highlight w:val="none"/>
              </w:rPr>
              <w:t>5</w:t>
            </w:r>
            <w:r>
              <w:rPr>
                <w:sz w:val="21"/>
                <w:szCs w:val="21"/>
                <w:highlight w:val="none"/>
              </w:rPr>
              <w:t>L</w:t>
            </w:r>
          </w:p>
        </w:tc>
        <w:tc>
          <w:tcPr>
            <w:tcW w:w="426" w:type="pct"/>
            <w:noWrap w:val="0"/>
            <w:vAlign w:val="center"/>
          </w:tcPr>
          <w:p w14:paraId="2A1E1623">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534" w:type="pct"/>
            <w:noWrap w:val="0"/>
            <w:vAlign w:val="center"/>
          </w:tcPr>
          <w:p w14:paraId="625E384F">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459" w:type="pct"/>
            <w:noWrap w:val="0"/>
            <w:vAlign w:val="center"/>
          </w:tcPr>
          <w:p w14:paraId="2BB75B8C">
            <w:pPr>
              <w:kinsoku w:val="0"/>
              <w:overflowPunct w:val="0"/>
              <w:autoSpaceDE w:val="0"/>
              <w:autoSpaceDN w:val="0"/>
              <w:adjustRightInd w:val="0"/>
              <w:jc w:val="center"/>
              <w:rPr>
                <w:sz w:val="21"/>
                <w:szCs w:val="21"/>
                <w:highlight w:val="none"/>
              </w:rPr>
            </w:pPr>
            <w:r>
              <w:rPr>
                <w:sz w:val="21"/>
                <w:szCs w:val="21"/>
                <w:highlight w:val="none"/>
              </w:rPr>
              <w:t>1.0</w:t>
            </w:r>
            <w:r>
              <w:rPr>
                <w:szCs w:val="21"/>
                <w:highlight w:val="none"/>
              </w:rPr>
              <w:t>mg/L</w:t>
            </w:r>
          </w:p>
        </w:tc>
      </w:tr>
      <w:tr w14:paraId="2BC1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537596AB">
            <w:pPr>
              <w:kinsoku w:val="0"/>
              <w:overflowPunct w:val="0"/>
              <w:autoSpaceDE w:val="0"/>
              <w:autoSpaceDN w:val="0"/>
              <w:adjustRightInd w:val="0"/>
              <w:jc w:val="center"/>
              <w:rPr>
                <w:sz w:val="21"/>
                <w:szCs w:val="21"/>
                <w:highlight w:val="none"/>
              </w:rPr>
            </w:pPr>
            <w:r>
              <w:rPr>
                <w:sz w:val="21"/>
                <w:szCs w:val="21"/>
                <w:highlight w:val="none"/>
              </w:rPr>
              <w:t>总镉（μ</w:t>
            </w:r>
            <w:r>
              <w:rPr>
                <w:spacing w:val="-3"/>
                <w:sz w:val="21"/>
                <w:szCs w:val="21"/>
                <w:highlight w:val="none"/>
              </w:rPr>
              <w:t>g</w:t>
            </w:r>
            <w:r>
              <w:rPr>
                <w:sz w:val="21"/>
                <w:szCs w:val="21"/>
                <w:highlight w:val="none"/>
              </w:rPr>
              <w:t>/L）</w:t>
            </w:r>
          </w:p>
        </w:tc>
        <w:tc>
          <w:tcPr>
            <w:tcW w:w="408" w:type="pct"/>
            <w:noWrap w:val="0"/>
            <w:vAlign w:val="center"/>
          </w:tcPr>
          <w:p w14:paraId="261C6CFC">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26" w:type="pct"/>
            <w:noWrap w:val="0"/>
            <w:vAlign w:val="center"/>
          </w:tcPr>
          <w:p w14:paraId="623B2C33">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26" w:type="pct"/>
            <w:noWrap w:val="0"/>
            <w:vAlign w:val="center"/>
          </w:tcPr>
          <w:p w14:paraId="7E14DC9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81" w:type="pct"/>
            <w:noWrap w:val="0"/>
            <w:vAlign w:val="center"/>
          </w:tcPr>
          <w:p w14:paraId="3CB4E568">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2</w:t>
            </w:r>
            <w:r>
              <w:rPr>
                <w:spacing w:val="1"/>
                <w:sz w:val="21"/>
                <w:szCs w:val="21"/>
                <w:highlight w:val="none"/>
              </w:rPr>
              <w:t>5</w:t>
            </w:r>
            <w:r>
              <w:rPr>
                <w:sz w:val="21"/>
                <w:szCs w:val="21"/>
                <w:highlight w:val="none"/>
              </w:rPr>
              <w:t>L</w:t>
            </w:r>
          </w:p>
        </w:tc>
        <w:tc>
          <w:tcPr>
            <w:tcW w:w="426" w:type="pct"/>
            <w:noWrap w:val="0"/>
            <w:vAlign w:val="center"/>
          </w:tcPr>
          <w:p w14:paraId="590AB82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81" w:type="pct"/>
            <w:noWrap w:val="0"/>
            <w:vAlign w:val="center"/>
          </w:tcPr>
          <w:p w14:paraId="5933FFBF">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26" w:type="pct"/>
            <w:noWrap w:val="0"/>
            <w:vAlign w:val="center"/>
          </w:tcPr>
          <w:p w14:paraId="23DDE014">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2</w:t>
            </w:r>
            <w:r>
              <w:rPr>
                <w:spacing w:val="1"/>
                <w:sz w:val="21"/>
                <w:szCs w:val="21"/>
                <w:highlight w:val="none"/>
              </w:rPr>
              <w:t>5</w:t>
            </w:r>
            <w:r>
              <w:rPr>
                <w:sz w:val="21"/>
                <w:szCs w:val="21"/>
                <w:highlight w:val="none"/>
              </w:rPr>
              <w:t>L</w:t>
            </w:r>
          </w:p>
        </w:tc>
        <w:tc>
          <w:tcPr>
            <w:tcW w:w="534" w:type="pct"/>
            <w:noWrap w:val="0"/>
            <w:vAlign w:val="center"/>
          </w:tcPr>
          <w:p w14:paraId="46C2DFF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2</w:t>
            </w:r>
            <w:r>
              <w:rPr>
                <w:spacing w:val="1"/>
                <w:sz w:val="21"/>
                <w:szCs w:val="21"/>
                <w:highlight w:val="none"/>
              </w:rPr>
              <w:t>5</w:t>
            </w:r>
            <w:r>
              <w:rPr>
                <w:sz w:val="21"/>
                <w:szCs w:val="21"/>
                <w:highlight w:val="none"/>
              </w:rPr>
              <w:t>L</w:t>
            </w:r>
          </w:p>
        </w:tc>
        <w:tc>
          <w:tcPr>
            <w:tcW w:w="459" w:type="pct"/>
            <w:noWrap w:val="0"/>
            <w:vAlign w:val="center"/>
          </w:tcPr>
          <w:p w14:paraId="1CE8CFDB">
            <w:pPr>
              <w:kinsoku w:val="0"/>
              <w:overflowPunct w:val="0"/>
              <w:autoSpaceDE w:val="0"/>
              <w:autoSpaceDN w:val="0"/>
              <w:adjustRightInd w:val="0"/>
              <w:jc w:val="center"/>
              <w:rPr>
                <w:sz w:val="21"/>
                <w:szCs w:val="21"/>
                <w:highlight w:val="none"/>
              </w:rPr>
            </w:pPr>
            <w:r>
              <w:rPr>
                <w:sz w:val="21"/>
                <w:szCs w:val="21"/>
                <w:highlight w:val="none"/>
              </w:rPr>
              <w:t>0.1</w:t>
            </w:r>
            <w:r>
              <w:rPr>
                <w:szCs w:val="21"/>
                <w:highlight w:val="none"/>
              </w:rPr>
              <w:t>mg/L</w:t>
            </w:r>
          </w:p>
        </w:tc>
      </w:tr>
      <w:tr w14:paraId="689D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0513D01E">
            <w:pPr>
              <w:kinsoku w:val="0"/>
              <w:overflowPunct w:val="0"/>
              <w:autoSpaceDE w:val="0"/>
              <w:autoSpaceDN w:val="0"/>
              <w:adjustRightInd w:val="0"/>
              <w:jc w:val="center"/>
              <w:rPr>
                <w:sz w:val="21"/>
                <w:szCs w:val="21"/>
                <w:highlight w:val="none"/>
              </w:rPr>
            </w:pPr>
            <w:r>
              <w:rPr>
                <w:sz w:val="21"/>
                <w:szCs w:val="21"/>
                <w:highlight w:val="none"/>
              </w:rPr>
              <w:t>六价铬</w:t>
            </w:r>
          </w:p>
        </w:tc>
        <w:tc>
          <w:tcPr>
            <w:tcW w:w="408" w:type="pct"/>
            <w:noWrap w:val="0"/>
            <w:vAlign w:val="center"/>
          </w:tcPr>
          <w:p w14:paraId="5304258E">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26" w:type="pct"/>
            <w:noWrap w:val="0"/>
            <w:vAlign w:val="center"/>
          </w:tcPr>
          <w:p w14:paraId="31454DF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26" w:type="pct"/>
            <w:noWrap w:val="0"/>
            <w:vAlign w:val="center"/>
          </w:tcPr>
          <w:p w14:paraId="1FA73C3C">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81" w:type="pct"/>
            <w:noWrap w:val="0"/>
            <w:vAlign w:val="center"/>
          </w:tcPr>
          <w:p w14:paraId="2821F5F9">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4</w:t>
            </w:r>
            <w:r>
              <w:rPr>
                <w:sz w:val="21"/>
                <w:szCs w:val="21"/>
                <w:highlight w:val="none"/>
              </w:rPr>
              <w:t>L</w:t>
            </w:r>
          </w:p>
        </w:tc>
        <w:tc>
          <w:tcPr>
            <w:tcW w:w="426" w:type="pct"/>
            <w:noWrap w:val="0"/>
            <w:vAlign w:val="center"/>
          </w:tcPr>
          <w:p w14:paraId="5679766C">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81" w:type="pct"/>
            <w:noWrap w:val="0"/>
            <w:vAlign w:val="center"/>
          </w:tcPr>
          <w:p w14:paraId="1AF8D279">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26" w:type="pct"/>
            <w:noWrap w:val="0"/>
            <w:vAlign w:val="center"/>
          </w:tcPr>
          <w:p w14:paraId="24D34C2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4</w:t>
            </w:r>
            <w:r>
              <w:rPr>
                <w:sz w:val="21"/>
                <w:szCs w:val="21"/>
                <w:highlight w:val="none"/>
              </w:rPr>
              <w:t>L</w:t>
            </w:r>
          </w:p>
        </w:tc>
        <w:tc>
          <w:tcPr>
            <w:tcW w:w="534" w:type="pct"/>
            <w:noWrap w:val="0"/>
            <w:vAlign w:val="center"/>
          </w:tcPr>
          <w:p w14:paraId="443917EE">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4</w:t>
            </w:r>
            <w:r>
              <w:rPr>
                <w:sz w:val="21"/>
                <w:szCs w:val="21"/>
                <w:highlight w:val="none"/>
              </w:rPr>
              <w:t>L</w:t>
            </w:r>
          </w:p>
        </w:tc>
        <w:tc>
          <w:tcPr>
            <w:tcW w:w="459" w:type="pct"/>
            <w:noWrap w:val="0"/>
            <w:vAlign w:val="center"/>
          </w:tcPr>
          <w:p w14:paraId="4EEA8A69">
            <w:pPr>
              <w:kinsoku w:val="0"/>
              <w:overflowPunct w:val="0"/>
              <w:autoSpaceDE w:val="0"/>
              <w:autoSpaceDN w:val="0"/>
              <w:adjustRightInd w:val="0"/>
              <w:jc w:val="center"/>
              <w:rPr>
                <w:sz w:val="21"/>
                <w:szCs w:val="21"/>
                <w:highlight w:val="none"/>
              </w:rPr>
            </w:pPr>
            <w:r>
              <w:rPr>
                <w:sz w:val="21"/>
                <w:szCs w:val="21"/>
                <w:highlight w:val="none"/>
              </w:rPr>
              <w:t>0.5</w:t>
            </w:r>
          </w:p>
        </w:tc>
      </w:tr>
      <w:tr w14:paraId="4C5D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73236DD4">
            <w:pPr>
              <w:kinsoku w:val="0"/>
              <w:overflowPunct w:val="0"/>
              <w:autoSpaceDE w:val="0"/>
              <w:autoSpaceDN w:val="0"/>
              <w:adjustRightInd w:val="0"/>
              <w:jc w:val="center"/>
              <w:rPr>
                <w:sz w:val="21"/>
                <w:szCs w:val="21"/>
                <w:highlight w:val="none"/>
              </w:rPr>
            </w:pPr>
            <w:r>
              <w:rPr>
                <w:sz w:val="21"/>
                <w:szCs w:val="21"/>
                <w:highlight w:val="none"/>
              </w:rPr>
              <w:t>总铬</w:t>
            </w:r>
          </w:p>
        </w:tc>
        <w:tc>
          <w:tcPr>
            <w:tcW w:w="408" w:type="pct"/>
            <w:noWrap w:val="0"/>
            <w:vAlign w:val="center"/>
          </w:tcPr>
          <w:p w14:paraId="46C7B0F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2"/>
                <w:sz w:val="21"/>
                <w:szCs w:val="21"/>
                <w:highlight w:val="none"/>
              </w:rPr>
              <w:t>0</w:t>
            </w:r>
            <w:r>
              <w:rPr>
                <w:spacing w:val="1"/>
                <w:sz w:val="21"/>
                <w:szCs w:val="21"/>
                <w:highlight w:val="none"/>
              </w:rPr>
              <w:t>3</w:t>
            </w:r>
            <w:r>
              <w:rPr>
                <w:sz w:val="21"/>
                <w:szCs w:val="21"/>
                <w:highlight w:val="none"/>
              </w:rPr>
              <w:t>L</w:t>
            </w:r>
          </w:p>
        </w:tc>
        <w:tc>
          <w:tcPr>
            <w:tcW w:w="426" w:type="pct"/>
            <w:noWrap w:val="0"/>
            <w:vAlign w:val="center"/>
          </w:tcPr>
          <w:p w14:paraId="5160D21A">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426" w:type="pct"/>
            <w:noWrap w:val="0"/>
            <w:vAlign w:val="center"/>
          </w:tcPr>
          <w:p w14:paraId="021425B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481" w:type="pct"/>
            <w:noWrap w:val="0"/>
            <w:vAlign w:val="center"/>
          </w:tcPr>
          <w:p w14:paraId="22FC7E1A">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3</w:t>
            </w:r>
            <w:r>
              <w:rPr>
                <w:sz w:val="21"/>
                <w:szCs w:val="21"/>
                <w:highlight w:val="none"/>
              </w:rPr>
              <w:t>L</w:t>
            </w:r>
          </w:p>
        </w:tc>
        <w:tc>
          <w:tcPr>
            <w:tcW w:w="426" w:type="pct"/>
            <w:noWrap w:val="0"/>
            <w:vAlign w:val="center"/>
          </w:tcPr>
          <w:p w14:paraId="528C90A7">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481" w:type="pct"/>
            <w:noWrap w:val="0"/>
            <w:vAlign w:val="center"/>
          </w:tcPr>
          <w:p w14:paraId="4D13D20E">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3</w:t>
            </w:r>
            <w:r>
              <w:rPr>
                <w:sz w:val="21"/>
                <w:szCs w:val="21"/>
                <w:highlight w:val="none"/>
              </w:rPr>
              <w:t>L</w:t>
            </w:r>
          </w:p>
        </w:tc>
        <w:tc>
          <w:tcPr>
            <w:tcW w:w="426" w:type="pct"/>
            <w:noWrap w:val="0"/>
            <w:vAlign w:val="center"/>
          </w:tcPr>
          <w:p w14:paraId="746EE0F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534" w:type="pct"/>
            <w:noWrap w:val="0"/>
            <w:vAlign w:val="center"/>
          </w:tcPr>
          <w:p w14:paraId="232333E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459" w:type="pct"/>
            <w:noWrap w:val="0"/>
            <w:vAlign w:val="center"/>
          </w:tcPr>
          <w:p w14:paraId="68C9430C">
            <w:pPr>
              <w:kinsoku w:val="0"/>
              <w:overflowPunct w:val="0"/>
              <w:autoSpaceDE w:val="0"/>
              <w:autoSpaceDN w:val="0"/>
              <w:adjustRightInd w:val="0"/>
              <w:jc w:val="center"/>
              <w:rPr>
                <w:sz w:val="21"/>
                <w:szCs w:val="21"/>
                <w:highlight w:val="none"/>
              </w:rPr>
            </w:pPr>
            <w:r>
              <w:rPr>
                <w:sz w:val="21"/>
                <w:szCs w:val="21"/>
                <w:highlight w:val="none"/>
              </w:rPr>
              <w:t>1.5</w:t>
            </w:r>
          </w:p>
        </w:tc>
      </w:tr>
      <w:tr w14:paraId="16D1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3F9C45E2">
            <w:pPr>
              <w:kinsoku w:val="0"/>
              <w:overflowPunct w:val="0"/>
              <w:autoSpaceDE w:val="0"/>
              <w:autoSpaceDN w:val="0"/>
              <w:adjustRightInd w:val="0"/>
              <w:jc w:val="center"/>
              <w:rPr>
                <w:sz w:val="21"/>
                <w:szCs w:val="21"/>
                <w:highlight w:val="none"/>
              </w:rPr>
            </w:pPr>
            <w:r>
              <w:rPr>
                <w:sz w:val="21"/>
                <w:szCs w:val="21"/>
                <w:highlight w:val="none"/>
              </w:rPr>
              <w:t>总砷（μ</w:t>
            </w:r>
            <w:r>
              <w:rPr>
                <w:spacing w:val="-3"/>
                <w:sz w:val="21"/>
                <w:szCs w:val="21"/>
                <w:highlight w:val="none"/>
              </w:rPr>
              <w:t>g</w:t>
            </w:r>
            <w:r>
              <w:rPr>
                <w:sz w:val="21"/>
                <w:szCs w:val="21"/>
                <w:highlight w:val="none"/>
              </w:rPr>
              <w:t>/L）</w:t>
            </w:r>
          </w:p>
        </w:tc>
        <w:tc>
          <w:tcPr>
            <w:tcW w:w="408" w:type="pct"/>
            <w:noWrap w:val="0"/>
            <w:vAlign w:val="center"/>
          </w:tcPr>
          <w:p w14:paraId="20CBE5AA">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3</w:t>
            </w:r>
            <w:r>
              <w:rPr>
                <w:sz w:val="21"/>
                <w:szCs w:val="21"/>
                <w:highlight w:val="none"/>
              </w:rPr>
              <w:t>L</w:t>
            </w:r>
          </w:p>
        </w:tc>
        <w:tc>
          <w:tcPr>
            <w:tcW w:w="426" w:type="pct"/>
            <w:noWrap w:val="0"/>
            <w:vAlign w:val="center"/>
          </w:tcPr>
          <w:p w14:paraId="0DB7CE68">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3</w:t>
            </w:r>
            <w:r>
              <w:rPr>
                <w:sz w:val="21"/>
                <w:szCs w:val="21"/>
                <w:highlight w:val="none"/>
              </w:rPr>
              <w:t>L</w:t>
            </w:r>
          </w:p>
        </w:tc>
        <w:tc>
          <w:tcPr>
            <w:tcW w:w="426" w:type="pct"/>
            <w:noWrap w:val="0"/>
            <w:vAlign w:val="center"/>
          </w:tcPr>
          <w:p w14:paraId="624D55C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3</w:t>
            </w:r>
            <w:r>
              <w:rPr>
                <w:sz w:val="21"/>
                <w:szCs w:val="21"/>
                <w:highlight w:val="none"/>
              </w:rPr>
              <w:t>L</w:t>
            </w:r>
          </w:p>
        </w:tc>
        <w:tc>
          <w:tcPr>
            <w:tcW w:w="481" w:type="pct"/>
            <w:noWrap w:val="0"/>
            <w:vAlign w:val="center"/>
          </w:tcPr>
          <w:p w14:paraId="73678D0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3</w:t>
            </w:r>
            <w:r>
              <w:rPr>
                <w:sz w:val="21"/>
                <w:szCs w:val="21"/>
                <w:highlight w:val="none"/>
              </w:rPr>
              <w:t>L</w:t>
            </w:r>
          </w:p>
        </w:tc>
        <w:tc>
          <w:tcPr>
            <w:tcW w:w="426" w:type="pct"/>
            <w:noWrap w:val="0"/>
            <w:vAlign w:val="center"/>
          </w:tcPr>
          <w:p w14:paraId="6A898244">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3</w:t>
            </w:r>
            <w:r>
              <w:rPr>
                <w:sz w:val="21"/>
                <w:szCs w:val="21"/>
                <w:highlight w:val="none"/>
              </w:rPr>
              <w:t>L</w:t>
            </w:r>
          </w:p>
        </w:tc>
        <w:tc>
          <w:tcPr>
            <w:tcW w:w="481" w:type="pct"/>
            <w:noWrap w:val="0"/>
            <w:vAlign w:val="center"/>
          </w:tcPr>
          <w:p w14:paraId="6EE0274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3</w:t>
            </w:r>
            <w:r>
              <w:rPr>
                <w:sz w:val="21"/>
                <w:szCs w:val="21"/>
                <w:highlight w:val="none"/>
              </w:rPr>
              <w:t>L</w:t>
            </w:r>
          </w:p>
        </w:tc>
        <w:tc>
          <w:tcPr>
            <w:tcW w:w="426" w:type="pct"/>
            <w:noWrap w:val="0"/>
            <w:vAlign w:val="center"/>
          </w:tcPr>
          <w:p w14:paraId="4D85BAF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2"/>
                <w:sz w:val="21"/>
                <w:szCs w:val="21"/>
                <w:highlight w:val="none"/>
              </w:rPr>
              <w:t>3</w:t>
            </w:r>
            <w:r>
              <w:rPr>
                <w:sz w:val="21"/>
                <w:szCs w:val="21"/>
                <w:highlight w:val="none"/>
              </w:rPr>
              <w:t>L</w:t>
            </w:r>
          </w:p>
        </w:tc>
        <w:tc>
          <w:tcPr>
            <w:tcW w:w="534" w:type="pct"/>
            <w:noWrap w:val="0"/>
            <w:vAlign w:val="center"/>
          </w:tcPr>
          <w:p w14:paraId="7E47F25C">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3</w:t>
            </w:r>
            <w:r>
              <w:rPr>
                <w:sz w:val="21"/>
                <w:szCs w:val="21"/>
                <w:highlight w:val="none"/>
              </w:rPr>
              <w:t>L</w:t>
            </w:r>
          </w:p>
        </w:tc>
        <w:tc>
          <w:tcPr>
            <w:tcW w:w="459" w:type="pct"/>
            <w:noWrap w:val="0"/>
            <w:vAlign w:val="center"/>
          </w:tcPr>
          <w:p w14:paraId="15335868">
            <w:pPr>
              <w:kinsoku w:val="0"/>
              <w:overflowPunct w:val="0"/>
              <w:autoSpaceDE w:val="0"/>
              <w:autoSpaceDN w:val="0"/>
              <w:adjustRightInd w:val="0"/>
              <w:jc w:val="center"/>
              <w:rPr>
                <w:sz w:val="21"/>
                <w:szCs w:val="21"/>
                <w:highlight w:val="none"/>
              </w:rPr>
            </w:pPr>
            <w:r>
              <w:rPr>
                <w:sz w:val="21"/>
                <w:szCs w:val="21"/>
                <w:highlight w:val="none"/>
              </w:rPr>
              <w:t>0.5</w:t>
            </w:r>
            <w:r>
              <w:rPr>
                <w:szCs w:val="21"/>
                <w:highlight w:val="none"/>
              </w:rPr>
              <w:t>mg/L</w:t>
            </w:r>
          </w:p>
        </w:tc>
      </w:tr>
      <w:tr w14:paraId="430B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76FE5AD5">
            <w:pPr>
              <w:kinsoku w:val="0"/>
              <w:overflowPunct w:val="0"/>
              <w:autoSpaceDE w:val="0"/>
              <w:autoSpaceDN w:val="0"/>
              <w:adjustRightInd w:val="0"/>
              <w:jc w:val="center"/>
              <w:rPr>
                <w:sz w:val="21"/>
                <w:szCs w:val="21"/>
                <w:highlight w:val="none"/>
              </w:rPr>
            </w:pPr>
            <w:r>
              <w:rPr>
                <w:sz w:val="21"/>
                <w:szCs w:val="21"/>
                <w:highlight w:val="none"/>
              </w:rPr>
              <w:t>总汞（μ</w:t>
            </w:r>
            <w:r>
              <w:rPr>
                <w:spacing w:val="-3"/>
                <w:sz w:val="21"/>
                <w:szCs w:val="21"/>
                <w:highlight w:val="none"/>
              </w:rPr>
              <w:t>g</w:t>
            </w:r>
            <w:r>
              <w:rPr>
                <w:sz w:val="21"/>
                <w:szCs w:val="21"/>
                <w:highlight w:val="none"/>
              </w:rPr>
              <w:t>/L）</w:t>
            </w:r>
          </w:p>
        </w:tc>
        <w:tc>
          <w:tcPr>
            <w:tcW w:w="408" w:type="pct"/>
            <w:noWrap w:val="0"/>
            <w:vAlign w:val="center"/>
          </w:tcPr>
          <w:p w14:paraId="3A982A8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1</w:t>
            </w:r>
            <w:r>
              <w:rPr>
                <w:sz w:val="21"/>
                <w:szCs w:val="21"/>
                <w:highlight w:val="none"/>
              </w:rPr>
              <w:t>3</w:t>
            </w:r>
          </w:p>
        </w:tc>
        <w:tc>
          <w:tcPr>
            <w:tcW w:w="426" w:type="pct"/>
            <w:noWrap w:val="0"/>
            <w:vAlign w:val="center"/>
          </w:tcPr>
          <w:p w14:paraId="66D4025A">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1</w:t>
            </w:r>
            <w:r>
              <w:rPr>
                <w:sz w:val="21"/>
                <w:szCs w:val="21"/>
                <w:highlight w:val="none"/>
              </w:rPr>
              <w:t>3</w:t>
            </w:r>
          </w:p>
        </w:tc>
        <w:tc>
          <w:tcPr>
            <w:tcW w:w="426" w:type="pct"/>
            <w:noWrap w:val="0"/>
            <w:vAlign w:val="center"/>
          </w:tcPr>
          <w:p w14:paraId="25224574">
            <w:pPr>
              <w:kinsoku w:val="0"/>
              <w:overflowPunct w:val="0"/>
              <w:autoSpaceDE w:val="0"/>
              <w:autoSpaceDN w:val="0"/>
              <w:adjustRightInd w:val="0"/>
              <w:jc w:val="center"/>
              <w:rPr>
                <w:sz w:val="21"/>
                <w:szCs w:val="21"/>
                <w:highlight w:val="none"/>
              </w:rPr>
            </w:pPr>
            <w:r>
              <w:rPr>
                <w:sz w:val="21"/>
                <w:szCs w:val="21"/>
                <w:highlight w:val="none"/>
              </w:rPr>
              <w:t>0.13</w:t>
            </w:r>
          </w:p>
        </w:tc>
        <w:tc>
          <w:tcPr>
            <w:tcW w:w="481" w:type="pct"/>
            <w:noWrap w:val="0"/>
            <w:vAlign w:val="center"/>
          </w:tcPr>
          <w:p w14:paraId="7D60607A">
            <w:pPr>
              <w:kinsoku w:val="0"/>
              <w:overflowPunct w:val="0"/>
              <w:autoSpaceDE w:val="0"/>
              <w:autoSpaceDN w:val="0"/>
              <w:adjustRightInd w:val="0"/>
              <w:jc w:val="center"/>
              <w:rPr>
                <w:sz w:val="21"/>
                <w:szCs w:val="21"/>
                <w:highlight w:val="none"/>
              </w:rPr>
            </w:pPr>
            <w:r>
              <w:rPr>
                <w:sz w:val="21"/>
                <w:szCs w:val="21"/>
                <w:highlight w:val="none"/>
              </w:rPr>
              <w:t>0.14</w:t>
            </w:r>
          </w:p>
        </w:tc>
        <w:tc>
          <w:tcPr>
            <w:tcW w:w="426" w:type="pct"/>
            <w:noWrap w:val="0"/>
            <w:vAlign w:val="center"/>
          </w:tcPr>
          <w:p w14:paraId="3D49A276">
            <w:pPr>
              <w:kinsoku w:val="0"/>
              <w:overflowPunct w:val="0"/>
              <w:autoSpaceDE w:val="0"/>
              <w:autoSpaceDN w:val="0"/>
              <w:adjustRightInd w:val="0"/>
              <w:jc w:val="center"/>
              <w:rPr>
                <w:sz w:val="21"/>
                <w:szCs w:val="21"/>
                <w:highlight w:val="none"/>
              </w:rPr>
            </w:pPr>
            <w:r>
              <w:rPr>
                <w:sz w:val="21"/>
                <w:szCs w:val="21"/>
                <w:highlight w:val="none"/>
              </w:rPr>
              <w:t>0.14</w:t>
            </w:r>
          </w:p>
        </w:tc>
        <w:tc>
          <w:tcPr>
            <w:tcW w:w="481" w:type="pct"/>
            <w:noWrap w:val="0"/>
            <w:vAlign w:val="center"/>
          </w:tcPr>
          <w:p w14:paraId="3970C5DC">
            <w:pPr>
              <w:kinsoku w:val="0"/>
              <w:overflowPunct w:val="0"/>
              <w:autoSpaceDE w:val="0"/>
              <w:autoSpaceDN w:val="0"/>
              <w:adjustRightInd w:val="0"/>
              <w:jc w:val="center"/>
              <w:rPr>
                <w:sz w:val="21"/>
                <w:szCs w:val="21"/>
                <w:highlight w:val="none"/>
              </w:rPr>
            </w:pPr>
            <w:r>
              <w:rPr>
                <w:sz w:val="21"/>
                <w:szCs w:val="21"/>
                <w:highlight w:val="none"/>
              </w:rPr>
              <w:t>0.15</w:t>
            </w:r>
          </w:p>
        </w:tc>
        <w:tc>
          <w:tcPr>
            <w:tcW w:w="426" w:type="pct"/>
            <w:noWrap w:val="0"/>
            <w:vAlign w:val="center"/>
          </w:tcPr>
          <w:p w14:paraId="53567C47">
            <w:pPr>
              <w:kinsoku w:val="0"/>
              <w:overflowPunct w:val="0"/>
              <w:autoSpaceDE w:val="0"/>
              <w:autoSpaceDN w:val="0"/>
              <w:adjustRightInd w:val="0"/>
              <w:jc w:val="center"/>
              <w:rPr>
                <w:sz w:val="21"/>
                <w:szCs w:val="21"/>
                <w:highlight w:val="none"/>
              </w:rPr>
            </w:pPr>
            <w:r>
              <w:rPr>
                <w:sz w:val="21"/>
                <w:szCs w:val="21"/>
                <w:highlight w:val="none"/>
              </w:rPr>
              <w:t>0.14</w:t>
            </w:r>
          </w:p>
        </w:tc>
        <w:tc>
          <w:tcPr>
            <w:tcW w:w="534" w:type="pct"/>
            <w:noWrap w:val="0"/>
            <w:vAlign w:val="center"/>
          </w:tcPr>
          <w:p w14:paraId="7D5EA687">
            <w:pPr>
              <w:kinsoku w:val="0"/>
              <w:overflowPunct w:val="0"/>
              <w:autoSpaceDE w:val="0"/>
              <w:autoSpaceDN w:val="0"/>
              <w:adjustRightInd w:val="0"/>
              <w:jc w:val="center"/>
              <w:rPr>
                <w:sz w:val="21"/>
                <w:szCs w:val="21"/>
                <w:highlight w:val="none"/>
              </w:rPr>
            </w:pPr>
            <w:r>
              <w:rPr>
                <w:sz w:val="21"/>
                <w:szCs w:val="21"/>
                <w:highlight w:val="none"/>
              </w:rPr>
              <w:t>0.14</w:t>
            </w:r>
          </w:p>
        </w:tc>
        <w:tc>
          <w:tcPr>
            <w:tcW w:w="459" w:type="pct"/>
            <w:noWrap w:val="0"/>
            <w:vAlign w:val="center"/>
          </w:tcPr>
          <w:p w14:paraId="0AB1CADC">
            <w:pPr>
              <w:kinsoku w:val="0"/>
              <w:overflowPunct w:val="0"/>
              <w:autoSpaceDE w:val="0"/>
              <w:autoSpaceDN w:val="0"/>
              <w:adjustRightInd w:val="0"/>
              <w:jc w:val="center"/>
              <w:rPr>
                <w:sz w:val="21"/>
                <w:szCs w:val="21"/>
                <w:highlight w:val="none"/>
              </w:rPr>
            </w:pPr>
            <w:r>
              <w:rPr>
                <w:sz w:val="21"/>
                <w:szCs w:val="21"/>
                <w:highlight w:val="none"/>
              </w:rPr>
              <w:t>0.05</w:t>
            </w:r>
            <w:r>
              <w:rPr>
                <w:szCs w:val="21"/>
                <w:highlight w:val="none"/>
              </w:rPr>
              <w:t>mg/L</w:t>
            </w:r>
          </w:p>
        </w:tc>
      </w:tr>
      <w:tr w14:paraId="03E6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exact"/>
          <w:jc w:val="center"/>
        </w:trPr>
        <w:tc>
          <w:tcPr>
            <w:tcW w:w="928" w:type="pct"/>
            <w:noWrap w:val="0"/>
            <w:vAlign w:val="center"/>
          </w:tcPr>
          <w:p w14:paraId="4611CD16">
            <w:pPr>
              <w:kinsoku w:val="0"/>
              <w:overflowPunct w:val="0"/>
              <w:autoSpaceDE w:val="0"/>
              <w:autoSpaceDN w:val="0"/>
              <w:adjustRightInd w:val="0"/>
              <w:jc w:val="center"/>
              <w:rPr>
                <w:sz w:val="21"/>
                <w:szCs w:val="21"/>
                <w:highlight w:val="none"/>
              </w:rPr>
            </w:pPr>
            <w:r>
              <w:rPr>
                <w:sz w:val="21"/>
                <w:szCs w:val="21"/>
                <w:highlight w:val="none"/>
              </w:rPr>
              <w:t>挥发酚</w:t>
            </w:r>
          </w:p>
        </w:tc>
        <w:tc>
          <w:tcPr>
            <w:tcW w:w="408" w:type="pct"/>
            <w:noWrap w:val="0"/>
            <w:vAlign w:val="center"/>
          </w:tcPr>
          <w:p w14:paraId="6C9559AC">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z w:val="21"/>
                <w:szCs w:val="21"/>
                <w:highlight w:val="none"/>
              </w:rPr>
              <w:t>3</w:t>
            </w:r>
          </w:p>
        </w:tc>
        <w:tc>
          <w:tcPr>
            <w:tcW w:w="426" w:type="pct"/>
            <w:noWrap w:val="0"/>
            <w:vAlign w:val="center"/>
          </w:tcPr>
          <w:p w14:paraId="2D7BA90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2"/>
                <w:sz w:val="21"/>
                <w:szCs w:val="21"/>
                <w:highlight w:val="none"/>
              </w:rPr>
              <w:t>0</w:t>
            </w:r>
            <w:r>
              <w:rPr>
                <w:spacing w:val="1"/>
                <w:sz w:val="21"/>
                <w:szCs w:val="21"/>
                <w:highlight w:val="none"/>
              </w:rPr>
              <w:t>0</w:t>
            </w:r>
            <w:r>
              <w:rPr>
                <w:sz w:val="21"/>
                <w:szCs w:val="21"/>
                <w:highlight w:val="none"/>
              </w:rPr>
              <w:t>2</w:t>
            </w:r>
          </w:p>
        </w:tc>
        <w:tc>
          <w:tcPr>
            <w:tcW w:w="426" w:type="pct"/>
            <w:noWrap w:val="0"/>
            <w:vAlign w:val="center"/>
          </w:tcPr>
          <w:p w14:paraId="0C6BF2C6">
            <w:pPr>
              <w:kinsoku w:val="0"/>
              <w:overflowPunct w:val="0"/>
              <w:autoSpaceDE w:val="0"/>
              <w:autoSpaceDN w:val="0"/>
              <w:adjustRightInd w:val="0"/>
              <w:jc w:val="center"/>
              <w:rPr>
                <w:sz w:val="21"/>
                <w:szCs w:val="21"/>
                <w:highlight w:val="none"/>
              </w:rPr>
            </w:pPr>
            <w:r>
              <w:rPr>
                <w:sz w:val="21"/>
                <w:szCs w:val="21"/>
                <w:highlight w:val="none"/>
              </w:rPr>
              <w:t>0.004</w:t>
            </w:r>
          </w:p>
        </w:tc>
        <w:tc>
          <w:tcPr>
            <w:tcW w:w="481" w:type="pct"/>
            <w:noWrap w:val="0"/>
            <w:vAlign w:val="center"/>
          </w:tcPr>
          <w:p w14:paraId="11ED455B">
            <w:pPr>
              <w:kinsoku w:val="0"/>
              <w:overflowPunct w:val="0"/>
              <w:autoSpaceDE w:val="0"/>
              <w:autoSpaceDN w:val="0"/>
              <w:adjustRightInd w:val="0"/>
              <w:jc w:val="center"/>
              <w:rPr>
                <w:sz w:val="21"/>
                <w:szCs w:val="21"/>
                <w:highlight w:val="none"/>
              </w:rPr>
            </w:pPr>
            <w:r>
              <w:rPr>
                <w:sz w:val="21"/>
                <w:szCs w:val="21"/>
                <w:highlight w:val="none"/>
              </w:rPr>
              <w:t>0.003</w:t>
            </w:r>
          </w:p>
        </w:tc>
        <w:tc>
          <w:tcPr>
            <w:tcW w:w="426" w:type="pct"/>
            <w:noWrap w:val="0"/>
            <w:vAlign w:val="center"/>
          </w:tcPr>
          <w:p w14:paraId="104FA8AD">
            <w:pPr>
              <w:kinsoku w:val="0"/>
              <w:overflowPunct w:val="0"/>
              <w:autoSpaceDE w:val="0"/>
              <w:autoSpaceDN w:val="0"/>
              <w:adjustRightInd w:val="0"/>
              <w:jc w:val="center"/>
              <w:rPr>
                <w:sz w:val="21"/>
                <w:szCs w:val="21"/>
                <w:highlight w:val="none"/>
              </w:rPr>
            </w:pPr>
            <w:r>
              <w:rPr>
                <w:sz w:val="21"/>
                <w:szCs w:val="21"/>
                <w:highlight w:val="none"/>
              </w:rPr>
              <w:t>0.003</w:t>
            </w:r>
          </w:p>
        </w:tc>
        <w:tc>
          <w:tcPr>
            <w:tcW w:w="481" w:type="pct"/>
            <w:noWrap w:val="0"/>
            <w:vAlign w:val="center"/>
          </w:tcPr>
          <w:p w14:paraId="73D9CFF0">
            <w:pPr>
              <w:kinsoku w:val="0"/>
              <w:overflowPunct w:val="0"/>
              <w:autoSpaceDE w:val="0"/>
              <w:autoSpaceDN w:val="0"/>
              <w:adjustRightInd w:val="0"/>
              <w:jc w:val="center"/>
              <w:rPr>
                <w:sz w:val="21"/>
                <w:szCs w:val="21"/>
                <w:highlight w:val="none"/>
              </w:rPr>
            </w:pPr>
            <w:r>
              <w:rPr>
                <w:sz w:val="21"/>
                <w:szCs w:val="21"/>
                <w:highlight w:val="none"/>
              </w:rPr>
              <w:t>0.002</w:t>
            </w:r>
          </w:p>
        </w:tc>
        <w:tc>
          <w:tcPr>
            <w:tcW w:w="426" w:type="pct"/>
            <w:noWrap w:val="0"/>
            <w:vAlign w:val="center"/>
          </w:tcPr>
          <w:p w14:paraId="0D04C6B5">
            <w:pPr>
              <w:kinsoku w:val="0"/>
              <w:overflowPunct w:val="0"/>
              <w:autoSpaceDE w:val="0"/>
              <w:autoSpaceDN w:val="0"/>
              <w:adjustRightInd w:val="0"/>
              <w:jc w:val="center"/>
              <w:rPr>
                <w:sz w:val="21"/>
                <w:szCs w:val="21"/>
                <w:highlight w:val="none"/>
              </w:rPr>
            </w:pPr>
            <w:r>
              <w:rPr>
                <w:sz w:val="21"/>
                <w:szCs w:val="21"/>
                <w:highlight w:val="none"/>
              </w:rPr>
              <w:t>0.002L</w:t>
            </w:r>
          </w:p>
        </w:tc>
        <w:tc>
          <w:tcPr>
            <w:tcW w:w="534" w:type="pct"/>
            <w:noWrap w:val="0"/>
            <w:vAlign w:val="center"/>
          </w:tcPr>
          <w:p w14:paraId="658F1135">
            <w:pPr>
              <w:kinsoku w:val="0"/>
              <w:overflowPunct w:val="0"/>
              <w:autoSpaceDE w:val="0"/>
              <w:autoSpaceDN w:val="0"/>
              <w:adjustRightInd w:val="0"/>
              <w:jc w:val="center"/>
              <w:rPr>
                <w:sz w:val="21"/>
                <w:szCs w:val="21"/>
                <w:highlight w:val="none"/>
              </w:rPr>
            </w:pPr>
            <w:r>
              <w:rPr>
                <w:sz w:val="21"/>
                <w:szCs w:val="21"/>
                <w:highlight w:val="none"/>
              </w:rPr>
              <w:t>0.002L</w:t>
            </w:r>
          </w:p>
        </w:tc>
        <w:tc>
          <w:tcPr>
            <w:tcW w:w="459" w:type="pct"/>
            <w:noWrap w:val="0"/>
            <w:vAlign w:val="center"/>
          </w:tcPr>
          <w:p w14:paraId="578E7AB9">
            <w:pPr>
              <w:kinsoku w:val="0"/>
              <w:overflowPunct w:val="0"/>
              <w:autoSpaceDE w:val="0"/>
              <w:autoSpaceDN w:val="0"/>
              <w:adjustRightInd w:val="0"/>
              <w:jc w:val="center"/>
              <w:rPr>
                <w:sz w:val="21"/>
                <w:szCs w:val="21"/>
                <w:highlight w:val="none"/>
              </w:rPr>
            </w:pPr>
            <w:r>
              <w:rPr>
                <w:sz w:val="21"/>
                <w:szCs w:val="21"/>
                <w:highlight w:val="none"/>
              </w:rPr>
              <w:t>0.5</w:t>
            </w:r>
          </w:p>
        </w:tc>
      </w:tr>
      <w:tr w14:paraId="3D05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7E15995C">
            <w:pPr>
              <w:kinsoku w:val="0"/>
              <w:overflowPunct w:val="0"/>
              <w:autoSpaceDE w:val="0"/>
              <w:autoSpaceDN w:val="0"/>
              <w:adjustRightInd w:val="0"/>
              <w:jc w:val="center"/>
              <w:rPr>
                <w:sz w:val="21"/>
                <w:szCs w:val="21"/>
                <w:highlight w:val="none"/>
              </w:rPr>
            </w:pPr>
            <w:r>
              <w:rPr>
                <w:sz w:val="21"/>
                <w:szCs w:val="21"/>
                <w:highlight w:val="none"/>
              </w:rPr>
              <w:t>总钒</w:t>
            </w:r>
          </w:p>
        </w:tc>
        <w:tc>
          <w:tcPr>
            <w:tcW w:w="408" w:type="pct"/>
            <w:noWrap w:val="0"/>
            <w:vAlign w:val="center"/>
          </w:tcPr>
          <w:p w14:paraId="40ECE76F">
            <w:pPr>
              <w:kinsoku w:val="0"/>
              <w:overflowPunct w:val="0"/>
              <w:autoSpaceDE w:val="0"/>
              <w:autoSpaceDN w:val="0"/>
              <w:adjustRightInd w:val="0"/>
              <w:jc w:val="center"/>
              <w:rPr>
                <w:sz w:val="21"/>
                <w:szCs w:val="21"/>
                <w:highlight w:val="none"/>
              </w:rPr>
            </w:pPr>
            <w:r>
              <w:rPr>
                <w:sz w:val="21"/>
                <w:szCs w:val="21"/>
                <w:highlight w:val="none"/>
              </w:rPr>
              <w:t>0.01L</w:t>
            </w:r>
          </w:p>
        </w:tc>
        <w:tc>
          <w:tcPr>
            <w:tcW w:w="426" w:type="pct"/>
            <w:noWrap w:val="0"/>
            <w:vAlign w:val="center"/>
          </w:tcPr>
          <w:p w14:paraId="1EAFEA30">
            <w:pPr>
              <w:kinsoku w:val="0"/>
              <w:overflowPunct w:val="0"/>
              <w:autoSpaceDE w:val="0"/>
              <w:autoSpaceDN w:val="0"/>
              <w:adjustRightInd w:val="0"/>
              <w:jc w:val="center"/>
              <w:rPr>
                <w:sz w:val="21"/>
                <w:szCs w:val="21"/>
                <w:highlight w:val="none"/>
              </w:rPr>
            </w:pPr>
            <w:r>
              <w:rPr>
                <w:sz w:val="21"/>
                <w:szCs w:val="21"/>
                <w:highlight w:val="none"/>
              </w:rPr>
              <w:t>0.01L</w:t>
            </w:r>
          </w:p>
        </w:tc>
        <w:tc>
          <w:tcPr>
            <w:tcW w:w="426" w:type="pct"/>
            <w:noWrap w:val="0"/>
            <w:vAlign w:val="center"/>
          </w:tcPr>
          <w:p w14:paraId="36920AA4">
            <w:pPr>
              <w:kinsoku w:val="0"/>
              <w:overflowPunct w:val="0"/>
              <w:autoSpaceDE w:val="0"/>
              <w:autoSpaceDN w:val="0"/>
              <w:adjustRightInd w:val="0"/>
              <w:jc w:val="center"/>
              <w:rPr>
                <w:sz w:val="21"/>
                <w:szCs w:val="21"/>
                <w:highlight w:val="none"/>
              </w:rPr>
            </w:pPr>
            <w:r>
              <w:rPr>
                <w:sz w:val="21"/>
                <w:szCs w:val="21"/>
                <w:highlight w:val="none"/>
              </w:rPr>
              <w:t>0.01L</w:t>
            </w:r>
          </w:p>
        </w:tc>
        <w:tc>
          <w:tcPr>
            <w:tcW w:w="481" w:type="pct"/>
            <w:noWrap w:val="0"/>
            <w:vAlign w:val="center"/>
          </w:tcPr>
          <w:p w14:paraId="666EB959">
            <w:pPr>
              <w:kinsoku w:val="0"/>
              <w:overflowPunct w:val="0"/>
              <w:autoSpaceDE w:val="0"/>
              <w:autoSpaceDN w:val="0"/>
              <w:adjustRightInd w:val="0"/>
              <w:jc w:val="center"/>
              <w:rPr>
                <w:sz w:val="21"/>
                <w:szCs w:val="21"/>
                <w:highlight w:val="none"/>
              </w:rPr>
            </w:pPr>
            <w:r>
              <w:rPr>
                <w:sz w:val="21"/>
                <w:szCs w:val="21"/>
                <w:highlight w:val="none"/>
              </w:rPr>
              <w:t>0.01L</w:t>
            </w:r>
          </w:p>
        </w:tc>
        <w:tc>
          <w:tcPr>
            <w:tcW w:w="426" w:type="pct"/>
            <w:noWrap w:val="0"/>
            <w:vAlign w:val="center"/>
          </w:tcPr>
          <w:p w14:paraId="4A0A2AC0">
            <w:pPr>
              <w:kinsoku w:val="0"/>
              <w:overflowPunct w:val="0"/>
              <w:autoSpaceDE w:val="0"/>
              <w:autoSpaceDN w:val="0"/>
              <w:adjustRightInd w:val="0"/>
              <w:jc w:val="center"/>
              <w:rPr>
                <w:sz w:val="21"/>
                <w:szCs w:val="21"/>
                <w:highlight w:val="none"/>
              </w:rPr>
            </w:pPr>
            <w:r>
              <w:rPr>
                <w:sz w:val="21"/>
                <w:szCs w:val="21"/>
                <w:highlight w:val="none"/>
              </w:rPr>
              <w:t>0.01L</w:t>
            </w:r>
          </w:p>
        </w:tc>
        <w:tc>
          <w:tcPr>
            <w:tcW w:w="481" w:type="pct"/>
            <w:noWrap w:val="0"/>
            <w:vAlign w:val="center"/>
          </w:tcPr>
          <w:p w14:paraId="6707DF58">
            <w:pPr>
              <w:kinsoku w:val="0"/>
              <w:overflowPunct w:val="0"/>
              <w:autoSpaceDE w:val="0"/>
              <w:autoSpaceDN w:val="0"/>
              <w:adjustRightInd w:val="0"/>
              <w:jc w:val="center"/>
              <w:rPr>
                <w:sz w:val="21"/>
                <w:szCs w:val="21"/>
                <w:highlight w:val="none"/>
              </w:rPr>
            </w:pPr>
            <w:r>
              <w:rPr>
                <w:sz w:val="21"/>
                <w:szCs w:val="21"/>
                <w:highlight w:val="none"/>
              </w:rPr>
              <w:t>0.01L</w:t>
            </w:r>
          </w:p>
        </w:tc>
        <w:tc>
          <w:tcPr>
            <w:tcW w:w="426" w:type="pct"/>
            <w:noWrap w:val="0"/>
            <w:vAlign w:val="center"/>
          </w:tcPr>
          <w:p w14:paraId="0903E70B">
            <w:pPr>
              <w:kinsoku w:val="0"/>
              <w:overflowPunct w:val="0"/>
              <w:autoSpaceDE w:val="0"/>
              <w:autoSpaceDN w:val="0"/>
              <w:adjustRightInd w:val="0"/>
              <w:jc w:val="center"/>
              <w:rPr>
                <w:sz w:val="21"/>
                <w:szCs w:val="21"/>
                <w:highlight w:val="none"/>
              </w:rPr>
            </w:pPr>
            <w:r>
              <w:rPr>
                <w:sz w:val="21"/>
                <w:szCs w:val="21"/>
                <w:highlight w:val="none"/>
              </w:rPr>
              <w:t>0.01L</w:t>
            </w:r>
          </w:p>
        </w:tc>
        <w:tc>
          <w:tcPr>
            <w:tcW w:w="534" w:type="pct"/>
            <w:noWrap w:val="0"/>
            <w:vAlign w:val="center"/>
          </w:tcPr>
          <w:p w14:paraId="7232E974">
            <w:pPr>
              <w:kinsoku w:val="0"/>
              <w:overflowPunct w:val="0"/>
              <w:autoSpaceDE w:val="0"/>
              <w:autoSpaceDN w:val="0"/>
              <w:adjustRightInd w:val="0"/>
              <w:jc w:val="center"/>
              <w:rPr>
                <w:sz w:val="21"/>
                <w:szCs w:val="21"/>
                <w:highlight w:val="none"/>
              </w:rPr>
            </w:pPr>
            <w:r>
              <w:rPr>
                <w:sz w:val="21"/>
                <w:szCs w:val="21"/>
                <w:highlight w:val="none"/>
              </w:rPr>
              <w:t>0.01L</w:t>
            </w:r>
          </w:p>
        </w:tc>
        <w:tc>
          <w:tcPr>
            <w:tcW w:w="459" w:type="pct"/>
            <w:noWrap w:val="0"/>
            <w:vAlign w:val="center"/>
          </w:tcPr>
          <w:p w14:paraId="3832FAD5">
            <w:pPr>
              <w:kinsoku w:val="0"/>
              <w:overflowPunct w:val="0"/>
              <w:autoSpaceDE w:val="0"/>
              <w:autoSpaceDN w:val="0"/>
              <w:adjustRightInd w:val="0"/>
              <w:jc w:val="center"/>
              <w:rPr>
                <w:sz w:val="21"/>
                <w:szCs w:val="21"/>
                <w:highlight w:val="none"/>
              </w:rPr>
            </w:pPr>
            <w:r>
              <w:rPr>
                <w:sz w:val="21"/>
                <w:szCs w:val="21"/>
                <w:highlight w:val="none"/>
              </w:rPr>
              <w:t>/</w:t>
            </w:r>
          </w:p>
        </w:tc>
      </w:tr>
      <w:tr w14:paraId="4BDE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exact"/>
          <w:jc w:val="center"/>
        </w:trPr>
        <w:tc>
          <w:tcPr>
            <w:tcW w:w="928" w:type="pct"/>
            <w:noWrap w:val="0"/>
            <w:vAlign w:val="center"/>
          </w:tcPr>
          <w:p w14:paraId="64346F7A">
            <w:pPr>
              <w:kinsoku w:val="0"/>
              <w:overflowPunct w:val="0"/>
              <w:autoSpaceDE w:val="0"/>
              <w:autoSpaceDN w:val="0"/>
              <w:adjustRightInd w:val="0"/>
              <w:jc w:val="center"/>
              <w:rPr>
                <w:sz w:val="21"/>
                <w:szCs w:val="21"/>
                <w:highlight w:val="none"/>
              </w:rPr>
            </w:pPr>
            <w:r>
              <w:rPr>
                <w:sz w:val="21"/>
                <w:szCs w:val="21"/>
                <w:highlight w:val="none"/>
              </w:rPr>
              <w:t>总铜</w:t>
            </w:r>
          </w:p>
        </w:tc>
        <w:tc>
          <w:tcPr>
            <w:tcW w:w="408" w:type="pct"/>
            <w:noWrap w:val="0"/>
            <w:vAlign w:val="center"/>
          </w:tcPr>
          <w:p w14:paraId="25983483">
            <w:pPr>
              <w:kinsoku w:val="0"/>
              <w:overflowPunct w:val="0"/>
              <w:autoSpaceDE w:val="0"/>
              <w:autoSpaceDN w:val="0"/>
              <w:adjustRightInd w:val="0"/>
              <w:jc w:val="center"/>
              <w:rPr>
                <w:sz w:val="21"/>
                <w:szCs w:val="21"/>
                <w:highlight w:val="none"/>
              </w:rPr>
            </w:pPr>
            <w:r>
              <w:rPr>
                <w:sz w:val="21"/>
                <w:szCs w:val="21"/>
                <w:highlight w:val="none"/>
              </w:rPr>
              <w:t>0.04L</w:t>
            </w:r>
          </w:p>
        </w:tc>
        <w:tc>
          <w:tcPr>
            <w:tcW w:w="426" w:type="pct"/>
            <w:noWrap w:val="0"/>
            <w:vAlign w:val="center"/>
          </w:tcPr>
          <w:p w14:paraId="247CA4DF">
            <w:pPr>
              <w:kinsoku w:val="0"/>
              <w:overflowPunct w:val="0"/>
              <w:autoSpaceDE w:val="0"/>
              <w:autoSpaceDN w:val="0"/>
              <w:adjustRightInd w:val="0"/>
              <w:jc w:val="center"/>
              <w:rPr>
                <w:sz w:val="21"/>
                <w:szCs w:val="21"/>
                <w:highlight w:val="none"/>
              </w:rPr>
            </w:pPr>
            <w:r>
              <w:rPr>
                <w:sz w:val="21"/>
                <w:szCs w:val="21"/>
                <w:highlight w:val="none"/>
              </w:rPr>
              <w:t>0.04L</w:t>
            </w:r>
          </w:p>
        </w:tc>
        <w:tc>
          <w:tcPr>
            <w:tcW w:w="426" w:type="pct"/>
            <w:noWrap w:val="0"/>
            <w:vAlign w:val="center"/>
          </w:tcPr>
          <w:p w14:paraId="51B00C8D">
            <w:pPr>
              <w:kinsoku w:val="0"/>
              <w:overflowPunct w:val="0"/>
              <w:autoSpaceDE w:val="0"/>
              <w:autoSpaceDN w:val="0"/>
              <w:adjustRightInd w:val="0"/>
              <w:jc w:val="center"/>
              <w:rPr>
                <w:sz w:val="21"/>
                <w:szCs w:val="21"/>
                <w:highlight w:val="none"/>
              </w:rPr>
            </w:pPr>
            <w:r>
              <w:rPr>
                <w:sz w:val="21"/>
                <w:szCs w:val="21"/>
                <w:highlight w:val="none"/>
              </w:rPr>
              <w:t>0.04L</w:t>
            </w:r>
          </w:p>
        </w:tc>
        <w:tc>
          <w:tcPr>
            <w:tcW w:w="481" w:type="pct"/>
            <w:noWrap w:val="0"/>
            <w:vAlign w:val="center"/>
          </w:tcPr>
          <w:p w14:paraId="13BFC09A">
            <w:pPr>
              <w:kinsoku w:val="0"/>
              <w:overflowPunct w:val="0"/>
              <w:autoSpaceDE w:val="0"/>
              <w:autoSpaceDN w:val="0"/>
              <w:adjustRightInd w:val="0"/>
              <w:jc w:val="center"/>
              <w:rPr>
                <w:sz w:val="21"/>
                <w:szCs w:val="21"/>
                <w:highlight w:val="none"/>
              </w:rPr>
            </w:pPr>
            <w:r>
              <w:rPr>
                <w:sz w:val="21"/>
                <w:szCs w:val="21"/>
                <w:highlight w:val="none"/>
              </w:rPr>
              <w:t>0.04L</w:t>
            </w:r>
          </w:p>
        </w:tc>
        <w:tc>
          <w:tcPr>
            <w:tcW w:w="426" w:type="pct"/>
            <w:noWrap w:val="0"/>
            <w:vAlign w:val="center"/>
          </w:tcPr>
          <w:p w14:paraId="74F93F85">
            <w:pPr>
              <w:kinsoku w:val="0"/>
              <w:overflowPunct w:val="0"/>
              <w:autoSpaceDE w:val="0"/>
              <w:autoSpaceDN w:val="0"/>
              <w:adjustRightInd w:val="0"/>
              <w:jc w:val="center"/>
              <w:rPr>
                <w:sz w:val="21"/>
                <w:szCs w:val="21"/>
                <w:highlight w:val="none"/>
              </w:rPr>
            </w:pPr>
            <w:r>
              <w:rPr>
                <w:sz w:val="21"/>
                <w:szCs w:val="21"/>
                <w:highlight w:val="none"/>
              </w:rPr>
              <w:t>0.04L</w:t>
            </w:r>
          </w:p>
        </w:tc>
        <w:tc>
          <w:tcPr>
            <w:tcW w:w="481" w:type="pct"/>
            <w:noWrap w:val="0"/>
            <w:vAlign w:val="center"/>
          </w:tcPr>
          <w:p w14:paraId="1E974042">
            <w:pPr>
              <w:kinsoku w:val="0"/>
              <w:overflowPunct w:val="0"/>
              <w:autoSpaceDE w:val="0"/>
              <w:autoSpaceDN w:val="0"/>
              <w:adjustRightInd w:val="0"/>
              <w:jc w:val="center"/>
              <w:rPr>
                <w:sz w:val="21"/>
                <w:szCs w:val="21"/>
                <w:highlight w:val="none"/>
              </w:rPr>
            </w:pPr>
            <w:r>
              <w:rPr>
                <w:sz w:val="21"/>
                <w:szCs w:val="21"/>
                <w:highlight w:val="none"/>
              </w:rPr>
              <w:t>0.04L</w:t>
            </w:r>
          </w:p>
        </w:tc>
        <w:tc>
          <w:tcPr>
            <w:tcW w:w="426" w:type="pct"/>
            <w:noWrap w:val="0"/>
            <w:vAlign w:val="center"/>
          </w:tcPr>
          <w:p w14:paraId="3E3B0D20">
            <w:pPr>
              <w:kinsoku w:val="0"/>
              <w:overflowPunct w:val="0"/>
              <w:autoSpaceDE w:val="0"/>
              <w:autoSpaceDN w:val="0"/>
              <w:adjustRightInd w:val="0"/>
              <w:jc w:val="center"/>
              <w:rPr>
                <w:sz w:val="21"/>
                <w:szCs w:val="21"/>
                <w:highlight w:val="none"/>
              </w:rPr>
            </w:pPr>
            <w:r>
              <w:rPr>
                <w:sz w:val="21"/>
                <w:szCs w:val="21"/>
                <w:highlight w:val="none"/>
              </w:rPr>
              <w:t>0.04L</w:t>
            </w:r>
          </w:p>
        </w:tc>
        <w:tc>
          <w:tcPr>
            <w:tcW w:w="534" w:type="pct"/>
            <w:noWrap w:val="0"/>
            <w:vAlign w:val="center"/>
          </w:tcPr>
          <w:p w14:paraId="642AE86A">
            <w:pPr>
              <w:kinsoku w:val="0"/>
              <w:overflowPunct w:val="0"/>
              <w:autoSpaceDE w:val="0"/>
              <w:autoSpaceDN w:val="0"/>
              <w:adjustRightInd w:val="0"/>
              <w:jc w:val="center"/>
              <w:rPr>
                <w:sz w:val="21"/>
                <w:szCs w:val="21"/>
                <w:highlight w:val="none"/>
              </w:rPr>
            </w:pPr>
            <w:r>
              <w:rPr>
                <w:sz w:val="21"/>
                <w:szCs w:val="21"/>
                <w:highlight w:val="none"/>
              </w:rPr>
              <w:t>0.04L</w:t>
            </w:r>
          </w:p>
        </w:tc>
        <w:tc>
          <w:tcPr>
            <w:tcW w:w="459" w:type="pct"/>
            <w:noWrap w:val="0"/>
            <w:vAlign w:val="center"/>
          </w:tcPr>
          <w:p w14:paraId="155FB23B">
            <w:pPr>
              <w:kinsoku w:val="0"/>
              <w:overflowPunct w:val="0"/>
              <w:autoSpaceDE w:val="0"/>
              <w:autoSpaceDN w:val="0"/>
              <w:adjustRightInd w:val="0"/>
              <w:jc w:val="center"/>
              <w:rPr>
                <w:sz w:val="21"/>
                <w:szCs w:val="21"/>
                <w:highlight w:val="none"/>
              </w:rPr>
            </w:pPr>
            <w:r>
              <w:rPr>
                <w:sz w:val="21"/>
                <w:szCs w:val="21"/>
                <w:highlight w:val="none"/>
              </w:rPr>
              <w:t>0.5</w:t>
            </w:r>
          </w:p>
        </w:tc>
      </w:tr>
      <w:tr w14:paraId="5454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exact"/>
          <w:jc w:val="center"/>
        </w:trPr>
        <w:tc>
          <w:tcPr>
            <w:tcW w:w="928" w:type="pct"/>
            <w:noWrap w:val="0"/>
            <w:vAlign w:val="center"/>
          </w:tcPr>
          <w:p w14:paraId="09CF0926">
            <w:pPr>
              <w:kinsoku w:val="0"/>
              <w:overflowPunct w:val="0"/>
              <w:autoSpaceDE w:val="0"/>
              <w:autoSpaceDN w:val="0"/>
              <w:adjustRightInd w:val="0"/>
              <w:jc w:val="center"/>
              <w:rPr>
                <w:sz w:val="21"/>
                <w:szCs w:val="21"/>
                <w:highlight w:val="none"/>
              </w:rPr>
            </w:pPr>
            <w:r>
              <w:rPr>
                <w:sz w:val="21"/>
                <w:szCs w:val="21"/>
                <w:highlight w:val="none"/>
              </w:rPr>
              <w:t>总锌</w:t>
            </w:r>
          </w:p>
        </w:tc>
        <w:tc>
          <w:tcPr>
            <w:tcW w:w="408" w:type="pct"/>
            <w:noWrap w:val="0"/>
            <w:vAlign w:val="center"/>
          </w:tcPr>
          <w:p w14:paraId="12F19B9A">
            <w:pPr>
              <w:kinsoku w:val="0"/>
              <w:overflowPunct w:val="0"/>
              <w:autoSpaceDE w:val="0"/>
              <w:autoSpaceDN w:val="0"/>
              <w:adjustRightInd w:val="0"/>
              <w:jc w:val="center"/>
              <w:rPr>
                <w:sz w:val="21"/>
                <w:szCs w:val="21"/>
                <w:highlight w:val="none"/>
              </w:rPr>
            </w:pPr>
            <w:r>
              <w:rPr>
                <w:sz w:val="21"/>
                <w:szCs w:val="21"/>
                <w:highlight w:val="none"/>
              </w:rPr>
              <w:t>0.009L</w:t>
            </w:r>
          </w:p>
        </w:tc>
        <w:tc>
          <w:tcPr>
            <w:tcW w:w="426" w:type="pct"/>
            <w:noWrap w:val="0"/>
            <w:vAlign w:val="center"/>
          </w:tcPr>
          <w:p w14:paraId="2548E098">
            <w:pPr>
              <w:kinsoku w:val="0"/>
              <w:overflowPunct w:val="0"/>
              <w:autoSpaceDE w:val="0"/>
              <w:autoSpaceDN w:val="0"/>
              <w:adjustRightInd w:val="0"/>
              <w:jc w:val="center"/>
              <w:rPr>
                <w:sz w:val="21"/>
                <w:szCs w:val="21"/>
                <w:highlight w:val="none"/>
              </w:rPr>
            </w:pPr>
            <w:r>
              <w:rPr>
                <w:sz w:val="21"/>
                <w:szCs w:val="21"/>
                <w:highlight w:val="none"/>
              </w:rPr>
              <w:t>0.009L</w:t>
            </w:r>
          </w:p>
        </w:tc>
        <w:tc>
          <w:tcPr>
            <w:tcW w:w="426" w:type="pct"/>
            <w:noWrap w:val="0"/>
            <w:vAlign w:val="center"/>
          </w:tcPr>
          <w:p w14:paraId="3560E1A6">
            <w:pPr>
              <w:kinsoku w:val="0"/>
              <w:overflowPunct w:val="0"/>
              <w:autoSpaceDE w:val="0"/>
              <w:autoSpaceDN w:val="0"/>
              <w:adjustRightInd w:val="0"/>
              <w:jc w:val="center"/>
              <w:rPr>
                <w:sz w:val="21"/>
                <w:szCs w:val="21"/>
                <w:highlight w:val="none"/>
              </w:rPr>
            </w:pPr>
            <w:r>
              <w:rPr>
                <w:sz w:val="21"/>
                <w:szCs w:val="21"/>
                <w:highlight w:val="none"/>
              </w:rPr>
              <w:t>0.009L</w:t>
            </w:r>
          </w:p>
        </w:tc>
        <w:tc>
          <w:tcPr>
            <w:tcW w:w="481" w:type="pct"/>
            <w:noWrap w:val="0"/>
            <w:vAlign w:val="center"/>
          </w:tcPr>
          <w:p w14:paraId="5DCCDF25">
            <w:pPr>
              <w:kinsoku w:val="0"/>
              <w:overflowPunct w:val="0"/>
              <w:autoSpaceDE w:val="0"/>
              <w:autoSpaceDN w:val="0"/>
              <w:adjustRightInd w:val="0"/>
              <w:jc w:val="center"/>
              <w:rPr>
                <w:sz w:val="21"/>
                <w:szCs w:val="21"/>
                <w:highlight w:val="none"/>
              </w:rPr>
            </w:pPr>
            <w:r>
              <w:rPr>
                <w:sz w:val="21"/>
                <w:szCs w:val="21"/>
                <w:highlight w:val="none"/>
              </w:rPr>
              <w:t>0.009L</w:t>
            </w:r>
          </w:p>
        </w:tc>
        <w:tc>
          <w:tcPr>
            <w:tcW w:w="426" w:type="pct"/>
            <w:noWrap w:val="0"/>
            <w:vAlign w:val="center"/>
          </w:tcPr>
          <w:p w14:paraId="341E2BEF">
            <w:pPr>
              <w:kinsoku w:val="0"/>
              <w:overflowPunct w:val="0"/>
              <w:autoSpaceDE w:val="0"/>
              <w:autoSpaceDN w:val="0"/>
              <w:adjustRightInd w:val="0"/>
              <w:jc w:val="center"/>
              <w:rPr>
                <w:sz w:val="21"/>
                <w:szCs w:val="21"/>
                <w:highlight w:val="none"/>
              </w:rPr>
            </w:pPr>
            <w:r>
              <w:rPr>
                <w:sz w:val="21"/>
                <w:szCs w:val="21"/>
                <w:highlight w:val="none"/>
              </w:rPr>
              <w:t>0.009L</w:t>
            </w:r>
          </w:p>
        </w:tc>
        <w:tc>
          <w:tcPr>
            <w:tcW w:w="481" w:type="pct"/>
            <w:noWrap w:val="0"/>
            <w:vAlign w:val="center"/>
          </w:tcPr>
          <w:p w14:paraId="72E2692C">
            <w:pPr>
              <w:kinsoku w:val="0"/>
              <w:overflowPunct w:val="0"/>
              <w:autoSpaceDE w:val="0"/>
              <w:autoSpaceDN w:val="0"/>
              <w:adjustRightInd w:val="0"/>
              <w:jc w:val="center"/>
              <w:rPr>
                <w:sz w:val="21"/>
                <w:szCs w:val="21"/>
                <w:highlight w:val="none"/>
              </w:rPr>
            </w:pPr>
            <w:r>
              <w:rPr>
                <w:sz w:val="21"/>
                <w:szCs w:val="21"/>
                <w:highlight w:val="none"/>
              </w:rPr>
              <w:t>0.009L</w:t>
            </w:r>
          </w:p>
        </w:tc>
        <w:tc>
          <w:tcPr>
            <w:tcW w:w="426" w:type="pct"/>
            <w:noWrap w:val="0"/>
            <w:vAlign w:val="center"/>
          </w:tcPr>
          <w:p w14:paraId="61FC6F37">
            <w:pPr>
              <w:kinsoku w:val="0"/>
              <w:overflowPunct w:val="0"/>
              <w:autoSpaceDE w:val="0"/>
              <w:autoSpaceDN w:val="0"/>
              <w:adjustRightInd w:val="0"/>
              <w:jc w:val="center"/>
              <w:rPr>
                <w:sz w:val="21"/>
                <w:szCs w:val="21"/>
                <w:highlight w:val="none"/>
              </w:rPr>
            </w:pPr>
            <w:r>
              <w:rPr>
                <w:sz w:val="21"/>
                <w:szCs w:val="21"/>
                <w:highlight w:val="none"/>
              </w:rPr>
              <w:t>0.009L</w:t>
            </w:r>
          </w:p>
        </w:tc>
        <w:tc>
          <w:tcPr>
            <w:tcW w:w="534" w:type="pct"/>
            <w:noWrap w:val="0"/>
            <w:vAlign w:val="center"/>
          </w:tcPr>
          <w:p w14:paraId="765BDA46">
            <w:pPr>
              <w:kinsoku w:val="0"/>
              <w:overflowPunct w:val="0"/>
              <w:autoSpaceDE w:val="0"/>
              <w:autoSpaceDN w:val="0"/>
              <w:adjustRightInd w:val="0"/>
              <w:jc w:val="center"/>
              <w:rPr>
                <w:sz w:val="21"/>
                <w:szCs w:val="21"/>
                <w:highlight w:val="none"/>
              </w:rPr>
            </w:pPr>
            <w:r>
              <w:rPr>
                <w:sz w:val="21"/>
                <w:szCs w:val="21"/>
                <w:highlight w:val="none"/>
              </w:rPr>
              <w:t>0.009L</w:t>
            </w:r>
          </w:p>
        </w:tc>
        <w:tc>
          <w:tcPr>
            <w:tcW w:w="459" w:type="pct"/>
            <w:noWrap w:val="0"/>
            <w:vAlign w:val="center"/>
          </w:tcPr>
          <w:p w14:paraId="0D273244">
            <w:pPr>
              <w:kinsoku w:val="0"/>
              <w:overflowPunct w:val="0"/>
              <w:autoSpaceDE w:val="0"/>
              <w:autoSpaceDN w:val="0"/>
              <w:adjustRightInd w:val="0"/>
              <w:jc w:val="center"/>
              <w:rPr>
                <w:sz w:val="21"/>
                <w:szCs w:val="21"/>
                <w:highlight w:val="none"/>
              </w:rPr>
            </w:pPr>
            <w:r>
              <w:rPr>
                <w:sz w:val="21"/>
                <w:szCs w:val="21"/>
                <w:highlight w:val="none"/>
              </w:rPr>
              <w:t>2.0</w:t>
            </w:r>
          </w:p>
        </w:tc>
      </w:tr>
      <w:tr w14:paraId="0197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exact"/>
          <w:jc w:val="center"/>
        </w:trPr>
        <w:tc>
          <w:tcPr>
            <w:tcW w:w="928" w:type="pct"/>
            <w:noWrap w:val="0"/>
            <w:vAlign w:val="center"/>
          </w:tcPr>
          <w:p w14:paraId="23898C8B">
            <w:pPr>
              <w:kinsoku w:val="0"/>
              <w:overflowPunct w:val="0"/>
              <w:autoSpaceDE w:val="0"/>
              <w:autoSpaceDN w:val="0"/>
              <w:adjustRightInd w:val="0"/>
              <w:jc w:val="center"/>
              <w:rPr>
                <w:sz w:val="21"/>
                <w:szCs w:val="21"/>
                <w:highlight w:val="none"/>
              </w:rPr>
            </w:pPr>
            <w:r>
              <w:rPr>
                <w:sz w:val="21"/>
                <w:szCs w:val="21"/>
                <w:highlight w:val="none"/>
              </w:rPr>
              <w:t>总氰化物</w:t>
            </w:r>
          </w:p>
        </w:tc>
        <w:tc>
          <w:tcPr>
            <w:tcW w:w="408" w:type="pct"/>
            <w:noWrap w:val="0"/>
            <w:vAlign w:val="center"/>
          </w:tcPr>
          <w:p w14:paraId="5EA22296">
            <w:pPr>
              <w:kinsoku w:val="0"/>
              <w:overflowPunct w:val="0"/>
              <w:autoSpaceDE w:val="0"/>
              <w:autoSpaceDN w:val="0"/>
              <w:adjustRightInd w:val="0"/>
              <w:jc w:val="center"/>
              <w:rPr>
                <w:sz w:val="21"/>
                <w:szCs w:val="21"/>
                <w:highlight w:val="none"/>
              </w:rPr>
            </w:pPr>
            <w:r>
              <w:rPr>
                <w:sz w:val="21"/>
                <w:szCs w:val="21"/>
                <w:highlight w:val="none"/>
              </w:rPr>
              <w:t>0.003</w:t>
            </w:r>
          </w:p>
        </w:tc>
        <w:tc>
          <w:tcPr>
            <w:tcW w:w="426" w:type="pct"/>
            <w:noWrap w:val="0"/>
            <w:vAlign w:val="center"/>
          </w:tcPr>
          <w:p w14:paraId="0C12BD27">
            <w:pPr>
              <w:kinsoku w:val="0"/>
              <w:overflowPunct w:val="0"/>
              <w:autoSpaceDE w:val="0"/>
              <w:autoSpaceDN w:val="0"/>
              <w:adjustRightInd w:val="0"/>
              <w:jc w:val="center"/>
              <w:rPr>
                <w:sz w:val="21"/>
                <w:szCs w:val="21"/>
                <w:highlight w:val="none"/>
              </w:rPr>
            </w:pPr>
            <w:r>
              <w:rPr>
                <w:sz w:val="21"/>
                <w:szCs w:val="21"/>
                <w:highlight w:val="none"/>
              </w:rPr>
              <w:t>0.004</w:t>
            </w:r>
          </w:p>
        </w:tc>
        <w:tc>
          <w:tcPr>
            <w:tcW w:w="426" w:type="pct"/>
            <w:noWrap w:val="0"/>
            <w:vAlign w:val="center"/>
          </w:tcPr>
          <w:p w14:paraId="7D8116F8">
            <w:pPr>
              <w:kinsoku w:val="0"/>
              <w:overflowPunct w:val="0"/>
              <w:autoSpaceDE w:val="0"/>
              <w:autoSpaceDN w:val="0"/>
              <w:adjustRightInd w:val="0"/>
              <w:jc w:val="center"/>
              <w:rPr>
                <w:sz w:val="21"/>
                <w:szCs w:val="21"/>
                <w:highlight w:val="none"/>
              </w:rPr>
            </w:pPr>
            <w:r>
              <w:rPr>
                <w:sz w:val="21"/>
                <w:szCs w:val="21"/>
                <w:highlight w:val="none"/>
              </w:rPr>
              <w:t>0.005</w:t>
            </w:r>
          </w:p>
        </w:tc>
        <w:tc>
          <w:tcPr>
            <w:tcW w:w="481" w:type="pct"/>
            <w:noWrap w:val="0"/>
            <w:vAlign w:val="center"/>
          </w:tcPr>
          <w:p w14:paraId="2179D152">
            <w:pPr>
              <w:kinsoku w:val="0"/>
              <w:overflowPunct w:val="0"/>
              <w:autoSpaceDE w:val="0"/>
              <w:autoSpaceDN w:val="0"/>
              <w:adjustRightInd w:val="0"/>
              <w:jc w:val="center"/>
              <w:rPr>
                <w:sz w:val="21"/>
                <w:szCs w:val="21"/>
                <w:highlight w:val="none"/>
              </w:rPr>
            </w:pPr>
            <w:r>
              <w:rPr>
                <w:sz w:val="21"/>
                <w:szCs w:val="21"/>
                <w:highlight w:val="none"/>
              </w:rPr>
              <w:t>0.004</w:t>
            </w:r>
          </w:p>
        </w:tc>
        <w:tc>
          <w:tcPr>
            <w:tcW w:w="426" w:type="pct"/>
            <w:noWrap w:val="0"/>
            <w:vAlign w:val="center"/>
          </w:tcPr>
          <w:p w14:paraId="7B75D048">
            <w:pPr>
              <w:kinsoku w:val="0"/>
              <w:overflowPunct w:val="0"/>
              <w:autoSpaceDE w:val="0"/>
              <w:autoSpaceDN w:val="0"/>
              <w:adjustRightInd w:val="0"/>
              <w:jc w:val="center"/>
              <w:rPr>
                <w:sz w:val="21"/>
                <w:szCs w:val="21"/>
                <w:highlight w:val="none"/>
              </w:rPr>
            </w:pPr>
            <w:r>
              <w:rPr>
                <w:sz w:val="21"/>
                <w:szCs w:val="21"/>
                <w:highlight w:val="none"/>
              </w:rPr>
              <w:t>0.004</w:t>
            </w:r>
          </w:p>
        </w:tc>
        <w:tc>
          <w:tcPr>
            <w:tcW w:w="481" w:type="pct"/>
            <w:noWrap w:val="0"/>
            <w:vAlign w:val="center"/>
          </w:tcPr>
          <w:p w14:paraId="1D716BF7">
            <w:pPr>
              <w:kinsoku w:val="0"/>
              <w:overflowPunct w:val="0"/>
              <w:autoSpaceDE w:val="0"/>
              <w:autoSpaceDN w:val="0"/>
              <w:adjustRightInd w:val="0"/>
              <w:jc w:val="center"/>
              <w:rPr>
                <w:sz w:val="21"/>
                <w:szCs w:val="21"/>
                <w:highlight w:val="none"/>
              </w:rPr>
            </w:pPr>
            <w:r>
              <w:rPr>
                <w:sz w:val="21"/>
                <w:szCs w:val="21"/>
                <w:highlight w:val="none"/>
              </w:rPr>
              <w:t>0.004</w:t>
            </w:r>
          </w:p>
        </w:tc>
        <w:tc>
          <w:tcPr>
            <w:tcW w:w="426" w:type="pct"/>
            <w:noWrap w:val="0"/>
            <w:vAlign w:val="center"/>
          </w:tcPr>
          <w:p w14:paraId="67FDBF5A">
            <w:pPr>
              <w:kinsoku w:val="0"/>
              <w:overflowPunct w:val="0"/>
              <w:autoSpaceDE w:val="0"/>
              <w:autoSpaceDN w:val="0"/>
              <w:adjustRightInd w:val="0"/>
              <w:jc w:val="center"/>
              <w:rPr>
                <w:sz w:val="21"/>
                <w:szCs w:val="21"/>
                <w:highlight w:val="none"/>
              </w:rPr>
            </w:pPr>
            <w:r>
              <w:rPr>
                <w:sz w:val="21"/>
                <w:szCs w:val="21"/>
                <w:highlight w:val="none"/>
              </w:rPr>
              <w:t>0.005</w:t>
            </w:r>
          </w:p>
        </w:tc>
        <w:tc>
          <w:tcPr>
            <w:tcW w:w="534" w:type="pct"/>
            <w:noWrap w:val="0"/>
            <w:vAlign w:val="center"/>
          </w:tcPr>
          <w:p w14:paraId="52409BE3">
            <w:pPr>
              <w:kinsoku w:val="0"/>
              <w:overflowPunct w:val="0"/>
              <w:autoSpaceDE w:val="0"/>
              <w:autoSpaceDN w:val="0"/>
              <w:adjustRightInd w:val="0"/>
              <w:jc w:val="center"/>
              <w:rPr>
                <w:sz w:val="21"/>
                <w:szCs w:val="21"/>
                <w:highlight w:val="none"/>
              </w:rPr>
            </w:pPr>
            <w:r>
              <w:rPr>
                <w:sz w:val="21"/>
                <w:szCs w:val="21"/>
                <w:highlight w:val="none"/>
              </w:rPr>
              <w:t>0.001L</w:t>
            </w:r>
          </w:p>
        </w:tc>
        <w:tc>
          <w:tcPr>
            <w:tcW w:w="459" w:type="pct"/>
            <w:noWrap w:val="0"/>
            <w:vAlign w:val="center"/>
          </w:tcPr>
          <w:p w14:paraId="4891BEBC">
            <w:pPr>
              <w:kinsoku w:val="0"/>
              <w:overflowPunct w:val="0"/>
              <w:autoSpaceDE w:val="0"/>
              <w:autoSpaceDN w:val="0"/>
              <w:adjustRightInd w:val="0"/>
              <w:jc w:val="center"/>
              <w:rPr>
                <w:sz w:val="21"/>
                <w:szCs w:val="21"/>
                <w:highlight w:val="none"/>
              </w:rPr>
            </w:pPr>
            <w:r>
              <w:rPr>
                <w:sz w:val="21"/>
                <w:szCs w:val="21"/>
                <w:highlight w:val="none"/>
              </w:rPr>
              <w:t>0.5</w:t>
            </w:r>
          </w:p>
        </w:tc>
      </w:tr>
      <w:tr w14:paraId="04EA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exact"/>
          <w:jc w:val="center"/>
        </w:trPr>
        <w:tc>
          <w:tcPr>
            <w:tcW w:w="928" w:type="pct"/>
            <w:noWrap w:val="0"/>
            <w:vAlign w:val="center"/>
          </w:tcPr>
          <w:p w14:paraId="24E7646F">
            <w:pPr>
              <w:kinsoku w:val="0"/>
              <w:overflowPunct w:val="0"/>
              <w:autoSpaceDE w:val="0"/>
              <w:autoSpaceDN w:val="0"/>
              <w:adjustRightInd w:val="0"/>
              <w:jc w:val="center"/>
              <w:rPr>
                <w:sz w:val="21"/>
                <w:szCs w:val="21"/>
                <w:highlight w:val="none"/>
              </w:rPr>
            </w:pPr>
            <w:r>
              <w:rPr>
                <w:sz w:val="21"/>
                <w:szCs w:val="21"/>
                <w:highlight w:val="none"/>
              </w:rPr>
              <w:t>阴离子表面活性剂</w:t>
            </w:r>
          </w:p>
        </w:tc>
        <w:tc>
          <w:tcPr>
            <w:tcW w:w="408" w:type="pct"/>
            <w:noWrap w:val="0"/>
            <w:vAlign w:val="center"/>
          </w:tcPr>
          <w:p w14:paraId="0BC91EC9">
            <w:pPr>
              <w:kinsoku w:val="0"/>
              <w:overflowPunct w:val="0"/>
              <w:autoSpaceDE w:val="0"/>
              <w:autoSpaceDN w:val="0"/>
              <w:adjustRightInd w:val="0"/>
              <w:jc w:val="center"/>
              <w:rPr>
                <w:sz w:val="21"/>
                <w:szCs w:val="21"/>
                <w:highlight w:val="none"/>
              </w:rPr>
            </w:pPr>
            <w:r>
              <w:rPr>
                <w:sz w:val="21"/>
                <w:szCs w:val="21"/>
                <w:highlight w:val="none"/>
              </w:rPr>
              <w:t>0.04L</w:t>
            </w:r>
          </w:p>
        </w:tc>
        <w:tc>
          <w:tcPr>
            <w:tcW w:w="426" w:type="pct"/>
            <w:noWrap w:val="0"/>
            <w:vAlign w:val="center"/>
          </w:tcPr>
          <w:p w14:paraId="4DCC8610">
            <w:pPr>
              <w:kinsoku w:val="0"/>
              <w:overflowPunct w:val="0"/>
              <w:autoSpaceDE w:val="0"/>
              <w:autoSpaceDN w:val="0"/>
              <w:adjustRightInd w:val="0"/>
              <w:jc w:val="center"/>
              <w:rPr>
                <w:sz w:val="21"/>
                <w:szCs w:val="21"/>
                <w:highlight w:val="none"/>
              </w:rPr>
            </w:pPr>
            <w:r>
              <w:rPr>
                <w:sz w:val="21"/>
                <w:szCs w:val="21"/>
                <w:highlight w:val="none"/>
              </w:rPr>
              <w:t>0.04L</w:t>
            </w:r>
          </w:p>
        </w:tc>
        <w:tc>
          <w:tcPr>
            <w:tcW w:w="426" w:type="pct"/>
            <w:noWrap w:val="0"/>
            <w:vAlign w:val="center"/>
          </w:tcPr>
          <w:p w14:paraId="7CA26E52">
            <w:pPr>
              <w:kinsoku w:val="0"/>
              <w:overflowPunct w:val="0"/>
              <w:autoSpaceDE w:val="0"/>
              <w:autoSpaceDN w:val="0"/>
              <w:adjustRightInd w:val="0"/>
              <w:jc w:val="center"/>
              <w:rPr>
                <w:sz w:val="21"/>
                <w:szCs w:val="21"/>
                <w:highlight w:val="none"/>
              </w:rPr>
            </w:pPr>
            <w:r>
              <w:rPr>
                <w:sz w:val="21"/>
                <w:szCs w:val="21"/>
                <w:highlight w:val="none"/>
              </w:rPr>
              <w:t>0.49</w:t>
            </w:r>
          </w:p>
        </w:tc>
        <w:tc>
          <w:tcPr>
            <w:tcW w:w="481" w:type="pct"/>
            <w:noWrap w:val="0"/>
            <w:vAlign w:val="center"/>
          </w:tcPr>
          <w:p w14:paraId="3FD451BB">
            <w:pPr>
              <w:kinsoku w:val="0"/>
              <w:overflowPunct w:val="0"/>
              <w:autoSpaceDE w:val="0"/>
              <w:autoSpaceDN w:val="0"/>
              <w:adjustRightInd w:val="0"/>
              <w:jc w:val="center"/>
              <w:rPr>
                <w:sz w:val="21"/>
                <w:szCs w:val="21"/>
                <w:highlight w:val="none"/>
              </w:rPr>
            </w:pPr>
            <w:r>
              <w:rPr>
                <w:sz w:val="21"/>
                <w:szCs w:val="21"/>
                <w:highlight w:val="none"/>
              </w:rPr>
              <w:t>0.09</w:t>
            </w:r>
          </w:p>
        </w:tc>
        <w:tc>
          <w:tcPr>
            <w:tcW w:w="426" w:type="pct"/>
            <w:noWrap w:val="0"/>
            <w:vAlign w:val="center"/>
          </w:tcPr>
          <w:p w14:paraId="33D5B1EF">
            <w:pPr>
              <w:kinsoku w:val="0"/>
              <w:overflowPunct w:val="0"/>
              <w:autoSpaceDE w:val="0"/>
              <w:autoSpaceDN w:val="0"/>
              <w:adjustRightInd w:val="0"/>
              <w:jc w:val="center"/>
              <w:rPr>
                <w:sz w:val="21"/>
                <w:szCs w:val="21"/>
                <w:highlight w:val="none"/>
              </w:rPr>
            </w:pPr>
            <w:r>
              <w:rPr>
                <w:sz w:val="21"/>
                <w:szCs w:val="21"/>
                <w:highlight w:val="none"/>
              </w:rPr>
              <w:t>0.07</w:t>
            </w:r>
          </w:p>
        </w:tc>
        <w:tc>
          <w:tcPr>
            <w:tcW w:w="481" w:type="pct"/>
            <w:noWrap w:val="0"/>
            <w:vAlign w:val="center"/>
          </w:tcPr>
          <w:p w14:paraId="20BB5F47">
            <w:pPr>
              <w:kinsoku w:val="0"/>
              <w:overflowPunct w:val="0"/>
              <w:autoSpaceDE w:val="0"/>
              <w:autoSpaceDN w:val="0"/>
              <w:adjustRightInd w:val="0"/>
              <w:jc w:val="center"/>
              <w:rPr>
                <w:sz w:val="21"/>
                <w:szCs w:val="21"/>
                <w:highlight w:val="none"/>
              </w:rPr>
            </w:pPr>
            <w:r>
              <w:rPr>
                <w:sz w:val="21"/>
                <w:szCs w:val="21"/>
                <w:highlight w:val="none"/>
              </w:rPr>
              <w:t>0.18</w:t>
            </w:r>
          </w:p>
        </w:tc>
        <w:tc>
          <w:tcPr>
            <w:tcW w:w="426" w:type="pct"/>
            <w:noWrap w:val="0"/>
            <w:vAlign w:val="center"/>
          </w:tcPr>
          <w:p w14:paraId="30F2E897">
            <w:pPr>
              <w:kinsoku w:val="0"/>
              <w:overflowPunct w:val="0"/>
              <w:autoSpaceDE w:val="0"/>
              <w:autoSpaceDN w:val="0"/>
              <w:adjustRightInd w:val="0"/>
              <w:jc w:val="center"/>
              <w:rPr>
                <w:sz w:val="21"/>
                <w:szCs w:val="21"/>
                <w:highlight w:val="none"/>
              </w:rPr>
            </w:pPr>
            <w:r>
              <w:rPr>
                <w:sz w:val="21"/>
                <w:szCs w:val="21"/>
                <w:highlight w:val="none"/>
              </w:rPr>
              <w:t>0.57</w:t>
            </w:r>
          </w:p>
        </w:tc>
        <w:tc>
          <w:tcPr>
            <w:tcW w:w="534" w:type="pct"/>
            <w:noWrap w:val="0"/>
            <w:vAlign w:val="center"/>
          </w:tcPr>
          <w:p w14:paraId="1330E444">
            <w:pPr>
              <w:kinsoku w:val="0"/>
              <w:overflowPunct w:val="0"/>
              <w:autoSpaceDE w:val="0"/>
              <w:autoSpaceDN w:val="0"/>
              <w:adjustRightInd w:val="0"/>
              <w:jc w:val="center"/>
              <w:rPr>
                <w:sz w:val="21"/>
                <w:szCs w:val="21"/>
                <w:highlight w:val="none"/>
              </w:rPr>
            </w:pPr>
            <w:r>
              <w:rPr>
                <w:sz w:val="21"/>
                <w:szCs w:val="21"/>
                <w:highlight w:val="none"/>
              </w:rPr>
              <w:t>0.17</w:t>
            </w:r>
          </w:p>
        </w:tc>
        <w:tc>
          <w:tcPr>
            <w:tcW w:w="459" w:type="pct"/>
            <w:noWrap w:val="0"/>
            <w:vAlign w:val="center"/>
          </w:tcPr>
          <w:p w14:paraId="2E46662C">
            <w:pPr>
              <w:kinsoku w:val="0"/>
              <w:overflowPunct w:val="0"/>
              <w:autoSpaceDE w:val="0"/>
              <w:autoSpaceDN w:val="0"/>
              <w:adjustRightInd w:val="0"/>
              <w:jc w:val="center"/>
              <w:rPr>
                <w:sz w:val="21"/>
                <w:szCs w:val="21"/>
                <w:highlight w:val="none"/>
              </w:rPr>
            </w:pPr>
            <w:r>
              <w:rPr>
                <w:sz w:val="21"/>
                <w:szCs w:val="21"/>
                <w:highlight w:val="none"/>
              </w:rPr>
              <w:t>5.0</w:t>
            </w:r>
          </w:p>
        </w:tc>
      </w:tr>
      <w:tr w14:paraId="05E4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exact"/>
          <w:jc w:val="center"/>
        </w:trPr>
        <w:tc>
          <w:tcPr>
            <w:tcW w:w="928" w:type="pct"/>
            <w:noWrap w:val="0"/>
            <w:vAlign w:val="center"/>
          </w:tcPr>
          <w:p w14:paraId="78C1363A">
            <w:pPr>
              <w:kinsoku w:val="0"/>
              <w:overflowPunct w:val="0"/>
              <w:autoSpaceDE w:val="0"/>
              <w:autoSpaceDN w:val="0"/>
              <w:adjustRightInd w:val="0"/>
              <w:jc w:val="center"/>
              <w:rPr>
                <w:sz w:val="21"/>
                <w:szCs w:val="21"/>
                <w:highlight w:val="none"/>
              </w:rPr>
            </w:pPr>
            <w:r>
              <w:rPr>
                <w:sz w:val="21"/>
                <w:szCs w:val="21"/>
                <w:highlight w:val="none"/>
              </w:rPr>
              <w:t>石油类</w:t>
            </w:r>
          </w:p>
        </w:tc>
        <w:tc>
          <w:tcPr>
            <w:tcW w:w="408" w:type="pct"/>
            <w:noWrap w:val="0"/>
            <w:vAlign w:val="center"/>
          </w:tcPr>
          <w:p w14:paraId="313DDEC2">
            <w:pPr>
              <w:kinsoku w:val="0"/>
              <w:overflowPunct w:val="0"/>
              <w:autoSpaceDE w:val="0"/>
              <w:autoSpaceDN w:val="0"/>
              <w:adjustRightInd w:val="0"/>
              <w:jc w:val="center"/>
              <w:rPr>
                <w:sz w:val="21"/>
                <w:szCs w:val="21"/>
                <w:highlight w:val="none"/>
              </w:rPr>
            </w:pPr>
            <w:r>
              <w:rPr>
                <w:sz w:val="21"/>
                <w:szCs w:val="21"/>
                <w:highlight w:val="none"/>
              </w:rPr>
              <w:t>0.06L</w:t>
            </w:r>
          </w:p>
        </w:tc>
        <w:tc>
          <w:tcPr>
            <w:tcW w:w="426" w:type="pct"/>
            <w:noWrap w:val="0"/>
            <w:vAlign w:val="center"/>
          </w:tcPr>
          <w:p w14:paraId="14BEA6FC">
            <w:pPr>
              <w:kinsoku w:val="0"/>
              <w:overflowPunct w:val="0"/>
              <w:autoSpaceDE w:val="0"/>
              <w:autoSpaceDN w:val="0"/>
              <w:adjustRightInd w:val="0"/>
              <w:jc w:val="center"/>
              <w:rPr>
                <w:sz w:val="21"/>
                <w:szCs w:val="21"/>
                <w:highlight w:val="none"/>
              </w:rPr>
            </w:pPr>
            <w:r>
              <w:rPr>
                <w:sz w:val="21"/>
                <w:szCs w:val="21"/>
                <w:highlight w:val="none"/>
              </w:rPr>
              <w:t>0.06L</w:t>
            </w:r>
          </w:p>
        </w:tc>
        <w:tc>
          <w:tcPr>
            <w:tcW w:w="426" w:type="pct"/>
            <w:noWrap w:val="0"/>
            <w:vAlign w:val="center"/>
          </w:tcPr>
          <w:p w14:paraId="05C830D2">
            <w:pPr>
              <w:kinsoku w:val="0"/>
              <w:overflowPunct w:val="0"/>
              <w:autoSpaceDE w:val="0"/>
              <w:autoSpaceDN w:val="0"/>
              <w:adjustRightInd w:val="0"/>
              <w:jc w:val="center"/>
              <w:rPr>
                <w:sz w:val="21"/>
                <w:szCs w:val="21"/>
                <w:highlight w:val="none"/>
              </w:rPr>
            </w:pPr>
            <w:r>
              <w:rPr>
                <w:sz w:val="21"/>
                <w:szCs w:val="21"/>
                <w:highlight w:val="none"/>
              </w:rPr>
              <w:t>0.06L</w:t>
            </w:r>
          </w:p>
        </w:tc>
        <w:tc>
          <w:tcPr>
            <w:tcW w:w="481" w:type="pct"/>
            <w:noWrap w:val="0"/>
            <w:vAlign w:val="center"/>
          </w:tcPr>
          <w:p w14:paraId="1D9BB000">
            <w:pPr>
              <w:kinsoku w:val="0"/>
              <w:overflowPunct w:val="0"/>
              <w:autoSpaceDE w:val="0"/>
              <w:autoSpaceDN w:val="0"/>
              <w:adjustRightInd w:val="0"/>
              <w:jc w:val="center"/>
              <w:rPr>
                <w:sz w:val="21"/>
                <w:szCs w:val="21"/>
                <w:highlight w:val="none"/>
              </w:rPr>
            </w:pPr>
            <w:r>
              <w:rPr>
                <w:sz w:val="21"/>
                <w:szCs w:val="21"/>
                <w:highlight w:val="none"/>
              </w:rPr>
              <w:t>0.06L</w:t>
            </w:r>
          </w:p>
        </w:tc>
        <w:tc>
          <w:tcPr>
            <w:tcW w:w="426" w:type="pct"/>
            <w:noWrap w:val="0"/>
            <w:vAlign w:val="center"/>
          </w:tcPr>
          <w:p w14:paraId="6EEE092F">
            <w:pPr>
              <w:kinsoku w:val="0"/>
              <w:overflowPunct w:val="0"/>
              <w:autoSpaceDE w:val="0"/>
              <w:autoSpaceDN w:val="0"/>
              <w:adjustRightInd w:val="0"/>
              <w:jc w:val="center"/>
              <w:rPr>
                <w:sz w:val="21"/>
                <w:szCs w:val="21"/>
                <w:highlight w:val="none"/>
              </w:rPr>
            </w:pPr>
            <w:r>
              <w:rPr>
                <w:sz w:val="21"/>
                <w:szCs w:val="21"/>
                <w:highlight w:val="none"/>
              </w:rPr>
              <w:t>0.06L</w:t>
            </w:r>
          </w:p>
        </w:tc>
        <w:tc>
          <w:tcPr>
            <w:tcW w:w="481" w:type="pct"/>
            <w:noWrap w:val="0"/>
            <w:vAlign w:val="center"/>
          </w:tcPr>
          <w:p w14:paraId="6C5800E0">
            <w:pPr>
              <w:kinsoku w:val="0"/>
              <w:overflowPunct w:val="0"/>
              <w:autoSpaceDE w:val="0"/>
              <w:autoSpaceDN w:val="0"/>
              <w:adjustRightInd w:val="0"/>
              <w:jc w:val="center"/>
              <w:rPr>
                <w:sz w:val="21"/>
                <w:szCs w:val="21"/>
                <w:highlight w:val="none"/>
              </w:rPr>
            </w:pPr>
            <w:r>
              <w:rPr>
                <w:sz w:val="21"/>
                <w:szCs w:val="21"/>
                <w:highlight w:val="none"/>
              </w:rPr>
              <w:t>0.06L</w:t>
            </w:r>
          </w:p>
        </w:tc>
        <w:tc>
          <w:tcPr>
            <w:tcW w:w="426" w:type="pct"/>
            <w:noWrap w:val="0"/>
            <w:vAlign w:val="center"/>
          </w:tcPr>
          <w:p w14:paraId="12FE0F68">
            <w:pPr>
              <w:kinsoku w:val="0"/>
              <w:overflowPunct w:val="0"/>
              <w:autoSpaceDE w:val="0"/>
              <w:autoSpaceDN w:val="0"/>
              <w:adjustRightInd w:val="0"/>
              <w:jc w:val="center"/>
              <w:rPr>
                <w:sz w:val="21"/>
                <w:szCs w:val="21"/>
                <w:highlight w:val="none"/>
              </w:rPr>
            </w:pPr>
            <w:r>
              <w:rPr>
                <w:sz w:val="21"/>
                <w:szCs w:val="21"/>
                <w:highlight w:val="none"/>
              </w:rPr>
              <w:t>0.06L</w:t>
            </w:r>
          </w:p>
        </w:tc>
        <w:tc>
          <w:tcPr>
            <w:tcW w:w="534" w:type="pct"/>
            <w:noWrap w:val="0"/>
            <w:vAlign w:val="center"/>
          </w:tcPr>
          <w:p w14:paraId="04BC2D9E">
            <w:pPr>
              <w:kinsoku w:val="0"/>
              <w:overflowPunct w:val="0"/>
              <w:autoSpaceDE w:val="0"/>
              <w:autoSpaceDN w:val="0"/>
              <w:adjustRightInd w:val="0"/>
              <w:jc w:val="center"/>
              <w:rPr>
                <w:sz w:val="21"/>
                <w:szCs w:val="21"/>
                <w:highlight w:val="none"/>
              </w:rPr>
            </w:pPr>
            <w:r>
              <w:rPr>
                <w:sz w:val="21"/>
                <w:szCs w:val="21"/>
                <w:highlight w:val="none"/>
              </w:rPr>
              <w:t>0.06L</w:t>
            </w:r>
          </w:p>
        </w:tc>
        <w:tc>
          <w:tcPr>
            <w:tcW w:w="459" w:type="pct"/>
            <w:noWrap w:val="0"/>
            <w:vAlign w:val="center"/>
          </w:tcPr>
          <w:p w14:paraId="534D5266">
            <w:pPr>
              <w:kinsoku w:val="0"/>
              <w:overflowPunct w:val="0"/>
              <w:autoSpaceDE w:val="0"/>
              <w:autoSpaceDN w:val="0"/>
              <w:adjustRightInd w:val="0"/>
              <w:jc w:val="center"/>
              <w:rPr>
                <w:sz w:val="21"/>
                <w:szCs w:val="21"/>
                <w:highlight w:val="none"/>
              </w:rPr>
            </w:pPr>
            <w:r>
              <w:rPr>
                <w:sz w:val="21"/>
                <w:szCs w:val="21"/>
                <w:highlight w:val="none"/>
              </w:rPr>
              <w:t>10</w:t>
            </w:r>
          </w:p>
        </w:tc>
      </w:tr>
      <w:tr w14:paraId="59C9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exact"/>
          <w:jc w:val="center"/>
        </w:trPr>
        <w:tc>
          <w:tcPr>
            <w:tcW w:w="928" w:type="pct"/>
            <w:noWrap w:val="0"/>
            <w:vAlign w:val="center"/>
          </w:tcPr>
          <w:p w14:paraId="55A15F20">
            <w:pPr>
              <w:kinsoku w:val="0"/>
              <w:overflowPunct w:val="0"/>
              <w:autoSpaceDE w:val="0"/>
              <w:autoSpaceDN w:val="0"/>
              <w:adjustRightInd w:val="0"/>
              <w:jc w:val="center"/>
              <w:rPr>
                <w:sz w:val="21"/>
                <w:szCs w:val="21"/>
                <w:highlight w:val="none"/>
              </w:rPr>
            </w:pPr>
            <w:r>
              <w:rPr>
                <w:sz w:val="21"/>
                <w:szCs w:val="21"/>
                <w:highlight w:val="none"/>
              </w:rPr>
              <w:t>动植物油</w:t>
            </w:r>
          </w:p>
        </w:tc>
        <w:tc>
          <w:tcPr>
            <w:tcW w:w="408" w:type="pct"/>
            <w:noWrap w:val="0"/>
            <w:vAlign w:val="center"/>
          </w:tcPr>
          <w:p w14:paraId="57BB2130">
            <w:pPr>
              <w:kinsoku w:val="0"/>
              <w:overflowPunct w:val="0"/>
              <w:autoSpaceDE w:val="0"/>
              <w:autoSpaceDN w:val="0"/>
              <w:adjustRightInd w:val="0"/>
              <w:jc w:val="center"/>
              <w:rPr>
                <w:sz w:val="21"/>
                <w:szCs w:val="21"/>
                <w:highlight w:val="none"/>
              </w:rPr>
            </w:pPr>
            <w:r>
              <w:rPr>
                <w:sz w:val="21"/>
                <w:szCs w:val="21"/>
                <w:highlight w:val="none"/>
              </w:rPr>
              <w:t>0.06L</w:t>
            </w:r>
          </w:p>
        </w:tc>
        <w:tc>
          <w:tcPr>
            <w:tcW w:w="426" w:type="pct"/>
            <w:noWrap w:val="0"/>
            <w:vAlign w:val="center"/>
          </w:tcPr>
          <w:p w14:paraId="11F90964">
            <w:pPr>
              <w:kinsoku w:val="0"/>
              <w:overflowPunct w:val="0"/>
              <w:autoSpaceDE w:val="0"/>
              <w:autoSpaceDN w:val="0"/>
              <w:adjustRightInd w:val="0"/>
              <w:jc w:val="center"/>
              <w:rPr>
                <w:sz w:val="21"/>
                <w:szCs w:val="21"/>
                <w:highlight w:val="none"/>
              </w:rPr>
            </w:pPr>
            <w:r>
              <w:rPr>
                <w:sz w:val="21"/>
                <w:szCs w:val="21"/>
                <w:highlight w:val="none"/>
              </w:rPr>
              <w:t>0.06L</w:t>
            </w:r>
          </w:p>
        </w:tc>
        <w:tc>
          <w:tcPr>
            <w:tcW w:w="426" w:type="pct"/>
            <w:noWrap w:val="0"/>
            <w:vAlign w:val="center"/>
          </w:tcPr>
          <w:p w14:paraId="63480CD8">
            <w:pPr>
              <w:kinsoku w:val="0"/>
              <w:overflowPunct w:val="0"/>
              <w:autoSpaceDE w:val="0"/>
              <w:autoSpaceDN w:val="0"/>
              <w:adjustRightInd w:val="0"/>
              <w:jc w:val="center"/>
              <w:rPr>
                <w:sz w:val="21"/>
                <w:szCs w:val="21"/>
                <w:highlight w:val="none"/>
              </w:rPr>
            </w:pPr>
            <w:r>
              <w:rPr>
                <w:sz w:val="21"/>
                <w:szCs w:val="21"/>
                <w:highlight w:val="none"/>
              </w:rPr>
              <w:t>0.06L</w:t>
            </w:r>
          </w:p>
        </w:tc>
        <w:tc>
          <w:tcPr>
            <w:tcW w:w="481" w:type="pct"/>
            <w:noWrap w:val="0"/>
            <w:vAlign w:val="center"/>
          </w:tcPr>
          <w:p w14:paraId="4AA0CDEE">
            <w:pPr>
              <w:kinsoku w:val="0"/>
              <w:overflowPunct w:val="0"/>
              <w:autoSpaceDE w:val="0"/>
              <w:autoSpaceDN w:val="0"/>
              <w:adjustRightInd w:val="0"/>
              <w:jc w:val="center"/>
              <w:rPr>
                <w:sz w:val="21"/>
                <w:szCs w:val="21"/>
                <w:highlight w:val="none"/>
              </w:rPr>
            </w:pPr>
            <w:r>
              <w:rPr>
                <w:sz w:val="21"/>
                <w:szCs w:val="21"/>
                <w:highlight w:val="none"/>
              </w:rPr>
              <w:t>0.06L</w:t>
            </w:r>
          </w:p>
        </w:tc>
        <w:tc>
          <w:tcPr>
            <w:tcW w:w="426" w:type="pct"/>
            <w:noWrap w:val="0"/>
            <w:vAlign w:val="center"/>
          </w:tcPr>
          <w:p w14:paraId="4C3BDD40">
            <w:pPr>
              <w:kinsoku w:val="0"/>
              <w:overflowPunct w:val="0"/>
              <w:autoSpaceDE w:val="0"/>
              <w:autoSpaceDN w:val="0"/>
              <w:adjustRightInd w:val="0"/>
              <w:jc w:val="center"/>
              <w:rPr>
                <w:sz w:val="21"/>
                <w:szCs w:val="21"/>
                <w:highlight w:val="none"/>
              </w:rPr>
            </w:pPr>
            <w:r>
              <w:rPr>
                <w:sz w:val="21"/>
                <w:szCs w:val="21"/>
                <w:highlight w:val="none"/>
              </w:rPr>
              <w:t>0.06L</w:t>
            </w:r>
          </w:p>
        </w:tc>
        <w:tc>
          <w:tcPr>
            <w:tcW w:w="481" w:type="pct"/>
            <w:noWrap w:val="0"/>
            <w:vAlign w:val="center"/>
          </w:tcPr>
          <w:p w14:paraId="6E5A6D5C">
            <w:pPr>
              <w:kinsoku w:val="0"/>
              <w:overflowPunct w:val="0"/>
              <w:autoSpaceDE w:val="0"/>
              <w:autoSpaceDN w:val="0"/>
              <w:adjustRightInd w:val="0"/>
              <w:jc w:val="center"/>
              <w:rPr>
                <w:sz w:val="21"/>
                <w:szCs w:val="21"/>
                <w:highlight w:val="none"/>
              </w:rPr>
            </w:pPr>
            <w:r>
              <w:rPr>
                <w:sz w:val="21"/>
                <w:szCs w:val="21"/>
                <w:highlight w:val="none"/>
              </w:rPr>
              <w:t>0.06L</w:t>
            </w:r>
          </w:p>
        </w:tc>
        <w:tc>
          <w:tcPr>
            <w:tcW w:w="426" w:type="pct"/>
            <w:noWrap w:val="0"/>
            <w:vAlign w:val="center"/>
          </w:tcPr>
          <w:p w14:paraId="550F2EC0">
            <w:pPr>
              <w:kinsoku w:val="0"/>
              <w:overflowPunct w:val="0"/>
              <w:autoSpaceDE w:val="0"/>
              <w:autoSpaceDN w:val="0"/>
              <w:adjustRightInd w:val="0"/>
              <w:jc w:val="center"/>
              <w:rPr>
                <w:sz w:val="21"/>
                <w:szCs w:val="21"/>
                <w:highlight w:val="none"/>
              </w:rPr>
            </w:pPr>
            <w:r>
              <w:rPr>
                <w:sz w:val="21"/>
                <w:szCs w:val="21"/>
                <w:highlight w:val="none"/>
              </w:rPr>
              <w:t>0.06L</w:t>
            </w:r>
          </w:p>
        </w:tc>
        <w:tc>
          <w:tcPr>
            <w:tcW w:w="534" w:type="pct"/>
            <w:noWrap w:val="0"/>
            <w:vAlign w:val="center"/>
          </w:tcPr>
          <w:p w14:paraId="2EB76FCC">
            <w:pPr>
              <w:kinsoku w:val="0"/>
              <w:overflowPunct w:val="0"/>
              <w:autoSpaceDE w:val="0"/>
              <w:autoSpaceDN w:val="0"/>
              <w:adjustRightInd w:val="0"/>
              <w:jc w:val="center"/>
              <w:rPr>
                <w:sz w:val="21"/>
                <w:szCs w:val="21"/>
                <w:highlight w:val="none"/>
              </w:rPr>
            </w:pPr>
            <w:r>
              <w:rPr>
                <w:sz w:val="21"/>
                <w:szCs w:val="21"/>
                <w:highlight w:val="none"/>
              </w:rPr>
              <w:t>0.06L</w:t>
            </w:r>
          </w:p>
        </w:tc>
        <w:tc>
          <w:tcPr>
            <w:tcW w:w="459" w:type="pct"/>
            <w:noWrap w:val="0"/>
            <w:vAlign w:val="center"/>
          </w:tcPr>
          <w:p w14:paraId="07F4554D">
            <w:pPr>
              <w:kinsoku w:val="0"/>
              <w:overflowPunct w:val="0"/>
              <w:autoSpaceDE w:val="0"/>
              <w:autoSpaceDN w:val="0"/>
              <w:adjustRightInd w:val="0"/>
              <w:jc w:val="center"/>
              <w:rPr>
                <w:sz w:val="21"/>
                <w:szCs w:val="21"/>
                <w:highlight w:val="none"/>
              </w:rPr>
            </w:pPr>
            <w:r>
              <w:rPr>
                <w:sz w:val="21"/>
                <w:szCs w:val="21"/>
                <w:highlight w:val="none"/>
              </w:rPr>
              <w:t>20</w:t>
            </w:r>
          </w:p>
        </w:tc>
      </w:tr>
      <w:tr w14:paraId="27F3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exact"/>
          <w:jc w:val="center"/>
        </w:trPr>
        <w:tc>
          <w:tcPr>
            <w:tcW w:w="928" w:type="pct"/>
            <w:noWrap w:val="0"/>
            <w:vAlign w:val="center"/>
          </w:tcPr>
          <w:p w14:paraId="1D4496DD">
            <w:pPr>
              <w:kinsoku w:val="0"/>
              <w:overflowPunct w:val="0"/>
              <w:autoSpaceDE w:val="0"/>
              <w:autoSpaceDN w:val="0"/>
              <w:adjustRightInd w:val="0"/>
              <w:jc w:val="center"/>
              <w:rPr>
                <w:sz w:val="21"/>
                <w:szCs w:val="21"/>
                <w:highlight w:val="none"/>
              </w:rPr>
            </w:pPr>
            <w:r>
              <w:rPr>
                <w:sz w:val="21"/>
                <w:szCs w:val="21"/>
                <w:highlight w:val="none"/>
              </w:rPr>
              <w:t>磷酸盐</w:t>
            </w:r>
          </w:p>
        </w:tc>
        <w:tc>
          <w:tcPr>
            <w:tcW w:w="408" w:type="pct"/>
            <w:noWrap w:val="0"/>
            <w:vAlign w:val="center"/>
          </w:tcPr>
          <w:p w14:paraId="2A5022A6">
            <w:pPr>
              <w:kinsoku w:val="0"/>
              <w:overflowPunct w:val="0"/>
              <w:autoSpaceDE w:val="0"/>
              <w:autoSpaceDN w:val="0"/>
              <w:adjustRightInd w:val="0"/>
              <w:jc w:val="center"/>
              <w:rPr>
                <w:sz w:val="21"/>
                <w:szCs w:val="21"/>
                <w:highlight w:val="none"/>
              </w:rPr>
            </w:pPr>
            <w:r>
              <w:rPr>
                <w:sz w:val="21"/>
                <w:szCs w:val="21"/>
                <w:highlight w:val="none"/>
              </w:rPr>
              <w:t>0.18</w:t>
            </w:r>
          </w:p>
        </w:tc>
        <w:tc>
          <w:tcPr>
            <w:tcW w:w="426" w:type="pct"/>
            <w:noWrap w:val="0"/>
            <w:vAlign w:val="center"/>
          </w:tcPr>
          <w:p w14:paraId="618DC17C">
            <w:pPr>
              <w:kinsoku w:val="0"/>
              <w:overflowPunct w:val="0"/>
              <w:autoSpaceDE w:val="0"/>
              <w:autoSpaceDN w:val="0"/>
              <w:adjustRightInd w:val="0"/>
              <w:jc w:val="center"/>
              <w:rPr>
                <w:sz w:val="21"/>
                <w:szCs w:val="21"/>
                <w:highlight w:val="none"/>
              </w:rPr>
            </w:pPr>
            <w:r>
              <w:rPr>
                <w:sz w:val="21"/>
                <w:szCs w:val="21"/>
                <w:highlight w:val="none"/>
              </w:rPr>
              <w:t>0.04</w:t>
            </w:r>
          </w:p>
        </w:tc>
        <w:tc>
          <w:tcPr>
            <w:tcW w:w="426" w:type="pct"/>
            <w:noWrap w:val="0"/>
            <w:vAlign w:val="center"/>
          </w:tcPr>
          <w:p w14:paraId="3FBCF17B">
            <w:pPr>
              <w:kinsoku w:val="0"/>
              <w:overflowPunct w:val="0"/>
              <w:autoSpaceDE w:val="0"/>
              <w:autoSpaceDN w:val="0"/>
              <w:adjustRightInd w:val="0"/>
              <w:jc w:val="center"/>
              <w:rPr>
                <w:sz w:val="21"/>
                <w:szCs w:val="21"/>
                <w:highlight w:val="none"/>
              </w:rPr>
            </w:pPr>
            <w:r>
              <w:rPr>
                <w:sz w:val="21"/>
                <w:szCs w:val="21"/>
                <w:highlight w:val="none"/>
              </w:rPr>
              <w:t>0.09</w:t>
            </w:r>
          </w:p>
        </w:tc>
        <w:tc>
          <w:tcPr>
            <w:tcW w:w="481" w:type="pct"/>
            <w:noWrap w:val="0"/>
            <w:vAlign w:val="center"/>
          </w:tcPr>
          <w:p w14:paraId="7F3C8B85">
            <w:pPr>
              <w:kinsoku w:val="0"/>
              <w:overflowPunct w:val="0"/>
              <w:autoSpaceDE w:val="0"/>
              <w:autoSpaceDN w:val="0"/>
              <w:adjustRightInd w:val="0"/>
              <w:jc w:val="center"/>
              <w:rPr>
                <w:sz w:val="21"/>
                <w:szCs w:val="21"/>
                <w:highlight w:val="none"/>
              </w:rPr>
            </w:pPr>
            <w:r>
              <w:rPr>
                <w:sz w:val="21"/>
                <w:szCs w:val="21"/>
                <w:highlight w:val="none"/>
              </w:rPr>
              <w:t>0.03</w:t>
            </w:r>
          </w:p>
        </w:tc>
        <w:tc>
          <w:tcPr>
            <w:tcW w:w="426" w:type="pct"/>
            <w:noWrap w:val="0"/>
            <w:vAlign w:val="center"/>
          </w:tcPr>
          <w:p w14:paraId="2ABEC259">
            <w:pPr>
              <w:kinsoku w:val="0"/>
              <w:overflowPunct w:val="0"/>
              <w:autoSpaceDE w:val="0"/>
              <w:autoSpaceDN w:val="0"/>
              <w:adjustRightInd w:val="0"/>
              <w:jc w:val="center"/>
              <w:rPr>
                <w:sz w:val="21"/>
                <w:szCs w:val="21"/>
                <w:highlight w:val="none"/>
              </w:rPr>
            </w:pPr>
            <w:r>
              <w:rPr>
                <w:sz w:val="21"/>
                <w:szCs w:val="21"/>
                <w:highlight w:val="none"/>
              </w:rPr>
              <w:t>0.08</w:t>
            </w:r>
          </w:p>
        </w:tc>
        <w:tc>
          <w:tcPr>
            <w:tcW w:w="481" w:type="pct"/>
            <w:noWrap w:val="0"/>
            <w:vAlign w:val="center"/>
          </w:tcPr>
          <w:p w14:paraId="5DAAED8C">
            <w:pPr>
              <w:kinsoku w:val="0"/>
              <w:overflowPunct w:val="0"/>
              <w:autoSpaceDE w:val="0"/>
              <w:autoSpaceDN w:val="0"/>
              <w:adjustRightInd w:val="0"/>
              <w:jc w:val="center"/>
              <w:rPr>
                <w:sz w:val="21"/>
                <w:szCs w:val="21"/>
                <w:highlight w:val="none"/>
              </w:rPr>
            </w:pPr>
            <w:r>
              <w:rPr>
                <w:sz w:val="21"/>
                <w:szCs w:val="21"/>
                <w:highlight w:val="none"/>
              </w:rPr>
              <w:t>0.06</w:t>
            </w:r>
          </w:p>
        </w:tc>
        <w:tc>
          <w:tcPr>
            <w:tcW w:w="426" w:type="pct"/>
            <w:noWrap w:val="0"/>
            <w:vAlign w:val="center"/>
          </w:tcPr>
          <w:p w14:paraId="0F8F525D">
            <w:pPr>
              <w:kinsoku w:val="0"/>
              <w:overflowPunct w:val="0"/>
              <w:autoSpaceDE w:val="0"/>
              <w:autoSpaceDN w:val="0"/>
              <w:adjustRightInd w:val="0"/>
              <w:jc w:val="center"/>
              <w:rPr>
                <w:sz w:val="21"/>
                <w:szCs w:val="21"/>
                <w:highlight w:val="none"/>
              </w:rPr>
            </w:pPr>
            <w:r>
              <w:rPr>
                <w:sz w:val="21"/>
                <w:szCs w:val="21"/>
                <w:highlight w:val="none"/>
              </w:rPr>
              <w:t>0.07</w:t>
            </w:r>
          </w:p>
        </w:tc>
        <w:tc>
          <w:tcPr>
            <w:tcW w:w="534" w:type="pct"/>
            <w:noWrap w:val="0"/>
            <w:vAlign w:val="center"/>
          </w:tcPr>
          <w:p w14:paraId="05E47BF4">
            <w:pPr>
              <w:kinsoku w:val="0"/>
              <w:overflowPunct w:val="0"/>
              <w:autoSpaceDE w:val="0"/>
              <w:autoSpaceDN w:val="0"/>
              <w:adjustRightInd w:val="0"/>
              <w:jc w:val="center"/>
              <w:rPr>
                <w:sz w:val="21"/>
                <w:szCs w:val="21"/>
                <w:highlight w:val="none"/>
              </w:rPr>
            </w:pPr>
            <w:r>
              <w:rPr>
                <w:sz w:val="21"/>
                <w:szCs w:val="21"/>
                <w:highlight w:val="none"/>
              </w:rPr>
              <w:t>0.07</w:t>
            </w:r>
          </w:p>
        </w:tc>
        <w:tc>
          <w:tcPr>
            <w:tcW w:w="459" w:type="pct"/>
            <w:noWrap w:val="0"/>
            <w:vAlign w:val="center"/>
          </w:tcPr>
          <w:p w14:paraId="0ADEAF35">
            <w:pPr>
              <w:kinsoku w:val="0"/>
              <w:overflowPunct w:val="0"/>
              <w:autoSpaceDE w:val="0"/>
              <w:autoSpaceDN w:val="0"/>
              <w:adjustRightInd w:val="0"/>
              <w:jc w:val="center"/>
              <w:rPr>
                <w:sz w:val="21"/>
                <w:szCs w:val="21"/>
                <w:highlight w:val="none"/>
              </w:rPr>
            </w:pPr>
            <w:r>
              <w:rPr>
                <w:sz w:val="21"/>
                <w:szCs w:val="21"/>
                <w:highlight w:val="none"/>
              </w:rPr>
              <w:t>0.5</w:t>
            </w:r>
          </w:p>
        </w:tc>
      </w:tr>
      <w:tr w14:paraId="6793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exact"/>
          <w:jc w:val="center"/>
        </w:trPr>
        <w:tc>
          <w:tcPr>
            <w:tcW w:w="928" w:type="pct"/>
            <w:noWrap w:val="0"/>
            <w:vAlign w:val="center"/>
          </w:tcPr>
          <w:p w14:paraId="610CE00A">
            <w:pPr>
              <w:kinsoku w:val="0"/>
              <w:overflowPunct w:val="0"/>
              <w:autoSpaceDE w:val="0"/>
              <w:autoSpaceDN w:val="0"/>
              <w:adjustRightInd w:val="0"/>
              <w:jc w:val="center"/>
              <w:rPr>
                <w:sz w:val="21"/>
                <w:szCs w:val="21"/>
                <w:highlight w:val="none"/>
              </w:rPr>
            </w:pPr>
            <w:r>
              <w:rPr>
                <w:sz w:val="21"/>
                <w:szCs w:val="21"/>
                <w:highlight w:val="none"/>
              </w:rPr>
              <w:t>粪大肠菌群（MP</w:t>
            </w:r>
            <w:r>
              <w:rPr>
                <w:spacing w:val="-1"/>
                <w:sz w:val="21"/>
                <w:szCs w:val="21"/>
                <w:highlight w:val="none"/>
              </w:rPr>
              <w:t>N</w:t>
            </w:r>
            <w:r>
              <w:rPr>
                <w:sz w:val="21"/>
                <w:szCs w:val="21"/>
                <w:highlight w:val="none"/>
              </w:rPr>
              <w:t>/</w:t>
            </w:r>
            <w:r>
              <w:rPr>
                <w:spacing w:val="-3"/>
                <w:sz w:val="21"/>
                <w:szCs w:val="21"/>
                <w:highlight w:val="none"/>
              </w:rPr>
              <w:t>L</w:t>
            </w:r>
            <w:r>
              <w:rPr>
                <w:sz w:val="21"/>
                <w:szCs w:val="21"/>
                <w:highlight w:val="none"/>
              </w:rPr>
              <w:t>）</w:t>
            </w:r>
          </w:p>
        </w:tc>
        <w:tc>
          <w:tcPr>
            <w:tcW w:w="408" w:type="pct"/>
            <w:noWrap w:val="0"/>
            <w:vAlign w:val="center"/>
          </w:tcPr>
          <w:p w14:paraId="304C3A8A">
            <w:pPr>
              <w:kinsoku w:val="0"/>
              <w:overflowPunct w:val="0"/>
              <w:autoSpaceDE w:val="0"/>
              <w:autoSpaceDN w:val="0"/>
              <w:adjustRightInd w:val="0"/>
              <w:jc w:val="center"/>
              <w:rPr>
                <w:sz w:val="21"/>
                <w:szCs w:val="21"/>
                <w:highlight w:val="none"/>
              </w:rPr>
            </w:pPr>
            <w:r>
              <w:rPr>
                <w:sz w:val="21"/>
                <w:szCs w:val="21"/>
                <w:highlight w:val="none"/>
              </w:rPr>
              <w:t>＜20</w:t>
            </w:r>
          </w:p>
        </w:tc>
        <w:tc>
          <w:tcPr>
            <w:tcW w:w="426" w:type="pct"/>
            <w:noWrap w:val="0"/>
            <w:vAlign w:val="center"/>
          </w:tcPr>
          <w:p w14:paraId="6B4C48E5">
            <w:pPr>
              <w:kinsoku w:val="0"/>
              <w:overflowPunct w:val="0"/>
              <w:autoSpaceDE w:val="0"/>
              <w:autoSpaceDN w:val="0"/>
              <w:adjustRightInd w:val="0"/>
              <w:jc w:val="center"/>
              <w:rPr>
                <w:sz w:val="21"/>
                <w:szCs w:val="21"/>
                <w:highlight w:val="none"/>
              </w:rPr>
            </w:pPr>
            <w:r>
              <w:rPr>
                <w:sz w:val="21"/>
                <w:szCs w:val="21"/>
                <w:highlight w:val="none"/>
              </w:rPr>
              <w:t>＜20</w:t>
            </w:r>
          </w:p>
        </w:tc>
        <w:tc>
          <w:tcPr>
            <w:tcW w:w="426" w:type="pct"/>
            <w:noWrap w:val="0"/>
            <w:vAlign w:val="center"/>
          </w:tcPr>
          <w:p w14:paraId="4F309052">
            <w:pPr>
              <w:kinsoku w:val="0"/>
              <w:overflowPunct w:val="0"/>
              <w:autoSpaceDE w:val="0"/>
              <w:autoSpaceDN w:val="0"/>
              <w:adjustRightInd w:val="0"/>
              <w:jc w:val="center"/>
              <w:rPr>
                <w:sz w:val="21"/>
                <w:szCs w:val="21"/>
                <w:highlight w:val="none"/>
              </w:rPr>
            </w:pPr>
            <w:r>
              <w:rPr>
                <w:sz w:val="21"/>
                <w:szCs w:val="21"/>
                <w:highlight w:val="none"/>
              </w:rPr>
              <w:t>＜20</w:t>
            </w:r>
          </w:p>
        </w:tc>
        <w:tc>
          <w:tcPr>
            <w:tcW w:w="481" w:type="pct"/>
            <w:noWrap w:val="0"/>
            <w:vAlign w:val="center"/>
          </w:tcPr>
          <w:p w14:paraId="5E4BA982">
            <w:pPr>
              <w:kinsoku w:val="0"/>
              <w:overflowPunct w:val="0"/>
              <w:autoSpaceDE w:val="0"/>
              <w:autoSpaceDN w:val="0"/>
              <w:adjustRightInd w:val="0"/>
              <w:jc w:val="center"/>
              <w:rPr>
                <w:sz w:val="21"/>
                <w:szCs w:val="21"/>
                <w:highlight w:val="none"/>
              </w:rPr>
            </w:pPr>
            <w:r>
              <w:rPr>
                <w:sz w:val="21"/>
                <w:szCs w:val="21"/>
                <w:highlight w:val="none"/>
              </w:rPr>
              <w:t>＜20</w:t>
            </w:r>
          </w:p>
        </w:tc>
        <w:tc>
          <w:tcPr>
            <w:tcW w:w="426" w:type="pct"/>
            <w:noWrap w:val="0"/>
            <w:vAlign w:val="center"/>
          </w:tcPr>
          <w:p w14:paraId="291559EC">
            <w:pPr>
              <w:kinsoku w:val="0"/>
              <w:overflowPunct w:val="0"/>
              <w:autoSpaceDE w:val="0"/>
              <w:autoSpaceDN w:val="0"/>
              <w:adjustRightInd w:val="0"/>
              <w:jc w:val="center"/>
              <w:rPr>
                <w:sz w:val="21"/>
                <w:szCs w:val="21"/>
                <w:highlight w:val="none"/>
              </w:rPr>
            </w:pPr>
            <w:r>
              <w:rPr>
                <w:sz w:val="21"/>
                <w:szCs w:val="21"/>
                <w:highlight w:val="none"/>
              </w:rPr>
              <w:t>＜20</w:t>
            </w:r>
          </w:p>
        </w:tc>
        <w:tc>
          <w:tcPr>
            <w:tcW w:w="481" w:type="pct"/>
            <w:noWrap w:val="0"/>
            <w:vAlign w:val="center"/>
          </w:tcPr>
          <w:p w14:paraId="1C3F8185">
            <w:pPr>
              <w:kinsoku w:val="0"/>
              <w:overflowPunct w:val="0"/>
              <w:autoSpaceDE w:val="0"/>
              <w:autoSpaceDN w:val="0"/>
              <w:adjustRightInd w:val="0"/>
              <w:jc w:val="center"/>
              <w:rPr>
                <w:sz w:val="21"/>
                <w:szCs w:val="21"/>
                <w:highlight w:val="none"/>
              </w:rPr>
            </w:pPr>
            <w:r>
              <w:rPr>
                <w:sz w:val="21"/>
                <w:szCs w:val="21"/>
                <w:highlight w:val="none"/>
              </w:rPr>
              <w:t>＜20</w:t>
            </w:r>
          </w:p>
        </w:tc>
        <w:tc>
          <w:tcPr>
            <w:tcW w:w="426" w:type="pct"/>
            <w:noWrap w:val="0"/>
            <w:vAlign w:val="center"/>
          </w:tcPr>
          <w:p w14:paraId="4965EFC0">
            <w:pPr>
              <w:kinsoku w:val="0"/>
              <w:overflowPunct w:val="0"/>
              <w:autoSpaceDE w:val="0"/>
              <w:autoSpaceDN w:val="0"/>
              <w:adjustRightInd w:val="0"/>
              <w:jc w:val="center"/>
              <w:rPr>
                <w:sz w:val="21"/>
                <w:szCs w:val="21"/>
                <w:highlight w:val="none"/>
              </w:rPr>
            </w:pPr>
            <w:r>
              <w:rPr>
                <w:sz w:val="21"/>
                <w:szCs w:val="21"/>
                <w:highlight w:val="none"/>
              </w:rPr>
              <w:t>＜20</w:t>
            </w:r>
          </w:p>
        </w:tc>
        <w:tc>
          <w:tcPr>
            <w:tcW w:w="534" w:type="pct"/>
            <w:noWrap w:val="0"/>
            <w:vAlign w:val="center"/>
          </w:tcPr>
          <w:p w14:paraId="62B7E8ED">
            <w:pPr>
              <w:kinsoku w:val="0"/>
              <w:overflowPunct w:val="0"/>
              <w:autoSpaceDE w:val="0"/>
              <w:autoSpaceDN w:val="0"/>
              <w:adjustRightInd w:val="0"/>
              <w:jc w:val="center"/>
              <w:rPr>
                <w:sz w:val="21"/>
                <w:szCs w:val="21"/>
                <w:highlight w:val="none"/>
              </w:rPr>
            </w:pPr>
            <w:r>
              <w:rPr>
                <w:sz w:val="21"/>
                <w:szCs w:val="21"/>
                <w:highlight w:val="none"/>
              </w:rPr>
              <w:t>＜20</w:t>
            </w:r>
          </w:p>
        </w:tc>
        <w:tc>
          <w:tcPr>
            <w:tcW w:w="459" w:type="pct"/>
            <w:noWrap w:val="0"/>
            <w:vAlign w:val="center"/>
          </w:tcPr>
          <w:p w14:paraId="1B3CA0D7">
            <w:pPr>
              <w:kinsoku w:val="0"/>
              <w:overflowPunct w:val="0"/>
              <w:autoSpaceDE w:val="0"/>
              <w:autoSpaceDN w:val="0"/>
              <w:adjustRightInd w:val="0"/>
              <w:jc w:val="center"/>
              <w:rPr>
                <w:sz w:val="21"/>
                <w:szCs w:val="21"/>
                <w:highlight w:val="none"/>
              </w:rPr>
            </w:pPr>
            <w:r>
              <w:rPr>
                <w:sz w:val="21"/>
                <w:szCs w:val="21"/>
                <w:highlight w:val="none"/>
              </w:rPr>
              <w:t>100</w:t>
            </w:r>
          </w:p>
        </w:tc>
      </w:tr>
      <w:tr w14:paraId="4A2A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exact"/>
          <w:jc w:val="center"/>
        </w:trPr>
        <w:tc>
          <w:tcPr>
            <w:tcW w:w="928" w:type="pct"/>
            <w:noWrap w:val="0"/>
            <w:vAlign w:val="center"/>
          </w:tcPr>
          <w:p w14:paraId="337FBABB">
            <w:pPr>
              <w:kinsoku w:val="0"/>
              <w:overflowPunct w:val="0"/>
              <w:autoSpaceDE w:val="0"/>
              <w:autoSpaceDN w:val="0"/>
              <w:adjustRightInd w:val="0"/>
              <w:jc w:val="center"/>
              <w:rPr>
                <w:sz w:val="21"/>
                <w:szCs w:val="21"/>
                <w:highlight w:val="none"/>
              </w:rPr>
            </w:pPr>
            <w:r>
              <w:rPr>
                <w:sz w:val="21"/>
                <w:szCs w:val="21"/>
                <w:highlight w:val="none"/>
              </w:rPr>
              <w:t>电导率（</w:t>
            </w:r>
            <w:r>
              <w:rPr>
                <w:spacing w:val="-2"/>
                <w:sz w:val="21"/>
                <w:szCs w:val="21"/>
                <w:highlight w:val="none"/>
              </w:rPr>
              <w:t>μ</w:t>
            </w:r>
            <w:r>
              <w:rPr>
                <w:sz w:val="21"/>
                <w:szCs w:val="21"/>
                <w:highlight w:val="none"/>
              </w:rPr>
              <w:t>s/</w:t>
            </w:r>
            <w:r>
              <w:rPr>
                <w:spacing w:val="-1"/>
                <w:sz w:val="21"/>
                <w:szCs w:val="21"/>
                <w:highlight w:val="none"/>
              </w:rPr>
              <w:t>c</w:t>
            </w:r>
            <w:r>
              <w:rPr>
                <w:sz w:val="21"/>
                <w:szCs w:val="21"/>
                <w:highlight w:val="none"/>
              </w:rPr>
              <w:t>m）</w:t>
            </w:r>
          </w:p>
        </w:tc>
        <w:tc>
          <w:tcPr>
            <w:tcW w:w="408" w:type="pct"/>
            <w:noWrap w:val="0"/>
            <w:vAlign w:val="center"/>
          </w:tcPr>
          <w:p w14:paraId="1B9E8625">
            <w:pPr>
              <w:kinsoku w:val="0"/>
              <w:overflowPunct w:val="0"/>
              <w:autoSpaceDE w:val="0"/>
              <w:autoSpaceDN w:val="0"/>
              <w:adjustRightInd w:val="0"/>
              <w:jc w:val="center"/>
              <w:rPr>
                <w:sz w:val="21"/>
                <w:szCs w:val="21"/>
                <w:highlight w:val="none"/>
              </w:rPr>
            </w:pPr>
            <w:r>
              <w:rPr>
                <w:sz w:val="21"/>
                <w:szCs w:val="21"/>
                <w:highlight w:val="none"/>
              </w:rPr>
              <w:t>405</w:t>
            </w:r>
          </w:p>
        </w:tc>
        <w:tc>
          <w:tcPr>
            <w:tcW w:w="426" w:type="pct"/>
            <w:noWrap w:val="0"/>
            <w:vAlign w:val="center"/>
          </w:tcPr>
          <w:p w14:paraId="12C08340">
            <w:pPr>
              <w:kinsoku w:val="0"/>
              <w:overflowPunct w:val="0"/>
              <w:autoSpaceDE w:val="0"/>
              <w:autoSpaceDN w:val="0"/>
              <w:adjustRightInd w:val="0"/>
              <w:jc w:val="center"/>
              <w:rPr>
                <w:sz w:val="21"/>
                <w:szCs w:val="21"/>
                <w:highlight w:val="none"/>
              </w:rPr>
            </w:pPr>
            <w:r>
              <w:rPr>
                <w:sz w:val="21"/>
                <w:szCs w:val="21"/>
                <w:highlight w:val="none"/>
              </w:rPr>
              <w:t>403</w:t>
            </w:r>
          </w:p>
        </w:tc>
        <w:tc>
          <w:tcPr>
            <w:tcW w:w="426" w:type="pct"/>
            <w:noWrap w:val="0"/>
            <w:vAlign w:val="center"/>
          </w:tcPr>
          <w:p w14:paraId="7107F602">
            <w:pPr>
              <w:kinsoku w:val="0"/>
              <w:overflowPunct w:val="0"/>
              <w:autoSpaceDE w:val="0"/>
              <w:autoSpaceDN w:val="0"/>
              <w:adjustRightInd w:val="0"/>
              <w:jc w:val="center"/>
              <w:rPr>
                <w:sz w:val="21"/>
                <w:szCs w:val="21"/>
                <w:highlight w:val="none"/>
              </w:rPr>
            </w:pPr>
            <w:r>
              <w:rPr>
                <w:sz w:val="21"/>
                <w:szCs w:val="21"/>
                <w:highlight w:val="none"/>
              </w:rPr>
              <w:t>444</w:t>
            </w:r>
          </w:p>
        </w:tc>
        <w:tc>
          <w:tcPr>
            <w:tcW w:w="481" w:type="pct"/>
            <w:noWrap w:val="0"/>
            <w:vAlign w:val="center"/>
          </w:tcPr>
          <w:p w14:paraId="51CC2FDA">
            <w:pPr>
              <w:kinsoku w:val="0"/>
              <w:overflowPunct w:val="0"/>
              <w:autoSpaceDE w:val="0"/>
              <w:autoSpaceDN w:val="0"/>
              <w:adjustRightInd w:val="0"/>
              <w:jc w:val="center"/>
              <w:rPr>
                <w:sz w:val="21"/>
                <w:szCs w:val="21"/>
                <w:highlight w:val="none"/>
              </w:rPr>
            </w:pPr>
            <w:r>
              <w:rPr>
                <w:sz w:val="21"/>
                <w:szCs w:val="21"/>
                <w:highlight w:val="none"/>
              </w:rPr>
              <w:t>443</w:t>
            </w:r>
          </w:p>
        </w:tc>
        <w:tc>
          <w:tcPr>
            <w:tcW w:w="426" w:type="pct"/>
            <w:noWrap w:val="0"/>
            <w:vAlign w:val="center"/>
          </w:tcPr>
          <w:p w14:paraId="1E48F3CD">
            <w:pPr>
              <w:kinsoku w:val="0"/>
              <w:overflowPunct w:val="0"/>
              <w:autoSpaceDE w:val="0"/>
              <w:autoSpaceDN w:val="0"/>
              <w:adjustRightInd w:val="0"/>
              <w:jc w:val="center"/>
              <w:rPr>
                <w:sz w:val="21"/>
                <w:szCs w:val="21"/>
                <w:highlight w:val="none"/>
              </w:rPr>
            </w:pPr>
            <w:r>
              <w:rPr>
                <w:sz w:val="21"/>
                <w:szCs w:val="21"/>
                <w:highlight w:val="none"/>
              </w:rPr>
              <w:t>432</w:t>
            </w:r>
          </w:p>
        </w:tc>
        <w:tc>
          <w:tcPr>
            <w:tcW w:w="481" w:type="pct"/>
            <w:noWrap w:val="0"/>
            <w:vAlign w:val="center"/>
          </w:tcPr>
          <w:p w14:paraId="40E383E5">
            <w:pPr>
              <w:kinsoku w:val="0"/>
              <w:overflowPunct w:val="0"/>
              <w:autoSpaceDE w:val="0"/>
              <w:autoSpaceDN w:val="0"/>
              <w:adjustRightInd w:val="0"/>
              <w:jc w:val="center"/>
              <w:rPr>
                <w:sz w:val="21"/>
                <w:szCs w:val="21"/>
                <w:highlight w:val="none"/>
              </w:rPr>
            </w:pPr>
            <w:r>
              <w:rPr>
                <w:sz w:val="21"/>
                <w:szCs w:val="21"/>
                <w:highlight w:val="none"/>
              </w:rPr>
              <w:t>433</w:t>
            </w:r>
          </w:p>
        </w:tc>
        <w:tc>
          <w:tcPr>
            <w:tcW w:w="426" w:type="pct"/>
            <w:noWrap w:val="0"/>
            <w:vAlign w:val="center"/>
          </w:tcPr>
          <w:p w14:paraId="64F2FBC8">
            <w:pPr>
              <w:kinsoku w:val="0"/>
              <w:overflowPunct w:val="0"/>
              <w:autoSpaceDE w:val="0"/>
              <w:autoSpaceDN w:val="0"/>
              <w:adjustRightInd w:val="0"/>
              <w:jc w:val="center"/>
              <w:rPr>
                <w:sz w:val="21"/>
                <w:szCs w:val="21"/>
                <w:highlight w:val="none"/>
              </w:rPr>
            </w:pPr>
            <w:r>
              <w:rPr>
                <w:sz w:val="21"/>
                <w:szCs w:val="21"/>
                <w:highlight w:val="none"/>
              </w:rPr>
              <w:t>400</w:t>
            </w:r>
          </w:p>
        </w:tc>
        <w:tc>
          <w:tcPr>
            <w:tcW w:w="534" w:type="pct"/>
            <w:noWrap w:val="0"/>
            <w:vAlign w:val="center"/>
          </w:tcPr>
          <w:p w14:paraId="3BA82020">
            <w:pPr>
              <w:kinsoku w:val="0"/>
              <w:overflowPunct w:val="0"/>
              <w:autoSpaceDE w:val="0"/>
              <w:autoSpaceDN w:val="0"/>
              <w:adjustRightInd w:val="0"/>
              <w:jc w:val="center"/>
              <w:rPr>
                <w:sz w:val="21"/>
                <w:szCs w:val="21"/>
                <w:highlight w:val="none"/>
              </w:rPr>
            </w:pPr>
            <w:r>
              <w:rPr>
                <w:sz w:val="21"/>
                <w:szCs w:val="21"/>
                <w:highlight w:val="none"/>
              </w:rPr>
              <w:t>399</w:t>
            </w:r>
          </w:p>
        </w:tc>
        <w:tc>
          <w:tcPr>
            <w:tcW w:w="459" w:type="pct"/>
            <w:noWrap w:val="0"/>
            <w:vAlign w:val="center"/>
          </w:tcPr>
          <w:p w14:paraId="0A0FA646">
            <w:pPr>
              <w:kinsoku w:val="0"/>
              <w:overflowPunct w:val="0"/>
              <w:autoSpaceDE w:val="0"/>
              <w:autoSpaceDN w:val="0"/>
              <w:adjustRightInd w:val="0"/>
              <w:jc w:val="center"/>
              <w:rPr>
                <w:sz w:val="21"/>
                <w:szCs w:val="21"/>
                <w:highlight w:val="none"/>
              </w:rPr>
            </w:pPr>
            <w:r>
              <w:rPr>
                <w:sz w:val="21"/>
                <w:szCs w:val="21"/>
                <w:highlight w:val="none"/>
              </w:rPr>
              <w:t>/</w:t>
            </w:r>
          </w:p>
        </w:tc>
      </w:tr>
      <w:tr w14:paraId="48D3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exact"/>
          <w:jc w:val="center"/>
        </w:trPr>
        <w:tc>
          <w:tcPr>
            <w:tcW w:w="928" w:type="pct"/>
            <w:noWrap w:val="0"/>
            <w:vAlign w:val="center"/>
          </w:tcPr>
          <w:p w14:paraId="6173440B">
            <w:pPr>
              <w:kinsoku w:val="0"/>
              <w:overflowPunct w:val="0"/>
              <w:autoSpaceDE w:val="0"/>
              <w:autoSpaceDN w:val="0"/>
              <w:adjustRightInd w:val="0"/>
              <w:jc w:val="center"/>
              <w:rPr>
                <w:sz w:val="21"/>
                <w:szCs w:val="21"/>
                <w:highlight w:val="none"/>
              </w:rPr>
            </w:pPr>
            <w:r>
              <w:rPr>
                <w:sz w:val="21"/>
                <w:szCs w:val="21"/>
                <w:highlight w:val="none"/>
              </w:rPr>
              <w:t>全盐量</w:t>
            </w:r>
          </w:p>
        </w:tc>
        <w:tc>
          <w:tcPr>
            <w:tcW w:w="408" w:type="pct"/>
            <w:noWrap w:val="0"/>
            <w:vAlign w:val="center"/>
          </w:tcPr>
          <w:p w14:paraId="0EE7CA04">
            <w:pPr>
              <w:kinsoku w:val="0"/>
              <w:overflowPunct w:val="0"/>
              <w:autoSpaceDE w:val="0"/>
              <w:autoSpaceDN w:val="0"/>
              <w:adjustRightInd w:val="0"/>
              <w:jc w:val="center"/>
              <w:rPr>
                <w:sz w:val="21"/>
                <w:szCs w:val="21"/>
                <w:highlight w:val="none"/>
              </w:rPr>
            </w:pPr>
            <w:r>
              <w:rPr>
                <w:sz w:val="21"/>
                <w:szCs w:val="21"/>
                <w:highlight w:val="none"/>
              </w:rPr>
              <w:t>79</w:t>
            </w:r>
          </w:p>
        </w:tc>
        <w:tc>
          <w:tcPr>
            <w:tcW w:w="426" w:type="pct"/>
            <w:noWrap w:val="0"/>
            <w:vAlign w:val="center"/>
          </w:tcPr>
          <w:p w14:paraId="118822F8">
            <w:pPr>
              <w:kinsoku w:val="0"/>
              <w:overflowPunct w:val="0"/>
              <w:autoSpaceDE w:val="0"/>
              <w:autoSpaceDN w:val="0"/>
              <w:adjustRightInd w:val="0"/>
              <w:jc w:val="center"/>
              <w:rPr>
                <w:sz w:val="21"/>
                <w:szCs w:val="21"/>
                <w:highlight w:val="none"/>
              </w:rPr>
            </w:pPr>
            <w:r>
              <w:rPr>
                <w:sz w:val="21"/>
                <w:szCs w:val="21"/>
                <w:highlight w:val="none"/>
              </w:rPr>
              <w:t>96</w:t>
            </w:r>
          </w:p>
        </w:tc>
        <w:tc>
          <w:tcPr>
            <w:tcW w:w="426" w:type="pct"/>
            <w:noWrap w:val="0"/>
            <w:vAlign w:val="center"/>
          </w:tcPr>
          <w:p w14:paraId="600346FA">
            <w:pPr>
              <w:kinsoku w:val="0"/>
              <w:overflowPunct w:val="0"/>
              <w:autoSpaceDE w:val="0"/>
              <w:autoSpaceDN w:val="0"/>
              <w:adjustRightInd w:val="0"/>
              <w:jc w:val="center"/>
              <w:rPr>
                <w:sz w:val="21"/>
                <w:szCs w:val="21"/>
                <w:highlight w:val="none"/>
              </w:rPr>
            </w:pPr>
            <w:r>
              <w:rPr>
                <w:sz w:val="21"/>
                <w:szCs w:val="21"/>
                <w:highlight w:val="none"/>
              </w:rPr>
              <w:t>152</w:t>
            </w:r>
          </w:p>
        </w:tc>
        <w:tc>
          <w:tcPr>
            <w:tcW w:w="481" w:type="pct"/>
            <w:noWrap w:val="0"/>
            <w:vAlign w:val="center"/>
          </w:tcPr>
          <w:p w14:paraId="68B8316A">
            <w:pPr>
              <w:kinsoku w:val="0"/>
              <w:overflowPunct w:val="0"/>
              <w:autoSpaceDE w:val="0"/>
              <w:autoSpaceDN w:val="0"/>
              <w:adjustRightInd w:val="0"/>
              <w:jc w:val="center"/>
              <w:rPr>
                <w:sz w:val="21"/>
                <w:szCs w:val="21"/>
                <w:highlight w:val="none"/>
              </w:rPr>
            </w:pPr>
            <w:r>
              <w:rPr>
                <w:sz w:val="21"/>
                <w:szCs w:val="21"/>
                <w:highlight w:val="none"/>
              </w:rPr>
              <w:t>127</w:t>
            </w:r>
          </w:p>
        </w:tc>
        <w:tc>
          <w:tcPr>
            <w:tcW w:w="426" w:type="pct"/>
            <w:noWrap w:val="0"/>
            <w:vAlign w:val="center"/>
          </w:tcPr>
          <w:p w14:paraId="4247473B">
            <w:pPr>
              <w:kinsoku w:val="0"/>
              <w:overflowPunct w:val="0"/>
              <w:autoSpaceDE w:val="0"/>
              <w:autoSpaceDN w:val="0"/>
              <w:adjustRightInd w:val="0"/>
              <w:jc w:val="center"/>
              <w:rPr>
                <w:sz w:val="21"/>
                <w:szCs w:val="21"/>
                <w:highlight w:val="none"/>
              </w:rPr>
            </w:pPr>
            <w:r>
              <w:rPr>
                <w:sz w:val="21"/>
                <w:szCs w:val="21"/>
                <w:highlight w:val="none"/>
              </w:rPr>
              <w:t>124</w:t>
            </w:r>
          </w:p>
        </w:tc>
        <w:tc>
          <w:tcPr>
            <w:tcW w:w="481" w:type="pct"/>
            <w:noWrap w:val="0"/>
            <w:vAlign w:val="center"/>
          </w:tcPr>
          <w:p w14:paraId="730239D1">
            <w:pPr>
              <w:kinsoku w:val="0"/>
              <w:overflowPunct w:val="0"/>
              <w:autoSpaceDE w:val="0"/>
              <w:autoSpaceDN w:val="0"/>
              <w:adjustRightInd w:val="0"/>
              <w:jc w:val="center"/>
              <w:rPr>
                <w:sz w:val="21"/>
                <w:szCs w:val="21"/>
                <w:highlight w:val="none"/>
              </w:rPr>
            </w:pPr>
            <w:r>
              <w:rPr>
                <w:sz w:val="21"/>
                <w:szCs w:val="21"/>
                <w:highlight w:val="none"/>
              </w:rPr>
              <w:t>133</w:t>
            </w:r>
          </w:p>
        </w:tc>
        <w:tc>
          <w:tcPr>
            <w:tcW w:w="426" w:type="pct"/>
            <w:noWrap w:val="0"/>
            <w:vAlign w:val="center"/>
          </w:tcPr>
          <w:p w14:paraId="15FC3893">
            <w:pPr>
              <w:kinsoku w:val="0"/>
              <w:overflowPunct w:val="0"/>
              <w:autoSpaceDE w:val="0"/>
              <w:autoSpaceDN w:val="0"/>
              <w:adjustRightInd w:val="0"/>
              <w:jc w:val="center"/>
              <w:rPr>
                <w:sz w:val="21"/>
                <w:szCs w:val="21"/>
                <w:highlight w:val="none"/>
              </w:rPr>
            </w:pPr>
            <w:r>
              <w:rPr>
                <w:sz w:val="21"/>
                <w:szCs w:val="21"/>
                <w:highlight w:val="none"/>
              </w:rPr>
              <w:t>188</w:t>
            </w:r>
          </w:p>
        </w:tc>
        <w:tc>
          <w:tcPr>
            <w:tcW w:w="534" w:type="pct"/>
            <w:noWrap w:val="0"/>
            <w:vAlign w:val="center"/>
          </w:tcPr>
          <w:p w14:paraId="5ADC8F60">
            <w:pPr>
              <w:kinsoku w:val="0"/>
              <w:overflowPunct w:val="0"/>
              <w:autoSpaceDE w:val="0"/>
              <w:autoSpaceDN w:val="0"/>
              <w:adjustRightInd w:val="0"/>
              <w:jc w:val="center"/>
              <w:rPr>
                <w:sz w:val="21"/>
                <w:szCs w:val="21"/>
                <w:highlight w:val="none"/>
              </w:rPr>
            </w:pPr>
            <w:r>
              <w:rPr>
                <w:sz w:val="21"/>
                <w:szCs w:val="21"/>
                <w:highlight w:val="none"/>
              </w:rPr>
              <w:t>131</w:t>
            </w:r>
          </w:p>
        </w:tc>
        <w:tc>
          <w:tcPr>
            <w:tcW w:w="459" w:type="pct"/>
            <w:noWrap w:val="0"/>
            <w:vAlign w:val="center"/>
          </w:tcPr>
          <w:p w14:paraId="55993136">
            <w:pPr>
              <w:kinsoku w:val="0"/>
              <w:overflowPunct w:val="0"/>
              <w:autoSpaceDE w:val="0"/>
              <w:autoSpaceDN w:val="0"/>
              <w:adjustRightInd w:val="0"/>
              <w:jc w:val="center"/>
              <w:rPr>
                <w:sz w:val="21"/>
                <w:szCs w:val="21"/>
                <w:highlight w:val="none"/>
              </w:rPr>
            </w:pPr>
            <w:r>
              <w:rPr>
                <w:sz w:val="21"/>
                <w:szCs w:val="21"/>
                <w:highlight w:val="none"/>
              </w:rPr>
              <w:t>/</w:t>
            </w:r>
          </w:p>
        </w:tc>
      </w:tr>
    </w:tbl>
    <w:p w14:paraId="3CB3A9B3">
      <w:pPr>
        <w:widowControl/>
        <w:snapToGrid w:val="0"/>
        <w:jc w:val="center"/>
        <w:rPr>
          <w:rFonts w:hint="eastAsia" w:ascii="Times New Roman" w:hAnsi="Times New Roman" w:eastAsia="宋体" w:cs="Times New Roman"/>
          <w:b/>
          <w:bCs/>
          <w:szCs w:val="21"/>
          <w:highlight w:val="none"/>
          <w:lang w:val="en-US" w:eastAsia="zh-CN"/>
        </w:rPr>
      </w:pPr>
      <w:r>
        <w:rPr>
          <w:rFonts w:hint="eastAsia" w:ascii="Times New Roman" w:hAnsi="Times New Roman" w:eastAsia="宋体" w:cs="Times New Roman"/>
          <w:b/>
          <w:bCs/>
          <w:szCs w:val="21"/>
          <w:highlight w:val="none"/>
          <w:lang w:val="en-US" w:eastAsia="zh-CN"/>
        </w:rPr>
        <w:t>表3-9   环境保护措施</w:t>
      </w:r>
    </w:p>
    <w:tbl>
      <w:tblPr>
        <w:tblStyle w:val="19"/>
        <w:tblW w:w="13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2"/>
        <w:gridCol w:w="581"/>
        <w:gridCol w:w="1087"/>
        <w:gridCol w:w="509"/>
        <w:gridCol w:w="1007"/>
        <w:gridCol w:w="9970"/>
      </w:tblGrid>
      <w:tr w14:paraId="71E6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jc w:val="center"/>
        </w:trPr>
        <w:tc>
          <w:tcPr>
            <w:tcW w:w="0" w:type="auto"/>
            <w:vAlign w:val="center"/>
          </w:tcPr>
          <w:p w14:paraId="0B68BED1">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序号</w:t>
            </w:r>
          </w:p>
        </w:tc>
        <w:tc>
          <w:tcPr>
            <w:tcW w:w="3184" w:type="dxa"/>
            <w:gridSpan w:val="4"/>
            <w:vAlign w:val="center"/>
          </w:tcPr>
          <w:p w14:paraId="2399C1D7">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污染源</w:t>
            </w:r>
          </w:p>
        </w:tc>
        <w:tc>
          <w:tcPr>
            <w:tcW w:w="9970" w:type="dxa"/>
            <w:vAlign w:val="center"/>
          </w:tcPr>
          <w:p w14:paraId="4F5DC6C3">
            <w:pPr>
              <w:kinsoku w:val="0"/>
              <w:overflowPunct w:val="0"/>
              <w:autoSpaceDE w:val="0"/>
              <w:autoSpaceDN w:val="0"/>
              <w:adjustRightIn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措施</w:t>
            </w:r>
          </w:p>
        </w:tc>
      </w:tr>
      <w:tr w14:paraId="253B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9" w:hRule="atLeast"/>
          <w:jc w:val="center"/>
        </w:trPr>
        <w:tc>
          <w:tcPr>
            <w:tcW w:w="0" w:type="auto"/>
            <w:vMerge w:val="restart"/>
            <w:vAlign w:val="center"/>
          </w:tcPr>
          <w:p w14:paraId="5C19CE47">
            <w:pPr>
              <w:kinsoku w:val="0"/>
              <w:overflowPunct w:val="0"/>
              <w:autoSpaceDE w:val="0"/>
              <w:autoSpaceDN w:val="0"/>
              <w:adjustRightInd w:val="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0" w:type="auto"/>
            <w:vMerge w:val="restart"/>
            <w:vAlign w:val="center"/>
          </w:tcPr>
          <w:p w14:paraId="2F105219">
            <w:pPr>
              <w:kinsoku w:val="0"/>
              <w:overflowPunct w:val="0"/>
              <w:autoSpaceDE w:val="0"/>
              <w:autoSpaceDN w:val="0"/>
              <w:adjustRightIn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废气治理</w:t>
            </w:r>
          </w:p>
        </w:tc>
        <w:tc>
          <w:tcPr>
            <w:tcW w:w="2603" w:type="dxa"/>
            <w:gridSpan w:val="3"/>
            <w:vAlign w:val="center"/>
          </w:tcPr>
          <w:p w14:paraId="42E41E76">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净化装置</w:t>
            </w:r>
          </w:p>
        </w:tc>
        <w:tc>
          <w:tcPr>
            <w:tcW w:w="9970" w:type="dxa"/>
            <w:vAlign w:val="center"/>
          </w:tcPr>
          <w:p w14:paraId="516196F1">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低温甲醇洗单元</w:t>
            </w:r>
            <w:r>
              <w:rPr>
                <w:rFonts w:hint="eastAsia" w:cs="Times New Roman"/>
                <w:sz w:val="21"/>
                <w:szCs w:val="21"/>
                <w:highlight w:val="none"/>
                <w:lang w:eastAsia="zh-CN"/>
              </w:rPr>
              <w:t>：</w:t>
            </w:r>
            <w:r>
              <w:rPr>
                <w:rFonts w:ascii="Times New Roman" w:hAnsi="Times New Roman" w:eastAsia="宋体" w:cs="Times New Roman"/>
                <w:sz w:val="21"/>
                <w:szCs w:val="21"/>
                <w:highlight w:val="none"/>
              </w:rPr>
              <w:t>尾气H</w:t>
            </w:r>
            <w:r>
              <w:rPr>
                <w:rFonts w:ascii="Times New Roman" w:hAnsi="Times New Roman" w:eastAsia="宋体" w:cs="Times New Roman"/>
                <w:sz w:val="21"/>
                <w:szCs w:val="21"/>
                <w:highlight w:val="none"/>
                <w:vertAlign w:val="subscript"/>
              </w:rPr>
              <w:t>2</w:t>
            </w:r>
            <w:r>
              <w:rPr>
                <w:rFonts w:ascii="Times New Roman" w:hAnsi="Times New Roman" w:eastAsia="宋体" w:cs="Times New Roman"/>
                <w:sz w:val="21"/>
                <w:szCs w:val="21"/>
                <w:highlight w:val="none"/>
              </w:rPr>
              <w:t>S排放浓度1.52mg/m</w:t>
            </w:r>
            <w:r>
              <w:rPr>
                <w:rFonts w:ascii="Times New Roman" w:hAnsi="Times New Roman" w:eastAsia="宋体" w:cs="Times New Roman"/>
                <w:sz w:val="21"/>
                <w:szCs w:val="21"/>
                <w:highlight w:val="none"/>
                <w:vertAlign w:val="superscript"/>
              </w:rPr>
              <w:t>3</w:t>
            </w:r>
            <w:r>
              <w:rPr>
                <w:rFonts w:hint="eastAsia" w:cs="Times New Roman"/>
                <w:sz w:val="21"/>
                <w:szCs w:val="21"/>
                <w:highlight w:val="none"/>
                <w:lang w:eastAsia="zh-CN"/>
              </w:rPr>
              <w:t>、</w:t>
            </w:r>
            <w:r>
              <w:rPr>
                <w:rFonts w:ascii="Times New Roman" w:hAnsi="Times New Roman" w:eastAsia="宋体" w:cs="Times New Roman"/>
                <w:sz w:val="21"/>
                <w:szCs w:val="21"/>
                <w:highlight w:val="none"/>
              </w:rPr>
              <w:t>CH3OH排放浓度50mg/m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，经锅炉烟囱排入大气。</w:t>
            </w:r>
          </w:p>
          <w:p w14:paraId="1A63B44A">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低温甲醇洗酸性气、酸性水汽提单元</w:t>
            </w:r>
            <w:r>
              <w:rPr>
                <w:rFonts w:hint="eastAsia" w:cs="Times New Roman"/>
                <w:sz w:val="21"/>
                <w:szCs w:val="21"/>
                <w:highlight w:val="none"/>
                <w:lang w:eastAsia="zh-CN"/>
              </w:rPr>
              <w:t>：</w:t>
            </w:r>
            <w:r>
              <w:rPr>
                <w:rFonts w:ascii="Times New Roman" w:hAnsi="Times New Roman" w:eastAsia="宋体" w:cs="Times New Roman"/>
                <w:sz w:val="21"/>
                <w:szCs w:val="21"/>
                <w:highlight w:val="none"/>
              </w:rPr>
              <w:t>汽提塔酸性气送净化装置硫回收单元。</w:t>
            </w:r>
          </w:p>
          <w:p w14:paraId="164F31C4">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硫回收单元</w:t>
            </w:r>
            <w:r>
              <w:rPr>
                <w:rFonts w:hint="eastAsia" w:cs="Times New Roman"/>
                <w:sz w:val="21"/>
                <w:szCs w:val="21"/>
                <w:highlight w:val="none"/>
                <w:lang w:eastAsia="zh-CN"/>
              </w:rPr>
              <w:t>：</w:t>
            </w:r>
            <w:r>
              <w:rPr>
                <w:rFonts w:ascii="Times New Roman" w:hAnsi="Times New Roman" w:eastAsia="宋体" w:cs="Times New Roman"/>
                <w:sz w:val="21"/>
                <w:szCs w:val="21"/>
                <w:highlight w:val="none"/>
              </w:rPr>
              <w:t>硫回收尾气SO</w:t>
            </w:r>
            <w:r>
              <w:rPr>
                <w:rFonts w:ascii="Times New Roman" w:hAnsi="Times New Roman" w:eastAsia="宋体" w:cs="Times New Roman"/>
                <w:sz w:val="21"/>
                <w:szCs w:val="21"/>
                <w:highlight w:val="none"/>
                <w:vertAlign w:val="superscript"/>
              </w:rPr>
              <w:t>2</w:t>
            </w:r>
            <w:r>
              <w:rPr>
                <w:rFonts w:ascii="Times New Roman" w:hAnsi="Times New Roman" w:eastAsia="宋体" w:cs="Times New Roman"/>
                <w:sz w:val="21"/>
                <w:szCs w:val="21"/>
                <w:highlight w:val="none"/>
              </w:rPr>
              <w:t>排放浓度97.72mg/m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，NOx排放浓度不超过180mg/m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，经55m排气筒排放。</w:t>
            </w:r>
          </w:p>
          <w:p w14:paraId="09C4A96B">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在硫回收尾部脱硫塔进、出口均安装烟气自动连续监测系统，以严格监控SO</w:t>
            </w:r>
            <w:r>
              <w:rPr>
                <w:rFonts w:ascii="Times New Roman" w:hAnsi="Times New Roman" w:eastAsia="宋体" w:cs="Times New Roman"/>
                <w:sz w:val="21"/>
                <w:szCs w:val="21"/>
                <w:highlight w:val="none"/>
                <w:vertAlign w:val="subscript"/>
              </w:rPr>
              <w:t>2</w:t>
            </w:r>
            <w:r>
              <w:rPr>
                <w:rFonts w:ascii="Times New Roman" w:hAnsi="Times New Roman" w:eastAsia="宋体" w:cs="Times New Roman"/>
                <w:sz w:val="21"/>
                <w:szCs w:val="21"/>
                <w:highlight w:val="none"/>
              </w:rPr>
              <w:t>排放情况。</w:t>
            </w:r>
          </w:p>
        </w:tc>
      </w:tr>
      <w:tr w14:paraId="48E7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4" w:hRule="atLeast"/>
          <w:jc w:val="center"/>
        </w:trPr>
        <w:tc>
          <w:tcPr>
            <w:tcW w:w="0" w:type="auto"/>
            <w:vMerge w:val="continue"/>
            <w:vAlign w:val="center"/>
          </w:tcPr>
          <w:p w14:paraId="513AE7F1">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69A926A7">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2603" w:type="dxa"/>
            <w:gridSpan w:val="3"/>
            <w:vAlign w:val="center"/>
          </w:tcPr>
          <w:p w14:paraId="563D9142">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化学品合成装置</w:t>
            </w:r>
          </w:p>
        </w:tc>
        <w:tc>
          <w:tcPr>
            <w:tcW w:w="9970" w:type="dxa"/>
            <w:vAlign w:val="center"/>
          </w:tcPr>
          <w:p w14:paraId="172DD210">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催化剂还原单元</w:t>
            </w:r>
            <w:r>
              <w:rPr>
                <w:rFonts w:hint="eastAsia" w:cs="Times New Roman"/>
                <w:sz w:val="21"/>
                <w:szCs w:val="21"/>
                <w:highlight w:val="none"/>
                <w:lang w:eastAsia="zh-CN"/>
              </w:rPr>
              <w:t>：</w:t>
            </w:r>
            <w:r>
              <w:rPr>
                <w:rFonts w:ascii="Times New Roman" w:hAnsi="Times New Roman" w:eastAsia="宋体" w:cs="Times New Roman"/>
                <w:sz w:val="21"/>
                <w:szCs w:val="21"/>
                <w:highlight w:val="none"/>
              </w:rPr>
              <w:t>催化剂储仓废气、催化剂加料罐废气采用布袋除尘器除尘，除尘效率</w:t>
            </w:r>
            <w:r>
              <w:rPr>
                <w:rFonts w:hint="eastAsia" w:ascii="Times New Roman" w:hAnsi="Times New Roman" w:eastAsia="宋体" w:cs="Times New Roman"/>
                <w:sz w:val="21"/>
                <w:szCs w:val="21"/>
                <w:highlight w:val="none"/>
                <w:lang w:val="en-US" w:eastAsia="zh-CN"/>
              </w:rPr>
              <w:t>9</w:t>
            </w:r>
            <w:r>
              <w:rPr>
                <w:rFonts w:ascii="Times New Roman" w:hAnsi="Times New Roman" w:eastAsia="宋体" w:cs="Times New Roman"/>
                <w:sz w:val="21"/>
                <w:szCs w:val="21"/>
                <w:highlight w:val="none"/>
              </w:rPr>
              <w:t>9.8%。分别经25m排气筒达标排放。</w:t>
            </w:r>
          </w:p>
          <w:p w14:paraId="0D9BE87E">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蜡过滤单元</w:t>
            </w:r>
            <w:r>
              <w:rPr>
                <w:rFonts w:hint="eastAsia" w:cs="Times New Roman"/>
                <w:sz w:val="21"/>
                <w:szCs w:val="21"/>
                <w:highlight w:val="none"/>
                <w:lang w:eastAsia="zh-CN"/>
              </w:rPr>
              <w:t>：</w:t>
            </w:r>
            <w:r>
              <w:rPr>
                <w:rFonts w:ascii="Times New Roman" w:hAnsi="Times New Roman" w:eastAsia="宋体" w:cs="Times New Roman"/>
                <w:sz w:val="21"/>
                <w:szCs w:val="21"/>
                <w:highlight w:val="none"/>
              </w:rPr>
              <w:t>过滤器吹饼气含微量油气，经15m排气筒排放。助剂输送系统排气采用布袋除尘器除尘，</w:t>
            </w:r>
            <w:r>
              <w:rPr>
                <w:rFonts w:hint="eastAsia" w:cs="Times New Roman"/>
                <w:sz w:val="21"/>
                <w:szCs w:val="21"/>
                <w:highlight w:val="none"/>
                <w:lang w:eastAsia="zh-CN"/>
              </w:rPr>
              <w:t>提高</w:t>
            </w:r>
            <w:r>
              <w:rPr>
                <w:rFonts w:ascii="Times New Roman" w:hAnsi="Times New Roman" w:eastAsia="宋体" w:cs="Times New Roman"/>
                <w:sz w:val="21"/>
                <w:szCs w:val="21"/>
                <w:highlight w:val="none"/>
              </w:rPr>
              <w:t>除尘效率99.8%，分别经</w:t>
            </w:r>
            <w:r>
              <w:rPr>
                <w:rFonts w:hint="eastAsia" w:ascii="Times New Roman" w:hAnsi="Times New Roman" w:eastAsia="宋体" w:cs="Times New Roman"/>
                <w:sz w:val="21"/>
                <w:szCs w:val="21"/>
                <w:highlight w:val="none"/>
                <w:lang w:val="en-US" w:eastAsia="zh-CN"/>
              </w:rPr>
              <w:t>2</w:t>
            </w:r>
            <w:r>
              <w:rPr>
                <w:rFonts w:ascii="Times New Roman" w:hAnsi="Times New Roman" w:eastAsia="宋体" w:cs="Times New Roman"/>
                <w:sz w:val="21"/>
                <w:szCs w:val="21"/>
                <w:highlight w:val="none"/>
              </w:rPr>
              <w:t>3m排气筒达标排放。</w:t>
            </w:r>
          </w:p>
          <w:p w14:paraId="32DFEDE5">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尾气脱碳单元</w:t>
            </w:r>
            <w:r>
              <w:rPr>
                <w:rFonts w:hint="eastAsia" w:cs="Times New Roman"/>
                <w:sz w:val="21"/>
                <w:szCs w:val="21"/>
                <w:highlight w:val="none"/>
                <w:lang w:eastAsia="zh-CN"/>
              </w:rPr>
              <w:t>：</w:t>
            </w:r>
            <w:r>
              <w:rPr>
                <w:rFonts w:ascii="Times New Roman" w:hAnsi="Times New Roman" w:eastAsia="宋体" w:cs="Times New Roman"/>
                <w:sz w:val="21"/>
                <w:szCs w:val="21"/>
                <w:highlight w:val="none"/>
              </w:rPr>
              <w:t>闪</w:t>
            </w:r>
            <w:r>
              <w:rPr>
                <w:rFonts w:hint="eastAsia" w:cs="Times New Roman"/>
                <w:sz w:val="21"/>
                <w:szCs w:val="21"/>
                <w:highlight w:val="none"/>
                <w:lang w:eastAsia="zh-CN"/>
              </w:rPr>
              <w:t>蒸汽进入</w:t>
            </w:r>
            <w:r>
              <w:rPr>
                <w:rFonts w:ascii="Times New Roman" w:hAnsi="Times New Roman" w:eastAsia="宋体" w:cs="Times New Roman"/>
                <w:sz w:val="21"/>
                <w:szCs w:val="21"/>
                <w:highlight w:val="none"/>
              </w:rPr>
              <w:t>全厂燃料气管网。再生气NMHC排放浓度111mg/m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，经90m排气筒排放。</w:t>
            </w:r>
          </w:p>
        </w:tc>
      </w:tr>
      <w:tr w14:paraId="0E81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2" w:hRule="atLeast"/>
          <w:jc w:val="center"/>
        </w:trPr>
        <w:tc>
          <w:tcPr>
            <w:tcW w:w="0" w:type="auto"/>
            <w:vMerge w:val="continue"/>
            <w:vAlign w:val="center"/>
          </w:tcPr>
          <w:p w14:paraId="50153292">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5CA0229F">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2603" w:type="dxa"/>
            <w:gridSpan w:val="3"/>
            <w:vAlign w:val="center"/>
          </w:tcPr>
          <w:p w14:paraId="4F9FBC96">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化学品加工装置</w:t>
            </w:r>
          </w:p>
        </w:tc>
        <w:tc>
          <w:tcPr>
            <w:tcW w:w="9970" w:type="dxa"/>
            <w:vAlign w:val="center"/>
          </w:tcPr>
          <w:p w14:paraId="2E73E99C">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加氢精制单元</w:t>
            </w:r>
            <w:r>
              <w:rPr>
                <w:rFonts w:hint="eastAsia" w:cs="Times New Roman"/>
                <w:sz w:val="21"/>
                <w:szCs w:val="21"/>
                <w:highlight w:val="none"/>
                <w:lang w:eastAsia="zh-CN"/>
              </w:rPr>
              <w:t>：</w:t>
            </w:r>
            <w:r>
              <w:rPr>
                <w:rFonts w:ascii="Times New Roman" w:hAnsi="Times New Roman" w:eastAsia="宋体" w:cs="Times New Roman"/>
                <w:sz w:val="21"/>
                <w:szCs w:val="21"/>
                <w:highlight w:val="none"/>
              </w:rPr>
              <w:t>加热炉烟气烟尘排放浓度</w:t>
            </w:r>
            <w:r>
              <w:rPr>
                <w:rFonts w:hint="eastAsia" w:cs="Times New Roman"/>
                <w:sz w:val="21"/>
                <w:szCs w:val="21"/>
                <w:highlight w:val="none"/>
                <w:lang w:eastAsia="zh-CN"/>
              </w:rPr>
              <w:t>为</w:t>
            </w:r>
            <w:r>
              <w:rPr>
                <w:rFonts w:hint="eastAsia" w:ascii="Times New Roman" w:hAnsi="Times New Roman" w:eastAsia="宋体" w:cs="Times New Roman"/>
                <w:sz w:val="21"/>
                <w:szCs w:val="21"/>
                <w:highlight w:val="none"/>
                <w:lang w:val="en-US" w:eastAsia="zh-CN"/>
              </w:rPr>
              <w:t>2</w:t>
            </w:r>
            <w:r>
              <w:rPr>
                <w:rFonts w:ascii="Times New Roman" w:hAnsi="Times New Roman" w:eastAsia="宋体" w:cs="Times New Roman"/>
                <w:sz w:val="21"/>
                <w:szCs w:val="21"/>
                <w:highlight w:val="none"/>
              </w:rPr>
              <w:t>0mg/m</w:t>
            </w:r>
            <w:r>
              <w:rPr>
                <w:rFonts w:ascii="Times New Roman" w:hAnsi="Times New Roman" w:eastAsia="宋体" w:cs="Times New Roman"/>
                <w:sz w:val="21"/>
                <w:szCs w:val="21"/>
                <w:highlight w:val="none"/>
                <w:vertAlign w:val="superscript"/>
              </w:rPr>
              <w:t>3</w:t>
            </w:r>
            <w:r>
              <w:rPr>
                <w:rFonts w:hint="eastAsia" w:cs="Times New Roman"/>
                <w:sz w:val="21"/>
                <w:szCs w:val="21"/>
                <w:highlight w:val="none"/>
                <w:lang w:eastAsia="zh-CN"/>
              </w:rPr>
              <w:t>、</w:t>
            </w:r>
            <w:r>
              <w:rPr>
                <w:rFonts w:ascii="Times New Roman" w:hAnsi="Times New Roman" w:eastAsia="宋体" w:cs="Times New Roman"/>
                <w:sz w:val="21"/>
                <w:szCs w:val="21"/>
                <w:highlight w:val="none"/>
              </w:rPr>
              <w:t>NOx排放浓度150mg/m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，经50m排气筒排放。</w:t>
            </w:r>
          </w:p>
          <w:p w14:paraId="5D2DC141">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加氢裂化单元</w:t>
            </w:r>
            <w:r>
              <w:rPr>
                <w:rFonts w:hint="eastAsia" w:cs="Times New Roman"/>
                <w:sz w:val="21"/>
                <w:szCs w:val="21"/>
                <w:highlight w:val="none"/>
                <w:lang w:eastAsia="zh-CN"/>
              </w:rPr>
              <w:t>：</w:t>
            </w:r>
            <w:r>
              <w:rPr>
                <w:rFonts w:ascii="Times New Roman" w:hAnsi="Times New Roman" w:eastAsia="宋体" w:cs="Times New Roman"/>
                <w:sz w:val="21"/>
                <w:szCs w:val="21"/>
                <w:highlight w:val="none"/>
              </w:rPr>
              <w:t>加热炉烟气烟尘排放浓度</w:t>
            </w:r>
            <w:r>
              <w:rPr>
                <w:rFonts w:hint="eastAsia" w:cs="Times New Roman"/>
                <w:sz w:val="21"/>
                <w:szCs w:val="21"/>
                <w:highlight w:val="none"/>
                <w:lang w:eastAsia="zh-CN"/>
              </w:rPr>
              <w:t>为</w:t>
            </w:r>
            <w:r>
              <w:rPr>
                <w:rFonts w:ascii="Times New Roman" w:hAnsi="Times New Roman" w:eastAsia="宋体" w:cs="Times New Roman"/>
                <w:sz w:val="21"/>
                <w:szCs w:val="21"/>
                <w:highlight w:val="none"/>
              </w:rPr>
              <w:t>20mg/m</w:t>
            </w:r>
            <w:r>
              <w:rPr>
                <w:rFonts w:ascii="Times New Roman" w:hAnsi="Times New Roman" w:eastAsia="宋体" w:cs="Times New Roman"/>
                <w:sz w:val="21"/>
                <w:szCs w:val="21"/>
                <w:highlight w:val="none"/>
                <w:vertAlign w:val="superscript"/>
              </w:rPr>
              <w:t>3</w:t>
            </w:r>
            <w:r>
              <w:rPr>
                <w:rFonts w:hint="eastAsia" w:cs="Times New Roman"/>
                <w:sz w:val="21"/>
                <w:szCs w:val="21"/>
                <w:highlight w:val="none"/>
                <w:lang w:eastAsia="zh-CN"/>
              </w:rPr>
              <w:t>、</w:t>
            </w:r>
            <w:r>
              <w:rPr>
                <w:rFonts w:ascii="Times New Roman" w:hAnsi="Times New Roman" w:eastAsia="宋体" w:cs="Times New Roman"/>
                <w:sz w:val="21"/>
                <w:szCs w:val="21"/>
                <w:highlight w:val="none"/>
              </w:rPr>
              <w:t>NOx排放浓度150mg/m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，经53m排气筒排放。</w:t>
            </w:r>
          </w:p>
        </w:tc>
      </w:tr>
      <w:tr w14:paraId="127C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9" w:hRule="atLeast"/>
          <w:jc w:val="center"/>
        </w:trPr>
        <w:tc>
          <w:tcPr>
            <w:tcW w:w="0" w:type="auto"/>
            <w:vMerge w:val="continue"/>
            <w:vAlign w:val="center"/>
          </w:tcPr>
          <w:p w14:paraId="5CE5763B">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71121CFA">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2603" w:type="dxa"/>
            <w:gridSpan w:val="3"/>
            <w:vAlign w:val="center"/>
          </w:tcPr>
          <w:p w14:paraId="4C579A94">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尾气转化装置/尾气制氢装置</w:t>
            </w:r>
          </w:p>
        </w:tc>
        <w:tc>
          <w:tcPr>
            <w:tcW w:w="9970" w:type="dxa"/>
            <w:vAlign w:val="center"/>
          </w:tcPr>
          <w:p w14:paraId="7F2A4C60">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尾气转化单元</w:t>
            </w:r>
            <w:r>
              <w:rPr>
                <w:rFonts w:hint="eastAsia" w:cs="Times New Roman"/>
                <w:sz w:val="21"/>
                <w:szCs w:val="21"/>
                <w:highlight w:val="none"/>
                <w:lang w:eastAsia="zh-CN"/>
              </w:rPr>
              <w:t>：</w:t>
            </w:r>
            <w:r>
              <w:rPr>
                <w:rFonts w:ascii="Times New Roman" w:hAnsi="Times New Roman" w:eastAsia="宋体" w:cs="Times New Roman"/>
                <w:sz w:val="21"/>
                <w:szCs w:val="21"/>
                <w:highlight w:val="none"/>
              </w:rPr>
              <w:t>加热炉烟气烟尘排放浓度</w:t>
            </w:r>
            <w:r>
              <w:rPr>
                <w:rFonts w:hint="eastAsia" w:cs="Times New Roman"/>
                <w:sz w:val="21"/>
                <w:szCs w:val="21"/>
                <w:highlight w:val="none"/>
                <w:lang w:eastAsia="zh-CN"/>
              </w:rPr>
              <w:t>为</w:t>
            </w:r>
            <w:r>
              <w:rPr>
                <w:rFonts w:ascii="Times New Roman" w:hAnsi="Times New Roman" w:eastAsia="宋体" w:cs="Times New Roman"/>
                <w:sz w:val="21"/>
                <w:szCs w:val="21"/>
                <w:highlight w:val="none"/>
              </w:rPr>
              <w:t>20mg/m</w:t>
            </w:r>
            <w:r>
              <w:rPr>
                <w:rFonts w:ascii="Times New Roman" w:hAnsi="Times New Roman" w:eastAsia="宋体" w:cs="Times New Roman"/>
                <w:sz w:val="21"/>
                <w:szCs w:val="21"/>
                <w:highlight w:val="none"/>
                <w:vertAlign w:val="superscript"/>
              </w:rPr>
              <w:t>3</w:t>
            </w:r>
            <w:r>
              <w:rPr>
                <w:rFonts w:hint="eastAsia" w:cs="Times New Roman"/>
                <w:sz w:val="21"/>
                <w:szCs w:val="21"/>
                <w:highlight w:val="none"/>
                <w:lang w:eastAsia="zh-CN"/>
              </w:rPr>
              <w:t>、</w:t>
            </w:r>
            <w:r>
              <w:rPr>
                <w:rFonts w:ascii="Times New Roman" w:hAnsi="Times New Roman" w:eastAsia="宋体" w:cs="Times New Roman"/>
                <w:sz w:val="21"/>
                <w:szCs w:val="21"/>
                <w:highlight w:val="none"/>
              </w:rPr>
              <w:t>NOx排放浓度150mg/m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，经60m排气筒排放。</w:t>
            </w:r>
          </w:p>
        </w:tc>
      </w:tr>
      <w:tr w14:paraId="01EC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4" w:hRule="atLeast"/>
          <w:jc w:val="center"/>
        </w:trPr>
        <w:tc>
          <w:tcPr>
            <w:tcW w:w="0" w:type="auto"/>
            <w:vMerge w:val="continue"/>
            <w:vAlign w:val="center"/>
          </w:tcPr>
          <w:p w14:paraId="152BBABF">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7501E407">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2603" w:type="dxa"/>
            <w:gridSpan w:val="3"/>
            <w:vAlign w:val="center"/>
          </w:tcPr>
          <w:p w14:paraId="73752847">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火炬</w:t>
            </w:r>
          </w:p>
        </w:tc>
        <w:tc>
          <w:tcPr>
            <w:tcW w:w="9970" w:type="dxa"/>
            <w:vAlign w:val="center"/>
          </w:tcPr>
          <w:p w14:paraId="56F54098">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全厂火炬系统为一座固定式高架火炬和配套一座封闭式地面火炬。高架火炬总高度125m；地面火炬直径</w:t>
            </w:r>
            <w:r>
              <w:rPr>
                <w:rFonts w:hint="eastAsia" w:ascii="Times New Roman" w:hAnsi="Times New Roman" w:eastAsia="宋体" w:cs="Times New Roman"/>
                <w:sz w:val="21"/>
                <w:szCs w:val="21"/>
                <w:highlight w:val="none"/>
                <w:lang w:val="en-US" w:eastAsia="zh-CN"/>
              </w:rPr>
              <w:t>1</w:t>
            </w:r>
            <w:r>
              <w:rPr>
                <w:rFonts w:ascii="Times New Roman" w:hAnsi="Times New Roman" w:eastAsia="宋体" w:cs="Times New Roman"/>
                <w:sz w:val="21"/>
                <w:szCs w:val="21"/>
                <w:highlight w:val="none"/>
              </w:rPr>
              <w:t>4m，高度40m。</w:t>
            </w:r>
          </w:p>
          <w:p w14:paraId="1DC001A5">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高架火炬分</w:t>
            </w:r>
            <w:r>
              <w:rPr>
                <w:rFonts w:hint="eastAsia" w:cs="Times New Roman"/>
                <w:sz w:val="21"/>
                <w:szCs w:val="21"/>
                <w:highlight w:val="none"/>
                <w:lang w:eastAsia="zh-CN"/>
              </w:rPr>
              <w:t>为</w:t>
            </w:r>
            <w:r>
              <w:rPr>
                <w:rFonts w:ascii="Times New Roman" w:hAnsi="Times New Roman" w:eastAsia="宋体" w:cs="Times New Roman"/>
                <w:sz w:val="21"/>
                <w:szCs w:val="21"/>
                <w:highlight w:val="none"/>
              </w:rPr>
              <w:t>低热值高压火炬、低热值小流量火炬、</w:t>
            </w:r>
          </w:p>
          <w:p w14:paraId="2C9D8B20">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含烃高压火炬、含烃低压火炬、湿酸性气火炬、干酸性气火炬六个火炬气燃放系统。</w:t>
            </w:r>
          </w:p>
        </w:tc>
      </w:tr>
      <w:tr w14:paraId="777C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4" w:hRule="atLeast"/>
          <w:jc w:val="center"/>
        </w:trPr>
        <w:tc>
          <w:tcPr>
            <w:tcW w:w="0" w:type="auto"/>
            <w:vMerge w:val="restart"/>
            <w:vAlign w:val="center"/>
          </w:tcPr>
          <w:p w14:paraId="551FD590">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0" w:type="auto"/>
            <w:vMerge w:val="restart"/>
            <w:vAlign w:val="center"/>
          </w:tcPr>
          <w:p w14:paraId="68A8D6B6">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废水治理措施</w:t>
            </w:r>
          </w:p>
        </w:tc>
        <w:tc>
          <w:tcPr>
            <w:tcW w:w="0" w:type="auto"/>
            <w:vMerge w:val="restart"/>
            <w:vAlign w:val="center"/>
          </w:tcPr>
          <w:p w14:paraId="2C799800">
            <w:pPr>
              <w:kinsoku w:val="0"/>
              <w:overflowPunct w:val="0"/>
              <w:autoSpaceDE w:val="0"/>
              <w:autoSpaceDN w:val="0"/>
              <w:adjustRightInd w:val="0"/>
              <w:jc w:val="center"/>
              <w:rPr>
                <w:rFonts w:hint="eastAsia" w:ascii="Times New Roman" w:hAnsi="Times New Roman" w:eastAsia="宋体" w:cs="Times New Roman"/>
                <w:sz w:val="21"/>
                <w:szCs w:val="21"/>
                <w:highlight w:val="none"/>
                <w:lang w:eastAsia="zh-CN"/>
              </w:rPr>
            </w:pPr>
            <w:r>
              <w:rPr>
                <w:rFonts w:ascii="Times New Roman" w:hAnsi="Times New Roman" w:eastAsia="宋体" w:cs="Times New Roman"/>
                <w:sz w:val="21"/>
                <w:szCs w:val="21"/>
                <w:highlight w:val="none"/>
              </w:rPr>
              <w:t>污水处理</w:t>
            </w:r>
            <w:r>
              <w:rPr>
                <w:rFonts w:hint="eastAsia" w:cs="Times New Roman"/>
                <w:sz w:val="21"/>
                <w:szCs w:val="21"/>
                <w:highlight w:val="none"/>
                <w:lang w:eastAsia="zh-CN"/>
              </w:rPr>
              <w:t>厂</w:t>
            </w:r>
          </w:p>
        </w:tc>
        <w:tc>
          <w:tcPr>
            <w:tcW w:w="0" w:type="auto"/>
            <w:vMerge w:val="restart"/>
            <w:vAlign w:val="center"/>
          </w:tcPr>
          <w:p w14:paraId="3CCF58CD">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预处理单元</w:t>
            </w:r>
          </w:p>
        </w:tc>
        <w:tc>
          <w:tcPr>
            <w:tcW w:w="1007" w:type="dxa"/>
            <w:vAlign w:val="center"/>
          </w:tcPr>
          <w:p w14:paraId="46AFA872">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含油污水预处理</w:t>
            </w:r>
          </w:p>
        </w:tc>
        <w:tc>
          <w:tcPr>
            <w:tcW w:w="9970" w:type="dxa"/>
            <w:vAlign w:val="center"/>
          </w:tcPr>
          <w:p w14:paraId="3B1EEE0A">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采用平流隔油池+涡凹气浮（CAF）+溶气气浮</w:t>
            </w:r>
          </w:p>
          <w:p w14:paraId="54E3B879">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（DAF）处理工艺，处理化学品加工装置的含油污水、间断地坪冲洗水及初期雨水。</w:t>
            </w:r>
          </w:p>
          <w:p w14:paraId="1456021C">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处理规模80m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/h。</w:t>
            </w:r>
          </w:p>
        </w:tc>
      </w:tr>
      <w:tr w14:paraId="6174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0" w:type="auto"/>
            <w:vMerge w:val="continue"/>
            <w:vAlign w:val="center"/>
          </w:tcPr>
          <w:p w14:paraId="1631AD77">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2ACF48FE">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5E99E86B">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6E208DCA">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1007" w:type="dxa"/>
            <w:vAlign w:val="center"/>
          </w:tcPr>
          <w:p w14:paraId="364BD22E">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合成废水预处理</w:t>
            </w:r>
          </w:p>
        </w:tc>
        <w:tc>
          <w:tcPr>
            <w:tcW w:w="9970" w:type="dxa"/>
            <w:vAlign w:val="center"/>
          </w:tcPr>
          <w:p w14:paraId="05121223">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合成废水20m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/h去水煤浆气化装置；剩余</w:t>
            </w:r>
            <w:r>
              <w:rPr>
                <w:rFonts w:hint="eastAsia" w:cs="Times New Roman"/>
                <w:sz w:val="21"/>
                <w:szCs w:val="21"/>
                <w:highlight w:val="none"/>
                <w:lang w:eastAsia="zh-CN"/>
              </w:rPr>
              <w:t>废水</w:t>
            </w:r>
            <w:r>
              <w:rPr>
                <w:rFonts w:ascii="Times New Roman" w:hAnsi="Times New Roman" w:eastAsia="宋体" w:cs="Times New Roman"/>
                <w:sz w:val="21"/>
                <w:szCs w:val="21"/>
                <w:highlight w:val="none"/>
              </w:rPr>
              <w:t>采用UASB厌氧处理工艺。处理规模150m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/h。</w:t>
            </w:r>
          </w:p>
        </w:tc>
      </w:tr>
      <w:tr w14:paraId="3632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0" w:type="auto"/>
            <w:vMerge w:val="continue"/>
            <w:vAlign w:val="center"/>
          </w:tcPr>
          <w:p w14:paraId="546D4258">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188DB460">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5A41C7B0">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1C60E23F">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1007" w:type="dxa"/>
            <w:vAlign w:val="center"/>
          </w:tcPr>
          <w:p w14:paraId="7A3C9940">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气化废</w:t>
            </w:r>
          </w:p>
          <w:p w14:paraId="1A3B293F">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水预处理</w:t>
            </w:r>
          </w:p>
        </w:tc>
        <w:tc>
          <w:tcPr>
            <w:tcW w:w="9970" w:type="dxa"/>
            <w:vAlign w:val="center"/>
          </w:tcPr>
          <w:p w14:paraId="606DCE09">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采用高密度沉淀工艺，处理来自气化装置的粉煤浆气化污水、水煤浆气化污水。处理规模840m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/h。</w:t>
            </w:r>
          </w:p>
        </w:tc>
      </w:tr>
      <w:tr w14:paraId="2473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4" w:hRule="atLeast"/>
          <w:jc w:val="center"/>
        </w:trPr>
        <w:tc>
          <w:tcPr>
            <w:tcW w:w="0" w:type="auto"/>
            <w:vMerge w:val="continue"/>
            <w:vAlign w:val="center"/>
          </w:tcPr>
          <w:p w14:paraId="63658B68">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5FCA6B8B">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3D0D8447">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1516" w:type="dxa"/>
            <w:gridSpan w:val="2"/>
            <w:vAlign w:val="center"/>
          </w:tcPr>
          <w:p w14:paraId="68D9530E">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综合污水处理</w:t>
            </w:r>
          </w:p>
        </w:tc>
        <w:tc>
          <w:tcPr>
            <w:tcW w:w="9970" w:type="dxa"/>
            <w:vAlign w:val="center"/>
          </w:tcPr>
          <w:p w14:paraId="37138DD5">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采用调节池+二级A/O+二沉池+混凝沉淀池工艺，处理预处理后的含油污水、合成废水、气化废水及其他生产装置产生的生产废水、生活污水等。处理规模</w:t>
            </w:r>
          </w:p>
          <w:p w14:paraId="3660D605">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1200m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/h。</w:t>
            </w:r>
          </w:p>
        </w:tc>
      </w:tr>
      <w:tr w14:paraId="1F47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6" w:hRule="atLeast"/>
          <w:jc w:val="center"/>
        </w:trPr>
        <w:tc>
          <w:tcPr>
            <w:tcW w:w="0" w:type="auto"/>
            <w:vMerge w:val="continue"/>
            <w:vAlign w:val="center"/>
          </w:tcPr>
          <w:p w14:paraId="675FE8B2">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5D64DD23">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restart"/>
            <w:vAlign w:val="center"/>
          </w:tcPr>
          <w:p w14:paraId="7114D35D">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废水处理及回用</w:t>
            </w:r>
          </w:p>
        </w:tc>
        <w:tc>
          <w:tcPr>
            <w:tcW w:w="1516" w:type="dxa"/>
            <w:gridSpan w:val="2"/>
            <w:vAlign w:val="center"/>
          </w:tcPr>
          <w:p w14:paraId="7104ACD1">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生化合格</w:t>
            </w:r>
            <w:r>
              <w:rPr>
                <w:rFonts w:hint="eastAsia" w:cs="Times New Roman"/>
                <w:sz w:val="21"/>
                <w:szCs w:val="21"/>
                <w:highlight w:val="none"/>
                <w:lang w:eastAsia="zh-CN"/>
              </w:rPr>
              <w:t>后</w:t>
            </w:r>
            <w:r>
              <w:rPr>
                <w:rFonts w:ascii="Times New Roman" w:hAnsi="Times New Roman" w:eastAsia="宋体" w:cs="Times New Roman"/>
                <w:sz w:val="21"/>
                <w:szCs w:val="21"/>
                <w:highlight w:val="none"/>
              </w:rPr>
              <w:t>出水处理</w:t>
            </w:r>
          </w:p>
        </w:tc>
        <w:tc>
          <w:tcPr>
            <w:tcW w:w="9970" w:type="dxa"/>
            <w:vAlign w:val="center"/>
          </w:tcPr>
          <w:p w14:paraId="6ADD2D51">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采用自清洗过滤器+外压式UF+RO工艺，</w:t>
            </w:r>
            <w:r>
              <w:rPr>
                <w:rFonts w:hint="eastAsia" w:cs="Times New Roman"/>
                <w:sz w:val="21"/>
                <w:szCs w:val="21"/>
                <w:highlight w:val="none"/>
                <w:lang w:eastAsia="zh-CN"/>
              </w:rPr>
              <w:t>经过</w:t>
            </w:r>
            <w:r>
              <w:rPr>
                <w:rFonts w:ascii="Times New Roman" w:hAnsi="Times New Roman" w:eastAsia="宋体" w:cs="Times New Roman"/>
                <w:sz w:val="21"/>
                <w:szCs w:val="21"/>
                <w:highlight w:val="none"/>
              </w:rPr>
              <w:t>生化处理后合格出水。</w:t>
            </w:r>
          </w:p>
          <w:p w14:paraId="23F6B6C8">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处理规模1200m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/h（超滤净产水）。</w:t>
            </w:r>
          </w:p>
        </w:tc>
      </w:tr>
      <w:tr w14:paraId="4DB0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0" w:type="auto"/>
            <w:vMerge w:val="continue"/>
            <w:vAlign w:val="center"/>
          </w:tcPr>
          <w:p w14:paraId="01F21BD5">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11D379E2">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4559E710">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1516" w:type="dxa"/>
            <w:gridSpan w:val="2"/>
            <w:vAlign w:val="center"/>
          </w:tcPr>
          <w:p w14:paraId="18F18274">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清净废水处理</w:t>
            </w:r>
          </w:p>
        </w:tc>
        <w:tc>
          <w:tcPr>
            <w:tcW w:w="9970" w:type="dxa"/>
            <w:vAlign w:val="center"/>
          </w:tcPr>
          <w:p w14:paraId="05D33ABC">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采用高密度沉淀池+多介质过滤器+自清洗过滤器+外压式UF+RO工艺，处理开式循环水系统、化学水处理系统排</w:t>
            </w:r>
            <w:r>
              <w:rPr>
                <w:rFonts w:hint="eastAsia" w:cs="Times New Roman"/>
                <w:sz w:val="21"/>
                <w:szCs w:val="21"/>
                <w:highlight w:val="none"/>
                <w:lang w:eastAsia="zh-CN"/>
              </w:rPr>
              <w:t>放的</w:t>
            </w:r>
            <w:r>
              <w:rPr>
                <w:rFonts w:ascii="Times New Roman" w:hAnsi="Times New Roman" w:eastAsia="宋体" w:cs="Times New Roman"/>
                <w:sz w:val="21"/>
                <w:szCs w:val="21"/>
                <w:highlight w:val="none"/>
              </w:rPr>
              <w:t>含盐废水。处理规模</w:t>
            </w:r>
            <w:r>
              <w:rPr>
                <w:rFonts w:hint="eastAsia" w:cs="Times New Roman"/>
                <w:sz w:val="21"/>
                <w:szCs w:val="21"/>
                <w:highlight w:val="none"/>
                <w:lang w:eastAsia="zh-CN"/>
              </w:rPr>
              <w:t>为</w:t>
            </w:r>
            <w:r>
              <w:rPr>
                <w:rFonts w:ascii="Times New Roman" w:hAnsi="Times New Roman" w:eastAsia="宋体" w:cs="Times New Roman"/>
                <w:sz w:val="21"/>
                <w:szCs w:val="21"/>
                <w:highlight w:val="none"/>
              </w:rPr>
              <w:t>600m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/h（超滤净产水）。</w:t>
            </w:r>
          </w:p>
        </w:tc>
      </w:tr>
      <w:tr w14:paraId="40AC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jc w:val="center"/>
        </w:trPr>
        <w:tc>
          <w:tcPr>
            <w:tcW w:w="0" w:type="auto"/>
            <w:vMerge w:val="continue"/>
            <w:vAlign w:val="center"/>
          </w:tcPr>
          <w:p w14:paraId="2B1669FC">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0D894B1E">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restart"/>
            <w:vAlign w:val="center"/>
          </w:tcPr>
          <w:p w14:paraId="50679A49">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非正常工况</w:t>
            </w:r>
            <w:r>
              <w:rPr>
                <w:rFonts w:hint="eastAsia" w:cs="Times New Roman"/>
                <w:sz w:val="21"/>
                <w:szCs w:val="21"/>
                <w:highlight w:val="none"/>
                <w:lang w:eastAsia="zh-CN"/>
              </w:rPr>
              <w:t>下的</w:t>
            </w:r>
            <w:r>
              <w:rPr>
                <w:rFonts w:ascii="Times New Roman" w:hAnsi="Times New Roman" w:eastAsia="宋体" w:cs="Times New Roman"/>
                <w:sz w:val="21"/>
                <w:szCs w:val="21"/>
                <w:highlight w:val="none"/>
              </w:rPr>
              <w:t>污水控制措施</w:t>
            </w:r>
          </w:p>
        </w:tc>
        <w:tc>
          <w:tcPr>
            <w:tcW w:w="1516" w:type="dxa"/>
            <w:gridSpan w:val="2"/>
            <w:vAlign w:val="center"/>
          </w:tcPr>
          <w:p w14:paraId="28BA5EE6">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污水暂存</w:t>
            </w:r>
          </w:p>
        </w:tc>
        <w:tc>
          <w:tcPr>
            <w:tcW w:w="9970" w:type="dxa"/>
            <w:vAlign w:val="center"/>
          </w:tcPr>
          <w:p w14:paraId="07603662">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设污水暂存池，单独立项。设有机废水暂存池110000m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，合成废水暂存池60000m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，高含盐水暂存池60000m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，超高含盐废水暂存池10000m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w:t>
            </w:r>
          </w:p>
        </w:tc>
      </w:tr>
      <w:tr w14:paraId="55B6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jc w:val="center"/>
        </w:trPr>
        <w:tc>
          <w:tcPr>
            <w:tcW w:w="0" w:type="auto"/>
            <w:vMerge w:val="continue"/>
            <w:vAlign w:val="center"/>
          </w:tcPr>
          <w:p w14:paraId="6DF9F452">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5611CF37">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38044609">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1516" w:type="dxa"/>
            <w:gridSpan w:val="2"/>
            <w:vAlign w:val="center"/>
          </w:tcPr>
          <w:p w14:paraId="30819041">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事故水池</w:t>
            </w:r>
          </w:p>
        </w:tc>
        <w:tc>
          <w:tcPr>
            <w:tcW w:w="9970" w:type="dxa"/>
            <w:vAlign w:val="center"/>
          </w:tcPr>
          <w:p w14:paraId="0BD1B558">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厂区设1座事故水池，有效容积30000m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w:t>
            </w:r>
          </w:p>
        </w:tc>
      </w:tr>
      <w:tr w14:paraId="0E31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8" w:hRule="atLeast"/>
          <w:jc w:val="center"/>
        </w:trPr>
        <w:tc>
          <w:tcPr>
            <w:tcW w:w="0" w:type="auto"/>
            <w:vMerge w:val="continue"/>
            <w:vAlign w:val="center"/>
          </w:tcPr>
          <w:p w14:paraId="7B43A547">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0" w:type="auto"/>
            <w:vMerge w:val="continue"/>
            <w:vAlign w:val="center"/>
          </w:tcPr>
          <w:p w14:paraId="33470C6D">
            <w:pPr>
              <w:kinsoku w:val="0"/>
              <w:overflowPunct w:val="0"/>
              <w:autoSpaceDE w:val="0"/>
              <w:autoSpaceDN w:val="0"/>
              <w:adjustRightInd w:val="0"/>
              <w:jc w:val="center"/>
              <w:rPr>
                <w:rFonts w:ascii="Times New Roman" w:hAnsi="Times New Roman" w:eastAsia="宋体" w:cs="Times New Roman"/>
                <w:sz w:val="21"/>
                <w:szCs w:val="21"/>
                <w:highlight w:val="none"/>
              </w:rPr>
            </w:pPr>
          </w:p>
        </w:tc>
        <w:tc>
          <w:tcPr>
            <w:tcW w:w="2603" w:type="dxa"/>
            <w:gridSpan w:val="3"/>
            <w:vAlign w:val="center"/>
          </w:tcPr>
          <w:p w14:paraId="48100380">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初期雨水池</w:t>
            </w:r>
          </w:p>
        </w:tc>
        <w:tc>
          <w:tcPr>
            <w:tcW w:w="9970" w:type="dxa"/>
            <w:vAlign w:val="center"/>
          </w:tcPr>
          <w:p w14:paraId="7ADC890F">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厂区初期雨水池设置：污水处理装置1个，1280m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w:t>
            </w:r>
          </w:p>
          <w:p w14:paraId="42B31605">
            <w:pPr>
              <w:kinsoku w:val="0"/>
              <w:overflowPunct w:val="0"/>
              <w:autoSpaceDE w:val="0"/>
              <w:autoSpaceDN w:val="0"/>
              <w:adjustRightInd w:val="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净化装置1个，400m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；合成装置2</w:t>
            </w:r>
            <w:r>
              <w:rPr>
                <w:rFonts w:hint="eastAsia" w:ascii="Times New Roman" w:hAnsi="Times New Roman" w:eastAsia="宋体" w:cs="Times New Roman"/>
                <w:sz w:val="21"/>
                <w:szCs w:val="21"/>
                <w:highlight w:val="none"/>
                <w:lang w:val="en-US" w:eastAsia="zh-CN"/>
              </w:rPr>
              <w:t>个</w:t>
            </w:r>
            <w:r>
              <w:rPr>
                <w:rFonts w:ascii="Times New Roman" w:hAnsi="Times New Roman" w:eastAsia="宋体" w:cs="Times New Roman"/>
                <w:sz w:val="21"/>
                <w:szCs w:val="21"/>
                <w:highlight w:val="none"/>
              </w:rPr>
              <w:t>，费托合成单元雨水池150m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，蜡过滤单元雨水池150m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；加工装置</w:t>
            </w:r>
            <w:r>
              <w:rPr>
                <w:rFonts w:hint="eastAsia" w:ascii="Times New Roman" w:hAnsi="Times New Roman" w:eastAsia="宋体" w:cs="Times New Roman"/>
                <w:sz w:val="21"/>
                <w:szCs w:val="21"/>
                <w:highlight w:val="none"/>
                <w:lang w:val="en-US" w:eastAsia="zh-CN"/>
              </w:rPr>
              <w:t>3</w:t>
            </w:r>
            <w:r>
              <w:rPr>
                <w:rFonts w:ascii="Times New Roman" w:hAnsi="Times New Roman" w:eastAsia="宋体" w:cs="Times New Roman"/>
                <w:sz w:val="21"/>
                <w:szCs w:val="21"/>
                <w:highlight w:val="none"/>
              </w:rPr>
              <w:t>个，低温油洗单元雨水池120m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，合成水处理单元雨水池120m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，精制裂化单元雨水池160m3；液体物料储运系统4个，中间罐区南北各1个，液化气泵房1个，交易大厅西侧1个，以上4个都是476m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w:t>
            </w:r>
          </w:p>
        </w:tc>
      </w:tr>
    </w:tbl>
    <w:p w14:paraId="7B5A7F84">
      <w:pPr>
        <w:adjustRightInd w:val="0"/>
        <w:snapToGrid w:val="0"/>
        <w:jc w:val="center"/>
        <w:rPr>
          <w:rFonts w:hint="default" w:ascii="宋体" w:hAnsi="宋体" w:cs="宋体"/>
          <w:kern w:val="0"/>
          <w:sz w:val="24"/>
          <w:highlight w:val="none"/>
          <w:lang w:val="en-US" w:eastAsia="zh-CN"/>
        </w:rPr>
        <w:sectPr>
          <w:pgSz w:w="16838" w:h="11906" w:orient="landscape"/>
          <w:pgMar w:top="1701" w:right="1701" w:bottom="1701" w:left="1701" w:header="851" w:footer="1077" w:gutter="0"/>
          <w:pgNumType w:fmt="decimal"/>
          <w:cols w:space="720" w:num="1"/>
          <w:docGrid w:linePitch="312" w:charSpace="0"/>
        </w:sectPr>
      </w:pPr>
      <w:r>
        <w:rPr>
          <w:rFonts w:hint="eastAsia" w:ascii="宋体" w:hAnsi="宋体" w:cs="宋体"/>
          <w:kern w:val="0"/>
          <w:sz w:val="24"/>
          <w:highlight w:val="none"/>
          <w:lang w:val="en-US" w:eastAsia="zh-CN"/>
        </w:rPr>
        <w:t>经过现有设施的处理，项目所产生的废气、废水均可达标排放。</w:t>
      </w:r>
    </w:p>
    <w:tbl>
      <w:tblPr>
        <w:tblStyle w:val="19"/>
        <w:tblW w:w="88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443"/>
      </w:tblGrid>
      <w:tr w14:paraId="6FDE1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456" w:type="dxa"/>
            <w:noWrap w:val="0"/>
            <w:vAlign w:val="center"/>
          </w:tcPr>
          <w:p w14:paraId="1B1B6AB5">
            <w:pPr>
              <w:adjustRightInd w:val="0"/>
              <w:snapToGrid w:val="0"/>
              <w:jc w:val="center"/>
              <w:rPr>
                <w:rFonts w:ascii="宋体" w:hAnsi="宋体" w:cs="宋体"/>
                <w:kern w:val="0"/>
                <w:szCs w:val="21"/>
                <w:highlight w:val="none"/>
              </w:rPr>
            </w:pPr>
            <w:r>
              <w:rPr>
                <w:rFonts w:hint="eastAsia" w:ascii="宋体" w:hAnsi="宋体" w:cs="宋体"/>
                <w:kern w:val="0"/>
                <w:sz w:val="24"/>
                <w:highlight w:val="none"/>
              </w:rPr>
              <w:t>生态环境保护目标</w:t>
            </w:r>
          </w:p>
        </w:tc>
        <w:tc>
          <w:tcPr>
            <w:tcW w:w="8443" w:type="dxa"/>
            <w:noWrap w:val="0"/>
            <w:vAlign w:val="center"/>
          </w:tcPr>
          <w:p w14:paraId="6BF15499">
            <w:pPr>
              <w:pStyle w:val="11"/>
              <w:spacing w:before="0" w:after="0" w:line="360" w:lineRule="auto"/>
              <w:ind w:right="0" w:firstLine="480" w:firstLineChars="200"/>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本项目施工期的环境影响要素主要包括大气、地表水、声环境等，运营期环境影响要素主要为环境风险。综合考虑施工期和运营期的环境影响，本项目主要环境保护目标如下：</w:t>
            </w:r>
          </w:p>
          <w:p w14:paraId="758D1FAE">
            <w:pPr>
              <w:pStyle w:val="11"/>
              <w:spacing w:before="0" w:after="0" w:line="360" w:lineRule="auto"/>
              <w:ind w:right="0" w:firstLine="480" w:firstLineChars="200"/>
              <w:rPr>
                <w:rFonts w:ascii="Times New Roman" w:hAnsi="Times New Roman" w:cs="Times New Roman"/>
                <w:kern w:val="2"/>
                <w:sz w:val="24"/>
                <w:szCs w:val="24"/>
                <w:highlight w:val="none"/>
              </w:rPr>
            </w:pPr>
            <w:r>
              <w:rPr>
                <w:rFonts w:hint="default" w:ascii="Times New Roman" w:hAnsi="Times New Roman" w:cs="Times New Roman"/>
                <w:kern w:val="2"/>
                <w:sz w:val="24"/>
                <w:szCs w:val="24"/>
                <w:highlight w:val="none"/>
              </w:rPr>
              <w:t>1</w:t>
            </w:r>
            <w:r>
              <w:rPr>
                <w:rFonts w:hint="eastAsia" w:ascii="Times New Roman" w:hAnsi="Times New Roman" w:cs="Times New Roman"/>
                <w:kern w:val="2"/>
                <w:sz w:val="24"/>
                <w:szCs w:val="24"/>
                <w:highlight w:val="none"/>
                <w:lang w:val="en-US" w:eastAsia="zh-CN"/>
              </w:rPr>
              <w:t>.</w:t>
            </w:r>
            <w:r>
              <w:rPr>
                <w:rFonts w:hint="default" w:ascii="Times New Roman" w:hAnsi="Times New Roman" w:cs="Times New Roman"/>
                <w:kern w:val="2"/>
                <w:sz w:val="24"/>
                <w:szCs w:val="24"/>
                <w:highlight w:val="none"/>
              </w:rPr>
              <w:t>生态环境</w:t>
            </w:r>
          </w:p>
          <w:p w14:paraId="361D081B">
            <w:pPr>
              <w:widowControl/>
              <w:spacing w:line="360" w:lineRule="auto"/>
              <w:ind w:firstLine="480" w:firstLineChars="200"/>
              <w:jc w:val="left"/>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color w:val="000000"/>
                <w:kern w:val="0"/>
                <w:sz w:val="24"/>
                <w:szCs w:val="24"/>
                <w:highlight w:val="none"/>
              </w:rPr>
              <w:t>根据《环境影响评价技术导则 生态影响》（HJ19-2022），评价工作范围应依据评价项目对生态因子的影响方式、影响程度和生态因子之间的相互影响和相互依存关系确定，</w:t>
            </w:r>
            <w:r>
              <w:rPr>
                <w:rFonts w:hint="default" w:ascii="Times New Roman" w:hAnsi="Times New Roman" w:eastAsia="宋体" w:cs="Times New Roman"/>
                <w:color w:val="000000"/>
                <w:kern w:val="0"/>
                <w:sz w:val="24"/>
                <w:szCs w:val="24"/>
                <w:highlight w:val="none"/>
                <w:lang w:val="en-US" w:eastAsia="zh-CN"/>
              </w:rPr>
              <w:t>本项目为线性工程，不穿越导则定义的</w:t>
            </w:r>
            <w:r>
              <w:rPr>
                <w:rFonts w:hint="eastAsia" w:ascii="Times New Roman" w:hAnsi="Times New Roman" w:eastAsia="宋体" w:cs="Times New Roman"/>
                <w:color w:val="000000"/>
                <w:kern w:val="0"/>
                <w:sz w:val="24"/>
                <w:szCs w:val="24"/>
                <w:highlight w:val="none"/>
                <w:lang w:val="en-US" w:eastAsia="zh-CN"/>
              </w:rPr>
              <w:t>生态</w:t>
            </w:r>
            <w:r>
              <w:rPr>
                <w:rFonts w:hint="default" w:ascii="Times New Roman" w:hAnsi="Times New Roman" w:eastAsia="宋体" w:cs="Times New Roman"/>
                <w:color w:val="000000"/>
                <w:kern w:val="0"/>
                <w:sz w:val="24"/>
                <w:szCs w:val="24"/>
                <w:highlight w:val="none"/>
                <w:lang w:val="en-US" w:eastAsia="zh-CN"/>
              </w:rPr>
              <w:t>敏感区，生态</w:t>
            </w:r>
            <w:r>
              <w:rPr>
                <w:rFonts w:hint="eastAsia" w:cs="Times New Roman"/>
                <w:color w:val="000000"/>
                <w:kern w:val="0"/>
                <w:sz w:val="24"/>
                <w:szCs w:val="24"/>
                <w:highlight w:val="none"/>
                <w:lang w:val="en-US" w:eastAsia="zh-CN"/>
              </w:rPr>
              <w:t>分析</w:t>
            </w:r>
            <w:r>
              <w:rPr>
                <w:rFonts w:hint="default" w:ascii="Times New Roman" w:hAnsi="Times New Roman" w:eastAsia="宋体" w:cs="Times New Roman"/>
                <w:color w:val="000000"/>
                <w:kern w:val="0"/>
                <w:sz w:val="24"/>
                <w:szCs w:val="24"/>
                <w:highlight w:val="none"/>
              </w:rPr>
              <w:t>范围取</w:t>
            </w:r>
            <w:r>
              <w:rPr>
                <w:rFonts w:hint="default" w:ascii="Times New Roman" w:hAnsi="Times New Roman" w:eastAsia="宋体" w:cs="Times New Roman"/>
                <w:color w:val="000000"/>
                <w:kern w:val="0"/>
                <w:sz w:val="24"/>
                <w:szCs w:val="24"/>
                <w:highlight w:val="none"/>
                <w:lang w:val="en-US" w:eastAsia="zh-CN"/>
              </w:rPr>
              <w:t>线路中心线向两侧</w:t>
            </w:r>
            <w:r>
              <w:rPr>
                <w:rFonts w:hint="default" w:ascii="Times New Roman" w:hAnsi="Times New Roman" w:eastAsia="宋体" w:cs="Times New Roman"/>
                <w:color w:val="000000"/>
                <w:kern w:val="0"/>
                <w:sz w:val="24"/>
                <w:szCs w:val="24"/>
                <w:highlight w:val="none"/>
              </w:rPr>
              <w:t>用地外延300m范围。</w:t>
            </w:r>
            <w:r>
              <w:rPr>
                <w:rFonts w:hint="eastAsia"/>
                <w:color w:val="000000"/>
                <w:sz w:val="24"/>
                <w:szCs w:val="24"/>
                <w:highlight w:val="none"/>
                <w:lang w:val="en-US" w:eastAsia="zh-CN"/>
              </w:rPr>
              <w:t>范围内无国家公园、</w:t>
            </w:r>
            <w:r>
              <w:rPr>
                <w:color w:val="000000"/>
                <w:spacing w:val="4"/>
                <w:sz w:val="24"/>
                <w:szCs w:val="24"/>
                <w:highlight w:val="none"/>
              </w:rPr>
              <w:t>自然保护</w:t>
            </w:r>
            <w:r>
              <w:rPr>
                <w:rFonts w:hint="eastAsia"/>
                <w:color w:val="000000"/>
                <w:spacing w:val="4"/>
                <w:sz w:val="24"/>
                <w:szCs w:val="24"/>
                <w:highlight w:val="none"/>
                <w:lang w:val="en-US" w:eastAsia="zh-CN"/>
              </w:rPr>
              <w:t>区</w:t>
            </w:r>
            <w:r>
              <w:rPr>
                <w:rFonts w:hint="eastAsia"/>
                <w:color w:val="000000"/>
                <w:spacing w:val="4"/>
                <w:sz w:val="24"/>
                <w:szCs w:val="24"/>
                <w:highlight w:val="none"/>
                <w:lang w:eastAsia="zh-CN"/>
              </w:rPr>
              <w:t>、</w:t>
            </w:r>
            <w:r>
              <w:rPr>
                <w:rFonts w:hint="eastAsia"/>
                <w:color w:val="000000"/>
                <w:sz w:val="24"/>
                <w:szCs w:val="24"/>
                <w:highlight w:val="none"/>
                <w:lang w:val="en-US" w:eastAsia="zh-CN"/>
              </w:rPr>
              <w:t>自然公园等</w:t>
            </w:r>
            <w:r>
              <w:rPr>
                <w:rFonts w:hint="eastAsia"/>
                <w:color w:val="000000"/>
                <w:spacing w:val="4"/>
                <w:sz w:val="24"/>
                <w:szCs w:val="24"/>
                <w:highlight w:val="none"/>
                <w:lang w:val="en-US" w:eastAsia="zh-CN"/>
              </w:rPr>
              <w:t>自然保护地、</w:t>
            </w:r>
            <w:r>
              <w:rPr>
                <w:color w:val="000000"/>
                <w:spacing w:val="4"/>
                <w:sz w:val="24"/>
                <w:szCs w:val="24"/>
                <w:highlight w:val="none"/>
              </w:rPr>
              <w:t>生态保护红线</w:t>
            </w:r>
            <w:r>
              <w:rPr>
                <w:rFonts w:hint="eastAsia"/>
                <w:color w:val="000000"/>
                <w:spacing w:val="4"/>
                <w:sz w:val="24"/>
                <w:szCs w:val="24"/>
                <w:highlight w:val="none"/>
                <w:lang w:val="en-US" w:eastAsia="zh-CN"/>
              </w:rPr>
              <w:t>、重点保护野生动植物及栖息地。</w:t>
            </w:r>
          </w:p>
          <w:p w14:paraId="44A5C0D4">
            <w:pPr>
              <w:pStyle w:val="11"/>
              <w:spacing w:before="0" w:after="0" w:line="360" w:lineRule="auto"/>
              <w:ind w:right="0" w:firstLine="480" w:firstLineChars="200"/>
              <w:rPr>
                <w:rFonts w:ascii="Times New Roman" w:hAnsi="Times New Roman" w:cs="Times New Roman"/>
                <w:sz w:val="24"/>
                <w:szCs w:val="24"/>
                <w:highlight w:val="none"/>
              </w:rPr>
            </w:pPr>
            <w:r>
              <w:rPr>
                <w:rFonts w:hint="default" w:ascii="Times New Roman" w:hAnsi="Times New Roman" w:cs="Times New Roman"/>
                <w:sz w:val="24"/>
                <w:szCs w:val="24"/>
                <w:highlight w:val="none"/>
              </w:rPr>
              <w:t>2</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rPr>
              <w:t>大气环境</w:t>
            </w:r>
          </w:p>
          <w:p w14:paraId="4CA42C68">
            <w:pPr>
              <w:widowControl/>
              <w:spacing w:line="360" w:lineRule="auto"/>
              <w:ind w:firstLine="480" w:firstLineChars="200"/>
              <w:jc w:val="left"/>
              <w:rPr>
                <w:rFonts w:hint="eastAsia"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本项目施工期大气污染物</w:t>
            </w:r>
            <w:r>
              <w:rPr>
                <w:rFonts w:hint="eastAsia" w:ascii="Times New Roman" w:hAnsi="Times New Roman" w:eastAsia="宋体" w:cs="Times New Roman"/>
                <w:sz w:val="24"/>
                <w:highlight w:val="none"/>
                <w:lang w:val="en-US" w:eastAsia="zh-CN"/>
              </w:rPr>
              <w:t>：主要为施工扬尘及施工机械设备尾气、焊接烟气及涂漆废气等</w:t>
            </w:r>
            <w:r>
              <w:rPr>
                <w:rFonts w:hint="default" w:ascii="Times New Roman" w:hAnsi="Times New Roman" w:eastAsia="宋体" w:cs="Times New Roman"/>
                <w:sz w:val="24"/>
                <w:highlight w:val="none"/>
                <w:lang w:val="en-US" w:eastAsia="zh-CN"/>
              </w:rPr>
              <w:t>，但其排放量及排放浓度均具有不稳定性，且影响范围主要在施工场区附近；项目</w:t>
            </w:r>
            <w:r>
              <w:rPr>
                <w:rFonts w:hint="eastAsia" w:cs="Times New Roman"/>
                <w:sz w:val="24"/>
                <w:highlight w:val="none"/>
                <w:lang w:val="en-US" w:eastAsia="zh-CN"/>
              </w:rPr>
              <w:t>采用</w:t>
            </w:r>
            <w:r>
              <w:rPr>
                <w:rFonts w:hint="default" w:ascii="Times New Roman" w:hAnsi="Times New Roman" w:eastAsia="宋体" w:cs="Times New Roman"/>
                <w:sz w:val="24"/>
                <w:highlight w:val="none"/>
                <w:lang w:val="en-US" w:eastAsia="zh-CN"/>
              </w:rPr>
              <w:t>密闭管道输送，对环境影响较小，</w:t>
            </w:r>
            <w:r>
              <w:rPr>
                <w:rFonts w:hint="eastAsia" w:ascii="Times New Roman" w:hAnsi="Times New Roman" w:eastAsia="宋体" w:cs="Times New Roman"/>
                <w:sz w:val="24"/>
                <w:highlight w:val="none"/>
                <w:lang w:val="en-US" w:eastAsia="zh-CN"/>
              </w:rPr>
              <w:t>本项目运营期不产生废气，参照《环境影响评价技术导则 大气环境》（</w:t>
            </w:r>
            <w:r>
              <w:rPr>
                <w:rFonts w:hint="default" w:ascii="Times New Roman" w:hAnsi="Times New Roman" w:eastAsia="宋体" w:cs="Times New Roman"/>
                <w:sz w:val="24"/>
                <w:highlight w:val="none"/>
                <w:lang w:val="en-US" w:eastAsia="zh-CN"/>
              </w:rPr>
              <w:t>HJ2.2-2018</w:t>
            </w:r>
            <w:r>
              <w:rPr>
                <w:rFonts w:hint="eastAsia" w:ascii="Times New Roman" w:hAnsi="Times New Roman" w:eastAsia="宋体" w:cs="Times New Roman"/>
                <w:sz w:val="24"/>
                <w:highlight w:val="none"/>
                <w:lang w:val="en-US" w:eastAsia="zh-CN"/>
              </w:rPr>
              <w:t>），项目不设置大气环境影响评价范围。环境保护要求：确保项目所在区域环境空气质量不降低，满足环境功能区划要求。</w:t>
            </w:r>
          </w:p>
          <w:p w14:paraId="61228B77">
            <w:pPr>
              <w:pStyle w:val="11"/>
              <w:spacing w:before="0" w:after="0" w:line="360" w:lineRule="auto"/>
              <w:ind w:right="0"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声环境</w:t>
            </w:r>
          </w:p>
          <w:p w14:paraId="56FB5536">
            <w:pPr>
              <w:adjustRightInd w:val="0"/>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参照《环境影响评价技术导则 声环境》</w:t>
            </w:r>
            <w:r>
              <w:rPr>
                <w:rFonts w:hint="eastAsia" w:cs="Times New Roman"/>
                <w:sz w:val="24"/>
                <w:highlight w:val="none"/>
                <w:lang w:eastAsia="zh-CN"/>
              </w:rPr>
              <w:t>（</w:t>
            </w:r>
            <w:r>
              <w:rPr>
                <w:rFonts w:hint="default" w:ascii="Times New Roman" w:hAnsi="Times New Roman" w:cs="Times New Roman"/>
                <w:sz w:val="24"/>
                <w:highlight w:val="none"/>
              </w:rPr>
              <w:t>HJ2.4-2021</w:t>
            </w:r>
            <w:r>
              <w:rPr>
                <w:rFonts w:hint="eastAsia" w:cs="Times New Roman"/>
                <w:sz w:val="24"/>
                <w:highlight w:val="none"/>
                <w:lang w:eastAsia="zh-CN"/>
              </w:rPr>
              <w:t>）</w:t>
            </w:r>
            <w:r>
              <w:rPr>
                <w:rFonts w:hint="default" w:ascii="Times New Roman" w:hAnsi="Times New Roman" w:cs="Times New Roman"/>
                <w:sz w:val="24"/>
                <w:highlight w:val="none"/>
              </w:rPr>
              <w:t>，声环境</w:t>
            </w:r>
            <w:r>
              <w:rPr>
                <w:rFonts w:hint="eastAsia" w:ascii="Times New Roman" w:hAnsi="Times New Roman" w:cs="Times New Roman"/>
                <w:sz w:val="24"/>
                <w:highlight w:val="none"/>
                <w:lang w:val="en-US" w:eastAsia="zh-CN"/>
              </w:rPr>
              <w:t>评价</w:t>
            </w:r>
            <w:r>
              <w:rPr>
                <w:rFonts w:hint="default" w:ascii="Times New Roman" w:hAnsi="Times New Roman" w:cs="Times New Roman"/>
                <w:sz w:val="24"/>
                <w:highlight w:val="none"/>
              </w:rPr>
              <w:t>范围确定为管道中心线两侧</w:t>
            </w:r>
            <w:r>
              <w:rPr>
                <w:rFonts w:hint="eastAsia" w:cs="Times New Roman"/>
                <w:sz w:val="24"/>
                <w:highlight w:val="none"/>
                <w:lang w:val="en-US" w:eastAsia="zh-CN"/>
              </w:rPr>
              <w:t>50</w:t>
            </w:r>
            <w:r>
              <w:rPr>
                <w:rFonts w:hint="default" w:ascii="Times New Roman" w:hAnsi="Times New Roman" w:cs="Times New Roman"/>
                <w:sz w:val="24"/>
                <w:highlight w:val="none"/>
              </w:rPr>
              <w:t>m范围。本项目沿线两侧</w:t>
            </w:r>
            <w:r>
              <w:rPr>
                <w:rFonts w:hint="eastAsia" w:cs="Times New Roman"/>
                <w:sz w:val="24"/>
                <w:highlight w:val="none"/>
                <w:lang w:val="en-US" w:eastAsia="zh-CN"/>
              </w:rPr>
              <w:t>50</w:t>
            </w:r>
            <w:r>
              <w:rPr>
                <w:rFonts w:hint="default" w:ascii="Times New Roman" w:hAnsi="Times New Roman" w:cs="Times New Roman"/>
                <w:sz w:val="24"/>
                <w:highlight w:val="none"/>
              </w:rPr>
              <w:t>m范围内无声环境保护目标。施工期和运营期确保项目管道中心线两侧</w:t>
            </w:r>
            <w:r>
              <w:rPr>
                <w:rFonts w:hint="eastAsia" w:cs="Times New Roman"/>
                <w:sz w:val="24"/>
                <w:highlight w:val="none"/>
                <w:lang w:val="en-US" w:eastAsia="zh-CN"/>
              </w:rPr>
              <w:t>50</w:t>
            </w:r>
            <w:r>
              <w:rPr>
                <w:rFonts w:hint="default" w:ascii="Times New Roman" w:hAnsi="Times New Roman" w:cs="Times New Roman"/>
                <w:sz w:val="24"/>
                <w:highlight w:val="none"/>
              </w:rPr>
              <w:t>m范围区域符合相应声环境功能区划要求，确保项目建设不发生噪声扰民现象。</w:t>
            </w:r>
          </w:p>
          <w:p w14:paraId="545BADEF">
            <w:pPr>
              <w:pStyle w:val="11"/>
              <w:spacing w:before="0" w:after="0" w:line="360" w:lineRule="auto"/>
              <w:ind w:right="0"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4.</w:t>
            </w:r>
            <w:r>
              <w:rPr>
                <w:rFonts w:hint="default" w:ascii="Times New Roman" w:hAnsi="Times New Roman" w:cs="Times New Roman"/>
                <w:sz w:val="24"/>
                <w:szCs w:val="24"/>
                <w:highlight w:val="none"/>
              </w:rPr>
              <w:t>地下水环境</w:t>
            </w:r>
          </w:p>
          <w:p w14:paraId="382A94AD">
            <w:pPr>
              <w:pStyle w:val="30"/>
              <w:ind w:firstLine="480"/>
              <w:rPr>
                <w:rFonts w:hint="eastAsia" w:cs="Times New Roman"/>
                <w:kern w:val="2"/>
                <w:highlight w:val="none"/>
                <w:lang w:val="en-US" w:eastAsia="zh-CN"/>
              </w:rPr>
            </w:pPr>
            <w:r>
              <w:rPr>
                <w:rFonts w:hint="default" w:ascii="Times New Roman" w:hAnsi="Times New Roman" w:cs="Times New Roman"/>
                <w:sz w:val="24"/>
                <w:highlight w:val="none"/>
              </w:rPr>
              <w:t>本项目周围</w:t>
            </w:r>
            <w:r>
              <w:rPr>
                <w:rFonts w:hint="eastAsia" w:cs="Times New Roman"/>
                <w:sz w:val="24"/>
                <w:highlight w:val="none"/>
                <w:lang w:val="en-US" w:eastAsia="zh-CN"/>
              </w:rPr>
              <w:t>5</w:t>
            </w:r>
            <w:r>
              <w:rPr>
                <w:rFonts w:ascii="Times New Roman" w:hAnsi="Times New Roman" w:cs="Times New Roman"/>
                <w:sz w:val="24"/>
                <w:highlight w:val="none"/>
              </w:rPr>
              <w:t>00</w:t>
            </w:r>
            <w:r>
              <w:rPr>
                <w:rFonts w:hint="default" w:ascii="Times New Roman" w:hAnsi="Times New Roman" w:cs="Times New Roman"/>
                <w:sz w:val="24"/>
                <w:highlight w:val="none"/>
              </w:rPr>
              <w:t>m内无地下水集中式饮用水水源和热水、矿泉水、温泉等特殊地下水资源。</w:t>
            </w:r>
            <w:r>
              <w:rPr>
                <w:rFonts w:hint="eastAsia" w:cs="Times New Roman"/>
                <w:kern w:val="2"/>
                <w:highlight w:val="none"/>
                <w:lang w:val="en-US" w:eastAsia="zh-CN"/>
              </w:rPr>
              <w:t>根据《环境影响评价技术导则 地下水环境》（HJ610-2016），项目属于“U城镇基础设施及房地产147、管网建设”报告表编制类别，</w:t>
            </w:r>
            <w:r>
              <w:rPr>
                <w:rFonts w:hint="eastAsia"/>
                <w:kern w:val="0"/>
                <w:sz w:val="24"/>
                <w:highlight w:val="none"/>
                <w:lang w:val="en-US" w:eastAsia="zh-CN"/>
              </w:rPr>
              <w:t>本次评价不</w:t>
            </w:r>
            <w:r>
              <w:rPr>
                <w:rFonts w:hint="eastAsia" w:cs="Times New Roman"/>
                <w:kern w:val="2"/>
                <w:highlight w:val="none"/>
                <w:lang w:val="en-US" w:eastAsia="zh-CN"/>
              </w:rPr>
              <w:t>开展地下水评价。</w:t>
            </w:r>
          </w:p>
          <w:p w14:paraId="0CBEB244">
            <w:pPr>
              <w:pStyle w:val="11"/>
              <w:spacing w:before="0" w:after="0" w:line="360" w:lineRule="auto"/>
              <w:ind w:right="0"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rPr>
              <w:t>地表水环境</w:t>
            </w:r>
          </w:p>
          <w:p w14:paraId="4F685631">
            <w:pPr>
              <w:pStyle w:val="11"/>
              <w:spacing w:before="0" w:after="0" w:line="360" w:lineRule="auto"/>
              <w:ind w:right="0" w:firstLine="480" w:firstLineChars="200"/>
              <w:rPr>
                <w:rFonts w:hint="default" w:ascii="Times New Roman" w:hAnsi="Times New Roman" w:eastAsia="宋体" w:cs="Times New Roman"/>
                <w:szCs w:val="24"/>
                <w:highlight w:val="none"/>
                <w:lang w:eastAsia="zh-CN"/>
              </w:rPr>
            </w:pPr>
            <w:r>
              <w:rPr>
                <w:rFonts w:ascii="Times New Roman" w:hAnsi="Times New Roman" w:eastAsia="宋体" w:cs="Times New Roman"/>
                <w:szCs w:val="24"/>
                <w:highlight w:val="none"/>
                <w:lang w:eastAsia="zh-CN"/>
              </w:rPr>
              <w:t>本项目属于生态类项目，施工期项目不新增职工及用水设施，无废水</w:t>
            </w:r>
            <w:r>
              <w:rPr>
                <w:rFonts w:hint="default" w:ascii="Times New Roman" w:hAnsi="Times New Roman" w:cs="Times New Roman"/>
                <w:szCs w:val="24"/>
                <w:highlight w:val="none"/>
                <w:lang w:val="en-US" w:eastAsia="zh-CN"/>
              </w:rPr>
              <w:t>产生</w:t>
            </w:r>
            <w:r>
              <w:rPr>
                <w:rFonts w:ascii="Times New Roman" w:hAnsi="Times New Roman" w:eastAsia="宋体" w:cs="Times New Roman"/>
                <w:szCs w:val="24"/>
                <w:highlight w:val="none"/>
                <w:lang w:eastAsia="zh-CN"/>
              </w:rPr>
              <w:t>，</w:t>
            </w:r>
            <w:r>
              <w:rPr>
                <w:rFonts w:hint="default" w:ascii="Times New Roman" w:hAnsi="Times New Roman" w:eastAsia="宋体" w:cs="Times New Roman"/>
                <w:color w:val="000000"/>
                <w:kern w:val="0"/>
                <w:sz w:val="24"/>
                <w:szCs w:val="24"/>
                <w:highlight w:val="none"/>
              </w:rPr>
              <w:t>根据《环境影响评价技术导则 地表水环境》</w:t>
            </w:r>
            <w:r>
              <w:rPr>
                <w:rFonts w:hint="default" w:ascii="Times New Roman" w:hAnsi="Times New Roman" w:cs="Times New Roman"/>
                <w:szCs w:val="24"/>
                <w:highlight w:val="none"/>
                <w:lang w:eastAsia="zh-CN"/>
              </w:rPr>
              <w:t>（</w:t>
            </w:r>
            <w:r>
              <w:rPr>
                <w:rFonts w:hint="default" w:ascii="Times New Roman" w:hAnsi="Times New Roman" w:eastAsia="宋体" w:cs="Times New Roman"/>
                <w:szCs w:val="24"/>
                <w:highlight w:val="none"/>
                <w:lang w:eastAsia="zh-CN"/>
              </w:rPr>
              <w:t>HJ 2.3—2018代替 HJ/T 2.3—93</w:t>
            </w:r>
            <w:r>
              <w:rPr>
                <w:rFonts w:hint="default" w:ascii="Times New Roman" w:hAnsi="Times New Roman" w:cs="Times New Roman"/>
                <w:szCs w:val="24"/>
                <w:highlight w:val="none"/>
                <w:lang w:eastAsia="zh-CN"/>
              </w:rPr>
              <w:t>）</w:t>
            </w:r>
            <w:r>
              <w:rPr>
                <w:rFonts w:hint="default" w:ascii="Times New Roman" w:hAnsi="Times New Roman" w:eastAsia="宋体" w:cs="Times New Roman"/>
                <w:szCs w:val="24"/>
                <w:highlight w:val="none"/>
                <w:lang w:eastAsia="zh-CN"/>
              </w:rPr>
              <w:t>，</w:t>
            </w:r>
            <w:r>
              <w:rPr>
                <w:rFonts w:ascii="Times New Roman" w:hAnsi="Times New Roman" w:eastAsia="宋体" w:cs="Times New Roman"/>
                <w:szCs w:val="24"/>
                <w:highlight w:val="none"/>
                <w:lang w:eastAsia="zh-CN"/>
              </w:rPr>
              <w:t>不会对地表水体产生影响，</w:t>
            </w:r>
            <w:r>
              <w:rPr>
                <w:rFonts w:hint="default" w:ascii="Times New Roman" w:hAnsi="Times New Roman" w:eastAsia="宋体" w:cs="Times New Roman"/>
                <w:sz w:val="24"/>
                <w:highlight w:val="none"/>
                <w:lang w:val="en-US" w:eastAsia="zh-CN"/>
              </w:rPr>
              <w:t>本次评价不开展地表水评价</w:t>
            </w:r>
            <w:r>
              <w:rPr>
                <w:rFonts w:hint="default" w:ascii="Times New Roman" w:hAnsi="Times New Roman" w:eastAsia="宋体" w:cs="Times New Roman"/>
                <w:szCs w:val="24"/>
                <w:highlight w:val="none"/>
                <w:lang w:eastAsia="zh-CN"/>
              </w:rPr>
              <w:t>。</w:t>
            </w:r>
          </w:p>
          <w:p w14:paraId="234F7583">
            <w:pPr>
              <w:adjustRightInd w:val="0"/>
              <w:snapToGrid w:val="0"/>
              <w:spacing w:line="360" w:lineRule="auto"/>
              <w:ind w:firstLine="480" w:firstLineChars="200"/>
              <w:rPr>
                <w:rFonts w:ascii="Times New Roman" w:hAnsi="Times New Roman" w:cs="Times New Roman"/>
                <w:sz w:val="24"/>
                <w:highlight w:val="none"/>
              </w:rPr>
            </w:pPr>
            <w:r>
              <w:rPr>
                <w:rFonts w:hint="default" w:ascii="Times New Roman" w:hAnsi="Times New Roman" w:cs="Times New Roman"/>
                <w:sz w:val="24"/>
                <w:highlight w:val="none"/>
              </w:rPr>
              <w:t>6</w:t>
            </w:r>
            <w:r>
              <w:rPr>
                <w:rFonts w:hint="eastAsia" w:cs="Times New Roman"/>
                <w:sz w:val="24"/>
                <w:highlight w:val="none"/>
                <w:lang w:val="en-US" w:eastAsia="zh-CN"/>
              </w:rPr>
              <w:t>.</w:t>
            </w:r>
            <w:r>
              <w:rPr>
                <w:rFonts w:hint="default" w:ascii="Times New Roman" w:hAnsi="Times New Roman" w:cs="Times New Roman"/>
                <w:sz w:val="24"/>
                <w:highlight w:val="none"/>
              </w:rPr>
              <w:t>土壤</w:t>
            </w:r>
          </w:p>
          <w:p w14:paraId="2EC98081">
            <w:pPr>
              <w:adjustRightInd w:val="0"/>
              <w:snapToGrid w:val="0"/>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根据《环境影响评价技术导则 土壤环境》</w:t>
            </w:r>
            <w:r>
              <w:rPr>
                <w:rFonts w:hint="eastAsia" w:cs="Times New Roman"/>
                <w:sz w:val="24"/>
                <w:highlight w:val="none"/>
                <w:lang w:val="en-US" w:eastAsia="zh-CN"/>
              </w:rPr>
              <w:t>（</w:t>
            </w:r>
            <w:r>
              <w:rPr>
                <w:rFonts w:hint="default" w:ascii="Times New Roman" w:hAnsi="Times New Roman" w:eastAsia="宋体" w:cs="Times New Roman"/>
                <w:sz w:val="24"/>
                <w:highlight w:val="none"/>
                <w:lang w:val="en-US" w:eastAsia="zh-CN"/>
              </w:rPr>
              <w:t>HJ964-2018</w:t>
            </w:r>
            <w:r>
              <w:rPr>
                <w:rFonts w:hint="eastAsia" w:cs="Times New Roman"/>
                <w:sz w:val="24"/>
                <w:highlight w:val="none"/>
                <w:lang w:val="en-US" w:eastAsia="zh-CN"/>
              </w:rPr>
              <w:t>）</w:t>
            </w:r>
            <w:r>
              <w:rPr>
                <w:rFonts w:hint="default" w:ascii="Times New Roman" w:hAnsi="Times New Roman" w:eastAsia="宋体" w:cs="Times New Roman"/>
                <w:sz w:val="24"/>
                <w:highlight w:val="none"/>
                <w:lang w:val="en-US" w:eastAsia="zh-CN"/>
              </w:rPr>
              <w:t>，化学品输送管线应以工程边界两侧向外延伸0.2km作为调查评价范围，项目位于工业园区内，管道边界两侧向外延伸200m范围内为工业厂房及空地，无土壤环境敏感目标。环境保护要求</w:t>
            </w:r>
            <w:r>
              <w:rPr>
                <w:rFonts w:hint="eastAsia" w:cs="Times New Roman"/>
                <w:sz w:val="24"/>
                <w:highlight w:val="none"/>
                <w:lang w:val="en-US" w:eastAsia="zh-CN"/>
              </w:rPr>
              <w:t>：</w:t>
            </w:r>
            <w:r>
              <w:rPr>
                <w:rFonts w:hint="default" w:ascii="Times New Roman" w:hAnsi="Times New Roman" w:eastAsia="宋体" w:cs="Times New Roman"/>
                <w:sz w:val="24"/>
                <w:highlight w:val="none"/>
                <w:lang w:val="en-US" w:eastAsia="zh-CN"/>
              </w:rPr>
              <w:t>确保项目所在管道边界两侧向外延伸200m范围内土壤满足环境功能区划要求。</w:t>
            </w:r>
          </w:p>
          <w:p w14:paraId="4BA2D60C">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本项目环境保护目标见表3-</w:t>
            </w:r>
            <w:r>
              <w:rPr>
                <w:rFonts w:hint="eastAsia" w:cs="Times New Roman"/>
                <w:sz w:val="24"/>
                <w:highlight w:val="none"/>
                <w:lang w:val="en-US" w:eastAsia="zh-CN"/>
              </w:rPr>
              <w:t>10</w:t>
            </w:r>
            <w:r>
              <w:rPr>
                <w:rFonts w:hint="default" w:ascii="Times New Roman" w:hAnsi="Times New Roman" w:eastAsia="宋体" w:cs="Times New Roman"/>
                <w:sz w:val="24"/>
                <w:highlight w:val="none"/>
              </w:rPr>
              <w:t>。</w:t>
            </w:r>
          </w:p>
          <w:p w14:paraId="74C15206">
            <w:pPr>
              <w:widowControl/>
              <w:adjustRightInd w:val="0"/>
              <w:snapToGrid w:val="0"/>
              <w:spacing w:line="360" w:lineRule="auto"/>
              <w:jc w:val="center"/>
              <w:outlineLvl w:val="9"/>
              <w:rPr>
                <w:rFonts w:hint="eastAsia" w:ascii="Times New Roman" w:hAnsi="Times New Roman" w:eastAsia="宋体" w:cs="Times New Roman"/>
                <w:b/>
                <w:bCs/>
                <w:sz w:val="21"/>
                <w:szCs w:val="21"/>
                <w:highlight w:val="none"/>
              </w:rPr>
            </w:pPr>
            <w:r>
              <w:rPr>
                <w:rFonts w:hint="eastAsia" w:ascii="Times New Roman" w:hAnsi="Times New Roman" w:eastAsia="宋体" w:cs="Times New Roman"/>
                <w:b/>
                <w:bCs/>
                <w:sz w:val="21"/>
                <w:szCs w:val="21"/>
                <w:highlight w:val="none"/>
              </w:rPr>
              <w:t>表3-</w:t>
            </w:r>
            <w:r>
              <w:rPr>
                <w:rFonts w:hint="eastAsia" w:cs="Times New Roman"/>
                <w:b/>
                <w:bCs/>
                <w:sz w:val="21"/>
                <w:szCs w:val="21"/>
                <w:highlight w:val="none"/>
                <w:lang w:val="en-US" w:eastAsia="zh-CN"/>
              </w:rPr>
              <w:t>10</w:t>
            </w:r>
            <w:r>
              <w:rPr>
                <w:rFonts w:hint="eastAsia" w:ascii="Times New Roman" w:hAnsi="Times New Roman" w:eastAsia="宋体" w:cs="Times New Roman"/>
                <w:b/>
                <w:bCs/>
                <w:sz w:val="21"/>
                <w:szCs w:val="21"/>
                <w:highlight w:val="none"/>
              </w:rPr>
              <w:t xml:space="preserve">   环境保护目标</w:t>
            </w:r>
          </w:p>
          <w:tbl>
            <w:tblPr>
              <w:tblStyle w:val="19"/>
              <w:tblW w:w="46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7"/>
              <w:gridCol w:w="3588"/>
              <w:gridCol w:w="2977"/>
            </w:tblGrid>
            <w:tr w14:paraId="2F1E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blHeader/>
                <w:jc w:val="center"/>
              </w:trPr>
              <w:tc>
                <w:tcPr>
                  <w:tcW w:w="693" w:type="pct"/>
                  <w:noWrap w:val="0"/>
                  <w:tcMar>
                    <w:top w:w="28" w:type="dxa"/>
                    <w:left w:w="28" w:type="dxa"/>
                    <w:bottom w:w="28" w:type="dxa"/>
                    <w:right w:w="28" w:type="dxa"/>
                  </w:tcMar>
                  <w:vAlign w:val="center"/>
                </w:tcPr>
                <w:p w14:paraId="60E9F176">
                  <w:pPr>
                    <w:adjustRightInd w:val="0"/>
                    <w:snapToGrid w:val="0"/>
                    <w:jc w:val="center"/>
                    <w:rPr>
                      <w:rFonts w:ascii="Times New Roman" w:hAnsi="Times New Roman" w:cs="Times New Roman"/>
                      <w:b w:val="0"/>
                      <w:bCs w:val="0"/>
                      <w:highlight w:val="none"/>
                    </w:rPr>
                  </w:pPr>
                  <w:r>
                    <w:rPr>
                      <w:rFonts w:ascii="Times New Roman" w:hAnsi="Times New Roman" w:cs="Times New Roman"/>
                      <w:b w:val="0"/>
                      <w:bCs w:val="0"/>
                      <w:highlight w:val="none"/>
                    </w:rPr>
                    <w:t>环境要素</w:t>
                  </w:r>
                </w:p>
              </w:tc>
              <w:tc>
                <w:tcPr>
                  <w:tcW w:w="2353" w:type="pct"/>
                  <w:noWrap w:val="0"/>
                  <w:tcMar>
                    <w:top w:w="28" w:type="dxa"/>
                    <w:left w:w="28" w:type="dxa"/>
                    <w:bottom w:w="28" w:type="dxa"/>
                    <w:right w:w="28" w:type="dxa"/>
                  </w:tcMar>
                  <w:vAlign w:val="center"/>
                </w:tcPr>
                <w:p w14:paraId="28E5D206">
                  <w:pPr>
                    <w:adjustRightInd w:val="0"/>
                    <w:snapToGrid w:val="0"/>
                    <w:jc w:val="center"/>
                    <w:rPr>
                      <w:rFonts w:ascii="Times New Roman" w:hAnsi="Times New Roman" w:cs="Times New Roman"/>
                      <w:b w:val="0"/>
                      <w:bCs w:val="0"/>
                      <w:highlight w:val="none"/>
                    </w:rPr>
                  </w:pPr>
                  <w:r>
                    <w:rPr>
                      <w:rFonts w:ascii="Times New Roman" w:hAnsi="Times New Roman" w:cs="Times New Roman"/>
                      <w:b w:val="0"/>
                      <w:bCs w:val="0"/>
                      <w:highlight w:val="none"/>
                    </w:rPr>
                    <w:t>保护目标</w:t>
                  </w:r>
                </w:p>
              </w:tc>
              <w:tc>
                <w:tcPr>
                  <w:tcW w:w="1952" w:type="pct"/>
                  <w:noWrap w:val="0"/>
                  <w:tcMar>
                    <w:top w:w="28" w:type="dxa"/>
                    <w:left w:w="28" w:type="dxa"/>
                    <w:bottom w:w="28" w:type="dxa"/>
                    <w:right w:w="28" w:type="dxa"/>
                  </w:tcMar>
                  <w:vAlign w:val="center"/>
                </w:tcPr>
                <w:p w14:paraId="722E4164">
                  <w:pPr>
                    <w:adjustRightInd w:val="0"/>
                    <w:snapToGrid w:val="0"/>
                    <w:jc w:val="center"/>
                    <w:rPr>
                      <w:rFonts w:ascii="Times New Roman" w:hAnsi="Times New Roman" w:cs="Times New Roman"/>
                      <w:b w:val="0"/>
                      <w:bCs w:val="0"/>
                      <w:highlight w:val="none"/>
                    </w:rPr>
                  </w:pPr>
                  <w:r>
                    <w:rPr>
                      <w:rFonts w:ascii="Times New Roman" w:hAnsi="Times New Roman" w:cs="Times New Roman"/>
                      <w:b w:val="0"/>
                      <w:bCs w:val="0"/>
                      <w:highlight w:val="none"/>
                    </w:rPr>
                    <w:t>保护要求</w:t>
                  </w:r>
                </w:p>
              </w:tc>
            </w:tr>
            <w:tr w14:paraId="1B57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693" w:type="pct"/>
                  <w:noWrap w:val="0"/>
                  <w:tcMar>
                    <w:top w:w="28" w:type="dxa"/>
                    <w:left w:w="28" w:type="dxa"/>
                    <w:bottom w:w="28" w:type="dxa"/>
                    <w:right w:w="28" w:type="dxa"/>
                  </w:tcMar>
                  <w:vAlign w:val="center"/>
                </w:tcPr>
                <w:p w14:paraId="2B8923DE">
                  <w:pPr>
                    <w:adjustRightInd w:val="0"/>
                    <w:snapToGrid w:val="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大气环境</w:t>
                  </w:r>
                </w:p>
              </w:tc>
              <w:tc>
                <w:tcPr>
                  <w:tcW w:w="2353" w:type="pct"/>
                  <w:noWrap w:val="0"/>
                  <w:tcMar>
                    <w:top w:w="28" w:type="dxa"/>
                    <w:left w:w="28" w:type="dxa"/>
                    <w:bottom w:w="28" w:type="dxa"/>
                    <w:right w:w="28" w:type="dxa"/>
                  </w:tcMar>
                  <w:vAlign w:val="center"/>
                </w:tcPr>
                <w:p w14:paraId="67CB1F89">
                  <w:pPr>
                    <w:adjustRightInd w:val="0"/>
                    <w:snapToGrid w:val="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保护目标为项目区域环境空气质量。</w:t>
                  </w:r>
                </w:p>
              </w:tc>
              <w:tc>
                <w:tcPr>
                  <w:tcW w:w="1952" w:type="pct"/>
                  <w:noWrap w:val="0"/>
                  <w:tcMar>
                    <w:top w:w="28" w:type="dxa"/>
                    <w:left w:w="28" w:type="dxa"/>
                    <w:bottom w:w="28" w:type="dxa"/>
                    <w:right w:w="28" w:type="dxa"/>
                  </w:tcMar>
                  <w:vAlign w:val="center"/>
                </w:tcPr>
                <w:p w14:paraId="03E3A248">
                  <w:pPr>
                    <w:adjustRightInd w:val="0"/>
                    <w:snapToGrid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b w:val="0"/>
                      <w:bCs/>
                      <w:sz w:val="21"/>
                      <w:highlight w:val="none"/>
                      <w:lang w:val="en-US" w:eastAsia="zh-CN"/>
                    </w:rPr>
                    <w:t>《环境空气质量标准》</w:t>
                  </w:r>
                  <w:r>
                    <w:rPr>
                      <w:rFonts w:hint="eastAsia" w:cs="Times New Roman"/>
                      <w:b w:val="0"/>
                      <w:bCs/>
                      <w:sz w:val="21"/>
                      <w:highlight w:val="none"/>
                      <w:lang w:val="en-US" w:eastAsia="zh-CN"/>
                    </w:rPr>
                    <w:t>（</w:t>
                  </w:r>
                  <w:r>
                    <w:rPr>
                      <w:rFonts w:hint="eastAsia" w:ascii="Times New Roman" w:hAnsi="Times New Roman" w:eastAsia="宋体" w:cs="Times New Roman"/>
                      <w:b w:val="0"/>
                      <w:bCs/>
                      <w:sz w:val="21"/>
                      <w:highlight w:val="none"/>
                      <w:lang w:val="en-US" w:eastAsia="zh-CN"/>
                    </w:rPr>
                    <w:t>GB3095-2012</w:t>
                  </w:r>
                  <w:r>
                    <w:rPr>
                      <w:rFonts w:hint="eastAsia" w:cs="Times New Roman"/>
                      <w:b w:val="0"/>
                      <w:bCs/>
                      <w:sz w:val="21"/>
                      <w:highlight w:val="none"/>
                      <w:lang w:val="en-US" w:eastAsia="zh-CN"/>
                    </w:rPr>
                    <w:t>）</w:t>
                  </w:r>
                  <w:r>
                    <w:rPr>
                      <w:rFonts w:hint="eastAsia" w:ascii="Times New Roman" w:hAnsi="Times New Roman" w:eastAsia="宋体" w:cs="Times New Roman"/>
                      <w:b w:val="0"/>
                      <w:bCs/>
                      <w:sz w:val="21"/>
                      <w:highlight w:val="none"/>
                      <w:lang w:val="en-US" w:eastAsia="zh-CN"/>
                    </w:rPr>
                    <w:t>二级标准及其修改单</w:t>
                  </w:r>
                  <w:r>
                    <w:rPr>
                      <w:rFonts w:hint="eastAsia" w:cs="Times New Roman"/>
                      <w:b w:val="0"/>
                      <w:bCs/>
                      <w:sz w:val="21"/>
                      <w:highlight w:val="none"/>
                      <w:lang w:val="en-US" w:eastAsia="zh-CN"/>
                    </w:rPr>
                    <w:t>。</w:t>
                  </w:r>
                </w:p>
              </w:tc>
            </w:tr>
            <w:tr w14:paraId="27C9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693" w:type="pct"/>
                  <w:shd w:val="clear" w:color="auto" w:fill="auto"/>
                  <w:noWrap w:val="0"/>
                  <w:tcMar>
                    <w:top w:w="28" w:type="dxa"/>
                    <w:left w:w="28" w:type="dxa"/>
                    <w:bottom w:w="28" w:type="dxa"/>
                    <w:right w:w="28" w:type="dxa"/>
                  </w:tcMar>
                  <w:vAlign w:val="center"/>
                </w:tcPr>
                <w:p w14:paraId="6BCF47E5">
                  <w:pPr>
                    <w:adjustRightInd w:val="0"/>
                    <w:snapToGrid w:val="0"/>
                    <w:jc w:val="center"/>
                    <w:rPr>
                      <w:rFonts w:ascii="Times New Roman" w:hAnsi="Times New Roman" w:eastAsia="宋体" w:cs="Times New Roman"/>
                      <w:kern w:val="2"/>
                      <w:sz w:val="21"/>
                      <w:szCs w:val="24"/>
                      <w:highlight w:val="none"/>
                      <w:lang w:val="en-US" w:eastAsia="zh-CN" w:bidi="ar-SA"/>
                    </w:rPr>
                  </w:pPr>
                  <w:r>
                    <w:rPr>
                      <w:rFonts w:ascii="Times New Roman" w:hAnsi="Times New Roman" w:cs="Times New Roman"/>
                      <w:highlight w:val="none"/>
                    </w:rPr>
                    <w:t>声环境</w:t>
                  </w:r>
                </w:p>
              </w:tc>
              <w:tc>
                <w:tcPr>
                  <w:tcW w:w="2353" w:type="pct"/>
                  <w:shd w:val="clear" w:color="auto" w:fill="auto"/>
                  <w:noWrap w:val="0"/>
                  <w:tcMar>
                    <w:top w:w="28" w:type="dxa"/>
                    <w:left w:w="28" w:type="dxa"/>
                    <w:bottom w:w="28" w:type="dxa"/>
                    <w:right w:w="28" w:type="dxa"/>
                  </w:tcMar>
                  <w:vAlign w:val="center"/>
                </w:tcPr>
                <w:p w14:paraId="016D9CF5">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ascii="Times New Roman" w:hAnsi="Times New Roman" w:cs="Times New Roman"/>
                      <w:highlight w:val="none"/>
                    </w:rPr>
                    <w:t>项目厂界外</w:t>
                  </w:r>
                  <w:r>
                    <w:rPr>
                      <w:rFonts w:hint="eastAsia" w:cs="Times New Roman"/>
                      <w:highlight w:val="none"/>
                      <w:lang w:val="en-US" w:eastAsia="zh-CN"/>
                    </w:rPr>
                    <w:t>50</w:t>
                  </w:r>
                  <w:r>
                    <w:rPr>
                      <w:rFonts w:ascii="Times New Roman" w:hAnsi="Times New Roman" w:cs="Times New Roman"/>
                      <w:highlight w:val="none"/>
                    </w:rPr>
                    <w:t>m范围内无声环境保护目标</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保护目标为评价范围内声环境</w:t>
                  </w:r>
                  <w:r>
                    <w:rPr>
                      <w:rFonts w:hint="eastAsia" w:cs="Times New Roman"/>
                      <w:highlight w:val="none"/>
                      <w:lang w:val="en-US" w:eastAsia="zh-CN"/>
                    </w:rPr>
                    <w:t>。</w:t>
                  </w:r>
                </w:p>
              </w:tc>
              <w:tc>
                <w:tcPr>
                  <w:tcW w:w="1952" w:type="pct"/>
                  <w:shd w:val="clear" w:color="auto" w:fill="auto"/>
                  <w:noWrap w:val="0"/>
                  <w:tcMar>
                    <w:top w:w="28" w:type="dxa"/>
                    <w:left w:w="28" w:type="dxa"/>
                    <w:bottom w:w="28" w:type="dxa"/>
                    <w:right w:w="28" w:type="dxa"/>
                  </w:tcMar>
                  <w:vAlign w:val="center"/>
                </w:tcPr>
                <w:p w14:paraId="112372C4">
                  <w:pPr>
                    <w:adjustRightInd w:val="0"/>
                    <w:snapToGrid w:val="0"/>
                    <w:jc w:val="center"/>
                    <w:rPr>
                      <w:rFonts w:hint="eastAsia" w:ascii="Times New Roman" w:hAnsi="Times New Roman" w:eastAsia="宋体" w:cs="Times New Roman"/>
                      <w:kern w:val="2"/>
                      <w:sz w:val="21"/>
                      <w:szCs w:val="24"/>
                      <w:highlight w:val="none"/>
                      <w:lang w:val="en-US" w:eastAsia="zh-CN" w:bidi="ar-SA"/>
                    </w:rPr>
                  </w:pPr>
                  <w:r>
                    <w:rPr>
                      <w:rFonts w:ascii="Times New Roman" w:hAnsi="Times New Roman" w:cs="Times New Roman"/>
                      <w:highlight w:val="none"/>
                    </w:rPr>
                    <w:t>《声环境质量标准》（GB3096-2008）3类标准</w:t>
                  </w:r>
                  <w:r>
                    <w:rPr>
                      <w:rFonts w:hint="eastAsia" w:cs="Times New Roman"/>
                      <w:highlight w:val="none"/>
                      <w:lang w:eastAsia="zh-CN"/>
                    </w:rPr>
                    <w:t>。</w:t>
                  </w:r>
                </w:p>
              </w:tc>
            </w:tr>
            <w:tr w14:paraId="209F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693" w:type="pct"/>
                  <w:noWrap w:val="0"/>
                  <w:tcMar>
                    <w:top w:w="28" w:type="dxa"/>
                    <w:left w:w="28" w:type="dxa"/>
                    <w:bottom w:w="28" w:type="dxa"/>
                    <w:right w:w="28" w:type="dxa"/>
                  </w:tcMar>
                  <w:vAlign w:val="center"/>
                </w:tcPr>
                <w:p w14:paraId="48147DD1">
                  <w:pPr>
                    <w:adjustRightInd w:val="0"/>
                    <w:snapToGrid w:val="0"/>
                    <w:jc w:val="center"/>
                    <w:rPr>
                      <w:rFonts w:ascii="Times New Roman" w:hAnsi="Times New Roman" w:cs="Times New Roman"/>
                      <w:highlight w:val="none"/>
                    </w:rPr>
                  </w:pPr>
                  <w:r>
                    <w:rPr>
                      <w:rFonts w:hint="eastAsia" w:cs="Times New Roman"/>
                      <w:highlight w:val="none"/>
                      <w:lang w:val="en-US" w:eastAsia="zh-CN"/>
                    </w:rPr>
                    <w:t>生态</w:t>
                  </w:r>
                  <w:r>
                    <w:rPr>
                      <w:rFonts w:ascii="Times New Roman" w:hAnsi="Times New Roman" w:cs="Times New Roman"/>
                      <w:highlight w:val="none"/>
                    </w:rPr>
                    <w:t>环境</w:t>
                  </w:r>
                </w:p>
              </w:tc>
              <w:tc>
                <w:tcPr>
                  <w:tcW w:w="2353" w:type="pct"/>
                  <w:noWrap w:val="0"/>
                  <w:tcMar>
                    <w:top w:w="28" w:type="dxa"/>
                    <w:left w:w="28" w:type="dxa"/>
                    <w:bottom w:w="28" w:type="dxa"/>
                    <w:right w:w="28" w:type="dxa"/>
                  </w:tcMar>
                  <w:vAlign w:val="center"/>
                </w:tcPr>
                <w:p w14:paraId="733DFE03">
                  <w:pPr>
                    <w:adjustRightInd w:val="0"/>
                    <w:snapToGrid w:val="0"/>
                    <w:jc w:val="center"/>
                    <w:rPr>
                      <w:rFonts w:hint="default" w:ascii="Times New Roman" w:hAnsi="Times New Roman" w:cs="Times New Roman"/>
                      <w:highlight w:val="none"/>
                      <w:lang w:val="en-US"/>
                    </w:rPr>
                  </w:pPr>
                  <w:r>
                    <w:rPr>
                      <w:rFonts w:hint="default" w:ascii="Times New Roman" w:hAnsi="Times New Roman" w:cs="Times New Roman"/>
                      <w:highlight w:val="none"/>
                      <w:lang w:val="en-US" w:eastAsia="zh-CN"/>
                    </w:rPr>
                    <w:t>线路中心线向两侧</w:t>
                  </w:r>
                  <w:r>
                    <w:rPr>
                      <w:rFonts w:hint="default" w:ascii="Times New Roman" w:hAnsi="Times New Roman" w:cs="Times New Roman"/>
                      <w:highlight w:val="none"/>
                    </w:rPr>
                    <w:t>用地外延300m范围</w:t>
                  </w:r>
                  <w:r>
                    <w:rPr>
                      <w:rFonts w:hint="eastAsia" w:cs="Times New Roman"/>
                      <w:highlight w:val="none"/>
                      <w:lang w:val="en-US" w:eastAsia="zh-CN"/>
                    </w:rPr>
                    <w:t>内的天然牧草地。</w:t>
                  </w:r>
                </w:p>
              </w:tc>
              <w:tc>
                <w:tcPr>
                  <w:tcW w:w="1952" w:type="pct"/>
                  <w:noWrap w:val="0"/>
                  <w:tcMar>
                    <w:top w:w="28" w:type="dxa"/>
                    <w:left w:w="28" w:type="dxa"/>
                    <w:bottom w:w="28" w:type="dxa"/>
                    <w:right w:w="28" w:type="dxa"/>
                  </w:tcMar>
                  <w:vAlign w:val="center"/>
                </w:tcPr>
                <w:p w14:paraId="0B62458A">
                  <w:pPr>
                    <w:adjustRightInd w:val="0"/>
                    <w:snapToGrid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b w:val="0"/>
                      <w:bCs/>
                      <w:sz w:val="21"/>
                      <w:highlight w:val="none"/>
                      <w:lang w:val="en-US" w:eastAsia="zh-CN"/>
                    </w:rPr>
                    <w:t>植被多样性不被破坏</w:t>
                  </w:r>
                  <w:r>
                    <w:rPr>
                      <w:rFonts w:hint="eastAsia" w:ascii="Times New Roman" w:hAnsi="Times New Roman" w:eastAsia="宋体" w:cs="Times New Roman"/>
                      <w:b w:val="0"/>
                      <w:bCs/>
                      <w:sz w:val="21"/>
                      <w:highlight w:val="none"/>
                      <w:lang w:val="en-US" w:eastAsia="zh-CN"/>
                    </w:rPr>
                    <w:t>。生态功能不降低、性质不改变。</w:t>
                  </w:r>
                </w:p>
              </w:tc>
            </w:tr>
            <w:tr w14:paraId="2934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93" w:type="pct"/>
                  <w:noWrap w:val="0"/>
                  <w:tcMar>
                    <w:top w:w="28" w:type="dxa"/>
                    <w:left w:w="28" w:type="dxa"/>
                    <w:bottom w:w="28" w:type="dxa"/>
                    <w:right w:w="28" w:type="dxa"/>
                  </w:tcMar>
                  <w:vAlign w:val="center"/>
                </w:tcPr>
                <w:p w14:paraId="5F3DD709">
                  <w:pPr>
                    <w:adjustRightInd w:val="0"/>
                    <w:snapToGrid w:val="0"/>
                    <w:jc w:val="center"/>
                    <w:rPr>
                      <w:rFonts w:hint="default" w:cs="Times New Roman"/>
                      <w:highlight w:val="none"/>
                      <w:lang w:val="en-US" w:eastAsia="zh-CN"/>
                    </w:rPr>
                  </w:pPr>
                  <w:r>
                    <w:rPr>
                      <w:rFonts w:hint="eastAsia" w:cs="Times New Roman"/>
                      <w:highlight w:val="none"/>
                      <w:lang w:val="en-US" w:eastAsia="zh-CN"/>
                    </w:rPr>
                    <w:t>土壤环境</w:t>
                  </w:r>
                </w:p>
              </w:tc>
              <w:tc>
                <w:tcPr>
                  <w:tcW w:w="2353" w:type="pct"/>
                  <w:noWrap w:val="0"/>
                  <w:tcMar>
                    <w:top w:w="28" w:type="dxa"/>
                    <w:left w:w="28" w:type="dxa"/>
                    <w:bottom w:w="28" w:type="dxa"/>
                    <w:right w:w="28" w:type="dxa"/>
                  </w:tcMar>
                  <w:vAlign w:val="center"/>
                </w:tcPr>
                <w:p w14:paraId="1EDA7E3F">
                  <w:pPr>
                    <w:adjustRightInd w:val="0"/>
                    <w:snapToGrid w:val="0"/>
                    <w:jc w:val="center"/>
                    <w:rPr>
                      <w:rFonts w:hint="eastAsia" w:ascii="Times New Roman" w:hAnsi="Times New Roman" w:eastAsia="宋体" w:cs="Times New Roman"/>
                      <w:highlight w:val="none"/>
                      <w:lang w:val="en-US" w:eastAsia="zh-CN"/>
                    </w:rPr>
                  </w:pPr>
                  <w:r>
                    <w:rPr>
                      <w:rFonts w:hint="eastAsia" w:cs="Times New Roman"/>
                      <w:highlight w:val="none"/>
                      <w:lang w:val="en-US" w:eastAsia="zh-CN"/>
                    </w:rPr>
                    <w:t>项目区</w:t>
                  </w:r>
                  <w:r>
                    <w:rPr>
                      <w:rFonts w:ascii="Times New Roman" w:hAnsi="Times New Roman" w:cs="Times New Roman"/>
                      <w:highlight w:val="none"/>
                    </w:rPr>
                    <w:t>外</w:t>
                  </w:r>
                  <w:r>
                    <w:rPr>
                      <w:rFonts w:hint="eastAsia" w:cs="Times New Roman"/>
                      <w:highlight w:val="none"/>
                      <w:lang w:val="en-US" w:eastAsia="zh-CN"/>
                    </w:rPr>
                    <w:t>200</w:t>
                  </w:r>
                  <w:r>
                    <w:rPr>
                      <w:rFonts w:ascii="Times New Roman" w:hAnsi="Times New Roman" w:cs="Times New Roman"/>
                      <w:highlight w:val="none"/>
                    </w:rPr>
                    <w:t>m范围内</w:t>
                  </w:r>
                  <w:r>
                    <w:rPr>
                      <w:rFonts w:hint="eastAsia" w:cs="Times New Roman"/>
                      <w:highlight w:val="none"/>
                      <w:lang w:val="en-US" w:eastAsia="zh-CN"/>
                    </w:rPr>
                    <w:t>天然牧草地。</w:t>
                  </w:r>
                </w:p>
              </w:tc>
              <w:tc>
                <w:tcPr>
                  <w:tcW w:w="1952" w:type="pct"/>
                  <w:noWrap w:val="0"/>
                  <w:tcMar>
                    <w:top w:w="28" w:type="dxa"/>
                    <w:left w:w="28" w:type="dxa"/>
                    <w:bottom w:w="28" w:type="dxa"/>
                    <w:right w:w="28" w:type="dxa"/>
                  </w:tcMar>
                  <w:vAlign w:val="center"/>
                </w:tcPr>
                <w:p w14:paraId="06CDD201">
                  <w:pPr>
                    <w:adjustRightInd w:val="0"/>
                    <w:snapToGrid w:val="0"/>
                    <w:jc w:val="center"/>
                    <w:rPr>
                      <w:rFonts w:hint="eastAsia" w:eastAsia="宋体"/>
                      <w:highlight w:val="none"/>
                      <w:lang w:eastAsia="zh-CN"/>
                    </w:rPr>
                  </w:pPr>
                  <w:r>
                    <w:rPr>
                      <w:rFonts w:ascii="Times New Roman" w:hAnsi="Times New Roman" w:cs="Times New Roman"/>
                      <w:highlight w:val="none"/>
                    </w:rPr>
                    <w:t>《土壤环境质量</w:t>
                  </w:r>
                  <w:r>
                    <w:rPr>
                      <w:rFonts w:hint="eastAsia" w:cs="Times New Roman"/>
                      <w:highlight w:val="none"/>
                      <w:lang w:val="en-US" w:eastAsia="zh-CN"/>
                    </w:rPr>
                    <w:t xml:space="preserve"> </w:t>
                  </w:r>
                  <w:r>
                    <w:rPr>
                      <w:rFonts w:ascii="Times New Roman" w:hAnsi="Times New Roman" w:cs="Times New Roman"/>
                      <w:highlight w:val="none"/>
                    </w:rPr>
                    <w:t>建设用地土壤污染风险管控标准（试行）》（GB36600-2018）第二类用地土壤污染风险筛选值</w:t>
                  </w:r>
                  <w:r>
                    <w:rPr>
                      <w:rFonts w:hint="eastAsia" w:cs="Times New Roman"/>
                      <w:highlight w:val="none"/>
                      <w:lang w:eastAsia="zh-CN"/>
                    </w:rPr>
                    <w:t>。</w:t>
                  </w:r>
                </w:p>
              </w:tc>
            </w:tr>
          </w:tbl>
          <w:p w14:paraId="780290D2">
            <w:pPr>
              <w:adjustRightInd w:val="0"/>
              <w:snapToGrid w:val="0"/>
              <w:jc w:val="center"/>
              <w:rPr>
                <w:rFonts w:ascii="Times New Roman" w:hAnsi="Times New Roman" w:cs="Times New Roman"/>
                <w:color w:val="0000FF"/>
                <w:kern w:val="0"/>
                <w:szCs w:val="21"/>
                <w:highlight w:val="none"/>
              </w:rPr>
            </w:pPr>
          </w:p>
        </w:tc>
      </w:tr>
      <w:tr w14:paraId="4629D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456" w:type="dxa"/>
            <w:noWrap w:val="0"/>
            <w:vAlign w:val="center"/>
          </w:tcPr>
          <w:p w14:paraId="6D5541EA">
            <w:pPr>
              <w:adjustRightInd w:val="0"/>
              <w:snapToGrid w:val="0"/>
              <w:jc w:val="center"/>
              <w:rPr>
                <w:rFonts w:hint="eastAsia" w:ascii="宋体" w:hAnsi="宋体" w:cs="宋体"/>
                <w:kern w:val="0"/>
                <w:sz w:val="24"/>
                <w:highlight w:val="none"/>
              </w:rPr>
            </w:pPr>
            <w:r>
              <w:rPr>
                <w:rFonts w:hint="eastAsia" w:ascii="宋体" w:hAnsi="宋体" w:cs="宋体"/>
                <w:kern w:val="0"/>
                <w:sz w:val="24"/>
                <w:highlight w:val="none"/>
              </w:rPr>
              <w:t>评价</w:t>
            </w:r>
          </w:p>
          <w:p w14:paraId="43C447C0">
            <w:pPr>
              <w:adjustRightInd w:val="0"/>
              <w:snapToGrid w:val="0"/>
              <w:jc w:val="center"/>
              <w:rPr>
                <w:rFonts w:ascii="宋体" w:hAnsi="宋体" w:cs="宋体"/>
                <w:kern w:val="0"/>
                <w:szCs w:val="21"/>
                <w:highlight w:val="none"/>
              </w:rPr>
            </w:pPr>
            <w:r>
              <w:rPr>
                <w:rFonts w:hint="eastAsia" w:ascii="宋体" w:hAnsi="宋体" w:cs="宋体"/>
                <w:kern w:val="0"/>
                <w:sz w:val="24"/>
                <w:highlight w:val="none"/>
              </w:rPr>
              <w:t>标准</w:t>
            </w:r>
          </w:p>
        </w:tc>
        <w:tc>
          <w:tcPr>
            <w:tcW w:w="8443" w:type="dxa"/>
            <w:noWrap w:val="0"/>
            <w:vAlign w:val="center"/>
          </w:tcPr>
          <w:p w14:paraId="14F6A214">
            <w:pPr>
              <w:spacing w:line="360" w:lineRule="auto"/>
              <w:ind w:firstLine="482" w:firstLineChars="200"/>
              <w:rPr>
                <w:rFonts w:ascii="Times New Roman" w:hAnsi="Times New Roman" w:cs="Times New Roman"/>
                <w:b/>
                <w:kern w:val="2"/>
                <w:sz w:val="24"/>
                <w:highlight w:val="none"/>
              </w:rPr>
            </w:pPr>
            <w:r>
              <w:rPr>
                <w:rFonts w:hint="default" w:ascii="Times New Roman" w:hAnsi="Times New Roman" w:cs="Times New Roman"/>
                <w:b/>
                <w:kern w:val="2"/>
                <w:sz w:val="24"/>
                <w:highlight w:val="none"/>
              </w:rPr>
              <w:t>1</w:t>
            </w:r>
            <w:r>
              <w:rPr>
                <w:rFonts w:hint="eastAsia" w:cs="Times New Roman"/>
                <w:b/>
                <w:kern w:val="2"/>
                <w:sz w:val="24"/>
                <w:highlight w:val="none"/>
                <w:lang w:val="en-US" w:eastAsia="zh-CN"/>
              </w:rPr>
              <w:t>.</w:t>
            </w:r>
            <w:r>
              <w:rPr>
                <w:rFonts w:hint="default" w:ascii="Times New Roman" w:hAnsi="Times New Roman" w:cs="Times New Roman"/>
                <w:b/>
                <w:kern w:val="2"/>
                <w:sz w:val="24"/>
                <w:highlight w:val="none"/>
              </w:rPr>
              <w:t>大气</w:t>
            </w:r>
          </w:p>
          <w:p w14:paraId="4B93983C">
            <w:pPr>
              <w:adjustRightInd w:val="0"/>
              <w:snapToGrid w:val="0"/>
              <w:spacing w:line="360" w:lineRule="auto"/>
              <w:ind w:firstLine="480" w:firstLineChars="200"/>
              <w:rPr>
                <w:rFonts w:hint="default" w:ascii="Times New Roman" w:hAnsi="Times New Roman" w:eastAsia="宋体" w:cs="Times New Roman"/>
                <w:kern w:val="2"/>
                <w:sz w:val="24"/>
                <w:szCs w:val="24"/>
                <w:highlight w:val="none"/>
              </w:rPr>
            </w:pPr>
            <w:r>
              <w:rPr>
                <w:rFonts w:hint="default" w:ascii="Times New Roman" w:hAnsi="Times New Roman" w:eastAsia="宋体" w:cs="Times New Roman"/>
                <w:kern w:val="2"/>
                <w:sz w:val="24"/>
                <w:szCs w:val="24"/>
                <w:highlight w:val="none"/>
              </w:rPr>
              <w:t>施工期</w:t>
            </w:r>
            <w:r>
              <w:rPr>
                <w:rFonts w:hint="default" w:ascii="Times New Roman" w:hAnsi="Times New Roman" w:cs="Times New Roman"/>
                <w:color w:val="000000"/>
                <w:kern w:val="0"/>
                <w:sz w:val="24"/>
                <w:szCs w:val="24"/>
                <w:highlight w:val="none"/>
              </w:rPr>
              <w:t>无组织</w:t>
            </w:r>
            <w:r>
              <w:rPr>
                <w:rFonts w:hint="eastAsia" w:ascii="Times New Roman" w:hAnsi="Times New Roman" w:cs="Times New Roman"/>
                <w:color w:val="000000"/>
                <w:kern w:val="0"/>
                <w:sz w:val="24"/>
                <w:szCs w:val="24"/>
                <w:highlight w:val="none"/>
                <w:lang w:val="en-US" w:eastAsia="zh-CN"/>
              </w:rPr>
              <w:t>颗粒物</w:t>
            </w:r>
            <w:r>
              <w:rPr>
                <w:rFonts w:hint="default" w:ascii="Times New Roman" w:hAnsi="Times New Roman" w:eastAsia="宋体" w:cs="Times New Roman"/>
                <w:kern w:val="2"/>
                <w:sz w:val="24"/>
                <w:szCs w:val="24"/>
                <w:highlight w:val="none"/>
              </w:rPr>
              <w:t>排放执行《大气污染物综合排放标准》（GB16297-1996）无组织排放监控浓度限值。</w:t>
            </w:r>
            <w:r>
              <w:rPr>
                <w:rFonts w:hint="eastAsia" w:cs="Times New Roman"/>
                <w:kern w:val="2"/>
                <w:sz w:val="24"/>
                <w:szCs w:val="24"/>
                <w:highlight w:val="none"/>
                <w:lang w:val="en-US" w:eastAsia="zh-CN"/>
              </w:rPr>
              <w:t>运营期无废气排放</w:t>
            </w:r>
            <w:r>
              <w:rPr>
                <w:rFonts w:hint="default" w:ascii="Times New Roman" w:hAnsi="Times New Roman" w:eastAsia="宋体" w:cs="Times New Roman"/>
                <w:kern w:val="2"/>
                <w:sz w:val="24"/>
                <w:szCs w:val="24"/>
                <w:highlight w:val="none"/>
              </w:rPr>
              <w:t>。</w:t>
            </w:r>
          </w:p>
          <w:p w14:paraId="5D8174F3">
            <w:pPr>
              <w:widowControl/>
              <w:adjustRightInd w:val="0"/>
              <w:snapToGrid w:val="0"/>
              <w:spacing w:line="360" w:lineRule="auto"/>
              <w:ind w:firstLine="0" w:firstLineChars="0"/>
              <w:jc w:val="center"/>
              <w:outlineLvl w:val="9"/>
              <w:rPr>
                <w:rFonts w:hint="eastAsia" w:ascii="Times New Roman" w:hAnsi="Times New Roman" w:eastAsia="宋体" w:cs="Times New Roman"/>
                <w:b/>
                <w:bCs/>
                <w:sz w:val="21"/>
                <w:szCs w:val="21"/>
                <w:highlight w:val="none"/>
              </w:rPr>
            </w:pPr>
            <w:r>
              <w:rPr>
                <w:rFonts w:hint="eastAsia" w:ascii="Times New Roman" w:hAnsi="Times New Roman" w:eastAsia="宋体" w:cs="Times New Roman"/>
                <w:b/>
                <w:bCs/>
                <w:sz w:val="21"/>
                <w:szCs w:val="21"/>
                <w:highlight w:val="none"/>
              </w:rPr>
              <w:t>表3-</w:t>
            </w:r>
            <w:r>
              <w:rPr>
                <w:rFonts w:hint="eastAsia" w:cs="Times New Roman"/>
                <w:b/>
                <w:bCs/>
                <w:sz w:val="21"/>
                <w:szCs w:val="21"/>
                <w:highlight w:val="none"/>
                <w:lang w:val="en-US" w:eastAsia="zh-CN"/>
              </w:rPr>
              <w:t>11</w:t>
            </w:r>
            <w:r>
              <w:rPr>
                <w:rFonts w:hint="eastAsia" w:ascii="Times New Roman" w:hAnsi="Times New Roman" w:eastAsia="宋体" w:cs="Times New Roman"/>
                <w:b/>
                <w:bCs/>
                <w:sz w:val="21"/>
                <w:szCs w:val="21"/>
                <w:highlight w:val="none"/>
              </w:rPr>
              <w:t xml:space="preserve">   《大气污染物综合排放标准》（GB16297-1996）</w:t>
            </w:r>
          </w:p>
          <w:tbl>
            <w:tblPr>
              <w:tblStyle w:val="19"/>
              <w:tblW w:w="46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04"/>
              <w:gridCol w:w="5687"/>
            </w:tblGrid>
            <w:tr w14:paraId="576E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1254" w:type="pct"/>
                  <w:noWrap w:val="0"/>
                  <w:tcMar>
                    <w:top w:w="28" w:type="dxa"/>
                    <w:left w:w="28" w:type="dxa"/>
                    <w:bottom w:w="28" w:type="dxa"/>
                    <w:right w:w="28" w:type="dxa"/>
                  </w:tcMar>
                  <w:vAlign w:val="center"/>
                </w:tcPr>
                <w:p w14:paraId="4734DEF7">
                  <w:pPr>
                    <w:spacing w:line="360" w:lineRule="auto"/>
                    <w:ind w:firstLine="0" w:firstLineChars="0"/>
                    <w:jc w:val="center"/>
                    <w:rPr>
                      <w:rFonts w:ascii="Times New Roman" w:hAnsi="Times New Roman" w:cs="Times New Roman"/>
                      <w:b w:val="0"/>
                      <w:bCs w:val="0"/>
                      <w:highlight w:val="none"/>
                    </w:rPr>
                  </w:pPr>
                  <w:r>
                    <w:rPr>
                      <w:rFonts w:ascii="Times New Roman" w:hAnsi="Times New Roman" w:cs="Times New Roman"/>
                      <w:b w:val="0"/>
                      <w:bCs w:val="0"/>
                      <w:highlight w:val="none"/>
                    </w:rPr>
                    <w:t>污染物</w:t>
                  </w:r>
                </w:p>
              </w:tc>
              <w:tc>
                <w:tcPr>
                  <w:tcW w:w="3745" w:type="pct"/>
                  <w:noWrap w:val="0"/>
                  <w:tcMar>
                    <w:top w:w="28" w:type="dxa"/>
                    <w:left w:w="28" w:type="dxa"/>
                    <w:bottom w:w="28" w:type="dxa"/>
                    <w:right w:w="28" w:type="dxa"/>
                  </w:tcMar>
                  <w:vAlign w:val="center"/>
                </w:tcPr>
                <w:p w14:paraId="06DC69B3">
                  <w:pPr>
                    <w:spacing w:line="360" w:lineRule="auto"/>
                    <w:ind w:firstLine="0" w:firstLineChars="0"/>
                    <w:jc w:val="center"/>
                    <w:rPr>
                      <w:rFonts w:ascii="Times New Roman" w:hAnsi="Times New Roman" w:cs="Times New Roman"/>
                      <w:b w:val="0"/>
                      <w:bCs w:val="0"/>
                      <w:highlight w:val="none"/>
                    </w:rPr>
                  </w:pPr>
                  <w:r>
                    <w:rPr>
                      <w:rFonts w:ascii="Times New Roman" w:hAnsi="Times New Roman" w:cs="Times New Roman"/>
                      <w:b w:val="0"/>
                      <w:bCs w:val="0"/>
                      <w:highlight w:val="none"/>
                    </w:rPr>
                    <w:t>无组织标准限值（浓度）</w:t>
                  </w:r>
                </w:p>
              </w:tc>
            </w:tr>
            <w:tr w14:paraId="2CB4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1254" w:type="pct"/>
                  <w:noWrap w:val="0"/>
                  <w:tcMar>
                    <w:top w:w="28" w:type="dxa"/>
                    <w:left w:w="28" w:type="dxa"/>
                    <w:bottom w:w="28" w:type="dxa"/>
                    <w:right w:w="28" w:type="dxa"/>
                  </w:tcMar>
                  <w:vAlign w:val="center"/>
                </w:tcPr>
                <w:p w14:paraId="5A9645C0">
                  <w:pPr>
                    <w:spacing w:line="360" w:lineRule="auto"/>
                    <w:ind w:firstLine="0" w:firstLineChars="0"/>
                    <w:jc w:val="center"/>
                    <w:rPr>
                      <w:rFonts w:ascii="Times New Roman" w:hAnsi="Times New Roman" w:cs="Times New Roman"/>
                      <w:b w:val="0"/>
                      <w:bCs w:val="0"/>
                      <w:highlight w:val="none"/>
                    </w:rPr>
                  </w:pPr>
                  <w:r>
                    <w:rPr>
                      <w:rFonts w:ascii="Times New Roman" w:hAnsi="Times New Roman" w:cs="Times New Roman"/>
                      <w:b w:val="0"/>
                      <w:bCs w:val="0"/>
                      <w:highlight w:val="none"/>
                    </w:rPr>
                    <w:t>颗粒物</w:t>
                  </w:r>
                </w:p>
              </w:tc>
              <w:tc>
                <w:tcPr>
                  <w:tcW w:w="3745" w:type="pct"/>
                  <w:noWrap w:val="0"/>
                  <w:tcMar>
                    <w:top w:w="28" w:type="dxa"/>
                    <w:left w:w="28" w:type="dxa"/>
                    <w:bottom w:w="28" w:type="dxa"/>
                    <w:right w:w="28" w:type="dxa"/>
                  </w:tcMar>
                  <w:vAlign w:val="center"/>
                </w:tcPr>
                <w:p w14:paraId="72249CA9">
                  <w:pPr>
                    <w:spacing w:line="360" w:lineRule="auto"/>
                    <w:ind w:firstLine="0" w:firstLineChars="0"/>
                    <w:jc w:val="center"/>
                    <w:rPr>
                      <w:rFonts w:ascii="Times New Roman" w:hAnsi="Times New Roman" w:cs="Times New Roman"/>
                      <w:b w:val="0"/>
                      <w:bCs w:val="0"/>
                      <w:highlight w:val="none"/>
                    </w:rPr>
                  </w:pPr>
                  <w:r>
                    <w:rPr>
                      <w:rFonts w:ascii="Times New Roman" w:hAnsi="Times New Roman" w:cs="Times New Roman"/>
                      <w:b w:val="0"/>
                      <w:bCs w:val="0"/>
                      <w:highlight w:val="none"/>
                    </w:rPr>
                    <w:t>1.0mg/m</w:t>
                  </w:r>
                  <w:r>
                    <w:rPr>
                      <w:rFonts w:ascii="Times New Roman" w:hAnsi="Times New Roman" w:cs="Times New Roman"/>
                      <w:b w:val="0"/>
                      <w:bCs w:val="0"/>
                      <w:highlight w:val="none"/>
                      <w:vertAlign w:val="superscript"/>
                    </w:rPr>
                    <w:t>3</w:t>
                  </w:r>
                </w:p>
              </w:tc>
            </w:tr>
          </w:tbl>
          <w:p w14:paraId="44C26E00">
            <w:pPr>
              <w:spacing w:line="360" w:lineRule="auto"/>
              <w:ind w:firstLine="482" w:firstLineChars="200"/>
              <w:rPr>
                <w:rFonts w:hint="default" w:ascii="Times New Roman" w:hAnsi="Times New Roman" w:eastAsia="宋体" w:cs="Times New Roman"/>
                <w:b/>
                <w:kern w:val="2"/>
                <w:sz w:val="24"/>
                <w:highlight w:val="none"/>
              </w:rPr>
            </w:pPr>
            <w:r>
              <w:rPr>
                <w:rFonts w:hint="default" w:ascii="Times New Roman" w:hAnsi="Times New Roman" w:eastAsia="宋体" w:cs="Times New Roman"/>
                <w:b/>
                <w:kern w:val="2"/>
                <w:sz w:val="24"/>
                <w:highlight w:val="none"/>
              </w:rPr>
              <w:t>2</w:t>
            </w:r>
            <w:r>
              <w:rPr>
                <w:rFonts w:hint="eastAsia" w:cs="Times New Roman"/>
                <w:b/>
                <w:kern w:val="2"/>
                <w:sz w:val="24"/>
                <w:highlight w:val="none"/>
                <w:lang w:val="en-US" w:eastAsia="zh-CN"/>
              </w:rPr>
              <w:t>.</w:t>
            </w:r>
            <w:r>
              <w:rPr>
                <w:rFonts w:hint="default" w:ascii="Times New Roman" w:hAnsi="Times New Roman" w:eastAsia="宋体" w:cs="Times New Roman"/>
                <w:b/>
                <w:kern w:val="2"/>
                <w:sz w:val="24"/>
                <w:highlight w:val="none"/>
              </w:rPr>
              <w:t>噪声</w:t>
            </w:r>
          </w:p>
          <w:p w14:paraId="51F989E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highlight w:val="none"/>
              </w:rPr>
            </w:pPr>
            <w:r>
              <w:rPr>
                <w:rFonts w:hint="default" w:ascii="Times New Roman" w:hAnsi="Times New Roman" w:eastAsia="宋体" w:cs="Times New Roman"/>
                <w:kern w:val="2"/>
                <w:sz w:val="24"/>
                <w:szCs w:val="24"/>
                <w:highlight w:val="none"/>
              </w:rPr>
              <w:t>施工期厂界噪声执行《建筑施工场界环境噪声排放标准》（GB12523-2011）</w:t>
            </w:r>
            <w:r>
              <w:rPr>
                <w:rFonts w:hint="eastAsia" w:cs="Times New Roman"/>
                <w:kern w:val="2"/>
                <w:sz w:val="24"/>
                <w:szCs w:val="24"/>
                <w:highlight w:val="none"/>
                <w:lang w:eastAsia="zh-CN"/>
              </w:rPr>
              <w:t>，</w:t>
            </w:r>
            <w:r>
              <w:rPr>
                <w:rFonts w:hint="default" w:ascii="Times New Roman" w:hAnsi="Times New Roman" w:eastAsia="宋体" w:cs="Times New Roman"/>
                <w:color w:val="000000"/>
                <w:kern w:val="0"/>
                <w:sz w:val="24"/>
                <w:szCs w:val="24"/>
                <w:highlight w:val="none"/>
                <w:lang w:val="en-US" w:eastAsia="zh-CN"/>
              </w:rPr>
              <w:t>运营期噪声执行</w:t>
            </w:r>
            <w:r>
              <w:rPr>
                <w:rFonts w:hint="default" w:ascii="Times New Roman" w:hAnsi="Times New Roman" w:eastAsia="宋体" w:cs="Times New Roman"/>
                <w:color w:val="000000"/>
                <w:kern w:val="0"/>
                <w:sz w:val="24"/>
                <w:szCs w:val="24"/>
                <w:highlight w:val="none"/>
              </w:rPr>
              <w:t>《工业企业厂界环境噪声排放标准》（GB12348-2008）</w:t>
            </w:r>
            <w:r>
              <w:rPr>
                <w:rFonts w:hint="eastAsia" w:ascii="Times New Roman" w:hAnsi="Times New Roman" w:cs="Times New Roman"/>
                <w:color w:val="000000"/>
                <w:kern w:val="0"/>
                <w:sz w:val="24"/>
                <w:szCs w:val="24"/>
                <w:highlight w:val="none"/>
                <w:lang w:val="en-US" w:eastAsia="zh-CN"/>
              </w:rPr>
              <w:t>3</w:t>
            </w:r>
            <w:r>
              <w:rPr>
                <w:rFonts w:hint="default" w:ascii="Times New Roman" w:hAnsi="Times New Roman" w:eastAsia="宋体" w:cs="Times New Roman"/>
                <w:color w:val="000000"/>
                <w:kern w:val="0"/>
                <w:sz w:val="24"/>
                <w:szCs w:val="24"/>
                <w:highlight w:val="none"/>
              </w:rPr>
              <w:t>类</w:t>
            </w:r>
            <w:r>
              <w:rPr>
                <w:rFonts w:hint="default" w:ascii="Times New Roman" w:hAnsi="Times New Roman" w:eastAsia="宋体" w:cs="Times New Roman"/>
                <w:kern w:val="2"/>
                <w:sz w:val="24"/>
                <w:szCs w:val="24"/>
                <w:highlight w:val="none"/>
              </w:rPr>
              <w:t>。</w:t>
            </w:r>
          </w:p>
          <w:p w14:paraId="671B7BAD">
            <w:pPr>
              <w:widowControl/>
              <w:adjustRightInd w:val="0"/>
              <w:snapToGrid w:val="0"/>
              <w:spacing w:line="360" w:lineRule="auto"/>
              <w:ind w:firstLine="0" w:firstLineChars="0"/>
              <w:jc w:val="center"/>
              <w:outlineLvl w:val="9"/>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表</w:t>
            </w:r>
            <w:r>
              <w:rPr>
                <w:rFonts w:hint="default" w:ascii="Times New Roman" w:hAnsi="Times New Roman" w:eastAsia="宋体" w:cs="Times New Roman"/>
                <w:b/>
                <w:bCs/>
                <w:sz w:val="21"/>
                <w:szCs w:val="21"/>
                <w:highlight w:val="none"/>
                <w:lang w:val="en-US" w:eastAsia="zh-CN"/>
              </w:rPr>
              <w:t>3-</w:t>
            </w:r>
            <w:r>
              <w:rPr>
                <w:rFonts w:hint="eastAsia" w:ascii="Times New Roman" w:hAnsi="Times New Roman" w:eastAsia="宋体" w:cs="Times New Roman"/>
                <w:b/>
                <w:bCs/>
                <w:sz w:val="21"/>
                <w:szCs w:val="21"/>
                <w:highlight w:val="none"/>
                <w:lang w:val="en-US" w:eastAsia="zh-CN"/>
              </w:rPr>
              <w:t>1</w:t>
            </w:r>
            <w:r>
              <w:rPr>
                <w:rFonts w:hint="eastAsia" w:cs="Times New Roman"/>
                <w:b/>
                <w:bCs/>
                <w:sz w:val="21"/>
                <w:szCs w:val="21"/>
                <w:highlight w:val="none"/>
                <w:lang w:val="en-US" w:eastAsia="zh-CN"/>
              </w:rPr>
              <w:t>2</w:t>
            </w:r>
            <w:r>
              <w:rPr>
                <w:rFonts w:hint="default" w:ascii="Times New Roman" w:hAnsi="Times New Roman" w:eastAsia="宋体" w:cs="Times New Roman"/>
                <w:b/>
                <w:bCs/>
                <w:sz w:val="21"/>
                <w:szCs w:val="21"/>
                <w:highlight w:val="none"/>
              </w:rPr>
              <w:t xml:space="preserve"> </w:t>
            </w:r>
            <w:r>
              <w:rPr>
                <w:rFonts w:hint="eastAsia" w:ascii="Times New Roman" w:hAnsi="Times New Roman" w:eastAsia="宋体" w:cs="Times New Roman"/>
                <w:b/>
                <w:bCs/>
                <w:sz w:val="21"/>
                <w:szCs w:val="21"/>
                <w:highlight w:val="none"/>
                <w:lang w:val="en-US" w:eastAsia="zh-CN"/>
              </w:rPr>
              <w:t xml:space="preserve">  </w:t>
            </w:r>
            <w:r>
              <w:rPr>
                <w:rFonts w:hint="default" w:ascii="Times New Roman" w:hAnsi="Times New Roman" w:eastAsia="宋体" w:cs="Times New Roman"/>
                <w:b/>
                <w:bCs/>
                <w:sz w:val="21"/>
                <w:szCs w:val="21"/>
                <w:highlight w:val="none"/>
              </w:rPr>
              <w:t>环境噪声排放标准</w:t>
            </w:r>
          </w:p>
          <w:tbl>
            <w:tblPr>
              <w:tblStyle w:val="19"/>
              <w:tblW w:w="46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43"/>
              <w:gridCol w:w="1143"/>
              <w:gridCol w:w="1034"/>
              <w:gridCol w:w="970"/>
              <w:gridCol w:w="3786"/>
            </w:tblGrid>
            <w:tr w14:paraId="7D82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6" w:hRule="exact"/>
                <w:jc w:val="center"/>
              </w:trPr>
              <w:tc>
                <w:tcPr>
                  <w:tcW w:w="1179" w:type="pct"/>
                  <w:gridSpan w:val="2"/>
                  <w:vMerge w:val="restart"/>
                  <w:tcBorders>
                    <w:tl2br w:val="nil"/>
                    <w:tr2bl w:val="nil"/>
                  </w:tcBorders>
                  <w:noWrap w:val="0"/>
                  <w:vAlign w:val="center"/>
                </w:tcPr>
                <w:p w14:paraId="7B7A116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时段</w:t>
                  </w:r>
                </w:p>
              </w:tc>
              <w:tc>
                <w:tcPr>
                  <w:tcW w:w="1322" w:type="pct"/>
                  <w:gridSpan w:val="2"/>
                  <w:tcBorders>
                    <w:tl2br w:val="nil"/>
                    <w:tr2bl w:val="nil"/>
                  </w:tcBorders>
                  <w:noWrap w:val="0"/>
                  <w:vAlign w:val="center"/>
                </w:tcPr>
                <w:p w14:paraId="37B64F6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标准值</w:t>
                  </w:r>
                </w:p>
              </w:tc>
              <w:tc>
                <w:tcPr>
                  <w:tcW w:w="2498" w:type="pct"/>
                  <w:vMerge w:val="restart"/>
                  <w:tcBorders>
                    <w:tl2br w:val="nil"/>
                    <w:tr2bl w:val="nil"/>
                  </w:tcBorders>
                  <w:noWrap w:val="0"/>
                  <w:vAlign w:val="center"/>
                </w:tcPr>
                <w:p w14:paraId="7BA1CC8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标准来源</w:t>
                  </w:r>
                </w:p>
              </w:tc>
            </w:tr>
            <w:tr w14:paraId="75AC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6" w:hRule="exact"/>
                <w:jc w:val="center"/>
              </w:trPr>
              <w:tc>
                <w:tcPr>
                  <w:tcW w:w="1179" w:type="pct"/>
                  <w:gridSpan w:val="2"/>
                  <w:vMerge w:val="continue"/>
                  <w:tcBorders>
                    <w:tl2br w:val="nil"/>
                    <w:tr2bl w:val="nil"/>
                  </w:tcBorders>
                  <w:noWrap w:val="0"/>
                  <w:vAlign w:val="center"/>
                </w:tcPr>
                <w:p w14:paraId="279B5B4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rPr>
                  </w:pPr>
                </w:p>
              </w:tc>
              <w:tc>
                <w:tcPr>
                  <w:tcW w:w="682" w:type="pct"/>
                  <w:tcBorders>
                    <w:tl2br w:val="nil"/>
                    <w:tr2bl w:val="nil"/>
                  </w:tcBorders>
                  <w:noWrap w:val="0"/>
                  <w:vAlign w:val="center"/>
                </w:tcPr>
                <w:p w14:paraId="30BCEA5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昼间</w:t>
                  </w:r>
                </w:p>
              </w:tc>
              <w:tc>
                <w:tcPr>
                  <w:tcW w:w="640" w:type="pct"/>
                  <w:tcBorders>
                    <w:tl2br w:val="nil"/>
                    <w:tr2bl w:val="nil"/>
                  </w:tcBorders>
                  <w:noWrap w:val="0"/>
                  <w:vAlign w:val="center"/>
                </w:tcPr>
                <w:p w14:paraId="678AE00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夜间</w:t>
                  </w:r>
                </w:p>
              </w:tc>
              <w:tc>
                <w:tcPr>
                  <w:tcW w:w="2498" w:type="pct"/>
                  <w:vMerge w:val="continue"/>
                  <w:tcBorders>
                    <w:tl2br w:val="nil"/>
                    <w:tr2bl w:val="nil"/>
                  </w:tcBorders>
                  <w:noWrap w:val="0"/>
                  <w:vAlign w:val="center"/>
                </w:tcPr>
                <w:p w14:paraId="7067344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rPr>
                  </w:pPr>
                </w:p>
              </w:tc>
            </w:tr>
            <w:tr w14:paraId="572A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jc w:val="center"/>
              </w:trPr>
              <w:tc>
                <w:tcPr>
                  <w:tcW w:w="1179" w:type="pct"/>
                  <w:gridSpan w:val="2"/>
                  <w:tcBorders>
                    <w:tl2br w:val="nil"/>
                    <w:tr2bl w:val="nil"/>
                  </w:tcBorders>
                  <w:noWrap w:val="0"/>
                  <w:vAlign w:val="center"/>
                </w:tcPr>
                <w:p w14:paraId="415D71C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lang w:val="en-US" w:eastAsia="zh-CN"/>
                    </w:rPr>
                    <w:t>施工期</w:t>
                  </w:r>
                </w:p>
              </w:tc>
              <w:tc>
                <w:tcPr>
                  <w:tcW w:w="682" w:type="pct"/>
                  <w:tcBorders>
                    <w:tl2br w:val="nil"/>
                    <w:tr2bl w:val="nil"/>
                  </w:tcBorders>
                  <w:noWrap w:val="0"/>
                  <w:vAlign w:val="center"/>
                </w:tcPr>
                <w:p w14:paraId="4E9E82C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70</w:t>
                  </w:r>
                </w:p>
              </w:tc>
              <w:tc>
                <w:tcPr>
                  <w:tcW w:w="640" w:type="pct"/>
                  <w:tcBorders>
                    <w:tl2br w:val="nil"/>
                    <w:tr2bl w:val="nil"/>
                  </w:tcBorders>
                  <w:noWrap w:val="0"/>
                  <w:vAlign w:val="center"/>
                </w:tcPr>
                <w:p w14:paraId="1F7CFAB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55</w:t>
                  </w:r>
                </w:p>
              </w:tc>
              <w:tc>
                <w:tcPr>
                  <w:tcW w:w="2498" w:type="pct"/>
                  <w:tcBorders>
                    <w:tl2br w:val="nil"/>
                    <w:tr2bl w:val="nil"/>
                  </w:tcBorders>
                  <w:noWrap w:val="0"/>
                  <w:vAlign w:val="center"/>
                </w:tcPr>
                <w:p w14:paraId="29C6674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highlight w:val="none"/>
                      <w:lang w:eastAsia="zh-CN"/>
                    </w:rPr>
                  </w:pPr>
                  <w:r>
                    <w:rPr>
                      <w:rFonts w:hint="default" w:ascii="Times New Roman" w:hAnsi="Times New Roman" w:eastAsia="宋体" w:cs="Times New Roman"/>
                      <w:b w:val="0"/>
                      <w:bCs w:val="0"/>
                      <w:highlight w:val="none"/>
                    </w:rPr>
                    <w:t>《建筑施工场界环境噪声排放标准》（GB12523-2011）</w:t>
                  </w:r>
                  <w:r>
                    <w:rPr>
                      <w:rFonts w:hint="eastAsia" w:cs="Times New Roman"/>
                      <w:b w:val="0"/>
                      <w:bCs w:val="0"/>
                      <w:highlight w:val="none"/>
                      <w:lang w:eastAsia="zh-CN"/>
                    </w:rPr>
                    <w:t>。</w:t>
                  </w:r>
                </w:p>
              </w:tc>
            </w:tr>
            <w:tr w14:paraId="7D25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6" w:hRule="atLeast"/>
                <w:jc w:val="center"/>
              </w:trPr>
              <w:tc>
                <w:tcPr>
                  <w:tcW w:w="425" w:type="pct"/>
                  <w:tcBorders>
                    <w:tl2br w:val="nil"/>
                    <w:tr2bl w:val="nil"/>
                  </w:tcBorders>
                  <w:noWrap w:val="0"/>
                  <w:vAlign w:val="center"/>
                </w:tcPr>
                <w:p w14:paraId="771C944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运营期</w:t>
                  </w:r>
                </w:p>
              </w:tc>
              <w:tc>
                <w:tcPr>
                  <w:tcW w:w="753" w:type="pct"/>
                  <w:tcBorders>
                    <w:tl2br w:val="nil"/>
                    <w:tr2bl w:val="nil"/>
                  </w:tcBorders>
                  <w:noWrap w:val="0"/>
                  <w:vAlign w:val="center"/>
                </w:tcPr>
                <w:p w14:paraId="3862139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ascii="Times New Roman" w:hAnsi="Times New Roman" w:eastAsia="宋体" w:cs="Times New Roman"/>
                      <w:b w:val="0"/>
                      <w:bCs w:val="0"/>
                      <w:highlight w:val="none"/>
                      <w:lang w:val="en-US" w:eastAsia="zh-CN"/>
                    </w:rPr>
                    <w:t>厂界</w:t>
                  </w:r>
                </w:p>
              </w:tc>
              <w:tc>
                <w:tcPr>
                  <w:tcW w:w="682" w:type="pct"/>
                  <w:tcBorders>
                    <w:tl2br w:val="nil"/>
                    <w:tr2bl w:val="nil"/>
                  </w:tcBorders>
                  <w:noWrap w:val="0"/>
                  <w:vAlign w:val="center"/>
                </w:tcPr>
                <w:p w14:paraId="6BBD788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ascii="Times New Roman" w:hAnsi="Times New Roman" w:eastAsia="宋体" w:cs="Times New Roman"/>
                      <w:b w:val="0"/>
                      <w:bCs w:val="0"/>
                      <w:highlight w:val="none"/>
                      <w:lang w:val="en-US" w:eastAsia="zh-CN"/>
                    </w:rPr>
                    <w:t>65</w:t>
                  </w:r>
                </w:p>
              </w:tc>
              <w:tc>
                <w:tcPr>
                  <w:tcW w:w="640" w:type="pct"/>
                  <w:tcBorders>
                    <w:tl2br w:val="nil"/>
                    <w:tr2bl w:val="nil"/>
                  </w:tcBorders>
                  <w:noWrap w:val="0"/>
                  <w:vAlign w:val="center"/>
                </w:tcPr>
                <w:p w14:paraId="2EF1185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ascii="Times New Roman" w:hAnsi="Times New Roman" w:eastAsia="宋体" w:cs="Times New Roman"/>
                      <w:b w:val="0"/>
                      <w:bCs w:val="0"/>
                      <w:highlight w:val="none"/>
                      <w:lang w:val="en-US" w:eastAsia="zh-CN"/>
                    </w:rPr>
                    <w:t>55</w:t>
                  </w:r>
                </w:p>
              </w:tc>
              <w:tc>
                <w:tcPr>
                  <w:tcW w:w="2498" w:type="pct"/>
                  <w:tcBorders>
                    <w:tl2br w:val="nil"/>
                    <w:tr2bl w:val="nil"/>
                  </w:tcBorders>
                  <w:noWrap w:val="0"/>
                  <w:vAlign w:val="center"/>
                </w:tcPr>
                <w:p w14:paraId="4710AEE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highlight w:val="none"/>
                      <w:lang w:eastAsia="zh-CN"/>
                    </w:rPr>
                  </w:pPr>
                  <w:r>
                    <w:rPr>
                      <w:rFonts w:hint="default" w:ascii="Times New Roman" w:hAnsi="Times New Roman" w:eastAsia="宋体" w:cs="Times New Roman"/>
                      <w:b w:val="0"/>
                      <w:bCs w:val="0"/>
                      <w:highlight w:val="none"/>
                    </w:rPr>
                    <w:t>《工业企业厂界环境噪声排放标准》（GB12348-2008）</w:t>
                  </w:r>
                  <w:r>
                    <w:rPr>
                      <w:rFonts w:hint="eastAsia" w:ascii="Times New Roman" w:hAnsi="Times New Roman" w:eastAsia="宋体" w:cs="Times New Roman"/>
                      <w:b w:val="0"/>
                      <w:bCs w:val="0"/>
                      <w:highlight w:val="none"/>
                      <w:lang w:val="en-US" w:eastAsia="zh-CN"/>
                    </w:rPr>
                    <w:t>3</w:t>
                  </w:r>
                  <w:r>
                    <w:rPr>
                      <w:rFonts w:hint="default" w:ascii="Times New Roman" w:hAnsi="Times New Roman" w:eastAsia="宋体" w:cs="Times New Roman"/>
                      <w:b w:val="0"/>
                      <w:bCs w:val="0"/>
                      <w:highlight w:val="none"/>
                    </w:rPr>
                    <w:t>类</w:t>
                  </w:r>
                  <w:r>
                    <w:rPr>
                      <w:rFonts w:hint="eastAsia" w:cs="Times New Roman"/>
                      <w:b w:val="0"/>
                      <w:bCs w:val="0"/>
                      <w:highlight w:val="none"/>
                      <w:lang w:eastAsia="zh-CN"/>
                    </w:rPr>
                    <w:t>。</w:t>
                  </w:r>
                </w:p>
              </w:tc>
            </w:tr>
          </w:tbl>
          <w:p w14:paraId="06CDA699">
            <w:pPr>
              <w:spacing w:line="360" w:lineRule="auto"/>
              <w:ind w:firstLine="482" w:firstLineChars="200"/>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3</w:t>
            </w:r>
            <w:r>
              <w:rPr>
                <w:rFonts w:hint="eastAsia" w:cs="Times New Roman"/>
                <w:b/>
                <w:sz w:val="24"/>
                <w:szCs w:val="24"/>
                <w:highlight w:val="none"/>
                <w:lang w:val="en-US" w:eastAsia="zh-CN"/>
              </w:rPr>
              <w:t>.</w:t>
            </w:r>
            <w:r>
              <w:rPr>
                <w:rFonts w:hint="default" w:ascii="Times New Roman" w:hAnsi="Times New Roman" w:eastAsia="宋体" w:cs="Times New Roman"/>
                <w:b/>
                <w:sz w:val="24"/>
                <w:szCs w:val="24"/>
                <w:highlight w:val="none"/>
              </w:rPr>
              <w:t>废水</w:t>
            </w:r>
          </w:p>
          <w:p w14:paraId="7677C8DE">
            <w:pPr>
              <w:spacing w:line="360" w:lineRule="auto"/>
              <w:ind w:firstLine="480" w:firstLineChars="200"/>
              <w:rPr>
                <w:rFonts w:hint="default" w:ascii="Times New Roman" w:hAnsi="Times New Roman" w:eastAsia="宋体" w:cs="Times New Roman"/>
                <w:kern w:val="2"/>
                <w:sz w:val="24"/>
                <w:szCs w:val="24"/>
                <w:highlight w:val="none"/>
              </w:rPr>
            </w:pPr>
            <w:r>
              <w:rPr>
                <w:rFonts w:hint="default" w:ascii="Times New Roman" w:hAnsi="Times New Roman" w:eastAsia="宋体" w:cs="Times New Roman"/>
                <w:kern w:val="2"/>
                <w:sz w:val="24"/>
                <w:szCs w:val="24"/>
                <w:highlight w:val="none"/>
              </w:rPr>
              <w:t>施工期</w:t>
            </w:r>
            <w:r>
              <w:rPr>
                <w:rFonts w:hint="eastAsia" w:cs="Times New Roman"/>
                <w:kern w:val="2"/>
                <w:sz w:val="24"/>
                <w:szCs w:val="24"/>
                <w:highlight w:val="none"/>
                <w:lang w:val="en-US" w:eastAsia="zh-CN"/>
              </w:rPr>
              <w:t>试压</w:t>
            </w:r>
            <w:r>
              <w:rPr>
                <w:rFonts w:hint="default" w:ascii="Times New Roman" w:hAnsi="Times New Roman" w:eastAsia="宋体" w:cs="Times New Roman"/>
                <w:kern w:val="2"/>
                <w:sz w:val="24"/>
                <w:szCs w:val="24"/>
                <w:highlight w:val="none"/>
              </w:rPr>
              <w:t>废水</w:t>
            </w:r>
            <w:r>
              <w:rPr>
                <w:rFonts w:hint="eastAsia" w:cs="Times New Roman"/>
                <w:kern w:val="2"/>
                <w:sz w:val="24"/>
                <w:szCs w:val="24"/>
                <w:highlight w:val="none"/>
                <w:lang w:val="en-US" w:eastAsia="zh-CN"/>
              </w:rPr>
              <w:t>产生后通过罐车运输至伊泰</w:t>
            </w:r>
            <w:r>
              <w:rPr>
                <w:rFonts w:hint="default" w:ascii="Times New Roman" w:hAnsi="Times New Roman" w:eastAsia="宋体" w:cs="Times New Roman"/>
                <w:kern w:val="2"/>
                <w:sz w:val="24"/>
                <w:szCs w:val="24"/>
                <w:highlight w:val="none"/>
              </w:rPr>
              <w:t>厂区内现有</w:t>
            </w:r>
            <w:r>
              <w:rPr>
                <w:rFonts w:cs="Times New Roman"/>
                <w:sz w:val="24"/>
                <w:highlight w:val="none"/>
              </w:rPr>
              <w:t>污水处理站废水处理及回用清净废水处理单元</w:t>
            </w:r>
            <w:r>
              <w:rPr>
                <w:rFonts w:hint="default" w:ascii="Times New Roman" w:hAnsi="Times New Roman" w:eastAsia="宋体" w:cs="Times New Roman"/>
                <w:kern w:val="2"/>
                <w:sz w:val="24"/>
                <w:szCs w:val="24"/>
                <w:highlight w:val="none"/>
              </w:rPr>
              <w:t>，处理后回用，不外排。</w:t>
            </w:r>
          </w:p>
          <w:p w14:paraId="2BE15D75">
            <w:pPr>
              <w:widowControl/>
              <w:adjustRightInd w:val="0"/>
              <w:snapToGrid w:val="0"/>
              <w:spacing w:line="360" w:lineRule="auto"/>
              <w:ind w:firstLine="0" w:firstLineChars="0"/>
              <w:jc w:val="center"/>
              <w:outlineLvl w:val="9"/>
              <w:rPr>
                <w:rFonts w:hint="eastAsia" w:ascii="Times New Roman" w:hAnsi="Times New Roman" w:eastAsia="宋体" w:cs="Times New Roman"/>
                <w:b/>
                <w:bCs/>
                <w:kern w:val="2"/>
                <w:sz w:val="21"/>
                <w:szCs w:val="21"/>
                <w:highlight w:val="none"/>
              </w:rPr>
            </w:pPr>
            <w:r>
              <w:rPr>
                <w:rFonts w:hint="eastAsia" w:ascii="Times New Roman" w:hAnsi="Times New Roman" w:eastAsia="宋体" w:cs="Times New Roman"/>
                <w:b/>
                <w:bCs/>
                <w:kern w:val="2"/>
                <w:sz w:val="21"/>
                <w:szCs w:val="21"/>
                <w:highlight w:val="none"/>
                <w:lang w:val="en-US" w:eastAsia="zh-CN"/>
              </w:rPr>
              <w:t>表3-</w:t>
            </w:r>
            <w:r>
              <w:rPr>
                <w:rFonts w:hint="eastAsia" w:cs="Times New Roman"/>
                <w:b/>
                <w:bCs/>
                <w:kern w:val="2"/>
                <w:sz w:val="21"/>
                <w:szCs w:val="21"/>
                <w:highlight w:val="none"/>
                <w:lang w:val="en-US" w:eastAsia="zh-CN"/>
              </w:rPr>
              <w:t>13</w:t>
            </w:r>
            <w:r>
              <w:rPr>
                <w:rFonts w:hint="eastAsia" w:ascii="Times New Roman" w:hAnsi="Times New Roman" w:eastAsia="宋体" w:cs="Times New Roman"/>
                <w:b/>
                <w:bCs/>
                <w:kern w:val="2"/>
                <w:sz w:val="21"/>
                <w:szCs w:val="21"/>
                <w:highlight w:val="none"/>
                <w:lang w:val="en-US" w:eastAsia="zh-CN"/>
              </w:rPr>
              <w:t xml:space="preserve">   </w:t>
            </w:r>
            <w:r>
              <w:rPr>
                <w:rFonts w:hint="eastAsia" w:cs="Times New Roman"/>
                <w:b/>
                <w:bCs/>
                <w:kern w:val="2"/>
                <w:sz w:val="21"/>
                <w:szCs w:val="21"/>
                <w:highlight w:val="none"/>
                <w:lang w:val="en-US" w:eastAsia="zh-CN"/>
              </w:rPr>
              <w:t>回用水</w:t>
            </w:r>
            <w:r>
              <w:rPr>
                <w:rFonts w:hint="eastAsia" w:ascii="Times New Roman" w:hAnsi="Times New Roman" w:eastAsia="宋体" w:cs="Times New Roman"/>
                <w:b/>
                <w:bCs/>
                <w:kern w:val="2"/>
                <w:sz w:val="21"/>
                <w:szCs w:val="21"/>
                <w:highlight w:val="none"/>
              </w:rPr>
              <w:t>进水水质要求</w:t>
            </w:r>
          </w:p>
          <w:tbl>
            <w:tblPr>
              <w:tblStyle w:val="19"/>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2"/>
              <w:gridCol w:w="3528"/>
              <w:gridCol w:w="892"/>
              <w:gridCol w:w="760"/>
              <w:gridCol w:w="2155"/>
            </w:tblGrid>
            <w:tr w14:paraId="2FD1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0" w:type="auto"/>
                  <w:vAlign w:val="center"/>
                </w:tcPr>
                <w:p w14:paraId="2E05164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序号</w:t>
                  </w:r>
                </w:p>
              </w:tc>
              <w:tc>
                <w:tcPr>
                  <w:tcW w:w="0" w:type="auto"/>
                  <w:vAlign w:val="center"/>
                </w:tcPr>
                <w:p w14:paraId="45828D7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检验项目</w:t>
                  </w:r>
                </w:p>
              </w:tc>
              <w:tc>
                <w:tcPr>
                  <w:tcW w:w="0" w:type="auto"/>
                  <w:vAlign w:val="center"/>
                </w:tcPr>
                <w:p w14:paraId="75EB66F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数值</w:t>
                  </w:r>
                </w:p>
              </w:tc>
              <w:tc>
                <w:tcPr>
                  <w:tcW w:w="0" w:type="auto"/>
                  <w:vAlign w:val="center"/>
                </w:tcPr>
                <w:p w14:paraId="3775087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单位</w:t>
                  </w:r>
                </w:p>
              </w:tc>
              <w:tc>
                <w:tcPr>
                  <w:tcW w:w="0" w:type="auto"/>
                  <w:vAlign w:val="center"/>
                </w:tcPr>
                <w:p w14:paraId="70569D9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备注</w:t>
                  </w:r>
                </w:p>
              </w:tc>
            </w:tr>
            <w:tr w14:paraId="740D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0" w:type="auto"/>
                  <w:vAlign w:val="center"/>
                </w:tcPr>
                <w:p w14:paraId="69168B5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w:t>
                  </w:r>
                </w:p>
              </w:tc>
              <w:tc>
                <w:tcPr>
                  <w:tcW w:w="0" w:type="auto"/>
                  <w:vAlign w:val="center"/>
                </w:tcPr>
                <w:p w14:paraId="0A4BCDC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化学需氧量COD</w:t>
                  </w:r>
                  <w:r>
                    <w:rPr>
                      <w:rFonts w:hint="default" w:ascii="Times New Roman" w:hAnsi="Times New Roman" w:eastAsia="宋体" w:cs="Times New Roman"/>
                      <w:b w:val="0"/>
                      <w:bCs w:val="0"/>
                      <w:highlight w:val="none"/>
                      <w:vertAlign w:val="subscript"/>
                      <w:lang w:val="en-US" w:eastAsia="zh-CN"/>
                    </w:rPr>
                    <w:t>cr</w:t>
                  </w:r>
                </w:p>
              </w:tc>
              <w:tc>
                <w:tcPr>
                  <w:tcW w:w="0" w:type="auto"/>
                  <w:vAlign w:val="center"/>
                </w:tcPr>
                <w:p w14:paraId="318D677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≤50</w:t>
                  </w:r>
                </w:p>
              </w:tc>
              <w:tc>
                <w:tcPr>
                  <w:tcW w:w="0" w:type="auto"/>
                  <w:vAlign w:val="center"/>
                </w:tcPr>
                <w:p w14:paraId="59FDE92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6287D00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4E54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atLeast"/>
                <w:jc w:val="center"/>
              </w:trPr>
              <w:tc>
                <w:tcPr>
                  <w:tcW w:w="0" w:type="auto"/>
                  <w:vAlign w:val="center"/>
                </w:tcPr>
                <w:p w14:paraId="3F88BE2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w:t>
                  </w:r>
                </w:p>
              </w:tc>
              <w:tc>
                <w:tcPr>
                  <w:tcW w:w="0" w:type="auto"/>
                  <w:vAlign w:val="center"/>
                </w:tcPr>
                <w:p w14:paraId="0DF55FB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生化需氧量BOD</w:t>
                  </w:r>
                  <w:r>
                    <w:rPr>
                      <w:rFonts w:hint="default" w:ascii="Times New Roman" w:hAnsi="Times New Roman" w:eastAsia="宋体" w:cs="Times New Roman"/>
                      <w:b w:val="0"/>
                      <w:bCs w:val="0"/>
                      <w:highlight w:val="none"/>
                      <w:vertAlign w:val="subscript"/>
                      <w:lang w:val="en-US" w:eastAsia="zh-CN"/>
                    </w:rPr>
                    <w:t>5</w:t>
                  </w:r>
                </w:p>
              </w:tc>
              <w:tc>
                <w:tcPr>
                  <w:tcW w:w="0" w:type="auto"/>
                  <w:vAlign w:val="center"/>
                </w:tcPr>
                <w:p w14:paraId="3924D04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w:t>
                  </w:r>
                </w:p>
              </w:tc>
              <w:tc>
                <w:tcPr>
                  <w:tcW w:w="0" w:type="auto"/>
                  <w:vAlign w:val="center"/>
                </w:tcPr>
                <w:p w14:paraId="2795BE4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5153C8D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6A30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0" w:type="auto"/>
                  <w:vAlign w:val="center"/>
                </w:tcPr>
                <w:p w14:paraId="26F77E5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w:t>
                  </w:r>
                </w:p>
              </w:tc>
              <w:tc>
                <w:tcPr>
                  <w:tcW w:w="0" w:type="auto"/>
                  <w:vAlign w:val="center"/>
                </w:tcPr>
                <w:p w14:paraId="6E3263A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氨氮NH</w:t>
                  </w:r>
                  <w:r>
                    <w:rPr>
                      <w:rFonts w:hint="default" w:ascii="Times New Roman" w:hAnsi="Times New Roman" w:eastAsia="宋体" w:cs="Times New Roman"/>
                      <w:b w:val="0"/>
                      <w:bCs w:val="0"/>
                      <w:highlight w:val="none"/>
                      <w:vertAlign w:val="subscript"/>
                      <w:lang w:val="en-US" w:eastAsia="zh-CN"/>
                    </w:rPr>
                    <w:t>3</w:t>
                  </w:r>
                  <w:r>
                    <w:rPr>
                      <w:rFonts w:hint="default" w:ascii="Times New Roman" w:hAnsi="Times New Roman" w:eastAsia="宋体" w:cs="Times New Roman"/>
                      <w:b w:val="0"/>
                      <w:bCs w:val="0"/>
                      <w:highlight w:val="none"/>
                      <w:lang w:val="en-US" w:eastAsia="zh-CN"/>
                    </w:rPr>
                    <w:t>-N</w:t>
                  </w:r>
                </w:p>
              </w:tc>
              <w:tc>
                <w:tcPr>
                  <w:tcW w:w="0" w:type="auto"/>
                  <w:vAlign w:val="center"/>
                </w:tcPr>
                <w:p w14:paraId="0EAC2CE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w:t>
                  </w:r>
                </w:p>
              </w:tc>
              <w:tc>
                <w:tcPr>
                  <w:tcW w:w="0" w:type="auto"/>
                  <w:vAlign w:val="center"/>
                </w:tcPr>
                <w:p w14:paraId="1EEDCBA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0B59B02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029F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0" w:type="auto"/>
                  <w:vAlign w:val="center"/>
                </w:tcPr>
                <w:p w14:paraId="2E6A589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w:t>
                  </w:r>
                </w:p>
              </w:tc>
              <w:tc>
                <w:tcPr>
                  <w:tcW w:w="0" w:type="auto"/>
                  <w:vAlign w:val="center"/>
                </w:tcPr>
                <w:p w14:paraId="792451E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总氮TN</w:t>
                  </w:r>
                </w:p>
              </w:tc>
              <w:tc>
                <w:tcPr>
                  <w:tcW w:w="0" w:type="auto"/>
                  <w:vAlign w:val="center"/>
                </w:tcPr>
                <w:p w14:paraId="4AF626E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0" w:type="auto"/>
                  <w:vAlign w:val="center"/>
                </w:tcPr>
                <w:p w14:paraId="62EE053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287DAB5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3C2E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atLeast"/>
                <w:jc w:val="center"/>
              </w:trPr>
              <w:tc>
                <w:tcPr>
                  <w:tcW w:w="0" w:type="auto"/>
                  <w:vAlign w:val="center"/>
                </w:tcPr>
                <w:p w14:paraId="1462285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w:t>
                  </w:r>
                </w:p>
              </w:tc>
              <w:tc>
                <w:tcPr>
                  <w:tcW w:w="0" w:type="auto"/>
                  <w:vAlign w:val="center"/>
                </w:tcPr>
                <w:p w14:paraId="6367468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油</w:t>
                  </w:r>
                </w:p>
              </w:tc>
              <w:tc>
                <w:tcPr>
                  <w:tcW w:w="0" w:type="auto"/>
                  <w:vAlign w:val="center"/>
                </w:tcPr>
                <w:p w14:paraId="73B0AA7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w:t>
                  </w:r>
                </w:p>
              </w:tc>
              <w:tc>
                <w:tcPr>
                  <w:tcW w:w="0" w:type="auto"/>
                  <w:vAlign w:val="center"/>
                </w:tcPr>
                <w:p w14:paraId="73E0E4E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22378F9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3BFD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0" w:type="auto"/>
                  <w:vAlign w:val="center"/>
                </w:tcPr>
                <w:p w14:paraId="0F8C022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6</w:t>
                  </w:r>
                </w:p>
              </w:tc>
              <w:tc>
                <w:tcPr>
                  <w:tcW w:w="0" w:type="auto"/>
                  <w:vAlign w:val="center"/>
                </w:tcPr>
                <w:p w14:paraId="0004421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pH</w:t>
                  </w:r>
                </w:p>
              </w:tc>
              <w:tc>
                <w:tcPr>
                  <w:tcW w:w="0" w:type="auto"/>
                  <w:vAlign w:val="center"/>
                </w:tcPr>
                <w:p w14:paraId="13E9337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7~9</w:t>
                  </w:r>
                </w:p>
              </w:tc>
              <w:tc>
                <w:tcPr>
                  <w:tcW w:w="0" w:type="auto"/>
                  <w:vAlign w:val="center"/>
                </w:tcPr>
                <w:p w14:paraId="0C0A22B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c>
                <w:tcPr>
                  <w:tcW w:w="0" w:type="auto"/>
                  <w:vAlign w:val="center"/>
                </w:tcPr>
                <w:p w14:paraId="2AA75A8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5BB0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0" w:type="auto"/>
                  <w:vAlign w:val="center"/>
                </w:tcPr>
                <w:p w14:paraId="32AD0FF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7</w:t>
                  </w:r>
                </w:p>
              </w:tc>
              <w:tc>
                <w:tcPr>
                  <w:tcW w:w="0" w:type="auto"/>
                  <w:vAlign w:val="center"/>
                </w:tcPr>
                <w:p w14:paraId="2F3A536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SS</w:t>
                  </w:r>
                </w:p>
              </w:tc>
              <w:tc>
                <w:tcPr>
                  <w:tcW w:w="0" w:type="auto"/>
                  <w:vAlign w:val="center"/>
                </w:tcPr>
                <w:p w14:paraId="3D377E7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≤50</w:t>
                  </w:r>
                </w:p>
              </w:tc>
              <w:tc>
                <w:tcPr>
                  <w:tcW w:w="0" w:type="auto"/>
                  <w:vAlign w:val="center"/>
                </w:tcPr>
                <w:p w14:paraId="6ACEA2B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3F81843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31FD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0" w:type="auto"/>
                  <w:vAlign w:val="center"/>
                </w:tcPr>
                <w:p w14:paraId="4C65401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8</w:t>
                  </w:r>
                </w:p>
              </w:tc>
              <w:tc>
                <w:tcPr>
                  <w:tcW w:w="0" w:type="auto"/>
                  <w:vAlign w:val="center"/>
                </w:tcPr>
                <w:p w14:paraId="2F0CC59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TDS</w:t>
                  </w:r>
                </w:p>
              </w:tc>
              <w:tc>
                <w:tcPr>
                  <w:tcW w:w="0" w:type="auto"/>
                  <w:vAlign w:val="center"/>
                </w:tcPr>
                <w:p w14:paraId="5A3ACF2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≤3500</w:t>
                  </w:r>
                </w:p>
              </w:tc>
              <w:tc>
                <w:tcPr>
                  <w:tcW w:w="0" w:type="auto"/>
                  <w:vAlign w:val="center"/>
                </w:tcPr>
                <w:p w14:paraId="7DE952C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1F858DB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1D4E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0" w:type="auto"/>
                  <w:vAlign w:val="center"/>
                </w:tcPr>
                <w:p w14:paraId="1BA1FCA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9</w:t>
                  </w:r>
                </w:p>
              </w:tc>
              <w:tc>
                <w:tcPr>
                  <w:tcW w:w="0" w:type="auto"/>
                  <w:vAlign w:val="center"/>
                </w:tcPr>
                <w:p w14:paraId="179DEFD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Na</w:t>
                  </w:r>
                  <w:r>
                    <w:rPr>
                      <w:rFonts w:hint="default" w:ascii="Times New Roman" w:hAnsi="Times New Roman" w:eastAsia="宋体" w:cs="Times New Roman"/>
                      <w:b w:val="0"/>
                      <w:bCs w:val="0"/>
                      <w:highlight w:val="none"/>
                      <w:vertAlign w:val="superscript"/>
                      <w:lang w:val="en-US" w:eastAsia="zh-CN"/>
                    </w:rPr>
                    <w:t>+</w:t>
                  </w:r>
                </w:p>
              </w:tc>
              <w:tc>
                <w:tcPr>
                  <w:tcW w:w="0" w:type="auto"/>
                  <w:vAlign w:val="center"/>
                </w:tcPr>
                <w:p w14:paraId="72F1B4B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≤556</w:t>
                  </w:r>
                </w:p>
              </w:tc>
              <w:tc>
                <w:tcPr>
                  <w:tcW w:w="0" w:type="auto"/>
                  <w:vAlign w:val="center"/>
                </w:tcPr>
                <w:p w14:paraId="26559B0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429F4E8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4B29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0" w:type="auto"/>
                  <w:vAlign w:val="center"/>
                </w:tcPr>
                <w:p w14:paraId="3C46E66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10</w:t>
                  </w:r>
                </w:p>
              </w:tc>
              <w:tc>
                <w:tcPr>
                  <w:tcW w:w="0" w:type="auto"/>
                  <w:vAlign w:val="center"/>
                </w:tcPr>
                <w:p w14:paraId="26D1F21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K</w:t>
                  </w:r>
                  <w:r>
                    <w:rPr>
                      <w:rFonts w:hint="default" w:ascii="Times New Roman" w:hAnsi="Times New Roman" w:eastAsia="宋体" w:cs="Times New Roman"/>
                      <w:b w:val="0"/>
                      <w:bCs w:val="0"/>
                      <w:highlight w:val="none"/>
                      <w:vertAlign w:val="superscript"/>
                      <w:lang w:val="en-US" w:eastAsia="zh-CN"/>
                    </w:rPr>
                    <w:t>+</w:t>
                  </w:r>
                </w:p>
              </w:tc>
              <w:tc>
                <w:tcPr>
                  <w:tcW w:w="0" w:type="auto"/>
                  <w:vAlign w:val="center"/>
                </w:tcPr>
                <w:p w14:paraId="56B5831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≤22</w:t>
                  </w:r>
                </w:p>
              </w:tc>
              <w:tc>
                <w:tcPr>
                  <w:tcW w:w="0" w:type="auto"/>
                  <w:vAlign w:val="center"/>
                </w:tcPr>
                <w:p w14:paraId="5B13642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71F0EFE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72C6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0" w:type="auto"/>
                  <w:vAlign w:val="center"/>
                </w:tcPr>
                <w:p w14:paraId="6059916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11</w:t>
                  </w:r>
                </w:p>
              </w:tc>
              <w:tc>
                <w:tcPr>
                  <w:tcW w:w="0" w:type="auto"/>
                  <w:vAlign w:val="center"/>
                </w:tcPr>
                <w:p w14:paraId="0033A93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Ca</w:t>
                  </w:r>
                  <w:r>
                    <w:rPr>
                      <w:rFonts w:hint="default" w:ascii="Times New Roman" w:hAnsi="Times New Roman" w:eastAsia="宋体" w:cs="Times New Roman"/>
                      <w:b w:val="0"/>
                      <w:bCs w:val="0"/>
                      <w:highlight w:val="none"/>
                      <w:vertAlign w:val="superscript"/>
                      <w:lang w:val="en-US" w:eastAsia="zh-CN"/>
                    </w:rPr>
                    <w:t>2+</w:t>
                  </w:r>
                </w:p>
              </w:tc>
              <w:tc>
                <w:tcPr>
                  <w:tcW w:w="0" w:type="auto"/>
                  <w:vAlign w:val="center"/>
                </w:tcPr>
                <w:p w14:paraId="312ABD2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≤304</w:t>
                  </w:r>
                </w:p>
              </w:tc>
              <w:tc>
                <w:tcPr>
                  <w:tcW w:w="0" w:type="auto"/>
                  <w:vAlign w:val="center"/>
                </w:tcPr>
                <w:p w14:paraId="5F6AE39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15C0DAE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727D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0" w:type="auto"/>
                  <w:vAlign w:val="center"/>
                </w:tcPr>
                <w:p w14:paraId="1CCD421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12</w:t>
                  </w:r>
                </w:p>
              </w:tc>
              <w:tc>
                <w:tcPr>
                  <w:tcW w:w="0" w:type="auto"/>
                  <w:vAlign w:val="center"/>
                </w:tcPr>
                <w:p w14:paraId="42514E1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w:t>
                  </w:r>
                  <w:r>
                    <w:rPr>
                      <w:rFonts w:hint="default" w:ascii="Times New Roman" w:hAnsi="Times New Roman" w:eastAsia="宋体" w:cs="Times New Roman"/>
                      <w:b w:val="0"/>
                      <w:bCs w:val="0"/>
                      <w:highlight w:val="none"/>
                      <w:vertAlign w:val="superscript"/>
                      <w:lang w:val="en-US" w:eastAsia="zh-CN"/>
                    </w:rPr>
                    <w:t>2+</w:t>
                  </w:r>
                </w:p>
              </w:tc>
              <w:tc>
                <w:tcPr>
                  <w:tcW w:w="0" w:type="auto"/>
                  <w:vAlign w:val="center"/>
                </w:tcPr>
                <w:p w14:paraId="0A0CD9E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≤187</w:t>
                  </w:r>
                </w:p>
              </w:tc>
              <w:tc>
                <w:tcPr>
                  <w:tcW w:w="0" w:type="auto"/>
                  <w:vAlign w:val="center"/>
                </w:tcPr>
                <w:p w14:paraId="623B05F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3A179AD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0B83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0" w:type="auto"/>
                  <w:vAlign w:val="center"/>
                </w:tcPr>
                <w:p w14:paraId="788E8D1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13</w:t>
                  </w:r>
                </w:p>
              </w:tc>
              <w:tc>
                <w:tcPr>
                  <w:tcW w:w="0" w:type="auto"/>
                  <w:vAlign w:val="center"/>
                </w:tcPr>
                <w:p w14:paraId="05CD7C4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Fe</w:t>
                  </w:r>
                  <w:r>
                    <w:rPr>
                      <w:rFonts w:hint="default" w:ascii="Times New Roman" w:hAnsi="Times New Roman" w:eastAsia="宋体" w:cs="Times New Roman"/>
                      <w:b w:val="0"/>
                      <w:bCs w:val="0"/>
                      <w:highlight w:val="none"/>
                      <w:vertAlign w:val="superscript"/>
                      <w:lang w:val="en-US" w:eastAsia="zh-CN"/>
                    </w:rPr>
                    <w:t>3+</w:t>
                  </w:r>
                </w:p>
              </w:tc>
              <w:tc>
                <w:tcPr>
                  <w:tcW w:w="0" w:type="auto"/>
                  <w:vAlign w:val="center"/>
                </w:tcPr>
                <w:p w14:paraId="4723CF0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0" w:type="auto"/>
                  <w:vAlign w:val="center"/>
                </w:tcPr>
                <w:p w14:paraId="0B42534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7565E7F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5E9F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0" w:type="auto"/>
                  <w:vAlign w:val="center"/>
                </w:tcPr>
                <w:p w14:paraId="3464877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14</w:t>
                  </w:r>
                </w:p>
              </w:tc>
              <w:tc>
                <w:tcPr>
                  <w:tcW w:w="0" w:type="auto"/>
                  <w:vAlign w:val="center"/>
                </w:tcPr>
                <w:p w14:paraId="5704B86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Al</w:t>
                  </w:r>
                  <w:r>
                    <w:rPr>
                      <w:rFonts w:hint="default" w:ascii="Times New Roman" w:hAnsi="Times New Roman" w:eastAsia="宋体" w:cs="Times New Roman"/>
                      <w:b w:val="0"/>
                      <w:bCs w:val="0"/>
                      <w:highlight w:val="none"/>
                      <w:vertAlign w:val="superscript"/>
                      <w:lang w:val="en-US" w:eastAsia="zh-CN"/>
                    </w:rPr>
                    <w:t>3+</w:t>
                  </w:r>
                </w:p>
              </w:tc>
              <w:tc>
                <w:tcPr>
                  <w:tcW w:w="0" w:type="auto"/>
                  <w:vAlign w:val="center"/>
                </w:tcPr>
                <w:p w14:paraId="6DA505F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0" w:type="auto"/>
                  <w:vAlign w:val="center"/>
                </w:tcPr>
                <w:p w14:paraId="55AB977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4CA9D0A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60A9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0" w:type="auto"/>
                  <w:vAlign w:val="center"/>
                </w:tcPr>
                <w:p w14:paraId="760BAB7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15</w:t>
                  </w:r>
                </w:p>
              </w:tc>
              <w:tc>
                <w:tcPr>
                  <w:tcW w:w="0" w:type="auto"/>
                  <w:vAlign w:val="center"/>
                </w:tcPr>
                <w:p w14:paraId="1852680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NH</w:t>
                  </w:r>
                  <w:r>
                    <w:rPr>
                      <w:rFonts w:hint="default" w:ascii="Times New Roman" w:hAnsi="Times New Roman" w:eastAsia="宋体" w:cs="Times New Roman"/>
                      <w:b w:val="0"/>
                      <w:bCs w:val="0"/>
                      <w:highlight w:val="none"/>
                      <w:vertAlign w:val="superscript"/>
                      <w:lang w:val="en-US" w:eastAsia="zh-CN"/>
                    </w:rPr>
                    <w:t>4</w:t>
                  </w:r>
                  <w:r>
                    <w:rPr>
                      <w:rFonts w:hint="eastAsia" w:ascii="Times New Roman" w:hAnsi="Times New Roman" w:eastAsia="宋体" w:cs="Times New Roman"/>
                      <w:b w:val="0"/>
                      <w:bCs w:val="0"/>
                      <w:highlight w:val="none"/>
                      <w:vertAlign w:val="superscript"/>
                      <w:lang w:val="en-US" w:eastAsia="zh-CN"/>
                    </w:rPr>
                    <w:t>+</w:t>
                  </w:r>
                </w:p>
              </w:tc>
              <w:tc>
                <w:tcPr>
                  <w:tcW w:w="0" w:type="auto"/>
                  <w:vAlign w:val="center"/>
                </w:tcPr>
                <w:p w14:paraId="59D6DCA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w:t>
                  </w:r>
                </w:p>
              </w:tc>
              <w:tc>
                <w:tcPr>
                  <w:tcW w:w="0" w:type="auto"/>
                  <w:vAlign w:val="center"/>
                </w:tcPr>
                <w:p w14:paraId="3F63D43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2447B97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7C8D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0" w:type="auto"/>
                  <w:vAlign w:val="center"/>
                </w:tcPr>
                <w:p w14:paraId="587864F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16</w:t>
                  </w:r>
                </w:p>
              </w:tc>
              <w:tc>
                <w:tcPr>
                  <w:tcW w:w="0" w:type="auto"/>
                  <w:vAlign w:val="center"/>
                </w:tcPr>
                <w:p w14:paraId="529092D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Ba</w:t>
                  </w:r>
                  <w:r>
                    <w:rPr>
                      <w:rFonts w:hint="default" w:ascii="Times New Roman" w:hAnsi="Times New Roman" w:eastAsia="宋体" w:cs="Times New Roman"/>
                      <w:b w:val="0"/>
                      <w:bCs w:val="0"/>
                      <w:highlight w:val="none"/>
                      <w:vertAlign w:val="superscript"/>
                      <w:lang w:val="en-US" w:eastAsia="zh-CN"/>
                    </w:rPr>
                    <w:t>2+</w:t>
                  </w:r>
                </w:p>
              </w:tc>
              <w:tc>
                <w:tcPr>
                  <w:tcW w:w="0" w:type="auto"/>
                  <w:vAlign w:val="center"/>
                </w:tcPr>
                <w:p w14:paraId="2EEC84A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≤0.52</w:t>
                  </w:r>
                </w:p>
              </w:tc>
              <w:tc>
                <w:tcPr>
                  <w:tcW w:w="0" w:type="auto"/>
                  <w:vAlign w:val="center"/>
                </w:tcPr>
                <w:p w14:paraId="4580B25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0F3BFD2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24A7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0" w:type="auto"/>
                  <w:vAlign w:val="center"/>
                </w:tcPr>
                <w:p w14:paraId="64FCEDC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17</w:t>
                  </w:r>
                </w:p>
              </w:tc>
              <w:tc>
                <w:tcPr>
                  <w:tcW w:w="0" w:type="auto"/>
                  <w:vAlign w:val="center"/>
                </w:tcPr>
                <w:p w14:paraId="338DC5A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Sr</w:t>
                  </w:r>
                  <w:r>
                    <w:rPr>
                      <w:rFonts w:hint="default" w:ascii="Times New Roman" w:hAnsi="Times New Roman" w:eastAsia="宋体" w:cs="Times New Roman"/>
                      <w:b w:val="0"/>
                      <w:bCs w:val="0"/>
                      <w:highlight w:val="none"/>
                      <w:vertAlign w:val="superscript"/>
                      <w:lang w:val="en-US" w:eastAsia="zh-CN"/>
                    </w:rPr>
                    <w:t>2+</w:t>
                  </w:r>
                </w:p>
              </w:tc>
              <w:tc>
                <w:tcPr>
                  <w:tcW w:w="0" w:type="auto"/>
                  <w:vAlign w:val="center"/>
                </w:tcPr>
                <w:p w14:paraId="6DA2D24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≤5.24</w:t>
                  </w:r>
                </w:p>
              </w:tc>
              <w:tc>
                <w:tcPr>
                  <w:tcW w:w="0" w:type="auto"/>
                  <w:vAlign w:val="center"/>
                </w:tcPr>
                <w:p w14:paraId="41DAA66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162F226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7C16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0" w:type="auto"/>
                  <w:vAlign w:val="center"/>
                </w:tcPr>
                <w:p w14:paraId="28C6837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18</w:t>
                  </w:r>
                </w:p>
              </w:tc>
              <w:tc>
                <w:tcPr>
                  <w:tcW w:w="0" w:type="auto"/>
                  <w:vAlign w:val="center"/>
                </w:tcPr>
                <w:p w14:paraId="763327B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Mn</w:t>
                  </w:r>
                  <w:r>
                    <w:rPr>
                      <w:rFonts w:hint="default" w:ascii="Times New Roman" w:hAnsi="Times New Roman" w:eastAsia="宋体" w:cs="Times New Roman"/>
                      <w:b w:val="0"/>
                      <w:bCs w:val="0"/>
                      <w:highlight w:val="none"/>
                      <w:vertAlign w:val="superscript"/>
                      <w:lang w:val="en-US" w:eastAsia="zh-CN"/>
                    </w:rPr>
                    <w:t>2+</w:t>
                  </w:r>
                </w:p>
              </w:tc>
              <w:tc>
                <w:tcPr>
                  <w:tcW w:w="0" w:type="auto"/>
                  <w:vAlign w:val="center"/>
                </w:tcPr>
                <w:p w14:paraId="02528CE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0" w:type="auto"/>
                  <w:vAlign w:val="center"/>
                </w:tcPr>
                <w:p w14:paraId="2601244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0C820B7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55AA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0" w:type="auto"/>
                  <w:vAlign w:val="center"/>
                </w:tcPr>
                <w:p w14:paraId="2C8CB8A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19</w:t>
                  </w:r>
                </w:p>
              </w:tc>
              <w:tc>
                <w:tcPr>
                  <w:tcW w:w="0" w:type="auto"/>
                  <w:vAlign w:val="center"/>
                </w:tcPr>
                <w:p w14:paraId="34187D2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Cu</w:t>
                  </w:r>
                  <w:r>
                    <w:rPr>
                      <w:rFonts w:hint="default" w:ascii="Times New Roman" w:hAnsi="Times New Roman" w:eastAsia="宋体" w:cs="Times New Roman"/>
                      <w:b w:val="0"/>
                      <w:bCs w:val="0"/>
                      <w:highlight w:val="none"/>
                      <w:vertAlign w:val="superscript"/>
                      <w:lang w:val="en-US" w:eastAsia="zh-CN"/>
                    </w:rPr>
                    <w:t>2+</w:t>
                  </w:r>
                </w:p>
              </w:tc>
              <w:tc>
                <w:tcPr>
                  <w:tcW w:w="0" w:type="auto"/>
                  <w:vAlign w:val="center"/>
                </w:tcPr>
                <w:p w14:paraId="0AE589B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0" w:type="auto"/>
                  <w:vAlign w:val="center"/>
                </w:tcPr>
                <w:p w14:paraId="6EDE340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5D4A463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5B31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0" w:type="auto"/>
                  <w:vAlign w:val="center"/>
                </w:tcPr>
                <w:p w14:paraId="1379DD8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20</w:t>
                  </w:r>
                </w:p>
              </w:tc>
              <w:tc>
                <w:tcPr>
                  <w:tcW w:w="0" w:type="auto"/>
                  <w:vAlign w:val="center"/>
                </w:tcPr>
                <w:p w14:paraId="0E5571D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Zn</w:t>
                  </w:r>
                  <w:r>
                    <w:rPr>
                      <w:rFonts w:hint="default" w:ascii="Times New Roman" w:hAnsi="Times New Roman" w:eastAsia="宋体" w:cs="Times New Roman"/>
                      <w:b w:val="0"/>
                      <w:bCs w:val="0"/>
                      <w:highlight w:val="none"/>
                      <w:vertAlign w:val="superscript"/>
                      <w:lang w:val="en-US" w:eastAsia="zh-CN"/>
                    </w:rPr>
                    <w:t>2+</w:t>
                  </w:r>
                </w:p>
              </w:tc>
              <w:tc>
                <w:tcPr>
                  <w:tcW w:w="0" w:type="auto"/>
                  <w:vAlign w:val="center"/>
                </w:tcPr>
                <w:p w14:paraId="2CB3CAF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0" w:type="auto"/>
                  <w:vAlign w:val="center"/>
                </w:tcPr>
                <w:p w14:paraId="5650805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7CD0E40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1F03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0" w:type="auto"/>
                  <w:vAlign w:val="center"/>
                </w:tcPr>
                <w:p w14:paraId="45D3CB2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21</w:t>
                  </w:r>
                </w:p>
              </w:tc>
              <w:tc>
                <w:tcPr>
                  <w:tcW w:w="0" w:type="auto"/>
                  <w:vAlign w:val="center"/>
                </w:tcPr>
                <w:p w14:paraId="10815D2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Cl</w:t>
                  </w:r>
                  <w:r>
                    <w:rPr>
                      <w:rFonts w:hint="default" w:ascii="Times New Roman" w:hAnsi="Times New Roman" w:eastAsia="宋体" w:cs="Times New Roman"/>
                      <w:b w:val="0"/>
                      <w:bCs w:val="0"/>
                      <w:highlight w:val="none"/>
                      <w:vertAlign w:val="superscript"/>
                      <w:lang w:val="en-US" w:eastAsia="zh-CN"/>
                    </w:rPr>
                    <w:t>-</w:t>
                  </w:r>
                </w:p>
              </w:tc>
              <w:tc>
                <w:tcPr>
                  <w:tcW w:w="0" w:type="auto"/>
                  <w:vAlign w:val="center"/>
                </w:tcPr>
                <w:p w14:paraId="2E1D6F4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≤577</w:t>
                  </w:r>
                </w:p>
              </w:tc>
              <w:tc>
                <w:tcPr>
                  <w:tcW w:w="0" w:type="auto"/>
                  <w:vAlign w:val="center"/>
                </w:tcPr>
                <w:p w14:paraId="45C1E22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3808EB8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4661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0" w:type="auto"/>
                  <w:vAlign w:val="center"/>
                </w:tcPr>
                <w:p w14:paraId="57EB754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22</w:t>
                  </w:r>
                </w:p>
              </w:tc>
              <w:tc>
                <w:tcPr>
                  <w:tcW w:w="0" w:type="auto"/>
                  <w:vAlign w:val="center"/>
                </w:tcPr>
                <w:p w14:paraId="2E99164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SO</w:t>
                  </w:r>
                  <w:r>
                    <w:rPr>
                      <w:rFonts w:hint="default" w:ascii="Times New Roman" w:hAnsi="Times New Roman" w:eastAsia="宋体" w:cs="Times New Roman"/>
                      <w:b w:val="0"/>
                      <w:bCs w:val="0"/>
                      <w:highlight w:val="none"/>
                      <w:vertAlign w:val="subscript"/>
                      <w:lang w:val="en-US" w:eastAsia="zh-CN"/>
                    </w:rPr>
                    <w:t>4</w:t>
                  </w:r>
                  <w:r>
                    <w:rPr>
                      <w:rFonts w:hint="default" w:ascii="Times New Roman" w:hAnsi="Times New Roman" w:eastAsia="宋体" w:cs="Times New Roman"/>
                      <w:b w:val="0"/>
                      <w:bCs w:val="0"/>
                      <w:highlight w:val="none"/>
                      <w:vertAlign w:val="superscript"/>
                      <w:lang w:val="en-US" w:eastAsia="zh-CN"/>
                    </w:rPr>
                    <w:t>2-</w:t>
                  </w:r>
                </w:p>
              </w:tc>
              <w:tc>
                <w:tcPr>
                  <w:tcW w:w="0" w:type="auto"/>
                  <w:vAlign w:val="center"/>
                </w:tcPr>
                <w:p w14:paraId="454D6EA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≤790</w:t>
                  </w:r>
                </w:p>
              </w:tc>
              <w:tc>
                <w:tcPr>
                  <w:tcW w:w="0" w:type="auto"/>
                  <w:vAlign w:val="center"/>
                </w:tcPr>
                <w:p w14:paraId="3AFB4D0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52A4FD6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2E90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0" w:type="auto"/>
                  <w:vAlign w:val="center"/>
                </w:tcPr>
                <w:p w14:paraId="22F4A21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23</w:t>
                  </w:r>
                </w:p>
              </w:tc>
              <w:tc>
                <w:tcPr>
                  <w:tcW w:w="0" w:type="auto"/>
                  <w:vAlign w:val="center"/>
                </w:tcPr>
                <w:p w14:paraId="5CD69A7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HCO</w:t>
                  </w:r>
                  <w:r>
                    <w:rPr>
                      <w:rFonts w:hint="default" w:ascii="Times New Roman" w:hAnsi="Times New Roman" w:eastAsia="宋体" w:cs="Times New Roman"/>
                      <w:b w:val="0"/>
                      <w:bCs w:val="0"/>
                      <w:highlight w:val="none"/>
                      <w:vertAlign w:val="subscript"/>
                      <w:lang w:val="en-US" w:eastAsia="zh-CN"/>
                    </w:rPr>
                    <w:t>3</w:t>
                  </w:r>
                  <w:r>
                    <w:rPr>
                      <w:rFonts w:hint="eastAsia" w:ascii="Times New Roman" w:hAnsi="Times New Roman" w:eastAsia="宋体" w:cs="Times New Roman"/>
                      <w:b w:val="0"/>
                      <w:bCs w:val="0"/>
                      <w:highlight w:val="none"/>
                      <w:vertAlign w:val="superscript"/>
                      <w:lang w:val="en-US" w:eastAsia="zh-CN"/>
                    </w:rPr>
                    <w:t>-</w:t>
                  </w:r>
                </w:p>
              </w:tc>
              <w:tc>
                <w:tcPr>
                  <w:tcW w:w="0" w:type="auto"/>
                  <w:vAlign w:val="center"/>
                </w:tcPr>
                <w:p w14:paraId="3E8040C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≤1282</w:t>
                  </w:r>
                </w:p>
              </w:tc>
              <w:tc>
                <w:tcPr>
                  <w:tcW w:w="0" w:type="auto"/>
                  <w:vAlign w:val="center"/>
                </w:tcPr>
                <w:p w14:paraId="01A6FA2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2CD57DF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3A6B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0" w:type="auto"/>
                  <w:vAlign w:val="center"/>
                </w:tcPr>
                <w:p w14:paraId="159BB0B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24</w:t>
                  </w:r>
                </w:p>
              </w:tc>
              <w:tc>
                <w:tcPr>
                  <w:tcW w:w="0" w:type="auto"/>
                  <w:vAlign w:val="center"/>
                </w:tcPr>
                <w:p w14:paraId="3A8663D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CO</w:t>
                  </w:r>
                  <w:r>
                    <w:rPr>
                      <w:rFonts w:hint="default" w:ascii="Times New Roman" w:hAnsi="Times New Roman" w:eastAsia="宋体" w:cs="Times New Roman"/>
                      <w:b w:val="0"/>
                      <w:bCs w:val="0"/>
                      <w:highlight w:val="none"/>
                      <w:vertAlign w:val="subscript"/>
                      <w:lang w:val="en-US" w:eastAsia="zh-CN"/>
                    </w:rPr>
                    <w:t>3</w:t>
                  </w:r>
                  <w:r>
                    <w:rPr>
                      <w:rFonts w:hint="default" w:ascii="Times New Roman" w:hAnsi="Times New Roman" w:eastAsia="宋体" w:cs="Times New Roman"/>
                      <w:b w:val="0"/>
                      <w:bCs w:val="0"/>
                      <w:highlight w:val="none"/>
                      <w:vertAlign w:val="superscript"/>
                      <w:lang w:val="en-US" w:eastAsia="zh-CN"/>
                    </w:rPr>
                    <w:t>2-</w:t>
                  </w:r>
                </w:p>
              </w:tc>
              <w:tc>
                <w:tcPr>
                  <w:tcW w:w="0" w:type="auto"/>
                  <w:vAlign w:val="center"/>
                </w:tcPr>
                <w:p w14:paraId="2752715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≤41</w:t>
                  </w:r>
                </w:p>
              </w:tc>
              <w:tc>
                <w:tcPr>
                  <w:tcW w:w="0" w:type="auto"/>
                  <w:vAlign w:val="center"/>
                </w:tcPr>
                <w:p w14:paraId="1FB55BE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01CCB3D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7461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0" w:type="auto"/>
                  <w:vAlign w:val="center"/>
                </w:tcPr>
                <w:p w14:paraId="69CA1D6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25</w:t>
                  </w:r>
                </w:p>
              </w:tc>
              <w:tc>
                <w:tcPr>
                  <w:tcW w:w="0" w:type="auto"/>
                  <w:vAlign w:val="center"/>
                </w:tcPr>
                <w:p w14:paraId="3AF3E66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NO</w:t>
                  </w:r>
                  <w:r>
                    <w:rPr>
                      <w:rFonts w:hint="default" w:ascii="Times New Roman" w:hAnsi="Times New Roman" w:eastAsia="宋体" w:cs="Times New Roman"/>
                      <w:b w:val="0"/>
                      <w:bCs w:val="0"/>
                      <w:highlight w:val="none"/>
                      <w:vertAlign w:val="subscript"/>
                      <w:lang w:val="en-US" w:eastAsia="zh-CN"/>
                    </w:rPr>
                    <w:t>3</w:t>
                  </w:r>
                  <w:r>
                    <w:rPr>
                      <w:rFonts w:hint="eastAsia" w:ascii="Times New Roman" w:hAnsi="Times New Roman" w:eastAsia="宋体" w:cs="Times New Roman"/>
                      <w:b w:val="0"/>
                      <w:bCs w:val="0"/>
                      <w:highlight w:val="none"/>
                      <w:vertAlign w:val="superscript"/>
                      <w:lang w:val="en-US" w:eastAsia="zh-CN"/>
                    </w:rPr>
                    <w:t>-</w:t>
                  </w:r>
                </w:p>
              </w:tc>
              <w:tc>
                <w:tcPr>
                  <w:tcW w:w="0" w:type="auto"/>
                  <w:vAlign w:val="center"/>
                </w:tcPr>
                <w:p w14:paraId="1631221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≤12</w:t>
                  </w:r>
                </w:p>
              </w:tc>
              <w:tc>
                <w:tcPr>
                  <w:tcW w:w="0" w:type="auto"/>
                  <w:vAlign w:val="center"/>
                </w:tcPr>
                <w:p w14:paraId="1BB9E62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244C7E2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3DFB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0" w:type="auto"/>
                  <w:vAlign w:val="center"/>
                </w:tcPr>
                <w:p w14:paraId="6479319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26</w:t>
                  </w:r>
                </w:p>
              </w:tc>
              <w:tc>
                <w:tcPr>
                  <w:tcW w:w="0" w:type="auto"/>
                  <w:vAlign w:val="center"/>
                </w:tcPr>
                <w:p w14:paraId="1C587F6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NO</w:t>
                  </w:r>
                  <w:r>
                    <w:rPr>
                      <w:rFonts w:hint="default" w:ascii="Times New Roman" w:hAnsi="Times New Roman" w:eastAsia="宋体" w:cs="Times New Roman"/>
                      <w:b w:val="0"/>
                      <w:bCs w:val="0"/>
                      <w:highlight w:val="none"/>
                      <w:vertAlign w:val="subscript"/>
                      <w:lang w:val="en-US" w:eastAsia="zh-CN"/>
                    </w:rPr>
                    <w:t>3</w:t>
                  </w:r>
                  <w:r>
                    <w:rPr>
                      <w:rFonts w:hint="eastAsia" w:ascii="Times New Roman" w:hAnsi="Times New Roman" w:eastAsia="宋体" w:cs="Times New Roman"/>
                      <w:b w:val="0"/>
                      <w:bCs w:val="0"/>
                      <w:highlight w:val="none"/>
                      <w:vertAlign w:val="superscript"/>
                      <w:lang w:val="en-US" w:eastAsia="zh-CN"/>
                    </w:rPr>
                    <w:t>-</w:t>
                  </w:r>
                </w:p>
              </w:tc>
              <w:tc>
                <w:tcPr>
                  <w:tcW w:w="0" w:type="auto"/>
                  <w:vAlign w:val="center"/>
                </w:tcPr>
                <w:p w14:paraId="0969070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0" w:type="auto"/>
                  <w:vAlign w:val="center"/>
                </w:tcPr>
                <w:p w14:paraId="49C42F8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119D907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2215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0" w:type="auto"/>
                  <w:vAlign w:val="center"/>
                </w:tcPr>
                <w:p w14:paraId="30165AD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27</w:t>
                  </w:r>
                </w:p>
              </w:tc>
              <w:tc>
                <w:tcPr>
                  <w:tcW w:w="0" w:type="auto"/>
                  <w:vAlign w:val="center"/>
                </w:tcPr>
                <w:p w14:paraId="0F87D44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OH-</w:t>
                  </w:r>
                </w:p>
              </w:tc>
              <w:tc>
                <w:tcPr>
                  <w:tcW w:w="0" w:type="auto"/>
                  <w:vAlign w:val="center"/>
                </w:tcPr>
                <w:p w14:paraId="6A43F71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0" w:type="auto"/>
                  <w:vAlign w:val="center"/>
                </w:tcPr>
                <w:p w14:paraId="48D1E98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28BBEF8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595A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0" w:type="auto"/>
                  <w:vAlign w:val="center"/>
                </w:tcPr>
                <w:p w14:paraId="00AE0D4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28</w:t>
                  </w:r>
                </w:p>
              </w:tc>
              <w:tc>
                <w:tcPr>
                  <w:tcW w:w="0" w:type="auto"/>
                  <w:vAlign w:val="center"/>
                </w:tcPr>
                <w:p w14:paraId="47B2384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HSiO</w:t>
                  </w:r>
                  <w:r>
                    <w:rPr>
                      <w:rFonts w:hint="default" w:ascii="Times New Roman" w:hAnsi="Times New Roman" w:eastAsia="宋体" w:cs="Times New Roman"/>
                      <w:b w:val="0"/>
                      <w:bCs w:val="0"/>
                      <w:highlight w:val="none"/>
                      <w:vertAlign w:val="subscript"/>
                      <w:lang w:val="en-US" w:eastAsia="zh-CN"/>
                    </w:rPr>
                    <w:t>3</w:t>
                  </w:r>
                  <w:r>
                    <w:rPr>
                      <w:rFonts w:hint="eastAsia" w:ascii="Times New Roman" w:hAnsi="Times New Roman" w:eastAsia="宋体" w:cs="Times New Roman"/>
                      <w:b w:val="0"/>
                      <w:bCs w:val="0"/>
                      <w:highlight w:val="none"/>
                      <w:vertAlign w:val="superscript"/>
                      <w:lang w:val="en-US" w:eastAsia="zh-CN"/>
                    </w:rPr>
                    <w:t>-</w:t>
                  </w:r>
                </w:p>
              </w:tc>
              <w:tc>
                <w:tcPr>
                  <w:tcW w:w="0" w:type="auto"/>
                  <w:vAlign w:val="center"/>
                </w:tcPr>
                <w:p w14:paraId="26CEB44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0" w:type="auto"/>
                  <w:vAlign w:val="center"/>
                </w:tcPr>
                <w:p w14:paraId="36F0168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5FA1F3B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001C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0" w:type="auto"/>
                  <w:vAlign w:val="center"/>
                </w:tcPr>
                <w:p w14:paraId="1A13CB9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29</w:t>
                  </w:r>
                </w:p>
              </w:tc>
              <w:tc>
                <w:tcPr>
                  <w:tcW w:w="0" w:type="auto"/>
                  <w:vAlign w:val="center"/>
                </w:tcPr>
                <w:p w14:paraId="0FB6AC9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F</w:t>
                  </w:r>
                  <w:r>
                    <w:rPr>
                      <w:rFonts w:hint="default" w:ascii="Times New Roman" w:hAnsi="Times New Roman" w:eastAsia="宋体" w:cs="Times New Roman"/>
                      <w:b w:val="0"/>
                      <w:bCs w:val="0"/>
                      <w:highlight w:val="none"/>
                      <w:vertAlign w:val="superscript"/>
                      <w:lang w:val="en-US" w:eastAsia="zh-CN"/>
                    </w:rPr>
                    <w:t>-</w:t>
                  </w:r>
                </w:p>
              </w:tc>
              <w:tc>
                <w:tcPr>
                  <w:tcW w:w="0" w:type="auto"/>
                  <w:vAlign w:val="center"/>
                </w:tcPr>
                <w:p w14:paraId="49BA42A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w:t>
                  </w:r>
                </w:p>
              </w:tc>
              <w:tc>
                <w:tcPr>
                  <w:tcW w:w="0" w:type="auto"/>
                  <w:vAlign w:val="center"/>
                </w:tcPr>
                <w:p w14:paraId="071F281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3B31CA5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159B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0" w:type="auto"/>
                  <w:vAlign w:val="center"/>
                </w:tcPr>
                <w:p w14:paraId="4C9B84B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30</w:t>
                  </w:r>
                </w:p>
              </w:tc>
              <w:tc>
                <w:tcPr>
                  <w:tcW w:w="0" w:type="auto"/>
                  <w:vAlign w:val="center"/>
                </w:tcPr>
                <w:p w14:paraId="044CC3F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PO</w:t>
                  </w:r>
                  <w:r>
                    <w:rPr>
                      <w:rFonts w:hint="default" w:ascii="Times New Roman" w:hAnsi="Times New Roman" w:eastAsia="宋体" w:cs="Times New Roman"/>
                      <w:b w:val="0"/>
                      <w:bCs w:val="0"/>
                      <w:highlight w:val="none"/>
                      <w:vertAlign w:val="subscript"/>
                      <w:lang w:val="en-US" w:eastAsia="zh-CN"/>
                    </w:rPr>
                    <w:t>4</w:t>
                  </w:r>
                  <w:r>
                    <w:rPr>
                      <w:rFonts w:hint="default" w:ascii="Times New Roman" w:hAnsi="Times New Roman" w:eastAsia="宋体" w:cs="Times New Roman"/>
                      <w:b w:val="0"/>
                      <w:bCs w:val="0"/>
                      <w:highlight w:val="none"/>
                      <w:vertAlign w:val="superscript"/>
                      <w:lang w:val="en-US" w:eastAsia="zh-CN"/>
                    </w:rPr>
                    <w:t>3-</w:t>
                  </w:r>
                </w:p>
              </w:tc>
              <w:tc>
                <w:tcPr>
                  <w:tcW w:w="0" w:type="auto"/>
                  <w:vAlign w:val="center"/>
                </w:tcPr>
                <w:p w14:paraId="24F36C1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0" w:type="auto"/>
                  <w:vAlign w:val="center"/>
                </w:tcPr>
                <w:p w14:paraId="57B3C41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346828F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72D3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0" w:type="auto"/>
                  <w:vAlign w:val="center"/>
                </w:tcPr>
                <w:p w14:paraId="3FED57F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31</w:t>
                  </w:r>
                </w:p>
              </w:tc>
              <w:tc>
                <w:tcPr>
                  <w:tcW w:w="0" w:type="auto"/>
                  <w:vAlign w:val="center"/>
                </w:tcPr>
                <w:p w14:paraId="6D9EC71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S</w:t>
                  </w:r>
                  <w:r>
                    <w:rPr>
                      <w:rFonts w:hint="default" w:ascii="Times New Roman" w:hAnsi="Times New Roman" w:eastAsia="宋体" w:cs="Times New Roman"/>
                      <w:b w:val="0"/>
                      <w:bCs w:val="0"/>
                      <w:highlight w:val="none"/>
                      <w:vertAlign w:val="superscript"/>
                      <w:lang w:val="en-US" w:eastAsia="zh-CN"/>
                    </w:rPr>
                    <w:t>2-</w:t>
                  </w:r>
                </w:p>
              </w:tc>
              <w:tc>
                <w:tcPr>
                  <w:tcW w:w="0" w:type="auto"/>
                  <w:vAlign w:val="center"/>
                </w:tcPr>
                <w:p w14:paraId="1EA001F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0" w:type="auto"/>
                  <w:vAlign w:val="center"/>
                </w:tcPr>
                <w:p w14:paraId="00C40A9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5AA6166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最大&lt;30 mg/L</w:t>
                  </w:r>
                </w:p>
              </w:tc>
            </w:tr>
            <w:tr w14:paraId="6EB5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0" w:type="auto"/>
                  <w:vAlign w:val="center"/>
                </w:tcPr>
                <w:p w14:paraId="6B303DA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32</w:t>
                  </w:r>
                </w:p>
              </w:tc>
              <w:tc>
                <w:tcPr>
                  <w:tcW w:w="0" w:type="auto"/>
                  <w:vAlign w:val="center"/>
                </w:tcPr>
                <w:p w14:paraId="0592218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HCOO</w:t>
                  </w:r>
                  <w:r>
                    <w:rPr>
                      <w:rFonts w:hint="default" w:ascii="Times New Roman" w:hAnsi="Times New Roman" w:eastAsia="宋体" w:cs="Times New Roman"/>
                      <w:b w:val="0"/>
                      <w:bCs w:val="0"/>
                      <w:highlight w:val="none"/>
                      <w:vertAlign w:val="superscript"/>
                      <w:lang w:val="en-US" w:eastAsia="zh-CN"/>
                    </w:rPr>
                    <w:t>-</w:t>
                  </w:r>
                </w:p>
              </w:tc>
              <w:tc>
                <w:tcPr>
                  <w:tcW w:w="0" w:type="auto"/>
                  <w:vAlign w:val="center"/>
                </w:tcPr>
                <w:p w14:paraId="517205C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0" w:type="auto"/>
                  <w:vAlign w:val="center"/>
                </w:tcPr>
                <w:p w14:paraId="1ED88F5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2F1443A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46337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0" w:type="auto"/>
                  <w:vAlign w:val="center"/>
                </w:tcPr>
                <w:p w14:paraId="4CE7EB8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33</w:t>
                  </w:r>
                </w:p>
              </w:tc>
              <w:tc>
                <w:tcPr>
                  <w:tcW w:w="0" w:type="auto"/>
                  <w:vAlign w:val="center"/>
                </w:tcPr>
                <w:p w14:paraId="4042B1B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CN</w:t>
                  </w:r>
                  <w:r>
                    <w:rPr>
                      <w:rFonts w:hint="default" w:ascii="Times New Roman" w:hAnsi="Times New Roman" w:eastAsia="宋体" w:cs="Times New Roman"/>
                      <w:b w:val="0"/>
                      <w:bCs w:val="0"/>
                      <w:highlight w:val="none"/>
                      <w:vertAlign w:val="superscript"/>
                      <w:lang w:val="en-US" w:eastAsia="zh-CN"/>
                    </w:rPr>
                    <w:t>-</w:t>
                  </w:r>
                </w:p>
              </w:tc>
              <w:tc>
                <w:tcPr>
                  <w:tcW w:w="0" w:type="auto"/>
                  <w:vAlign w:val="center"/>
                </w:tcPr>
                <w:p w14:paraId="30B6CF2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0" w:type="auto"/>
                  <w:vAlign w:val="center"/>
                </w:tcPr>
                <w:p w14:paraId="45D13DF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153B931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1F68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atLeast"/>
                <w:jc w:val="center"/>
              </w:trPr>
              <w:tc>
                <w:tcPr>
                  <w:tcW w:w="0" w:type="auto"/>
                  <w:vAlign w:val="center"/>
                </w:tcPr>
                <w:p w14:paraId="2FACE03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34</w:t>
                  </w:r>
                </w:p>
              </w:tc>
              <w:tc>
                <w:tcPr>
                  <w:tcW w:w="0" w:type="auto"/>
                  <w:vAlign w:val="center"/>
                </w:tcPr>
                <w:p w14:paraId="4DFD861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总硬度（以CaCO</w:t>
                  </w:r>
                  <w:r>
                    <w:rPr>
                      <w:rFonts w:hint="default" w:ascii="Times New Roman" w:hAnsi="Times New Roman" w:eastAsia="宋体" w:cs="Times New Roman"/>
                      <w:b w:val="0"/>
                      <w:bCs w:val="0"/>
                      <w:highlight w:val="none"/>
                      <w:vertAlign w:val="subscript"/>
                      <w:lang w:val="en-US" w:eastAsia="zh-CN"/>
                    </w:rPr>
                    <w:t>3</w:t>
                  </w:r>
                  <w:r>
                    <w:rPr>
                      <w:rFonts w:hint="default" w:ascii="Times New Roman" w:hAnsi="Times New Roman" w:eastAsia="宋体" w:cs="Times New Roman"/>
                      <w:b w:val="0"/>
                      <w:bCs w:val="0"/>
                      <w:highlight w:val="none"/>
                      <w:lang w:val="en-US" w:eastAsia="zh-CN"/>
                    </w:rPr>
                    <w:t>计）</w:t>
                  </w:r>
                </w:p>
              </w:tc>
              <w:tc>
                <w:tcPr>
                  <w:tcW w:w="0" w:type="auto"/>
                  <w:vAlign w:val="center"/>
                </w:tcPr>
                <w:p w14:paraId="2111333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≤1500</w:t>
                  </w:r>
                </w:p>
              </w:tc>
              <w:tc>
                <w:tcPr>
                  <w:tcW w:w="0" w:type="auto"/>
                  <w:vAlign w:val="center"/>
                </w:tcPr>
                <w:p w14:paraId="178A2D9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09C86E4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281B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0" w:type="auto"/>
                  <w:vAlign w:val="center"/>
                </w:tcPr>
                <w:p w14:paraId="0D75A33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35</w:t>
                  </w:r>
                </w:p>
              </w:tc>
              <w:tc>
                <w:tcPr>
                  <w:tcW w:w="0" w:type="auto"/>
                  <w:vAlign w:val="center"/>
                </w:tcPr>
                <w:p w14:paraId="41D8C92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全硅</w:t>
                  </w:r>
                </w:p>
              </w:tc>
              <w:tc>
                <w:tcPr>
                  <w:tcW w:w="0" w:type="auto"/>
                  <w:vAlign w:val="center"/>
                </w:tcPr>
                <w:p w14:paraId="1797458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≤45</w:t>
                  </w:r>
                </w:p>
              </w:tc>
              <w:tc>
                <w:tcPr>
                  <w:tcW w:w="0" w:type="auto"/>
                  <w:vAlign w:val="center"/>
                </w:tcPr>
                <w:p w14:paraId="73A0F99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0" w:type="auto"/>
                  <w:vAlign w:val="center"/>
                </w:tcPr>
                <w:p w14:paraId="472DA34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bl>
          <w:p w14:paraId="365CA891">
            <w:pPr>
              <w:spacing w:line="360" w:lineRule="auto"/>
              <w:ind w:firstLine="482" w:firstLineChars="200"/>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4</w:t>
            </w:r>
            <w:r>
              <w:rPr>
                <w:rFonts w:hint="eastAsia" w:cs="Times New Roman"/>
                <w:b/>
                <w:sz w:val="24"/>
                <w:szCs w:val="24"/>
                <w:highlight w:val="none"/>
                <w:lang w:val="en-US" w:eastAsia="zh-CN"/>
              </w:rPr>
              <w:t>.</w:t>
            </w:r>
            <w:r>
              <w:rPr>
                <w:rFonts w:hint="default" w:ascii="Times New Roman" w:hAnsi="Times New Roman" w:eastAsia="宋体" w:cs="Times New Roman"/>
                <w:b/>
                <w:sz w:val="24"/>
                <w:szCs w:val="24"/>
                <w:highlight w:val="none"/>
              </w:rPr>
              <w:t>固废</w:t>
            </w:r>
          </w:p>
          <w:p w14:paraId="6C4735DB">
            <w:pPr>
              <w:spacing w:line="360" w:lineRule="auto"/>
              <w:ind w:firstLine="480" w:firstLineChars="200"/>
              <w:rPr>
                <w:rFonts w:ascii="Times New Roman" w:hAnsi="Times New Roman" w:cs="Times New Roman"/>
                <w:color w:val="0000FF"/>
                <w:szCs w:val="21"/>
                <w:highlight w:val="none"/>
              </w:rPr>
            </w:pPr>
            <w:r>
              <w:rPr>
                <w:rFonts w:hint="default" w:ascii="Times New Roman" w:hAnsi="Times New Roman" w:cs="Times New Roman"/>
                <w:kern w:val="2"/>
                <w:sz w:val="24"/>
                <w:szCs w:val="24"/>
                <w:highlight w:val="none"/>
              </w:rPr>
              <w:t>本项目施工期产生的一般固体废物处置执行《一般工业固体废物贮存、处置场污染控制标准》</w:t>
            </w:r>
            <w:r>
              <w:rPr>
                <w:rFonts w:hint="eastAsia" w:cs="Times New Roman"/>
                <w:kern w:val="2"/>
                <w:sz w:val="24"/>
                <w:szCs w:val="24"/>
                <w:highlight w:val="none"/>
                <w:lang w:eastAsia="zh-CN"/>
              </w:rPr>
              <w:t>（</w:t>
            </w:r>
            <w:r>
              <w:rPr>
                <w:rFonts w:hint="default" w:ascii="Times New Roman" w:hAnsi="Times New Roman" w:cs="Times New Roman"/>
                <w:kern w:val="2"/>
                <w:sz w:val="24"/>
                <w:szCs w:val="24"/>
                <w:highlight w:val="none"/>
              </w:rPr>
              <w:t>GB18599-2020</w:t>
            </w:r>
            <w:r>
              <w:rPr>
                <w:rFonts w:hint="eastAsia" w:cs="Times New Roman"/>
                <w:kern w:val="2"/>
                <w:sz w:val="24"/>
                <w:szCs w:val="24"/>
                <w:highlight w:val="none"/>
                <w:lang w:eastAsia="zh-CN"/>
              </w:rPr>
              <w:t>），</w:t>
            </w:r>
            <w:r>
              <w:rPr>
                <w:rFonts w:hint="eastAsia" w:cs="Times New Roman"/>
                <w:kern w:val="2"/>
                <w:sz w:val="24"/>
                <w:szCs w:val="24"/>
                <w:highlight w:val="none"/>
                <w:lang w:val="en-US" w:eastAsia="zh-CN"/>
              </w:rPr>
              <w:t>危险废物为</w:t>
            </w:r>
            <w:r>
              <w:rPr>
                <w:rFonts w:hint="default" w:ascii="Times New Roman" w:hAnsi="Times New Roman" w:cs="Times New Roman"/>
                <w:kern w:val="2"/>
                <w:sz w:val="24"/>
                <w:szCs w:val="24"/>
                <w:highlight w:val="none"/>
                <w:lang w:val="en-US" w:eastAsia="zh-CN"/>
              </w:rPr>
              <w:t>废油漆桶</w:t>
            </w:r>
            <w:r>
              <w:rPr>
                <w:rFonts w:hint="default" w:ascii="Times New Roman" w:hAnsi="Times New Roman" w:cs="Times New Roman"/>
                <w:kern w:val="2"/>
                <w:sz w:val="24"/>
                <w:szCs w:val="24"/>
                <w:highlight w:val="none"/>
              </w:rPr>
              <w:t>。</w:t>
            </w:r>
            <w:r>
              <w:rPr>
                <w:rFonts w:hint="default" w:ascii="Times New Roman" w:hAnsi="Times New Roman" w:cs="Times New Roman"/>
                <w:sz w:val="24"/>
                <w:highlight w:val="none"/>
                <w:lang w:val="zh-CN"/>
              </w:rPr>
              <w:t>废油漆桶属于《国家危险废物名录》</w:t>
            </w:r>
            <w:r>
              <w:rPr>
                <w:rFonts w:hint="eastAsia" w:cs="Times New Roman"/>
                <w:sz w:val="24"/>
                <w:highlight w:val="none"/>
                <w:lang w:val="zh-CN"/>
              </w:rPr>
              <w:t>（</w:t>
            </w:r>
            <w:r>
              <w:rPr>
                <w:rFonts w:hint="default" w:ascii="Times New Roman" w:hAnsi="Times New Roman" w:cs="Times New Roman"/>
                <w:sz w:val="24"/>
                <w:highlight w:val="none"/>
                <w:lang w:val="zh-CN"/>
              </w:rPr>
              <w:t>202</w:t>
            </w:r>
            <w:r>
              <w:rPr>
                <w:rFonts w:hint="default" w:ascii="Times New Roman" w:hAnsi="Times New Roman" w:cs="Times New Roman"/>
                <w:sz w:val="24"/>
                <w:highlight w:val="none"/>
              </w:rPr>
              <w:t>5</w:t>
            </w:r>
            <w:r>
              <w:rPr>
                <w:rFonts w:hint="default" w:ascii="Times New Roman" w:hAnsi="Times New Roman" w:cs="Times New Roman"/>
                <w:sz w:val="24"/>
                <w:highlight w:val="none"/>
                <w:lang w:val="zh-CN"/>
              </w:rPr>
              <w:t>年版</w:t>
            </w:r>
            <w:r>
              <w:rPr>
                <w:rFonts w:hint="eastAsia" w:cs="Times New Roman"/>
                <w:sz w:val="24"/>
                <w:highlight w:val="none"/>
                <w:lang w:val="zh-CN"/>
              </w:rPr>
              <w:t>）</w:t>
            </w:r>
            <w:r>
              <w:rPr>
                <w:rFonts w:hint="default" w:ascii="Times New Roman" w:hAnsi="Times New Roman" w:cs="Times New Roman"/>
                <w:sz w:val="24"/>
                <w:highlight w:val="none"/>
                <w:lang w:val="zh-CN"/>
              </w:rPr>
              <w:t>中HW49其</w:t>
            </w:r>
            <w:r>
              <w:rPr>
                <w:rFonts w:hint="eastAsia" w:cs="Times New Roman"/>
                <w:sz w:val="24"/>
                <w:highlight w:val="none"/>
                <w:lang w:val="zh-CN"/>
              </w:rPr>
              <w:t>他</w:t>
            </w:r>
            <w:r>
              <w:rPr>
                <w:rFonts w:hint="default" w:ascii="Times New Roman" w:hAnsi="Times New Roman" w:cs="Times New Roman"/>
                <w:sz w:val="24"/>
                <w:highlight w:val="none"/>
                <w:lang w:val="zh-CN"/>
              </w:rPr>
              <w:t>废物，废物代码为900-041-49，在</w:t>
            </w:r>
            <w:r>
              <w:rPr>
                <w:rFonts w:hint="default" w:ascii="Times New Roman" w:hAnsi="Times New Roman" w:cs="Times New Roman"/>
                <w:sz w:val="24"/>
                <w:highlight w:val="none"/>
              </w:rPr>
              <w:t>厂区</w:t>
            </w:r>
            <w:r>
              <w:rPr>
                <w:rFonts w:hint="default" w:ascii="Times New Roman" w:hAnsi="Times New Roman" w:cs="Times New Roman"/>
                <w:sz w:val="24"/>
                <w:highlight w:val="none"/>
                <w:lang w:val="zh-CN"/>
              </w:rPr>
              <w:t>内</w:t>
            </w:r>
            <w:r>
              <w:rPr>
                <w:rFonts w:hint="eastAsia" w:cs="Times New Roman"/>
                <w:sz w:val="24"/>
                <w:highlight w:val="none"/>
                <w:lang w:val="en-US" w:eastAsia="zh-CN"/>
              </w:rPr>
              <w:t>现有</w:t>
            </w:r>
            <w:r>
              <w:rPr>
                <w:rFonts w:hint="default" w:ascii="Times New Roman" w:hAnsi="Times New Roman" w:cs="Times New Roman"/>
                <w:sz w:val="24"/>
                <w:highlight w:val="none"/>
                <w:lang w:val="zh-CN"/>
              </w:rPr>
              <w:t>危废间暂存，定期委托有资质的危险废物处置单位进行安全处置。</w:t>
            </w:r>
          </w:p>
        </w:tc>
      </w:tr>
      <w:tr w14:paraId="69A217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456" w:type="dxa"/>
            <w:noWrap w:val="0"/>
            <w:vAlign w:val="center"/>
          </w:tcPr>
          <w:p w14:paraId="4784C1C9">
            <w:pPr>
              <w:adjustRightInd w:val="0"/>
              <w:snapToGrid w:val="0"/>
              <w:jc w:val="center"/>
              <w:rPr>
                <w:rFonts w:ascii="宋体" w:hAnsi="宋体" w:cs="宋体"/>
                <w:kern w:val="0"/>
                <w:szCs w:val="21"/>
                <w:highlight w:val="none"/>
              </w:rPr>
            </w:pPr>
            <w:r>
              <w:rPr>
                <w:rFonts w:hint="eastAsia" w:ascii="宋体" w:hAnsi="宋体" w:cs="宋体"/>
                <w:kern w:val="0"/>
                <w:sz w:val="24"/>
                <w:highlight w:val="none"/>
              </w:rPr>
              <w:t>其他</w:t>
            </w:r>
          </w:p>
        </w:tc>
        <w:tc>
          <w:tcPr>
            <w:tcW w:w="8443" w:type="dxa"/>
            <w:noWrap w:val="0"/>
            <w:vAlign w:val="center"/>
          </w:tcPr>
          <w:p w14:paraId="66E341A0">
            <w:pPr>
              <w:adjustRightInd w:val="0"/>
              <w:snapToGrid w:val="0"/>
              <w:jc w:val="center"/>
              <w:rPr>
                <w:rFonts w:ascii="宋体" w:hAnsi="宋体" w:cs="宋体"/>
                <w:color w:val="0000FF"/>
                <w:kern w:val="0"/>
                <w:szCs w:val="21"/>
                <w:highlight w:val="none"/>
              </w:rPr>
            </w:pPr>
            <w:r>
              <w:rPr>
                <w:rFonts w:hint="eastAsia"/>
                <w:sz w:val="24"/>
                <w:highlight w:val="none"/>
              </w:rPr>
              <w:t>本项目不涉及总量控制指标</w:t>
            </w:r>
            <w:r>
              <w:rPr>
                <w:rFonts w:hint="eastAsia"/>
                <w:sz w:val="24"/>
                <w:szCs w:val="32"/>
                <w:highlight w:val="none"/>
              </w:rPr>
              <w:t>。</w:t>
            </w:r>
          </w:p>
        </w:tc>
      </w:tr>
    </w:tbl>
    <w:p w14:paraId="0EDBB167">
      <w:pPr>
        <w:rPr>
          <w:highlight w:val="none"/>
        </w:rPr>
      </w:pPr>
    </w:p>
    <w:p w14:paraId="6934C6EF">
      <w:pPr>
        <w:pStyle w:val="18"/>
        <w:jc w:val="center"/>
        <w:outlineLvl w:val="0"/>
        <w:rPr>
          <w:rFonts w:ascii="黑体" w:hAnsi="黑体" w:eastAsia="黑体"/>
          <w:snapToGrid w:val="0"/>
          <w:sz w:val="30"/>
          <w:szCs w:val="30"/>
          <w:highlight w:val="none"/>
        </w:rPr>
      </w:pPr>
      <w:r>
        <w:rPr>
          <w:rFonts w:ascii="黑体" w:hAnsi="黑体" w:eastAsia="黑体"/>
          <w:snapToGrid w:val="0"/>
          <w:kern w:val="2"/>
          <w:sz w:val="36"/>
          <w:szCs w:val="36"/>
          <w:highlight w:val="none"/>
        </w:rPr>
        <w:br w:type="page"/>
      </w:r>
      <w:r>
        <w:rPr>
          <w:rFonts w:hint="eastAsia" w:ascii="黑体" w:hAnsi="黑体" w:eastAsia="黑体"/>
          <w:snapToGrid w:val="0"/>
          <w:sz w:val="30"/>
          <w:szCs w:val="30"/>
          <w:highlight w:val="none"/>
        </w:rPr>
        <w:t>四、生态环境影响分析</w:t>
      </w:r>
    </w:p>
    <w:tbl>
      <w:tblPr>
        <w:tblStyle w:val="19"/>
        <w:tblW w:w="886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408"/>
      </w:tblGrid>
      <w:tr w14:paraId="12D09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456" w:type="dxa"/>
            <w:noWrap w:val="0"/>
            <w:tcMar>
              <w:left w:w="28" w:type="dxa"/>
              <w:right w:w="28" w:type="dxa"/>
            </w:tcMar>
            <w:vAlign w:val="center"/>
          </w:tcPr>
          <w:p w14:paraId="262A61BA">
            <w:pPr>
              <w:pStyle w:val="18"/>
              <w:adjustRightInd w:val="0"/>
              <w:snapToGrid w:val="0"/>
              <w:spacing w:before="0" w:beforeAutospacing="0" w:after="0" w:afterAutospacing="0"/>
              <w:jc w:val="center"/>
              <w:rPr>
                <w:rFonts w:cs="宋体"/>
                <w:bCs/>
                <w:kern w:val="2"/>
                <w:sz w:val="21"/>
                <w:szCs w:val="21"/>
                <w:highlight w:val="none"/>
              </w:rPr>
            </w:pPr>
            <w:bookmarkStart w:id="46" w:name="_Hlk49796138"/>
            <w:r>
              <w:rPr>
                <w:rFonts w:hint="eastAsia" w:cs="宋体"/>
                <w:bCs/>
                <w:spacing w:val="10"/>
                <w:kern w:val="2"/>
                <w:highlight w:val="none"/>
              </w:rPr>
              <w:t>施工期生态环境影响分析</w:t>
            </w:r>
            <w:bookmarkEnd w:id="46"/>
          </w:p>
        </w:tc>
        <w:tc>
          <w:tcPr>
            <w:tcW w:w="8408" w:type="dxa"/>
            <w:noWrap w:val="0"/>
            <w:vAlign w:val="center"/>
          </w:tcPr>
          <w:p w14:paraId="00159283">
            <w:pPr>
              <w:spacing w:line="360" w:lineRule="auto"/>
              <w:rPr>
                <w:b/>
                <w:bCs/>
                <w:sz w:val="24"/>
                <w:szCs w:val="32"/>
                <w:highlight w:val="none"/>
              </w:rPr>
            </w:pPr>
            <w:r>
              <w:rPr>
                <w:rFonts w:hint="eastAsia"/>
                <w:b/>
                <w:bCs/>
                <w:sz w:val="24"/>
                <w:szCs w:val="32"/>
                <w:highlight w:val="none"/>
              </w:rPr>
              <w:t>1</w:t>
            </w:r>
            <w:r>
              <w:rPr>
                <w:rFonts w:hint="eastAsia"/>
                <w:b/>
                <w:bCs/>
                <w:sz w:val="24"/>
                <w:szCs w:val="32"/>
                <w:highlight w:val="none"/>
                <w:lang w:val="en-US" w:eastAsia="zh-CN"/>
              </w:rPr>
              <w:t>.</w:t>
            </w:r>
            <w:r>
              <w:rPr>
                <w:rFonts w:hint="eastAsia"/>
                <w:b/>
                <w:bCs/>
                <w:sz w:val="24"/>
                <w:szCs w:val="32"/>
                <w:highlight w:val="none"/>
              </w:rPr>
              <w:t>水环境影响分析</w:t>
            </w:r>
          </w:p>
          <w:p w14:paraId="0C6ACFFD">
            <w:pPr>
              <w:pStyle w:val="13"/>
              <w:spacing w:after="0" w:line="360" w:lineRule="auto"/>
              <w:ind w:left="0" w:leftChars="0" w:firstLine="480" w:firstLineChars="200"/>
              <w:rPr>
                <w:color w:val="1900FF"/>
                <w:sz w:val="24"/>
                <w:szCs w:val="32"/>
                <w:highlight w:val="none"/>
                <w:lang w:val="en-US"/>
              </w:rPr>
            </w:pPr>
            <w:r>
              <w:rPr>
                <w:rFonts w:hint="eastAsia"/>
                <w:sz w:val="24"/>
                <w:szCs w:val="32"/>
                <w:highlight w:val="none"/>
                <w:lang w:val="en-US" w:eastAsia="zh-CN"/>
              </w:rPr>
              <w:t>施工人员依托伊泰化工公司现有工作人员，不新增劳动定员，无新增废水。</w:t>
            </w:r>
            <w:r>
              <w:rPr>
                <w:rFonts w:hint="eastAsia"/>
                <w:sz w:val="24"/>
                <w:szCs w:val="32"/>
                <w:highlight w:val="none"/>
                <w:lang w:val="en-US"/>
              </w:rPr>
              <w:t>施工人员产生的生活废水依托厂区内现有污水处理</w:t>
            </w:r>
            <w:r>
              <w:rPr>
                <w:rFonts w:hint="eastAsia"/>
                <w:sz w:val="24"/>
                <w:szCs w:val="32"/>
                <w:highlight w:val="none"/>
                <w:lang w:val="en-US" w:eastAsia="zh-CN"/>
              </w:rPr>
              <w:t>站</w:t>
            </w:r>
            <w:r>
              <w:rPr>
                <w:rFonts w:hint="eastAsia"/>
                <w:sz w:val="24"/>
                <w:szCs w:val="32"/>
                <w:highlight w:val="none"/>
                <w:lang w:val="en-US"/>
              </w:rPr>
              <w:t>处理。</w:t>
            </w:r>
          </w:p>
          <w:p w14:paraId="012CFDB0">
            <w:pPr>
              <w:pStyle w:val="13"/>
              <w:spacing w:after="0" w:line="360" w:lineRule="auto"/>
              <w:ind w:left="0" w:leftChars="0" w:firstLine="480" w:firstLineChars="200"/>
              <w:rPr>
                <w:rFonts w:hint="eastAsia"/>
                <w:sz w:val="24"/>
                <w:szCs w:val="32"/>
                <w:highlight w:val="none"/>
              </w:rPr>
            </w:pPr>
            <w:r>
              <w:rPr>
                <w:rFonts w:hint="eastAsia"/>
                <w:sz w:val="24"/>
                <w:szCs w:val="32"/>
                <w:highlight w:val="none"/>
              </w:rPr>
              <w:t>施工期生产废水主要为</w:t>
            </w:r>
            <w:r>
              <w:rPr>
                <w:rFonts w:hint="eastAsia" w:ascii="Times New Roman" w:hAnsi="Times New Roman" w:eastAsia="宋体" w:cs="Times New Roman"/>
                <w:sz w:val="24"/>
                <w:szCs w:val="32"/>
                <w:highlight w:val="none"/>
              </w:rPr>
              <w:t>管道试压废水</w:t>
            </w:r>
            <w:r>
              <w:rPr>
                <w:rFonts w:hint="eastAsia" w:ascii="Times New Roman" w:hAnsi="Times New Roman" w:eastAsia="宋体" w:cs="Times New Roman"/>
                <w:sz w:val="24"/>
                <w:szCs w:val="32"/>
                <w:highlight w:val="none"/>
                <w:lang w:eastAsia="zh-CN"/>
              </w:rPr>
              <w:t>：管道敷设完毕后，需分段试压以测试管道的强度和严密性，试压介质为</w:t>
            </w:r>
            <w:r>
              <w:rPr>
                <w:rFonts w:hint="eastAsia" w:cs="Times New Roman"/>
                <w:sz w:val="24"/>
                <w:szCs w:val="32"/>
                <w:highlight w:val="none"/>
                <w:lang w:val="en-US" w:eastAsia="zh-CN"/>
              </w:rPr>
              <w:t>新鲜水</w:t>
            </w:r>
            <w:r>
              <w:rPr>
                <w:rFonts w:hint="eastAsia" w:ascii="Times New Roman" w:hAnsi="Times New Roman" w:eastAsia="宋体" w:cs="Times New Roman"/>
                <w:sz w:val="24"/>
                <w:szCs w:val="32"/>
                <w:highlight w:val="none"/>
                <w:lang w:eastAsia="zh-CN"/>
              </w:rPr>
              <w:t>，会产生试压废水，废水中主要污染物是悬浮物，水质较简单，SS浓度低于</w:t>
            </w:r>
            <w:r>
              <w:rPr>
                <w:rFonts w:hint="eastAsia" w:cs="Times New Roman"/>
                <w:sz w:val="24"/>
                <w:szCs w:val="32"/>
                <w:highlight w:val="none"/>
                <w:lang w:val="en-US" w:eastAsia="zh-CN"/>
              </w:rPr>
              <w:t>50</w:t>
            </w:r>
            <w:r>
              <w:rPr>
                <w:rFonts w:hint="eastAsia" w:ascii="Times New Roman" w:hAnsi="Times New Roman" w:eastAsia="宋体" w:cs="Times New Roman"/>
                <w:sz w:val="24"/>
                <w:szCs w:val="32"/>
                <w:highlight w:val="none"/>
                <w:lang w:eastAsia="zh-CN"/>
              </w:rPr>
              <w:t>mg/L，</w:t>
            </w:r>
            <w:r>
              <w:rPr>
                <w:rFonts w:hint="eastAsia" w:cs="宋体"/>
                <w:kern w:val="2"/>
                <w:sz w:val="24"/>
                <w:szCs w:val="24"/>
                <w:highlight w:val="none"/>
                <w:lang w:val="en-US" w:eastAsia="zh-CN"/>
              </w:rPr>
              <w:t>试压</w:t>
            </w:r>
            <w:r>
              <w:rPr>
                <w:rFonts w:hint="eastAsia" w:ascii="Times New Roman" w:hAnsi="Times New Roman" w:eastAsia="宋体" w:cs="宋体"/>
                <w:kern w:val="2"/>
                <w:sz w:val="24"/>
                <w:szCs w:val="24"/>
                <w:highlight w:val="none"/>
              </w:rPr>
              <w:t>废水</w:t>
            </w:r>
            <w:r>
              <w:rPr>
                <w:rFonts w:hint="eastAsia" w:cs="宋体"/>
                <w:kern w:val="2"/>
                <w:sz w:val="24"/>
                <w:szCs w:val="24"/>
                <w:highlight w:val="none"/>
                <w:lang w:val="en-US" w:eastAsia="zh-CN"/>
              </w:rPr>
              <w:t>产生后通过罐车运输至伊泰化工</w:t>
            </w:r>
            <w:r>
              <w:rPr>
                <w:rFonts w:hint="eastAsia" w:ascii="Times New Roman" w:hAnsi="Times New Roman" w:eastAsia="宋体" w:cs="宋体"/>
                <w:kern w:val="2"/>
                <w:sz w:val="24"/>
                <w:szCs w:val="24"/>
                <w:highlight w:val="none"/>
              </w:rPr>
              <w:t>厂区内现有</w:t>
            </w:r>
            <w:r>
              <w:rPr>
                <w:rFonts w:hint="eastAsia" w:cs="宋体"/>
                <w:sz w:val="24"/>
                <w:highlight w:val="none"/>
              </w:rPr>
              <w:t>污水处理站废水处理及回用清净废水处理单元</w:t>
            </w:r>
            <w:r>
              <w:rPr>
                <w:rFonts w:hint="eastAsia" w:ascii="Times New Roman" w:hAnsi="Times New Roman" w:eastAsia="宋体" w:cs="宋体"/>
                <w:kern w:val="2"/>
                <w:sz w:val="24"/>
                <w:szCs w:val="24"/>
                <w:highlight w:val="none"/>
              </w:rPr>
              <w:t>，处理后回用，不外排。</w:t>
            </w:r>
          </w:p>
          <w:p w14:paraId="0839BF4A">
            <w:pPr>
              <w:adjustRightInd w:val="0"/>
              <w:snapToGrid w:val="0"/>
              <w:spacing w:line="360" w:lineRule="auto"/>
              <w:ind w:firstLine="480" w:firstLineChars="200"/>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整体而言，施工期项目建设对地表水环境影响较小。施工期间废水的排放随着施工期的结束，亦会随之消失。</w:t>
            </w:r>
          </w:p>
          <w:p w14:paraId="63092579">
            <w:pPr>
              <w:pStyle w:val="13"/>
              <w:spacing w:after="0" w:line="360" w:lineRule="auto"/>
              <w:ind w:left="0" w:leftChars="0"/>
              <w:rPr>
                <w:b/>
                <w:bCs/>
                <w:sz w:val="24"/>
                <w:szCs w:val="32"/>
                <w:highlight w:val="none"/>
                <w:lang w:val="en-US"/>
              </w:rPr>
            </w:pPr>
            <w:r>
              <w:rPr>
                <w:rFonts w:hint="eastAsia"/>
                <w:b/>
                <w:bCs/>
                <w:sz w:val="24"/>
                <w:szCs w:val="32"/>
                <w:highlight w:val="none"/>
                <w:lang w:val="en-US"/>
              </w:rPr>
              <w:t>2</w:t>
            </w:r>
            <w:r>
              <w:rPr>
                <w:rFonts w:hint="eastAsia"/>
                <w:b/>
                <w:bCs/>
                <w:sz w:val="24"/>
                <w:szCs w:val="32"/>
                <w:highlight w:val="none"/>
                <w:lang w:val="en-US" w:eastAsia="zh-CN"/>
              </w:rPr>
              <w:t>.</w:t>
            </w:r>
            <w:r>
              <w:rPr>
                <w:rFonts w:hint="eastAsia"/>
                <w:b/>
                <w:bCs/>
                <w:sz w:val="24"/>
                <w:szCs w:val="32"/>
                <w:highlight w:val="none"/>
                <w:lang w:val="en-US"/>
              </w:rPr>
              <w:t>大气环境影响分析</w:t>
            </w:r>
          </w:p>
          <w:p w14:paraId="50EA7401">
            <w:pPr>
              <w:spacing w:line="360" w:lineRule="auto"/>
              <w:ind w:firstLine="480" w:firstLineChars="200"/>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施工期大气污染源主要有：施工扬尘及施工机械设备尾气、焊接烟气及涂漆废气等。</w:t>
            </w:r>
          </w:p>
          <w:p w14:paraId="36F7DBDB">
            <w:pPr>
              <w:spacing w:line="360" w:lineRule="auto"/>
              <w:ind w:firstLine="504" w:firstLineChars="200"/>
              <w:rPr>
                <w:rFonts w:hint="default" w:ascii="Times New Roman" w:hAnsi="Times New Roman" w:cs="Times New Roman" w:eastAsiaTheme="minorEastAsia"/>
                <w:sz w:val="24"/>
                <w:szCs w:val="24"/>
                <w:highlight w:val="none"/>
                <w:lang w:eastAsia="zh-CN"/>
              </w:rPr>
            </w:pPr>
            <w:r>
              <w:rPr>
                <w:rFonts w:hint="default" w:ascii="Times New Roman" w:hAnsi="Times New Roman" w:cs="Times New Roman" w:eastAsiaTheme="minorEastAsia"/>
                <w:spacing w:val="6"/>
                <w:position w:val="1"/>
                <w:sz w:val="24"/>
                <w:szCs w:val="24"/>
                <w:highlight w:val="none"/>
                <w:lang w:eastAsia="zh-CN"/>
              </w:rPr>
              <w:t>（1）施工扬尘</w:t>
            </w:r>
          </w:p>
          <w:p w14:paraId="78B9A3EC">
            <w:pPr>
              <w:pStyle w:val="27"/>
              <w:spacing w:line="360" w:lineRule="auto"/>
              <w:ind w:left="102" w:right="48" w:firstLine="512"/>
              <w:rPr>
                <w:rFonts w:hint="default" w:ascii="Times New Roman" w:hAnsi="Times New Roman" w:cs="Times New Roman" w:eastAsiaTheme="minorEastAsia"/>
                <w:spacing w:val="9"/>
                <w:sz w:val="24"/>
                <w:szCs w:val="24"/>
                <w:highlight w:val="none"/>
                <w:lang w:val="en-US" w:eastAsia="zh-CN"/>
              </w:rPr>
            </w:pPr>
            <w:r>
              <w:rPr>
                <w:rFonts w:hint="default" w:ascii="Times New Roman" w:hAnsi="Times New Roman" w:cs="Times New Roman" w:eastAsiaTheme="minorEastAsia"/>
                <w:spacing w:val="9"/>
                <w:sz w:val="24"/>
                <w:szCs w:val="24"/>
                <w:highlight w:val="none"/>
                <w:lang w:eastAsia="zh-CN"/>
              </w:rPr>
              <w:t>本项目为</w:t>
            </w:r>
            <w:r>
              <w:rPr>
                <w:rFonts w:hint="default" w:ascii="Times New Roman" w:hAnsi="Times New Roman" w:cs="Times New Roman" w:eastAsiaTheme="minorEastAsia"/>
                <w:spacing w:val="9"/>
                <w:sz w:val="24"/>
                <w:szCs w:val="24"/>
                <w:highlight w:val="none"/>
                <w:lang w:val="en-US" w:eastAsia="zh-CN"/>
              </w:rPr>
              <w:t>架空管线</w:t>
            </w:r>
            <w:r>
              <w:rPr>
                <w:rFonts w:hint="default" w:ascii="Times New Roman" w:hAnsi="Times New Roman" w:cs="Times New Roman" w:eastAsiaTheme="minorEastAsia"/>
                <w:spacing w:val="9"/>
                <w:sz w:val="24"/>
                <w:szCs w:val="24"/>
                <w:highlight w:val="none"/>
                <w:lang w:eastAsia="zh-CN"/>
              </w:rPr>
              <w:t>项目，</w:t>
            </w:r>
            <w:r>
              <w:rPr>
                <w:rFonts w:hint="default" w:ascii="Times New Roman" w:hAnsi="Times New Roman" w:cs="Times New Roman" w:eastAsiaTheme="minorEastAsia"/>
                <w:spacing w:val="9"/>
                <w:sz w:val="24"/>
                <w:szCs w:val="24"/>
                <w:highlight w:val="none"/>
                <w:lang w:val="en-US" w:eastAsia="zh-CN"/>
              </w:rPr>
              <w:t>项目黄河水管道厂区外取水点</w:t>
            </w:r>
            <w:r>
              <w:rPr>
                <w:rFonts w:hint="default" w:ascii="Times New Roman" w:hAnsi="Times New Roman" w:cs="Times New Roman" w:eastAsiaTheme="minorEastAsia"/>
                <w:spacing w:val="9"/>
                <w:sz w:val="24"/>
                <w:szCs w:val="24"/>
                <w:highlight w:val="none"/>
                <w:lang w:eastAsia="zh-CN"/>
              </w:rPr>
              <w:t>已有埋地管道</w:t>
            </w:r>
            <w:r>
              <w:rPr>
                <w:rFonts w:hint="default" w:ascii="Times New Roman" w:hAnsi="Times New Roman" w:cs="Times New Roman" w:eastAsiaTheme="minorEastAsia"/>
                <w:spacing w:val="9"/>
                <w:sz w:val="24"/>
                <w:szCs w:val="24"/>
                <w:highlight w:val="none"/>
                <w:lang w:val="en-US" w:eastAsia="zh-CN"/>
              </w:rPr>
              <w:t>预留接口，本项目建设直接从接口接入，不涉及土方工程。</w:t>
            </w:r>
          </w:p>
          <w:p w14:paraId="5C62868E">
            <w:pPr>
              <w:pStyle w:val="27"/>
              <w:spacing w:line="360" w:lineRule="auto"/>
              <w:ind w:right="48" w:firstLine="516" w:firstLineChars="200"/>
              <w:rPr>
                <w:rFonts w:hint="default" w:ascii="Times New Roman" w:hAnsi="Times New Roman" w:cs="Times New Roman" w:eastAsiaTheme="minorEastAsia"/>
                <w:sz w:val="24"/>
                <w:szCs w:val="24"/>
                <w:highlight w:val="none"/>
                <w:lang w:eastAsia="zh-CN"/>
              </w:rPr>
            </w:pPr>
            <w:r>
              <w:rPr>
                <w:rFonts w:hint="default" w:ascii="Times New Roman" w:hAnsi="Times New Roman" w:cs="Times New Roman" w:eastAsiaTheme="minorEastAsia"/>
                <w:spacing w:val="9"/>
                <w:sz w:val="24"/>
                <w:szCs w:val="24"/>
                <w:highlight w:val="none"/>
                <w:lang w:eastAsia="zh-CN"/>
              </w:rPr>
              <w:t>施工作业过程内产生的扬尘（粉尘）为无</w:t>
            </w:r>
            <w:r>
              <w:rPr>
                <w:rFonts w:hint="default" w:ascii="Times New Roman" w:hAnsi="Times New Roman" w:cs="Times New Roman" w:eastAsiaTheme="minorEastAsia"/>
                <w:spacing w:val="8"/>
                <w:sz w:val="24"/>
                <w:szCs w:val="24"/>
                <w:highlight w:val="none"/>
                <w:lang w:eastAsia="zh-CN"/>
              </w:rPr>
              <w:t>组织面源等排放，扬尘（粉尘）污染主要</w:t>
            </w:r>
            <w:r>
              <w:rPr>
                <w:rFonts w:hint="default" w:ascii="Times New Roman" w:hAnsi="Times New Roman" w:cs="Times New Roman" w:eastAsiaTheme="minorEastAsia"/>
                <w:spacing w:val="9"/>
                <w:sz w:val="24"/>
                <w:szCs w:val="24"/>
                <w:highlight w:val="none"/>
                <w:lang w:eastAsia="zh-CN"/>
              </w:rPr>
              <w:t>取决于施工作业方式、材料的堆放以及风力等因素，其中</w:t>
            </w:r>
            <w:r>
              <w:rPr>
                <w:rFonts w:hint="default" w:ascii="Times New Roman" w:hAnsi="Times New Roman" w:cs="Times New Roman" w:eastAsiaTheme="minorEastAsia"/>
                <w:spacing w:val="8"/>
                <w:sz w:val="24"/>
                <w:szCs w:val="24"/>
                <w:highlight w:val="none"/>
                <w:lang w:eastAsia="zh-CN"/>
              </w:rPr>
              <w:t>受风力的影响最大</w:t>
            </w:r>
            <w:r>
              <w:rPr>
                <w:rFonts w:hint="eastAsia" w:ascii="Times New Roman" w:hAnsi="Times New Roman" w:cs="Times New Roman" w:eastAsiaTheme="minorEastAsia"/>
                <w:spacing w:val="8"/>
                <w:sz w:val="24"/>
                <w:szCs w:val="24"/>
                <w:highlight w:val="none"/>
                <w:lang w:eastAsia="zh-CN"/>
              </w:rPr>
              <w:t>。</w:t>
            </w:r>
            <w:r>
              <w:rPr>
                <w:rFonts w:hint="default" w:ascii="Times New Roman" w:hAnsi="Times New Roman" w:cs="Times New Roman" w:eastAsiaTheme="minorEastAsia"/>
                <w:spacing w:val="8"/>
                <w:sz w:val="24"/>
                <w:szCs w:val="24"/>
                <w:highlight w:val="none"/>
                <w:lang w:eastAsia="zh-CN"/>
              </w:rPr>
              <w:t>随着</w:t>
            </w:r>
            <w:r>
              <w:rPr>
                <w:rFonts w:hint="default" w:ascii="Times New Roman" w:hAnsi="Times New Roman" w:cs="Times New Roman" w:eastAsiaTheme="minorEastAsia"/>
                <w:spacing w:val="9"/>
                <w:sz w:val="24"/>
                <w:szCs w:val="24"/>
                <w:highlight w:val="none"/>
                <w:lang w:eastAsia="zh-CN"/>
              </w:rPr>
              <w:t>风速的增大，施工扬尘（粉尘）的污染程度和超标范围也</w:t>
            </w:r>
            <w:r>
              <w:rPr>
                <w:rFonts w:hint="default" w:ascii="Times New Roman" w:hAnsi="Times New Roman" w:cs="Times New Roman" w:eastAsiaTheme="minorEastAsia"/>
                <w:spacing w:val="8"/>
                <w:sz w:val="24"/>
                <w:szCs w:val="24"/>
                <w:highlight w:val="none"/>
                <w:lang w:eastAsia="zh-CN"/>
              </w:rPr>
              <w:t>将随之增强和扩大。根据类似</w:t>
            </w:r>
            <w:r>
              <w:rPr>
                <w:rFonts w:hint="default" w:ascii="Times New Roman" w:hAnsi="Times New Roman" w:cs="Times New Roman" w:eastAsiaTheme="minorEastAsia"/>
                <w:spacing w:val="6"/>
                <w:sz w:val="24"/>
                <w:szCs w:val="24"/>
                <w:highlight w:val="none"/>
                <w:lang w:eastAsia="zh-CN"/>
              </w:rPr>
              <w:t>工程的实际现场调查：在大风情况下施工现场下风向1m处扬尘</w:t>
            </w:r>
            <w:r>
              <w:rPr>
                <w:rFonts w:hint="default" w:ascii="Times New Roman" w:hAnsi="Times New Roman" w:cs="Times New Roman" w:eastAsiaTheme="minorEastAsia"/>
                <w:spacing w:val="5"/>
                <w:sz w:val="24"/>
                <w:szCs w:val="24"/>
                <w:highlight w:val="none"/>
                <w:lang w:eastAsia="zh-CN"/>
              </w:rPr>
              <w:t>浓度可达3</w:t>
            </w:r>
            <w:r>
              <w:rPr>
                <w:rFonts w:hint="default" w:ascii="Times New Roman" w:hAnsi="Times New Roman" w:cs="Times New Roman" w:eastAsiaTheme="minorEastAsia"/>
                <w:sz w:val="24"/>
                <w:szCs w:val="24"/>
                <w:highlight w:val="none"/>
                <w:lang w:eastAsia="zh-CN"/>
              </w:rPr>
              <w:t>mg</w:t>
            </w:r>
            <w:r>
              <w:rPr>
                <w:rFonts w:hint="default" w:ascii="Times New Roman" w:hAnsi="Times New Roman" w:cs="Times New Roman" w:eastAsiaTheme="minorEastAsia"/>
                <w:spacing w:val="5"/>
                <w:sz w:val="24"/>
                <w:szCs w:val="24"/>
                <w:highlight w:val="none"/>
                <w:lang w:eastAsia="zh-CN"/>
              </w:rPr>
              <w:t>/m³以上，25m处为1.53</w:t>
            </w:r>
            <w:r>
              <w:rPr>
                <w:rFonts w:hint="default" w:ascii="Times New Roman" w:hAnsi="Times New Roman" w:cs="Times New Roman" w:eastAsiaTheme="minorEastAsia"/>
                <w:sz w:val="24"/>
                <w:szCs w:val="24"/>
                <w:highlight w:val="none"/>
                <w:lang w:eastAsia="zh-CN"/>
              </w:rPr>
              <w:t>mg</w:t>
            </w:r>
            <w:r>
              <w:rPr>
                <w:rFonts w:hint="default" w:ascii="Times New Roman" w:hAnsi="Times New Roman" w:cs="Times New Roman" w:eastAsiaTheme="minorEastAsia"/>
                <w:spacing w:val="5"/>
                <w:sz w:val="24"/>
                <w:szCs w:val="24"/>
                <w:highlight w:val="none"/>
                <w:lang w:eastAsia="zh-CN"/>
              </w:rPr>
              <w:t>/m³，下风向60m范围内</w:t>
            </w:r>
            <w:r>
              <w:rPr>
                <w:rFonts w:hint="default" w:ascii="Times New Roman" w:hAnsi="Times New Roman" w:cs="Times New Roman" w:eastAsiaTheme="minorEastAsia"/>
                <w:sz w:val="24"/>
                <w:szCs w:val="24"/>
                <w:highlight w:val="none"/>
                <w:lang w:eastAsia="zh-CN"/>
              </w:rPr>
              <w:t>TSP</w:t>
            </w:r>
            <w:r>
              <w:rPr>
                <w:rFonts w:hint="default" w:ascii="Times New Roman" w:hAnsi="Times New Roman" w:cs="Times New Roman" w:eastAsiaTheme="minorEastAsia"/>
                <w:spacing w:val="5"/>
                <w:sz w:val="24"/>
                <w:szCs w:val="24"/>
                <w:highlight w:val="none"/>
                <w:lang w:eastAsia="zh-CN"/>
              </w:rPr>
              <w:t>浓度</w:t>
            </w:r>
            <w:r>
              <w:rPr>
                <w:rFonts w:hint="default" w:ascii="Times New Roman" w:hAnsi="Times New Roman" w:cs="Times New Roman" w:eastAsiaTheme="minorEastAsia"/>
                <w:spacing w:val="4"/>
                <w:sz w:val="24"/>
                <w:szCs w:val="24"/>
                <w:highlight w:val="none"/>
                <w:lang w:eastAsia="zh-CN"/>
              </w:rPr>
              <w:t>超标。</w:t>
            </w:r>
          </w:p>
          <w:p w14:paraId="2F600ABB">
            <w:pPr>
              <w:pStyle w:val="27"/>
              <w:spacing w:line="360" w:lineRule="auto"/>
              <w:ind w:left="105" w:right="34" w:firstLine="512"/>
              <w:rPr>
                <w:rFonts w:hint="default" w:ascii="Times New Roman" w:hAnsi="Times New Roman" w:cs="Times New Roman" w:eastAsiaTheme="minorEastAsia"/>
                <w:sz w:val="24"/>
                <w:szCs w:val="24"/>
                <w:highlight w:val="none"/>
                <w:lang w:eastAsia="zh-CN"/>
              </w:rPr>
            </w:pPr>
            <w:r>
              <w:rPr>
                <w:rFonts w:hint="default" w:ascii="Times New Roman" w:hAnsi="Times New Roman" w:cs="Times New Roman" w:eastAsiaTheme="minorEastAsia"/>
                <w:spacing w:val="8"/>
                <w:sz w:val="24"/>
                <w:szCs w:val="24"/>
                <w:highlight w:val="none"/>
                <w:lang w:eastAsia="zh-CN"/>
              </w:rPr>
              <w:t>距离施工场地较近的敏感点会受到施工扬尘不同程度的影响。根据调查，本项目管</w:t>
            </w:r>
            <w:r>
              <w:rPr>
                <w:rFonts w:hint="default" w:ascii="Times New Roman" w:hAnsi="Times New Roman" w:cs="Times New Roman" w:eastAsiaTheme="minorEastAsia"/>
                <w:spacing w:val="6"/>
                <w:sz w:val="24"/>
                <w:szCs w:val="24"/>
                <w:highlight w:val="none"/>
                <w:lang w:eastAsia="zh-CN"/>
              </w:rPr>
              <w:t>线周边</w:t>
            </w:r>
            <w:r>
              <w:rPr>
                <w:rFonts w:hint="eastAsia" w:ascii="Times New Roman" w:hAnsi="Times New Roman" w:cs="Times New Roman" w:eastAsiaTheme="minorEastAsia"/>
                <w:spacing w:val="6"/>
                <w:sz w:val="24"/>
                <w:szCs w:val="24"/>
                <w:highlight w:val="none"/>
                <w:lang w:val="en-US" w:eastAsia="zh-CN"/>
              </w:rPr>
              <w:t>5</w:t>
            </w:r>
            <w:r>
              <w:rPr>
                <w:rFonts w:hint="default" w:ascii="Times New Roman" w:hAnsi="Times New Roman" w:cs="Times New Roman" w:eastAsiaTheme="minorEastAsia"/>
                <w:spacing w:val="6"/>
                <w:sz w:val="24"/>
                <w:szCs w:val="24"/>
                <w:highlight w:val="none"/>
                <w:lang w:eastAsia="zh-CN"/>
              </w:rPr>
              <w:t>00m范围内无居民区。项目施工道路依托</w:t>
            </w:r>
            <w:r>
              <w:rPr>
                <w:rFonts w:hint="eastAsia" w:ascii="Times New Roman" w:hAnsi="Times New Roman" w:cs="Times New Roman" w:eastAsiaTheme="minorEastAsia"/>
                <w:spacing w:val="6"/>
                <w:sz w:val="24"/>
                <w:szCs w:val="24"/>
                <w:highlight w:val="none"/>
                <w:lang w:val="en-US" w:eastAsia="zh-CN"/>
              </w:rPr>
              <w:t>伊泰化工</w:t>
            </w:r>
            <w:r>
              <w:rPr>
                <w:rFonts w:hint="default" w:ascii="Times New Roman" w:hAnsi="Times New Roman" w:cs="Times New Roman" w:eastAsiaTheme="minorEastAsia"/>
                <w:spacing w:val="6"/>
                <w:sz w:val="24"/>
                <w:szCs w:val="24"/>
                <w:highlight w:val="none"/>
                <w:lang w:eastAsia="zh-CN"/>
              </w:rPr>
              <w:t>内部道路和园区</w:t>
            </w:r>
            <w:r>
              <w:rPr>
                <w:rFonts w:hint="default" w:ascii="Times New Roman" w:hAnsi="Times New Roman" w:cs="Times New Roman" w:eastAsiaTheme="minorEastAsia"/>
                <w:spacing w:val="5"/>
                <w:sz w:val="24"/>
                <w:szCs w:val="24"/>
                <w:highlight w:val="none"/>
                <w:lang w:eastAsia="zh-CN"/>
              </w:rPr>
              <w:t>现有道路，大风天停止作业</w:t>
            </w:r>
            <w:r>
              <w:rPr>
                <w:rFonts w:hint="eastAsia" w:ascii="Times New Roman" w:hAnsi="Times New Roman" w:cs="Times New Roman" w:eastAsiaTheme="minorEastAsia"/>
                <w:spacing w:val="5"/>
                <w:sz w:val="24"/>
                <w:szCs w:val="24"/>
                <w:highlight w:val="none"/>
                <w:lang w:eastAsia="zh-CN"/>
              </w:rPr>
              <w:t>、</w:t>
            </w:r>
            <w:r>
              <w:rPr>
                <w:rFonts w:hint="eastAsia" w:ascii="Times New Roman" w:hAnsi="Times New Roman" w:cs="Times New Roman" w:eastAsiaTheme="minorEastAsia"/>
                <w:spacing w:val="5"/>
                <w:sz w:val="24"/>
                <w:szCs w:val="24"/>
                <w:highlight w:val="none"/>
                <w:lang w:val="en-US" w:eastAsia="zh-CN"/>
              </w:rPr>
              <w:t>采取</w:t>
            </w:r>
            <w:r>
              <w:rPr>
                <w:rFonts w:hint="default" w:ascii="Times New Roman" w:hAnsi="Times New Roman" w:cs="Times New Roman" w:eastAsiaTheme="minorEastAsia"/>
                <w:spacing w:val="8"/>
                <w:sz w:val="24"/>
                <w:szCs w:val="24"/>
                <w:highlight w:val="none"/>
                <w:lang w:eastAsia="zh-CN"/>
              </w:rPr>
              <w:t>定期洒水抑尘措施。</w:t>
            </w:r>
          </w:p>
          <w:p w14:paraId="3C982DE9">
            <w:pPr>
              <w:pStyle w:val="27"/>
              <w:spacing w:line="360" w:lineRule="auto"/>
              <w:ind w:left="105" w:right="34" w:firstLine="512"/>
              <w:rPr>
                <w:rFonts w:hint="default" w:ascii="Times New Roman" w:hAnsi="Times New Roman" w:cs="Times New Roman" w:eastAsiaTheme="minorEastAsia"/>
                <w:spacing w:val="5"/>
                <w:sz w:val="24"/>
                <w:szCs w:val="24"/>
                <w:highlight w:val="none"/>
                <w:lang w:eastAsia="zh-CN"/>
              </w:rPr>
            </w:pPr>
            <w:r>
              <w:rPr>
                <w:rFonts w:hint="default" w:ascii="Times New Roman" w:hAnsi="Times New Roman" w:cs="Times New Roman" w:eastAsiaTheme="minorEastAsia"/>
                <w:spacing w:val="8"/>
                <w:sz w:val="24"/>
                <w:szCs w:val="24"/>
                <w:highlight w:val="none"/>
                <w:lang w:eastAsia="zh-CN"/>
              </w:rPr>
              <w:t>施工阶段汽车运输过程中，也会产生扬尘污染。扬尘量、粒径大小等与多种因素有</w:t>
            </w:r>
            <w:r>
              <w:rPr>
                <w:rFonts w:hint="default" w:ascii="Times New Roman" w:hAnsi="Times New Roman" w:cs="Times New Roman" w:eastAsiaTheme="minorEastAsia"/>
                <w:spacing w:val="9"/>
                <w:sz w:val="24"/>
                <w:szCs w:val="24"/>
                <w:highlight w:val="none"/>
                <w:lang w:eastAsia="zh-CN"/>
              </w:rPr>
              <w:t>关，如路面状况、车辆行驶速度、载重量、天气情</w:t>
            </w:r>
            <w:r>
              <w:rPr>
                <w:rFonts w:hint="default" w:ascii="Times New Roman" w:hAnsi="Times New Roman" w:cs="Times New Roman" w:eastAsiaTheme="minorEastAsia"/>
                <w:spacing w:val="8"/>
                <w:sz w:val="24"/>
                <w:szCs w:val="24"/>
                <w:highlight w:val="none"/>
                <w:lang w:eastAsia="zh-CN"/>
              </w:rPr>
              <w:t>况等。其中风速、风向等天气状况直接影响扬尘的传输方向和距离。</w:t>
            </w:r>
            <w:r>
              <w:rPr>
                <w:rFonts w:hint="default" w:ascii="Times New Roman" w:hAnsi="Times New Roman" w:cs="Times New Roman" w:eastAsiaTheme="minorEastAsia"/>
                <w:spacing w:val="-59"/>
                <w:sz w:val="24"/>
                <w:szCs w:val="24"/>
                <w:highlight w:val="none"/>
                <w:lang w:eastAsia="zh-CN"/>
              </w:rPr>
              <w:t xml:space="preserve"> </w:t>
            </w:r>
            <w:r>
              <w:rPr>
                <w:rFonts w:hint="default" w:ascii="Times New Roman" w:hAnsi="Times New Roman" w:cs="Times New Roman" w:eastAsiaTheme="minorEastAsia"/>
                <w:spacing w:val="8"/>
                <w:sz w:val="24"/>
                <w:szCs w:val="24"/>
                <w:highlight w:val="none"/>
                <w:lang w:eastAsia="zh-CN"/>
              </w:rPr>
              <w:t>由于汽车运输过程中产生的扬尘时间</w:t>
            </w:r>
            <w:r>
              <w:rPr>
                <w:rFonts w:hint="default" w:ascii="Times New Roman" w:hAnsi="Times New Roman" w:cs="Times New Roman" w:eastAsiaTheme="minorEastAsia"/>
                <w:spacing w:val="7"/>
                <w:sz w:val="24"/>
                <w:szCs w:val="24"/>
                <w:highlight w:val="none"/>
                <w:lang w:eastAsia="zh-CN"/>
              </w:rPr>
              <w:t>短、扬尘落地快、</w:t>
            </w:r>
            <w:r>
              <w:rPr>
                <w:rFonts w:hint="default" w:ascii="Times New Roman" w:hAnsi="Times New Roman" w:cs="Times New Roman" w:eastAsiaTheme="minorEastAsia"/>
                <w:spacing w:val="9"/>
                <w:sz w:val="24"/>
                <w:szCs w:val="24"/>
                <w:highlight w:val="none"/>
                <w:lang w:eastAsia="zh-CN"/>
              </w:rPr>
              <w:t>影响范围主要集中在运输道路两侧，</w:t>
            </w:r>
            <w:r>
              <w:rPr>
                <w:rFonts w:hint="eastAsia" w:ascii="Times New Roman" w:hAnsi="Times New Roman" w:cs="Times New Roman" w:eastAsiaTheme="minorEastAsia"/>
                <w:spacing w:val="9"/>
                <w:sz w:val="24"/>
                <w:szCs w:val="24"/>
                <w:highlight w:val="none"/>
                <w:lang w:val="en-US" w:eastAsia="zh-CN"/>
              </w:rPr>
              <w:t>且厂区地面均已硬化。</w:t>
            </w:r>
            <w:r>
              <w:rPr>
                <w:rFonts w:hint="default" w:ascii="Times New Roman" w:hAnsi="Times New Roman" w:cs="Times New Roman" w:eastAsiaTheme="minorEastAsia"/>
                <w:spacing w:val="9"/>
                <w:sz w:val="24"/>
                <w:szCs w:val="24"/>
                <w:highlight w:val="none"/>
                <w:lang w:eastAsia="zh-CN"/>
              </w:rPr>
              <w:t>故汽车运输扬</w:t>
            </w:r>
            <w:r>
              <w:rPr>
                <w:rFonts w:hint="default" w:ascii="Times New Roman" w:hAnsi="Times New Roman" w:cs="Times New Roman" w:eastAsiaTheme="minorEastAsia"/>
                <w:spacing w:val="8"/>
                <w:sz w:val="24"/>
                <w:szCs w:val="24"/>
                <w:highlight w:val="none"/>
                <w:lang w:eastAsia="zh-CN"/>
              </w:rPr>
              <w:t>尘对周边的环境空气影响程度和范围</w:t>
            </w:r>
            <w:r>
              <w:rPr>
                <w:rFonts w:hint="default" w:ascii="Times New Roman" w:hAnsi="Times New Roman" w:cs="Times New Roman" w:eastAsiaTheme="minorEastAsia"/>
                <w:spacing w:val="9"/>
                <w:sz w:val="24"/>
                <w:szCs w:val="24"/>
                <w:highlight w:val="none"/>
                <w:lang w:eastAsia="zh-CN"/>
              </w:rPr>
              <w:t>较小，影响时间也较短。采用对道路定时撒水</w:t>
            </w:r>
            <w:r>
              <w:rPr>
                <w:rFonts w:hint="default" w:ascii="Times New Roman" w:hAnsi="Times New Roman" w:cs="Times New Roman" w:eastAsiaTheme="minorEastAsia"/>
                <w:spacing w:val="8"/>
                <w:sz w:val="24"/>
                <w:szCs w:val="24"/>
                <w:highlight w:val="none"/>
                <w:lang w:eastAsia="zh-CN"/>
              </w:rPr>
              <w:t>抑尘等</w:t>
            </w:r>
            <w:r>
              <w:rPr>
                <w:rFonts w:hint="default" w:ascii="Times New Roman" w:hAnsi="Times New Roman" w:cs="Times New Roman" w:eastAsiaTheme="minorEastAsia"/>
                <w:spacing w:val="9"/>
                <w:sz w:val="24"/>
                <w:szCs w:val="24"/>
                <w:highlight w:val="none"/>
                <w:lang w:eastAsia="zh-CN"/>
              </w:rPr>
              <w:t>措施后，可大大减少运输扬尘对周围环境空</w:t>
            </w:r>
            <w:r>
              <w:rPr>
                <w:rFonts w:hint="default" w:ascii="Times New Roman" w:hAnsi="Times New Roman" w:cs="Times New Roman" w:eastAsiaTheme="minorEastAsia"/>
                <w:spacing w:val="5"/>
                <w:sz w:val="24"/>
                <w:szCs w:val="24"/>
                <w:highlight w:val="none"/>
                <w:lang w:eastAsia="zh-CN"/>
              </w:rPr>
              <w:t>气的影响。</w:t>
            </w:r>
          </w:p>
          <w:p w14:paraId="32392E93">
            <w:pPr>
              <w:pStyle w:val="27"/>
              <w:spacing w:line="360" w:lineRule="auto"/>
              <w:ind w:left="108" w:right="34" w:firstLine="516"/>
              <w:rPr>
                <w:rFonts w:hint="default" w:ascii="Times New Roman" w:hAnsi="Times New Roman" w:cs="Times New Roman" w:eastAsiaTheme="minorEastAsia"/>
                <w:spacing w:val="9"/>
                <w:sz w:val="24"/>
                <w:szCs w:val="24"/>
                <w:highlight w:val="none"/>
                <w:lang w:eastAsia="zh-CN"/>
              </w:rPr>
            </w:pPr>
            <w:r>
              <w:rPr>
                <w:rFonts w:hint="default" w:ascii="Times New Roman" w:hAnsi="Times New Roman" w:cs="Times New Roman" w:eastAsiaTheme="minorEastAsia"/>
                <w:spacing w:val="9"/>
                <w:sz w:val="24"/>
                <w:szCs w:val="24"/>
                <w:highlight w:val="none"/>
                <w:lang w:eastAsia="zh-CN"/>
              </w:rPr>
              <w:t>（2）施工尾气</w:t>
            </w:r>
          </w:p>
          <w:p w14:paraId="12CFDC88">
            <w:pPr>
              <w:pStyle w:val="27"/>
              <w:spacing w:line="360" w:lineRule="auto"/>
              <w:ind w:left="108" w:right="34" w:firstLine="516"/>
              <w:rPr>
                <w:rFonts w:hint="default" w:ascii="Times New Roman" w:hAnsi="Times New Roman" w:cs="Times New Roman" w:eastAsiaTheme="minorEastAsia"/>
                <w:spacing w:val="9"/>
                <w:sz w:val="24"/>
                <w:szCs w:val="24"/>
                <w:highlight w:val="none"/>
                <w:lang w:eastAsia="zh-CN"/>
              </w:rPr>
            </w:pPr>
            <w:r>
              <w:rPr>
                <w:rFonts w:hint="default" w:ascii="Times New Roman" w:hAnsi="Times New Roman" w:cs="Times New Roman" w:eastAsiaTheme="minorEastAsia"/>
                <w:spacing w:val="9"/>
                <w:sz w:val="24"/>
                <w:szCs w:val="24"/>
                <w:highlight w:val="none"/>
                <w:lang w:eastAsia="zh-CN"/>
              </w:rPr>
              <w:t>施工期间，运输汽车以及大型机械施工中，将产生施工尾气，主要污染物为SO</w:t>
            </w:r>
            <w:r>
              <w:rPr>
                <w:rFonts w:hint="default" w:ascii="Times New Roman" w:hAnsi="Times New Roman" w:cs="Times New Roman" w:eastAsiaTheme="minorEastAsia"/>
                <w:spacing w:val="9"/>
                <w:sz w:val="24"/>
                <w:szCs w:val="24"/>
                <w:highlight w:val="none"/>
                <w:vertAlign w:val="subscript"/>
                <w:lang w:eastAsia="zh-CN"/>
              </w:rPr>
              <w:t>2</w:t>
            </w:r>
            <w:r>
              <w:rPr>
                <w:rFonts w:hint="default" w:ascii="Times New Roman" w:hAnsi="Times New Roman" w:cs="Times New Roman" w:eastAsiaTheme="minorEastAsia"/>
                <w:spacing w:val="9"/>
                <w:sz w:val="24"/>
                <w:szCs w:val="24"/>
                <w:highlight w:val="none"/>
                <w:lang w:eastAsia="zh-CN"/>
              </w:rPr>
              <w:t>、NOx等。但由于废气量较小，且施工现场均在野外，有利于空气的扩散，同时废气污染源具有间歇性和流动性，因此对局部地区的环境影响较小。</w:t>
            </w:r>
          </w:p>
          <w:p w14:paraId="5CAF727E">
            <w:pPr>
              <w:pStyle w:val="27"/>
              <w:spacing w:line="360" w:lineRule="auto"/>
              <w:ind w:left="108" w:right="34" w:firstLine="516"/>
              <w:rPr>
                <w:rFonts w:hint="default" w:ascii="Times New Roman" w:hAnsi="Times New Roman" w:cs="Times New Roman" w:eastAsiaTheme="minorEastAsia"/>
                <w:spacing w:val="9"/>
                <w:sz w:val="24"/>
                <w:szCs w:val="24"/>
                <w:highlight w:val="none"/>
                <w:lang w:eastAsia="zh-CN"/>
              </w:rPr>
            </w:pPr>
            <w:r>
              <w:rPr>
                <w:rFonts w:hint="default" w:ascii="Times New Roman" w:hAnsi="Times New Roman" w:cs="Times New Roman" w:eastAsiaTheme="minorEastAsia"/>
                <w:spacing w:val="9"/>
                <w:sz w:val="24"/>
                <w:szCs w:val="24"/>
                <w:highlight w:val="none"/>
                <w:lang w:eastAsia="zh-CN"/>
              </w:rPr>
              <w:t>（3）焊接烟尘</w:t>
            </w:r>
          </w:p>
          <w:p w14:paraId="3AA9DB48">
            <w:pPr>
              <w:spacing w:line="360" w:lineRule="auto"/>
              <w:ind w:firstLine="516" w:firstLineChars="200"/>
              <w:rPr>
                <w:rFonts w:hint="eastAsia" w:ascii="Times New Roman" w:hAnsi="Times New Roman" w:cs="Times New Roman" w:eastAsiaTheme="minorEastAsia"/>
                <w:spacing w:val="8"/>
                <w:sz w:val="24"/>
                <w:szCs w:val="24"/>
                <w:highlight w:val="none"/>
                <w:lang w:eastAsia="zh-CN"/>
              </w:rPr>
            </w:pPr>
            <w:r>
              <w:rPr>
                <w:rFonts w:hint="default" w:ascii="Times New Roman" w:hAnsi="Times New Roman" w:cs="Times New Roman" w:eastAsiaTheme="minorEastAsia"/>
                <w:spacing w:val="9"/>
                <w:sz w:val="24"/>
                <w:szCs w:val="24"/>
                <w:highlight w:val="none"/>
                <w:lang w:eastAsia="zh-CN"/>
              </w:rPr>
              <w:t>管道焊接过程中会产生少量的焊接烟尘。施工期管道焊接使用不锈钢焊丝，不含锡及其化合物、锰及其化合物等，因此焊接烟尘的主要污染物为颗粒物。由于本项目管道长度较短，管径较小，焊接烟尘产生量较小，且项</w:t>
            </w:r>
            <w:r>
              <w:rPr>
                <w:rFonts w:hint="default" w:ascii="Times New Roman" w:hAnsi="Times New Roman" w:cs="Times New Roman" w:eastAsiaTheme="minorEastAsia"/>
                <w:spacing w:val="8"/>
                <w:sz w:val="24"/>
                <w:szCs w:val="24"/>
                <w:highlight w:val="none"/>
                <w:lang w:eastAsia="zh-CN"/>
              </w:rPr>
              <w:t>目施工现场位于开阔地带，有利于废</w:t>
            </w:r>
            <w:r>
              <w:rPr>
                <w:rFonts w:hint="default" w:ascii="Times New Roman" w:hAnsi="Times New Roman" w:cs="Times New Roman" w:eastAsiaTheme="minorEastAsia"/>
                <w:spacing w:val="9"/>
                <w:sz w:val="24"/>
                <w:szCs w:val="24"/>
                <w:highlight w:val="none"/>
                <w:lang w:eastAsia="zh-CN"/>
              </w:rPr>
              <w:t>气的扩散。同时焊接工序是随管道的敷设情况分段</w:t>
            </w:r>
            <w:r>
              <w:rPr>
                <w:rFonts w:hint="default" w:ascii="Times New Roman" w:hAnsi="Times New Roman" w:cs="Times New Roman" w:eastAsiaTheme="minorEastAsia"/>
                <w:spacing w:val="8"/>
                <w:sz w:val="24"/>
                <w:szCs w:val="24"/>
                <w:highlight w:val="none"/>
                <w:lang w:eastAsia="zh-CN"/>
              </w:rPr>
              <w:t>进行的，焊接烟尘具有间歇性</w:t>
            </w:r>
            <w:r>
              <w:rPr>
                <w:rFonts w:hint="default" w:ascii="Times New Roman" w:hAnsi="Times New Roman" w:cs="Times New Roman" w:eastAsiaTheme="minorEastAsia"/>
                <w:spacing w:val="9"/>
                <w:sz w:val="24"/>
                <w:szCs w:val="24"/>
                <w:highlight w:val="none"/>
                <w:lang w:eastAsia="zh-CN"/>
              </w:rPr>
              <w:t>，随着焊接工作的结束而结束。焊接烟尘的排放具有</w:t>
            </w:r>
            <w:r>
              <w:rPr>
                <w:rFonts w:hint="default" w:ascii="Times New Roman" w:hAnsi="Times New Roman" w:cs="Times New Roman" w:eastAsiaTheme="minorEastAsia"/>
                <w:spacing w:val="8"/>
                <w:sz w:val="24"/>
                <w:szCs w:val="24"/>
                <w:highlight w:val="none"/>
                <w:lang w:eastAsia="zh-CN"/>
              </w:rPr>
              <w:t>分散、间断排放和排放量小的特点，对周边环境影响较小</w:t>
            </w:r>
            <w:r>
              <w:rPr>
                <w:rFonts w:hint="eastAsia" w:ascii="Times New Roman" w:hAnsi="Times New Roman" w:cs="Times New Roman" w:eastAsiaTheme="minorEastAsia"/>
                <w:spacing w:val="8"/>
                <w:sz w:val="24"/>
                <w:szCs w:val="24"/>
                <w:highlight w:val="none"/>
                <w:lang w:eastAsia="zh-CN"/>
              </w:rPr>
              <w:t>。</w:t>
            </w:r>
          </w:p>
          <w:p w14:paraId="5B55955F">
            <w:pPr>
              <w:numPr>
                <w:ilvl w:val="0"/>
                <w:numId w:val="3"/>
              </w:numPr>
              <w:spacing w:line="360" w:lineRule="auto"/>
              <w:ind w:left="-60" w:leftChars="0" w:firstLine="480" w:firstLineChars="0"/>
              <w:rPr>
                <w:rFonts w:hint="eastAsia" w:ascii="Times New Roman" w:hAnsi="Times New Roman" w:cs="Times New Roman" w:eastAsiaTheme="minorEastAsia"/>
                <w:spacing w:val="8"/>
                <w:sz w:val="24"/>
                <w:szCs w:val="24"/>
                <w:highlight w:val="none"/>
                <w:lang w:val="en-US" w:eastAsia="zh-CN"/>
              </w:rPr>
            </w:pPr>
            <w:r>
              <w:rPr>
                <w:rFonts w:hint="eastAsia" w:ascii="Times New Roman" w:hAnsi="Times New Roman" w:cs="Times New Roman" w:eastAsiaTheme="minorEastAsia"/>
                <w:spacing w:val="8"/>
                <w:sz w:val="24"/>
                <w:szCs w:val="24"/>
                <w:highlight w:val="none"/>
                <w:lang w:val="en-US" w:eastAsia="zh-CN"/>
              </w:rPr>
              <w:t>涂漆废气</w:t>
            </w:r>
          </w:p>
          <w:p w14:paraId="546083FD">
            <w:pPr>
              <w:spacing w:line="360" w:lineRule="auto"/>
              <w:ind w:firstLine="480" w:firstLineChars="200"/>
              <w:rPr>
                <w:rFonts w:hint="eastAsia"/>
                <w:sz w:val="24"/>
                <w:highlight w:val="none"/>
              </w:rPr>
            </w:pPr>
            <w:r>
              <w:rPr>
                <w:rFonts w:hint="eastAsia"/>
                <w:sz w:val="24"/>
                <w:highlight w:val="none"/>
              </w:rPr>
              <w:t>项目管道已在工厂进行了防腐处理，现场</w:t>
            </w:r>
            <w:r>
              <w:rPr>
                <w:rFonts w:hint="eastAsia"/>
                <w:sz w:val="24"/>
                <w:highlight w:val="none"/>
                <w:lang w:val="en-US" w:eastAsia="zh-CN"/>
              </w:rPr>
              <w:t>只</w:t>
            </w:r>
            <w:r>
              <w:rPr>
                <w:rFonts w:hint="eastAsia"/>
                <w:sz w:val="24"/>
                <w:highlight w:val="none"/>
              </w:rPr>
              <w:t>进行补刷</w:t>
            </w:r>
            <w:r>
              <w:rPr>
                <w:rFonts w:hint="eastAsia"/>
                <w:sz w:val="24"/>
                <w:highlight w:val="none"/>
                <w:lang w:eastAsia="zh-CN"/>
              </w:rPr>
              <w:t>并</w:t>
            </w:r>
            <w:r>
              <w:rPr>
                <w:rFonts w:hint="eastAsia"/>
                <w:sz w:val="24"/>
                <w:highlight w:val="none"/>
              </w:rPr>
              <w:t>加强防腐处理</w:t>
            </w:r>
            <w:r>
              <w:rPr>
                <w:rFonts w:hint="eastAsia"/>
                <w:sz w:val="24"/>
                <w:highlight w:val="none"/>
                <w:lang w:eastAsia="zh-CN"/>
              </w:rPr>
              <w:t>。</w:t>
            </w:r>
            <w:r>
              <w:rPr>
                <w:rFonts w:hint="eastAsia"/>
                <w:sz w:val="24"/>
                <w:highlight w:val="none"/>
              </w:rPr>
              <w:t>管道涂漆时会产生少量有机废气，主要为挥发性有机物</w:t>
            </w:r>
            <w:r>
              <w:rPr>
                <w:rFonts w:hint="eastAsia"/>
                <w:sz w:val="24"/>
                <w:highlight w:val="none"/>
                <w:lang w:eastAsia="zh-CN"/>
              </w:rPr>
              <w:t>。因此，</w:t>
            </w:r>
            <w:r>
              <w:rPr>
                <w:rFonts w:hint="eastAsia"/>
                <w:sz w:val="24"/>
                <w:highlight w:val="none"/>
              </w:rPr>
              <w:t>项目选用固含量高的防腐漆，油漆用量较小，挥发性有机物产生量及排放量较小。</w:t>
            </w:r>
          </w:p>
          <w:p w14:paraId="54EC7C5E">
            <w:pPr>
              <w:spacing w:line="360" w:lineRule="auto"/>
              <w:ind w:firstLine="480" w:firstLineChars="200"/>
              <w:rPr>
                <w:rFonts w:hint="default" w:ascii="Times New Roman" w:hAnsi="Times New Roman" w:cs="Times New Roman" w:eastAsiaTheme="minorEastAsia"/>
                <w:sz w:val="24"/>
                <w:szCs w:val="24"/>
                <w:highlight w:val="none"/>
              </w:rPr>
            </w:pPr>
            <w:r>
              <w:rPr>
                <w:rFonts w:hint="default" w:ascii="Times New Roman" w:hAnsi="Times New Roman" w:eastAsia="宋体" w:cs="Times New Roman"/>
                <w:color w:val="000000"/>
                <w:kern w:val="0"/>
                <w:sz w:val="24"/>
                <w:szCs w:val="24"/>
                <w:highlight w:val="none"/>
              </w:rPr>
              <w:t>综上所述，施工期扬尘主要产生于车辆行驶以及原料堆放等，主要污染因子为TSP。但是由于工程量较少，施工期较短，施工期的扬尘经过洒水和苫布遮盖可以有效降尘，减少污染。</w:t>
            </w:r>
          </w:p>
          <w:p w14:paraId="0BB78C3C">
            <w:pPr>
              <w:pStyle w:val="13"/>
              <w:spacing w:after="0" w:line="360" w:lineRule="auto"/>
              <w:ind w:left="0" w:leftChars="0"/>
              <w:rPr>
                <w:b/>
                <w:bCs/>
                <w:sz w:val="24"/>
                <w:szCs w:val="32"/>
                <w:highlight w:val="none"/>
                <w:lang w:val="en-US"/>
              </w:rPr>
            </w:pPr>
            <w:r>
              <w:rPr>
                <w:rFonts w:hint="eastAsia"/>
                <w:b/>
                <w:bCs/>
                <w:sz w:val="24"/>
                <w:szCs w:val="32"/>
                <w:highlight w:val="none"/>
                <w:lang w:val="en-US"/>
              </w:rPr>
              <w:t>3</w:t>
            </w:r>
            <w:r>
              <w:rPr>
                <w:rFonts w:hint="eastAsia"/>
                <w:b/>
                <w:bCs/>
                <w:sz w:val="24"/>
                <w:szCs w:val="32"/>
                <w:highlight w:val="none"/>
                <w:lang w:val="en-US" w:eastAsia="zh-CN"/>
              </w:rPr>
              <w:t>.</w:t>
            </w:r>
            <w:r>
              <w:rPr>
                <w:rFonts w:hint="eastAsia"/>
                <w:b/>
                <w:bCs/>
                <w:sz w:val="24"/>
                <w:szCs w:val="32"/>
                <w:highlight w:val="none"/>
                <w:lang w:val="en-US"/>
              </w:rPr>
              <w:t>声环境影响分析</w:t>
            </w:r>
          </w:p>
          <w:p w14:paraId="30BB3C2B">
            <w:pPr>
              <w:numPr>
                <w:ilvl w:val="0"/>
                <w:numId w:val="0"/>
              </w:numPr>
              <w:spacing w:line="360" w:lineRule="auto"/>
              <w:ind w:firstLine="480" w:firstLineChars="200"/>
              <w:rPr>
                <w:rFonts w:hint="default" w:ascii="Times New Roman" w:hAnsi="Times New Roman" w:cs="Times New Roman" w:eastAsiaTheme="minorEastAsia"/>
                <w:sz w:val="24"/>
                <w:szCs w:val="24"/>
                <w:highlight w:val="none"/>
                <w:lang w:val="en-US" w:eastAsia="zh-CN"/>
              </w:rPr>
            </w:pPr>
            <w:r>
              <w:rPr>
                <w:rFonts w:hint="eastAsia" w:cs="Times New Roman" w:eastAsiaTheme="minorEastAsia"/>
                <w:sz w:val="24"/>
                <w:szCs w:val="24"/>
                <w:highlight w:val="none"/>
                <w:lang w:eastAsia="zh-CN"/>
              </w:rPr>
              <w:t>（</w:t>
            </w:r>
            <w:r>
              <w:rPr>
                <w:rFonts w:hint="eastAsia" w:cs="Times New Roman" w:eastAsiaTheme="minorEastAsia"/>
                <w:sz w:val="24"/>
                <w:szCs w:val="24"/>
                <w:highlight w:val="none"/>
                <w:lang w:val="en-US" w:eastAsia="zh-CN"/>
              </w:rPr>
              <w:t>1</w:t>
            </w:r>
            <w:r>
              <w:rPr>
                <w:rFonts w:hint="eastAsia" w:cs="Times New Roman" w:eastAsiaTheme="minorEastAsia"/>
                <w:sz w:val="24"/>
                <w:szCs w:val="24"/>
                <w:highlight w:val="none"/>
                <w:lang w:eastAsia="zh-CN"/>
              </w:rPr>
              <w:t>）</w:t>
            </w:r>
            <w:r>
              <w:rPr>
                <w:rFonts w:hint="eastAsia" w:cs="Times New Roman" w:eastAsiaTheme="minorEastAsia"/>
                <w:sz w:val="24"/>
                <w:szCs w:val="24"/>
                <w:highlight w:val="none"/>
                <w:lang w:val="en-US" w:eastAsia="zh-CN"/>
              </w:rPr>
              <w:t>噪声源强</w:t>
            </w:r>
          </w:p>
          <w:p w14:paraId="5FA86B86">
            <w:pPr>
              <w:numPr>
                <w:ilvl w:val="0"/>
                <w:numId w:val="0"/>
              </w:numPr>
              <w:spacing w:line="360" w:lineRule="auto"/>
              <w:ind w:firstLine="480" w:firstLineChars="200"/>
              <w:rPr>
                <w:spacing w:val="6"/>
                <w:highlight w:val="none"/>
                <w:lang w:eastAsia="zh-CN"/>
              </w:rPr>
            </w:pPr>
            <w:r>
              <w:rPr>
                <w:rFonts w:hint="default" w:ascii="Times New Roman" w:hAnsi="Times New Roman" w:cs="Times New Roman" w:eastAsiaTheme="minorEastAsia"/>
                <w:sz w:val="24"/>
                <w:szCs w:val="24"/>
                <w:highlight w:val="none"/>
                <w:lang w:eastAsia="zh-CN"/>
              </w:rPr>
              <w:t>参照</w:t>
            </w:r>
            <w:r>
              <w:rPr>
                <w:rFonts w:hint="eastAsia" w:ascii="Times New Roman" w:hAnsi="Times New Roman" w:cs="Times New Roman" w:eastAsiaTheme="minorEastAsia"/>
                <w:sz w:val="24"/>
                <w:szCs w:val="24"/>
                <w:highlight w:val="none"/>
                <w:lang w:eastAsia="zh-CN"/>
              </w:rPr>
              <w:t>同类型</w:t>
            </w:r>
            <w:r>
              <w:rPr>
                <w:rFonts w:hint="default" w:ascii="Times New Roman" w:hAnsi="Times New Roman" w:cs="Times New Roman" w:eastAsiaTheme="minorEastAsia"/>
                <w:sz w:val="24"/>
                <w:szCs w:val="24"/>
                <w:highlight w:val="none"/>
                <w:lang w:eastAsia="zh-CN"/>
              </w:rPr>
              <w:t>输气管道施工现场类比调查结果，本项目施工期主要噪声源见下表。</w:t>
            </w:r>
          </w:p>
          <w:p w14:paraId="7CAD1807">
            <w:pPr>
              <w:pStyle w:val="27"/>
              <w:spacing w:line="360" w:lineRule="auto"/>
              <w:ind w:firstLine="0" w:firstLineChars="0"/>
              <w:jc w:val="center"/>
              <w:rPr>
                <w:rFonts w:hint="eastAsia"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表4-1   主要施工机械噪声强度</w:t>
            </w:r>
          </w:p>
          <w:tbl>
            <w:tblPr>
              <w:tblStyle w:val="4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79"/>
              <w:gridCol w:w="1428"/>
              <w:gridCol w:w="5673"/>
            </w:tblGrid>
            <w:tr w14:paraId="0AA3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59" w:type="pct"/>
                  <w:vAlign w:val="center"/>
                </w:tcPr>
                <w:p w14:paraId="35F07371">
                  <w:pPr>
                    <w:pStyle w:val="38"/>
                    <w:rPr>
                      <w:highlight w:val="none"/>
                    </w:rPr>
                  </w:pPr>
                  <w:r>
                    <w:rPr>
                      <w:highlight w:val="none"/>
                    </w:rPr>
                    <w:t>序号</w:t>
                  </w:r>
                </w:p>
              </w:tc>
              <w:tc>
                <w:tcPr>
                  <w:tcW w:w="873" w:type="pct"/>
                  <w:vAlign w:val="center"/>
                </w:tcPr>
                <w:p w14:paraId="35328AB8">
                  <w:pPr>
                    <w:pStyle w:val="38"/>
                    <w:rPr>
                      <w:highlight w:val="none"/>
                    </w:rPr>
                  </w:pPr>
                  <w:r>
                    <w:rPr>
                      <w:highlight w:val="none"/>
                    </w:rPr>
                    <w:t>噪声源</w:t>
                  </w:r>
                </w:p>
              </w:tc>
              <w:tc>
                <w:tcPr>
                  <w:tcW w:w="3466" w:type="pct"/>
                  <w:vAlign w:val="center"/>
                </w:tcPr>
                <w:p w14:paraId="4C82D034">
                  <w:pPr>
                    <w:pStyle w:val="38"/>
                    <w:rPr>
                      <w:highlight w:val="none"/>
                    </w:rPr>
                  </w:pPr>
                  <w:r>
                    <w:rPr>
                      <w:highlight w:val="none"/>
                    </w:rPr>
                    <w:t>距离声源5m处噪声强度dB（A）</w:t>
                  </w:r>
                </w:p>
              </w:tc>
            </w:tr>
            <w:tr w14:paraId="5D0C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659" w:type="pct"/>
                  <w:vAlign w:val="center"/>
                </w:tcPr>
                <w:p w14:paraId="42C337B2">
                  <w:pPr>
                    <w:pStyle w:val="38"/>
                    <w:rPr>
                      <w:highlight w:val="none"/>
                    </w:rPr>
                  </w:pPr>
                  <w:r>
                    <w:rPr>
                      <w:highlight w:val="none"/>
                    </w:rPr>
                    <w:t>1</w:t>
                  </w:r>
                </w:p>
              </w:tc>
              <w:tc>
                <w:tcPr>
                  <w:tcW w:w="873" w:type="pct"/>
                  <w:vAlign w:val="center"/>
                </w:tcPr>
                <w:p w14:paraId="5552AB24">
                  <w:pPr>
                    <w:pStyle w:val="38"/>
                    <w:rPr>
                      <w:highlight w:val="none"/>
                    </w:rPr>
                  </w:pPr>
                  <w:r>
                    <w:rPr>
                      <w:highlight w:val="none"/>
                    </w:rPr>
                    <w:t>吊管机</w:t>
                  </w:r>
                </w:p>
              </w:tc>
              <w:tc>
                <w:tcPr>
                  <w:tcW w:w="3466" w:type="pct"/>
                  <w:vAlign w:val="center"/>
                </w:tcPr>
                <w:p w14:paraId="6075BCB7">
                  <w:pPr>
                    <w:pStyle w:val="38"/>
                    <w:rPr>
                      <w:highlight w:val="none"/>
                    </w:rPr>
                  </w:pPr>
                  <w:r>
                    <w:rPr>
                      <w:highlight w:val="none"/>
                    </w:rPr>
                    <w:t>81</w:t>
                  </w:r>
                </w:p>
              </w:tc>
            </w:tr>
            <w:tr w14:paraId="480E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659" w:type="pct"/>
                  <w:vAlign w:val="center"/>
                </w:tcPr>
                <w:p w14:paraId="6F36E349">
                  <w:pPr>
                    <w:pStyle w:val="38"/>
                    <w:rPr>
                      <w:highlight w:val="none"/>
                    </w:rPr>
                  </w:pPr>
                  <w:r>
                    <w:rPr>
                      <w:highlight w:val="none"/>
                    </w:rPr>
                    <w:t>2</w:t>
                  </w:r>
                </w:p>
              </w:tc>
              <w:tc>
                <w:tcPr>
                  <w:tcW w:w="873" w:type="pct"/>
                  <w:vAlign w:val="center"/>
                </w:tcPr>
                <w:p w14:paraId="338B6896">
                  <w:pPr>
                    <w:pStyle w:val="38"/>
                    <w:rPr>
                      <w:highlight w:val="none"/>
                    </w:rPr>
                  </w:pPr>
                  <w:r>
                    <w:rPr>
                      <w:highlight w:val="none"/>
                    </w:rPr>
                    <w:t>电焊机</w:t>
                  </w:r>
                </w:p>
              </w:tc>
              <w:tc>
                <w:tcPr>
                  <w:tcW w:w="3466" w:type="pct"/>
                  <w:vAlign w:val="center"/>
                </w:tcPr>
                <w:p w14:paraId="6901AA16">
                  <w:pPr>
                    <w:pStyle w:val="38"/>
                    <w:rPr>
                      <w:highlight w:val="none"/>
                    </w:rPr>
                  </w:pPr>
                  <w:r>
                    <w:rPr>
                      <w:highlight w:val="none"/>
                    </w:rPr>
                    <w:t>87</w:t>
                  </w:r>
                </w:p>
              </w:tc>
            </w:tr>
            <w:tr w14:paraId="4301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59" w:type="pct"/>
                  <w:vAlign w:val="center"/>
                </w:tcPr>
                <w:p w14:paraId="71757F2B">
                  <w:pPr>
                    <w:pStyle w:val="38"/>
                    <w:rPr>
                      <w:highlight w:val="none"/>
                    </w:rPr>
                  </w:pPr>
                  <w:r>
                    <w:rPr>
                      <w:highlight w:val="none"/>
                    </w:rPr>
                    <w:t>3</w:t>
                  </w:r>
                </w:p>
              </w:tc>
              <w:tc>
                <w:tcPr>
                  <w:tcW w:w="873" w:type="pct"/>
                  <w:vAlign w:val="center"/>
                </w:tcPr>
                <w:p w14:paraId="413F2B24">
                  <w:pPr>
                    <w:pStyle w:val="38"/>
                    <w:rPr>
                      <w:highlight w:val="none"/>
                    </w:rPr>
                  </w:pPr>
                  <w:r>
                    <w:rPr>
                      <w:highlight w:val="none"/>
                    </w:rPr>
                    <w:t>切割机</w:t>
                  </w:r>
                </w:p>
              </w:tc>
              <w:tc>
                <w:tcPr>
                  <w:tcW w:w="3466" w:type="pct"/>
                  <w:vAlign w:val="center"/>
                </w:tcPr>
                <w:p w14:paraId="4A19D3CC">
                  <w:pPr>
                    <w:pStyle w:val="38"/>
                    <w:rPr>
                      <w:highlight w:val="none"/>
                    </w:rPr>
                  </w:pPr>
                  <w:r>
                    <w:rPr>
                      <w:highlight w:val="none"/>
                    </w:rPr>
                    <w:t>95</w:t>
                  </w:r>
                </w:p>
              </w:tc>
            </w:tr>
          </w:tbl>
          <w:p w14:paraId="1CE62019">
            <w:pPr>
              <w:pStyle w:val="27"/>
              <w:spacing w:line="360" w:lineRule="auto"/>
              <w:ind w:firstLine="508"/>
              <w:rPr>
                <w:rFonts w:hint="default" w:ascii="Times New Roman" w:hAnsi="Times New Roman" w:cs="Times New Roman"/>
                <w:sz w:val="24"/>
                <w:szCs w:val="24"/>
                <w:highlight w:val="none"/>
                <w:lang w:eastAsia="zh-CN"/>
              </w:rPr>
            </w:pPr>
            <w:r>
              <w:rPr>
                <w:rFonts w:hint="default" w:ascii="Times New Roman" w:hAnsi="Times New Roman" w:cs="Times New Roman"/>
                <w:spacing w:val="7"/>
                <w:position w:val="1"/>
                <w:sz w:val="24"/>
                <w:szCs w:val="24"/>
                <w:highlight w:val="none"/>
                <w:lang w:eastAsia="zh-CN"/>
              </w:rPr>
              <w:t>（2）噪声预测模式</w:t>
            </w:r>
          </w:p>
          <w:p w14:paraId="1DCBD48E">
            <w:pPr>
              <w:pStyle w:val="27"/>
              <w:spacing w:line="360" w:lineRule="auto"/>
              <w:ind w:right="124" w:firstLine="516"/>
              <w:rPr>
                <w:rFonts w:hint="default" w:ascii="Times New Roman" w:hAnsi="Times New Roman" w:cs="Times New Roman"/>
                <w:sz w:val="24"/>
                <w:szCs w:val="24"/>
                <w:highlight w:val="none"/>
                <w:lang w:eastAsia="zh-CN"/>
              </w:rPr>
            </w:pPr>
            <w:r>
              <w:rPr>
                <w:rFonts w:hint="default" w:ascii="Times New Roman" w:hAnsi="Times New Roman" w:cs="Times New Roman"/>
                <w:spacing w:val="9"/>
                <w:sz w:val="24"/>
                <w:szCs w:val="24"/>
                <w:highlight w:val="none"/>
                <w:lang w:eastAsia="zh-CN"/>
              </w:rPr>
              <w:t>施工期工程噪声源可近似作为点声源处理，根</w:t>
            </w:r>
            <w:r>
              <w:rPr>
                <w:rFonts w:hint="default" w:ascii="Times New Roman" w:hAnsi="Times New Roman" w:cs="Times New Roman"/>
                <w:spacing w:val="8"/>
                <w:sz w:val="24"/>
                <w:szCs w:val="24"/>
                <w:highlight w:val="none"/>
                <w:lang w:eastAsia="zh-CN"/>
              </w:rPr>
              <w:t>据点声源噪声衰减模式，可估算施工期噪声源不同距离处的噪声值，预测模式如下：</w:t>
            </w:r>
          </w:p>
          <w:p w14:paraId="6B26D88C">
            <w:pPr>
              <w:pStyle w:val="27"/>
              <w:spacing w:line="360" w:lineRule="auto"/>
              <w:ind w:firstLine="480"/>
              <w:jc w:val="center"/>
              <w:rPr>
                <w:rFonts w:hint="default" w:ascii="Times New Roman" w:hAnsi="Times New Roman" w:cs="Times New Roman"/>
                <w:spacing w:val="8"/>
                <w:position w:val="2"/>
                <w:sz w:val="24"/>
                <w:szCs w:val="24"/>
                <w:highlight w:val="none"/>
              </w:rPr>
            </w:pPr>
            <w:r>
              <w:rPr>
                <w:rFonts w:hint="default" w:ascii="Times New Roman" w:hAnsi="Times New Roman" w:cs="Times New Roman"/>
                <w:sz w:val="24"/>
                <w:szCs w:val="24"/>
                <w:highlight w:val="none"/>
                <w:lang w:eastAsia="zh-CN"/>
              </w:rPr>
              <w:drawing>
                <wp:inline distT="0" distB="0" distL="114300" distR="114300">
                  <wp:extent cx="1565275" cy="389255"/>
                  <wp:effectExtent l="0" t="0" r="15875" b="10795"/>
                  <wp:docPr id="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
                          <pic:cNvPicPr>
                            <a:picLocks noChangeAspect="1"/>
                          </pic:cNvPicPr>
                        </pic:nvPicPr>
                        <pic:blipFill>
                          <a:blip r:embed="rId22" cstate="print"/>
                          <a:stretch>
                            <a:fillRect/>
                          </a:stretch>
                        </pic:blipFill>
                        <pic:spPr>
                          <a:xfrm>
                            <a:off x="0" y="0"/>
                            <a:ext cx="1565275" cy="389255"/>
                          </a:xfrm>
                          <a:prstGeom prst="rect">
                            <a:avLst/>
                          </a:prstGeom>
                          <a:noFill/>
                          <a:ln>
                            <a:noFill/>
                          </a:ln>
                        </pic:spPr>
                      </pic:pic>
                    </a:graphicData>
                  </a:graphic>
                </wp:inline>
              </w:drawing>
            </w:r>
          </w:p>
          <w:p w14:paraId="32FE333E">
            <w:pPr>
              <w:pStyle w:val="27"/>
              <w:spacing w:line="360" w:lineRule="auto"/>
              <w:ind w:firstLine="512"/>
              <w:rPr>
                <w:rFonts w:hint="default" w:ascii="Times New Roman" w:hAnsi="Times New Roman" w:cs="Times New Roman"/>
                <w:sz w:val="24"/>
                <w:szCs w:val="24"/>
                <w:highlight w:val="none"/>
                <w:lang w:eastAsia="zh-CN"/>
              </w:rPr>
            </w:pPr>
            <w:r>
              <w:rPr>
                <w:rFonts w:hint="default" w:ascii="Times New Roman" w:hAnsi="Times New Roman" w:cs="Times New Roman"/>
                <w:spacing w:val="8"/>
                <w:position w:val="2"/>
                <w:sz w:val="24"/>
                <w:szCs w:val="24"/>
                <w:highlight w:val="none"/>
                <w:lang w:eastAsia="zh-CN"/>
              </w:rPr>
              <w:t>式中：</w:t>
            </w:r>
            <w:r>
              <w:rPr>
                <w:rFonts w:hint="default" w:ascii="Times New Roman" w:hAnsi="Times New Roman" w:cs="Times New Roman"/>
                <w:position w:val="2"/>
                <w:sz w:val="24"/>
                <w:szCs w:val="24"/>
                <w:highlight w:val="none"/>
                <w:lang w:eastAsia="zh-CN"/>
              </w:rPr>
              <w:t>L</w:t>
            </w:r>
            <w:r>
              <w:rPr>
                <w:rFonts w:hint="default" w:ascii="Times New Roman" w:hAnsi="Times New Roman" w:cs="Times New Roman"/>
                <w:position w:val="1"/>
                <w:sz w:val="24"/>
                <w:szCs w:val="24"/>
                <w:highlight w:val="none"/>
                <w:lang w:eastAsia="zh-CN"/>
              </w:rPr>
              <w:t>p</w:t>
            </w:r>
            <w:r>
              <w:rPr>
                <w:rFonts w:hint="eastAsia" w:ascii="Times New Roman" w:hAnsi="Times New Roman" w:cs="Times New Roman"/>
                <w:spacing w:val="8"/>
                <w:position w:val="2"/>
                <w:sz w:val="24"/>
                <w:szCs w:val="24"/>
                <w:highlight w:val="none"/>
                <w:lang w:eastAsia="zh-CN"/>
              </w:rPr>
              <w:t>（</w:t>
            </w:r>
            <w:r>
              <w:rPr>
                <w:rFonts w:hint="default" w:ascii="Times New Roman" w:hAnsi="Times New Roman" w:cs="Times New Roman"/>
                <w:spacing w:val="8"/>
                <w:position w:val="2"/>
                <w:sz w:val="24"/>
                <w:szCs w:val="24"/>
                <w:highlight w:val="none"/>
                <w:lang w:eastAsia="zh-CN"/>
              </w:rPr>
              <w:t>r</w:t>
            </w:r>
            <w:r>
              <w:rPr>
                <w:rFonts w:hint="eastAsia" w:ascii="Times New Roman" w:hAnsi="Times New Roman" w:cs="Times New Roman"/>
                <w:spacing w:val="8"/>
                <w:position w:val="2"/>
                <w:sz w:val="24"/>
                <w:szCs w:val="24"/>
                <w:highlight w:val="none"/>
                <w:lang w:eastAsia="zh-CN"/>
              </w:rPr>
              <w:t>）</w:t>
            </w:r>
            <w:r>
              <w:rPr>
                <w:rFonts w:hint="default" w:ascii="Times New Roman" w:hAnsi="Times New Roman" w:cs="Times New Roman"/>
                <w:spacing w:val="8"/>
                <w:position w:val="2"/>
                <w:sz w:val="24"/>
                <w:szCs w:val="24"/>
                <w:highlight w:val="none"/>
                <w:lang w:eastAsia="zh-CN"/>
              </w:rPr>
              <w:t>--点声源在预测点产生的声压级，</w:t>
            </w:r>
            <w:r>
              <w:rPr>
                <w:rFonts w:hint="default" w:ascii="Times New Roman" w:hAnsi="Times New Roman" w:cs="Times New Roman"/>
                <w:position w:val="2"/>
                <w:sz w:val="24"/>
                <w:szCs w:val="24"/>
                <w:highlight w:val="none"/>
                <w:lang w:eastAsia="zh-CN"/>
              </w:rPr>
              <w:t>dB</w:t>
            </w:r>
            <w:r>
              <w:rPr>
                <w:rFonts w:hint="default" w:ascii="Times New Roman" w:hAnsi="Times New Roman" w:cs="Times New Roman"/>
                <w:spacing w:val="8"/>
                <w:position w:val="2"/>
                <w:sz w:val="24"/>
                <w:szCs w:val="24"/>
                <w:highlight w:val="none"/>
                <w:lang w:eastAsia="zh-CN"/>
              </w:rPr>
              <w:t>；</w:t>
            </w:r>
          </w:p>
          <w:p w14:paraId="458CE8ED">
            <w:pPr>
              <w:pStyle w:val="27"/>
              <w:spacing w:line="360" w:lineRule="auto"/>
              <w:ind w:left="522" w:firstLine="720" w:firstLineChars="300"/>
              <w:rPr>
                <w:rFonts w:hint="default" w:ascii="Times New Roman" w:hAnsi="Times New Roman" w:cs="Times New Roman"/>
                <w:sz w:val="24"/>
                <w:szCs w:val="24"/>
                <w:highlight w:val="none"/>
                <w:lang w:eastAsia="zh-CN"/>
              </w:rPr>
            </w:pPr>
            <w:r>
              <w:rPr>
                <w:rFonts w:hint="default" w:ascii="Times New Roman" w:hAnsi="Times New Roman" w:cs="Times New Roman"/>
                <w:position w:val="2"/>
                <w:sz w:val="24"/>
                <w:szCs w:val="24"/>
                <w:highlight w:val="none"/>
                <w:lang w:eastAsia="zh-CN"/>
              </w:rPr>
              <w:t>L</w:t>
            </w:r>
            <w:r>
              <w:rPr>
                <w:rFonts w:hint="default" w:ascii="Times New Roman" w:hAnsi="Times New Roman" w:cs="Times New Roman"/>
                <w:position w:val="1"/>
                <w:sz w:val="24"/>
                <w:szCs w:val="24"/>
                <w:highlight w:val="none"/>
                <w:lang w:eastAsia="zh-CN"/>
              </w:rPr>
              <w:t>p</w:t>
            </w:r>
            <w:r>
              <w:rPr>
                <w:rFonts w:hint="eastAsia" w:ascii="Times New Roman" w:hAnsi="Times New Roman" w:cs="Times New Roman"/>
                <w:spacing w:val="8"/>
                <w:position w:val="2"/>
                <w:sz w:val="24"/>
                <w:szCs w:val="24"/>
                <w:highlight w:val="none"/>
                <w:lang w:eastAsia="zh-CN"/>
              </w:rPr>
              <w:t>（</w:t>
            </w:r>
            <w:r>
              <w:rPr>
                <w:rFonts w:hint="default" w:ascii="Times New Roman" w:hAnsi="Times New Roman" w:cs="Times New Roman"/>
                <w:spacing w:val="8"/>
                <w:position w:val="2"/>
                <w:sz w:val="24"/>
                <w:szCs w:val="24"/>
                <w:highlight w:val="none"/>
                <w:lang w:eastAsia="zh-CN"/>
              </w:rPr>
              <w:t>r0</w:t>
            </w:r>
            <w:r>
              <w:rPr>
                <w:rFonts w:hint="eastAsia" w:ascii="Times New Roman" w:hAnsi="Times New Roman" w:cs="Times New Roman"/>
                <w:spacing w:val="8"/>
                <w:position w:val="2"/>
                <w:sz w:val="24"/>
                <w:szCs w:val="24"/>
                <w:highlight w:val="none"/>
                <w:lang w:eastAsia="zh-CN"/>
              </w:rPr>
              <w:t>）</w:t>
            </w:r>
            <w:r>
              <w:rPr>
                <w:rFonts w:hint="default" w:ascii="Times New Roman" w:hAnsi="Times New Roman" w:cs="Times New Roman"/>
                <w:spacing w:val="8"/>
                <w:position w:val="2"/>
                <w:sz w:val="24"/>
                <w:szCs w:val="24"/>
                <w:highlight w:val="none"/>
                <w:lang w:eastAsia="zh-CN"/>
              </w:rPr>
              <w:t>--点声源在参考点产生的声压级，</w:t>
            </w:r>
            <w:r>
              <w:rPr>
                <w:rFonts w:hint="default" w:ascii="Times New Roman" w:hAnsi="Times New Roman" w:cs="Times New Roman"/>
                <w:position w:val="2"/>
                <w:sz w:val="24"/>
                <w:szCs w:val="24"/>
                <w:highlight w:val="none"/>
                <w:lang w:eastAsia="zh-CN"/>
              </w:rPr>
              <w:t>dB</w:t>
            </w:r>
            <w:r>
              <w:rPr>
                <w:rFonts w:hint="default" w:ascii="Times New Roman" w:hAnsi="Times New Roman" w:cs="Times New Roman"/>
                <w:spacing w:val="8"/>
                <w:position w:val="2"/>
                <w:sz w:val="24"/>
                <w:szCs w:val="24"/>
                <w:highlight w:val="none"/>
                <w:lang w:eastAsia="zh-CN"/>
              </w:rPr>
              <w:t>；</w:t>
            </w:r>
          </w:p>
          <w:p w14:paraId="3B4FA0F4">
            <w:pPr>
              <w:pStyle w:val="27"/>
              <w:spacing w:line="360" w:lineRule="auto"/>
              <w:ind w:left="519" w:firstLine="762" w:firstLineChars="300"/>
              <w:rPr>
                <w:rFonts w:hint="default" w:ascii="Times New Roman" w:hAnsi="Times New Roman" w:cs="Times New Roman"/>
                <w:sz w:val="24"/>
                <w:szCs w:val="24"/>
                <w:highlight w:val="none"/>
                <w:lang w:eastAsia="zh-CN"/>
              </w:rPr>
            </w:pPr>
            <w:r>
              <w:rPr>
                <w:rFonts w:hint="default" w:ascii="Times New Roman" w:hAnsi="Times New Roman" w:cs="Times New Roman"/>
                <w:spacing w:val="7"/>
                <w:sz w:val="24"/>
                <w:szCs w:val="24"/>
                <w:highlight w:val="none"/>
                <w:lang w:eastAsia="zh-CN"/>
              </w:rPr>
              <w:t>r--预测点距声源的距离，m；</w:t>
            </w:r>
          </w:p>
          <w:p w14:paraId="31105EAB">
            <w:pPr>
              <w:pStyle w:val="27"/>
              <w:spacing w:line="360" w:lineRule="auto"/>
              <w:ind w:left="519" w:firstLine="762" w:firstLineChars="300"/>
              <w:rPr>
                <w:rFonts w:hint="default" w:ascii="Times New Roman" w:hAnsi="Times New Roman" w:cs="Times New Roman"/>
                <w:sz w:val="24"/>
                <w:szCs w:val="24"/>
                <w:highlight w:val="none"/>
                <w:lang w:eastAsia="zh-CN"/>
              </w:rPr>
            </w:pPr>
            <w:r>
              <w:rPr>
                <w:rFonts w:hint="default" w:ascii="Times New Roman" w:hAnsi="Times New Roman" w:cs="Times New Roman"/>
                <w:spacing w:val="7"/>
                <w:position w:val="1"/>
                <w:sz w:val="24"/>
                <w:szCs w:val="24"/>
                <w:highlight w:val="none"/>
                <w:lang w:eastAsia="zh-CN"/>
              </w:rPr>
              <w:t>r0--参考点距声源的距离，m。</w:t>
            </w:r>
          </w:p>
          <w:p w14:paraId="359DC135">
            <w:pPr>
              <w:pStyle w:val="27"/>
              <w:spacing w:line="360" w:lineRule="auto"/>
              <w:ind w:firstLine="508"/>
              <w:rPr>
                <w:rFonts w:hint="default" w:ascii="Times New Roman" w:hAnsi="Times New Roman" w:cs="Times New Roman"/>
                <w:sz w:val="24"/>
                <w:szCs w:val="24"/>
                <w:highlight w:val="none"/>
                <w:lang w:eastAsia="zh-CN"/>
              </w:rPr>
            </w:pPr>
            <w:r>
              <w:rPr>
                <w:rFonts w:hint="default" w:ascii="Times New Roman" w:hAnsi="Times New Roman" w:cs="Times New Roman"/>
                <w:spacing w:val="7"/>
                <w:position w:val="1"/>
                <w:sz w:val="24"/>
                <w:szCs w:val="24"/>
                <w:highlight w:val="none"/>
                <w:lang w:eastAsia="zh-CN"/>
              </w:rPr>
              <w:t>（3）预测结果及分析</w:t>
            </w:r>
          </w:p>
          <w:p w14:paraId="2843E23F">
            <w:pPr>
              <w:pStyle w:val="27"/>
              <w:spacing w:line="360" w:lineRule="auto"/>
              <w:ind w:right="124" w:firstLine="516"/>
              <w:rPr>
                <w:rFonts w:hint="default" w:ascii="Times New Roman" w:hAnsi="Times New Roman" w:cs="Times New Roman"/>
                <w:sz w:val="24"/>
                <w:szCs w:val="24"/>
                <w:highlight w:val="none"/>
                <w:lang w:eastAsia="zh-CN"/>
              </w:rPr>
            </w:pPr>
            <w:r>
              <w:rPr>
                <w:rFonts w:hint="default" w:ascii="Times New Roman" w:hAnsi="Times New Roman" w:cs="Times New Roman"/>
                <w:spacing w:val="9"/>
                <w:sz w:val="24"/>
                <w:szCs w:val="24"/>
                <w:highlight w:val="none"/>
                <w:lang w:eastAsia="zh-CN"/>
              </w:rPr>
              <w:t>通常施工场地上有多台不同种类的施工机械</w:t>
            </w:r>
            <w:r>
              <w:rPr>
                <w:rFonts w:hint="default" w:ascii="Times New Roman" w:hAnsi="Times New Roman" w:cs="Times New Roman"/>
                <w:spacing w:val="8"/>
                <w:sz w:val="24"/>
                <w:szCs w:val="24"/>
                <w:highlight w:val="none"/>
                <w:lang w:eastAsia="zh-CN"/>
              </w:rPr>
              <w:t>同时作业，它们的辐射声级将叠加，其强度增量视噪声源种类、数量、相对分布的距离等因素而不同。施工噪声随距离衰减后</w:t>
            </w:r>
            <w:r>
              <w:rPr>
                <w:rFonts w:hint="default" w:ascii="Times New Roman" w:hAnsi="Times New Roman" w:cs="Times New Roman"/>
                <w:spacing w:val="6"/>
                <w:sz w:val="24"/>
                <w:szCs w:val="24"/>
                <w:highlight w:val="none"/>
                <w:lang w:eastAsia="zh-CN"/>
              </w:rPr>
              <w:t>的预测值见下表。</w:t>
            </w:r>
          </w:p>
          <w:p w14:paraId="14E05D7B">
            <w:pPr>
              <w:widowControl/>
              <w:spacing w:line="240" w:lineRule="atLeast"/>
              <w:ind w:firstLine="0" w:firstLineChars="0"/>
              <w:jc w:val="center"/>
              <w:rPr>
                <w:b/>
                <w:bCs/>
                <w:spacing w:val="6"/>
                <w:highlight w:val="none"/>
              </w:rPr>
            </w:pPr>
            <w:r>
              <w:rPr>
                <w:b/>
                <w:bCs/>
                <w:spacing w:val="6"/>
                <w:highlight w:val="none"/>
              </w:rPr>
              <w:t>表</w:t>
            </w:r>
            <w:r>
              <w:rPr>
                <w:rFonts w:eastAsia="Times New Roman" w:cs="Times New Roman"/>
                <w:b/>
                <w:bCs/>
                <w:spacing w:val="6"/>
                <w:highlight w:val="none"/>
              </w:rPr>
              <w:t xml:space="preserve">4-2   </w:t>
            </w:r>
            <w:r>
              <w:rPr>
                <w:b/>
                <w:bCs/>
                <w:spacing w:val="6"/>
                <w:highlight w:val="none"/>
              </w:rPr>
              <w:t>施工噪声随距离的衰减情况</w:t>
            </w:r>
            <w:r>
              <w:rPr>
                <w:spacing w:val="6"/>
                <w:highlight w:val="none"/>
              </w:rPr>
              <w:t xml:space="preserve">    </w:t>
            </w:r>
            <w:r>
              <w:rPr>
                <w:b/>
                <w:bCs/>
                <w:spacing w:val="6"/>
                <w:highlight w:val="none"/>
              </w:rPr>
              <w:t>单位：</w:t>
            </w:r>
            <w:r>
              <w:rPr>
                <w:rFonts w:eastAsia="Times New Roman" w:cs="Times New Roman"/>
                <w:b/>
                <w:bCs/>
                <w:highlight w:val="none"/>
              </w:rPr>
              <w:t>dB</w:t>
            </w:r>
            <w:r>
              <w:rPr>
                <w:b/>
                <w:bCs/>
                <w:spacing w:val="6"/>
                <w:highlight w:val="none"/>
              </w:rPr>
              <w:t>（</w:t>
            </w:r>
            <w:r>
              <w:rPr>
                <w:rFonts w:eastAsia="Times New Roman" w:cs="Times New Roman"/>
                <w:b/>
                <w:bCs/>
                <w:spacing w:val="6"/>
                <w:highlight w:val="none"/>
              </w:rPr>
              <w:t>A</w:t>
            </w:r>
            <w:r>
              <w:rPr>
                <w:b/>
                <w:bCs/>
                <w:spacing w:val="6"/>
                <w:highlight w:val="none"/>
              </w:rPr>
              <w:t>）</w:t>
            </w:r>
          </w:p>
          <w:tbl>
            <w:tblPr>
              <w:tblStyle w:val="42"/>
              <w:tblW w:w="8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81"/>
              <w:gridCol w:w="622"/>
              <w:gridCol w:w="623"/>
              <w:gridCol w:w="623"/>
              <w:gridCol w:w="623"/>
              <w:gridCol w:w="623"/>
              <w:gridCol w:w="777"/>
              <w:gridCol w:w="777"/>
              <w:gridCol w:w="778"/>
              <w:gridCol w:w="778"/>
              <w:gridCol w:w="466"/>
            </w:tblGrid>
            <w:tr w14:paraId="0B13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481" w:type="dxa"/>
                  <w:vAlign w:val="center"/>
                </w:tcPr>
                <w:p w14:paraId="2CE50D22">
                  <w:pPr>
                    <w:pStyle w:val="38"/>
                    <w:rPr>
                      <w:highlight w:val="none"/>
                    </w:rPr>
                  </w:pPr>
                  <w:r>
                    <w:rPr>
                      <w:highlight w:val="none"/>
                    </w:rPr>
                    <w:t>噪声源距离，m</w:t>
                  </w:r>
                </w:p>
              </w:tc>
              <w:tc>
                <w:tcPr>
                  <w:tcW w:w="622" w:type="dxa"/>
                  <w:vAlign w:val="center"/>
                </w:tcPr>
                <w:p w14:paraId="37DFD529">
                  <w:pPr>
                    <w:pStyle w:val="38"/>
                    <w:rPr>
                      <w:highlight w:val="none"/>
                    </w:rPr>
                  </w:pPr>
                  <w:r>
                    <w:rPr>
                      <w:highlight w:val="none"/>
                    </w:rPr>
                    <w:t>10</w:t>
                  </w:r>
                </w:p>
              </w:tc>
              <w:tc>
                <w:tcPr>
                  <w:tcW w:w="623" w:type="dxa"/>
                  <w:vAlign w:val="center"/>
                </w:tcPr>
                <w:p w14:paraId="73AE8365">
                  <w:pPr>
                    <w:pStyle w:val="38"/>
                    <w:rPr>
                      <w:highlight w:val="none"/>
                    </w:rPr>
                  </w:pPr>
                  <w:r>
                    <w:rPr>
                      <w:highlight w:val="none"/>
                    </w:rPr>
                    <w:t>20</w:t>
                  </w:r>
                </w:p>
              </w:tc>
              <w:tc>
                <w:tcPr>
                  <w:tcW w:w="623" w:type="dxa"/>
                  <w:vAlign w:val="center"/>
                </w:tcPr>
                <w:p w14:paraId="14BBCD3B">
                  <w:pPr>
                    <w:pStyle w:val="38"/>
                    <w:rPr>
                      <w:highlight w:val="none"/>
                    </w:rPr>
                  </w:pPr>
                  <w:r>
                    <w:rPr>
                      <w:highlight w:val="none"/>
                    </w:rPr>
                    <w:t>40</w:t>
                  </w:r>
                </w:p>
              </w:tc>
              <w:tc>
                <w:tcPr>
                  <w:tcW w:w="623" w:type="dxa"/>
                  <w:vAlign w:val="center"/>
                </w:tcPr>
                <w:p w14:paraId="1A4D3E6E">
                  <w:pPr>
                    <w:pStyle w:val="38"/>
                    <w:rPr>
                      <w:highlight w:val="none"/>
                    </w:rPr>
                  </w:pPr>
                  <w:r>
                    <w:rPr>
                      <w:highlight w:val="none"/>
                    </w:rPr>
                    <w:t>60</w:t>
                  </w:r>
                </w:p>
              </w:tc>
              <w:tc>
                <w:tcPr>
                  <w:tcW w:w="623" w:type="dxa"/>
                  <w:vAlign w:val="center"/>
                </w:tcPr>
                <w:p w14:paraId="0BB09B1A">
                  <w:pPr>
                    <w:pStyle w:val="38"/>
                    <w:rPr>
                      <w:highlight w:val="none"/>
                    </w:rPr>
                  </w:pPr>
                  <w:r>
                    <w:rPr>
                      <w:highlight w:val="none"/>
                    </w:rPr>
                    <w:t>80</w:t>
                  </w:r>
                </w:p>
              </w:tc>
              <w:tc>
                <w:tcPr>
                  <w:tcW w:w="777" w:type="dxa"/>
                  <w:vAlign w:val="center"/>
                </w:tcPr>
                <w:p w14:paraId="1C39B81A">
                  <w:pPr>
                    <w:pStyle w:val="38"/>
                    <w:rPr>
                      <w:highlight w:val="none"/>
                    </w:rPr>
                  </w:pPr>
                  <w:r>
                    <w:rPr>
                      <w:highlight w:val="none"/>
                    </w:rPr>
                    <w:t>100</w:t>
                  </w:r>
                </w:p>
              </w:tc>
              <w:tc>
                <w:tcPr>
                  <w:tcW w:w="777" w:type="dxa"/>
                  <w:vAlign w:val="center"/>
                </w:tcPr>
                <w:p w14:paraId="696D5648">
                  <w:pPr>
                    <w:pStyle w:val="38"/>
                    <w:rPr>
                      <w:highlight w:val="none"/>
                    </w:rPr>
                  </w:pPr>
                  <w:r>
                    <w:rPr>
                      <w:highlight w:val="none"/>
                    </w:rPr>
                    <w:t>200</w:t>
                  </w:r>
                </w:p>
              </w:tc>
              <w:tc>
                <w:tcPr>
                  <w:tcW w:w="778" w:type="dxa"/>
                  <w:vAlign w:val="center"/>
                </w:tcPr>
                <w:p w14:paraId="45836076">
                  <w:pPr>
                    <w:pStyle w:val="38"/>
                    <w:rPr>
                      <w:highlight w:val="none"/>
                    </w:rPr>
                  </w:pPr>
                  <w:r>
                    <w:rPr>
                      <w:highlight w:val="none"/>
                    </w:rPr>
                    <w:t>400</w:t>
                  </w:r>
                </w:p>
              </w:tc>
              <w:tc>
                <w:tcPr>
                  <w:tcW w:w="778" w:type="dxa"/>
                  <w:vAlign w:val="center"/>
                </w:tcPr>
                <w:p w14:paraId="640916DB">
                  <w:pPr>
                    <w:pStyle w:val="38"/>
                    <w:rPr>
                      <w:highlight w:val="none"/>
                    </w:rPr>
                  </w:pPr>
                  <w:r>
                    <w:rPr>
                      <w:highlight w:val="none"/>
                    </w:rPr>
                    <w:t>800</w:t>
                  </w:r>
                </w:p>
              </w:tc>
              <w:tc>
                <w:tcPr>
                  <w:tcW w:w="466" w:type="dxa"/>
                  <w:vAlign w:val="center"/>
                </w:tcPr>
                <w:p w14:paraId="54C46182">
                  <w:pPr>
                    <w:pStyle w:val="38"/>
                    <w:rPr>
                      <w:highlight w:val="none"/>
                      <w:lang w:val="en-US"/>
                    </w:rPr>
                  </w:pPr>
                  <w:r>
                    <w:rPr>
                      <w:highlight w:val="none"/>
                    </w:rPr>
                    <w:t>10</w:t>
                  </w:r>
                  <w:r>
                    <w:rPr>
                      <w:rFonts w:hint="eastAsia"/>
                      <w:highlight w:val="none"/>
                      <w:lang w:val="en-US"/>
                    </w:rPr>
                    <w:t>00</w:t>
                  </w:r>
                </w:p>
              </w:tc>
            </w:tr>
            <w:tr w14:paraId="64BC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481" w:type="dxa"/>
                  <w:vAlign w:val="center"/>
                </w:tcPr>
                <w:p w14:paraId="6AF039C9">
                  <w:pPr>
                    <w:pStyle w:val="38"/>
                    <w:rPr>
                      <w:highlight w:val="none"/>
                    </w:rPr>
                  </w:pPr>
                  <w:r>
                    <w:rPr>
                      <w:highlight w:val="none"/>
                    </w:rPr>
                    <w:t>吊管机</w:t>
                  </w:r>
                </w:p>
              </w:tc>
              <w:tc>
                <w:tcPr>
                  <w:tcW w:w="622" w:type="dxa"/>
                  <w:vAlign w:val="center"/>
                </w:tcPr>
                <w:p w14:paraId="34532FDE">
                  <w:pPr>
                    <w:pStyle w:val="38"/>
                    <w:rPr>
                      <w:highlight w:val="none"/>
                    </w:rPr>
                  </w:pPr>
                  <w:r>
                    <w:rPr>
                      <w:highlight w:val="none"/>
                    </w:rPr>
                    <w:t>75</w:t>
                  </w:r>
                </w:p>
              </w:tc>
              <w:tc>
                <w:tcPr>
                  <w:tcW w:w="623" w:type="dxa"/>
                  <w:vAlign w:val="center"/>
                </w:tcPr>
                <w:p w14:paraId="48E856F6">
                  <w:pPr>
                    <w:pStyle w:val="38"/>
                    <w:rPr>
                      <w:highlight w:val="none"/>
                    </w:rPr>
                  </w:pPr>
                  <w:r>
                    <w:rPr>
                      <w:highlight w:val="none"/>
                    </w:rPr>
                    <w:t>69</w:t>
                  </w:r>
                </w:p>
              </w:tc>
              <w:tc>
                <w:tcPr>
                  <w:tcW w:w="623" w:type="dxa"/>
                  <w:vAlign w:val="center"/>
                </w:tcPr>
                <w:p w14:paraId="6C0B0B8B">
                  <w:pPr>
                    <w:pStyle w:val="38"/>
                    <w:rPr>
                      <w:highlight w:val="none"/>
                    </w:rPr>
                  </w:pPr>
                  <w:r>
                    <w:rPr>
                      <w:highlight w:val="none"/>
                    </w:rPr>
                    <w:t>63</w:t>
                  </w:r>
                </w:p>
              </w:tc>
              <w:tc>
                <w:tcPr>
                  <w:tcW w:w="623" w:type="dxa"/>
                  <w:vAlign w:val="center"/>
                </w:tcPr>
                <w:p w14:paraId="125A6AE1">
                  <w:pPr>
                    <w:pStyle w:val="38"/>
                    <w:rPr>
                      <w:highlight w:val="none"/>
                    </w:rPr>
                  </w:pPr>
                  <w:r>
                    <w:rPr>
                      <w:highlight w:val="none"/>
                    </w:rPr>
                    <w:t>59</w:t>
                  </w:r>
                </w:p>
              </w:tc>
              <w:tc>
                <w:tcPr>
                  <w:tcW w:w="623" w:type="dxa"/>
                  <w:vAlign w:val="center"/>
                </w:tcPr>
                <w:p w14:paraId="26B171FB">
                  <w:pPr>
                    <w:pStyle w:val="38"/>
                    <w:rPr>
                      <w:highlight w:val="none"/>
                    </w:rPr>
                  </w:pPr>
                  <w:r>
                    <w:rPr>
                      <w:highlight w:val="none"/>
                    </w:rPr>
                    <w:t>57</w:t>
                  </w:r>
                </w:p>
              </w:tc>
              <w:tc>
                <w:tcPr>
                  <w:tcW w:w="777" w:type="dxa"/>
                  <w:vAlign w:val="center"/>
                </w:tcPr>
                <w:p w14:paraId="24DD055D">
                  <w:pPr>
                    <w:pStyle w:val="38"/>
                    <w:rPr>
                      <w:highlight w:val="none"/>
                    </w:rPr>
                  </w:pPr>
                  <w:r>
                    <w:rPr>
                      <w:highlight w:val="none"/>
                    </w:rPr>
                    <w:t>55</w:t>
                  </w:r>
                </w:p>
              </w:tc>
              <w:tc>
                <w:tcPr>
                  <w:tcW w:w="777" w:type="dxa"/>
                  <w:vAlign w:val="center"/>
                </w:tcPr>
                <w:p w14:paraId="4CEB703C">
                  <w:pPr>
                    <w:pStyle w:val="38"/>
                    <w:rPr>
                      <w:highlight w:val="none"/>
                    </w:rPr>
                  </w:pPr>
                  <w:r>
                    <w:rPr>
                      <w:highlight w:val="none"/>
                    </w:rPr>
                    <w:t>49</w:t>
                  </w:r>
                </w:p>
              </w:tc>
              <w:tc>
                <w:tcPr>
                  <w:tcW w:w="778" w:type="dxa"/>
                  <w:vAlign w:val="center"/>
                </w:tcPr>
                <w:p w14:paraId="3D9EA0E1">
                  <w:pPr>
                    <w:pStyle w:val="38"/>
                    <w:rPr>
                      <w:highlight w:val="none"/>
                    </w:rPr>
                  </w:pPr>
                  <w:r>
                    <w:rPr>
                      <w:highlight w:val="none"/>
                    </w:rPr>
                    <w:t>43</w:t>
                  </w:r>
                </w:p>
              </w:tc>
              <w:tc>
                <w:tcPr>
                  <w:tcW w:w="778" w:type="dxa"/>
                  <w:vAlign w:val="center"/>
                </w:tcPr>
                <w:p w14:paraId="13BF3115">
                  <w:pPr>
                    <w:pStyle w:val="38"/>
                    <w:rPr>
                      <w:highlight w:val="none"/>
                    </w:rPr>
                  </w:pPr>
                  <w:r>
                    <w:rPr>
                      <w:highlight w:val="none"/>
                    </w:rPr>
                    <w:t>37</w:t>
                  </w:r>
                </w:p>
              </w:tc>
              <w:tc>
                <w:tcPr>
                  <w:tcW w:w="466" w:type="dxa"/>
                  <w:vAlign w:val="center"/>
                </w:tcPr>
                <w:p w14:paraId="4E61A481">
                  <w:pPr>
                    <w:pStyle w:val="38"/>
                    <w:rPr>
                      <w:highlight w:val="none"/>
                      <w:lang w:val="en-US"/>
                    </w:rPr>
                  </w:pPr>
                  <w:r>
                    <w:rPr>
                      <w:highlight w:val="none"/>
                    </w:rPr>
                    <w:t>3</w:t>
                  </w:r>
                  <w:r>
                    <w:rPr>
                      <w:rFonts w:hint="eastAsia"/>
                      <w:highlight w:val="none"/>
                      <w:lang w:val="en-US"/>
                    </w:rPr>
                    <w:t>4</w:t>
                  </w:r>
                </w:p>
              </w:tc>
            </w:tr>
            <w:tr w14:paraId="4534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1481" w:type="dxa"/>
                  <w:vAlign w:val="center"/>
                </w:tcPr>
                <w:p w14:paraId="58D9D6BA">
                  <w:pPr>
                    <w:pStyle w:val="38"/>
                    <w:rPr>
                      <w:highlight w:val="none"/>
                    </w:rPr>
                  </w:pPr>
                  <w:r>
                    <w:rPr>
                      <w:highlight w:val="none"/>
                    </w:rPr>
                    <w:t>电焊机</w:t>
                  </w:r>
                </w:p>
              </w:tc>
              <w:tc>
                <w:tcPr>
                  <w:tcW w:w="622" w:type="dxa"/>
                  <w:vAlign w:val="center"/>
                </w:tcPr>
                <w:p w14:paraId="007B7978">
                  <w:pPr>
                    <w:pStyle w:val="38"/>
                    <w:rPr>
                      <w:highlight w:val="none"/>
                    </w:rPr>
                  </w:pPr>
                  <w:r>
                    <w:rPr>
                      <w:highlight w:val="none"/>
                    </w:rPr>
                    <w:t>81</w:t>
                  </w:r>
                </w:p>
              </w:tc>
              <w:tc>
                <w:tcPr>
                  <w:tcW w:w="623" w:type="dxa"/>
                  <w:vAlign w:val="center"/>
                </w:tcPr>
                <w:p w14:paraId="02B95676">
                  <w:pPr>
                    <w:pStyle w:val="38"/>
                    <w:rPr>
                      <w:highlight w:val="none"/>
                    </w:rPr>
                  </w:pPr>
                  <w:r>
                    <w:rPr>
                      <w:highlight w:val="none"/>
                    </w:rPr>
                    <w:t>75</w:t>
                  </w:r>
                </w:p>
              </w:tc>
              <w:tc>
                <w:tcPr>
                  <w:tcW w:w="623" w:type="dxa"/>
                  <w:vAlign w:val="center"/>
                </w:tcPr>
                <w:p w14:paraId="4C7C4E1F">
                  <w:pPr>
                    <w:pStyle w:val="38"/>
                    <w:rPr>
                      <w:highlight w:val="none"/>
                    </w:rPr>
                  </w:pPr>
                  <w:r>
                    <w:rPr>
                      <w:highlight w:val="none"/>
                    </w:rPr>
                    <w:t>69</w:t>
                  </w:r>
                </w:p>
              </w:tc>
              <w:tc>
                <w:tcPr>
                  <w:tcW w:w="623" w:type="dxa"/>
                  <w:vAlign w:val="center"/>
                </w:tcPr>
                <w:p w14:paraId="11DB42E6">
                  <w:pPr>
                    <w:pStyle w:val="38"/>
                    <w:rPr>
                      <w:highlight w:val="none"/>
                    </w:rPr>
                  </w:pPr>
                  <w:r>
                    <w:rPr>
                      <w:highlight w:val="none"/>
                    </w:rPr>
                    <w:t>65</w:t>
                  </w:r>
                </w:p>
              </w:tc>
              <w:tc>
                <w:tcPr>
                  <w:tcW w:w="623" w:type="dxa"/>
                  <w:vAlign w:val="center"/>
                </w:tcPr>
                <w:p w14:paraId="1DB6AC17">
                  <w:pPr>
                    <w:pStyle w:val="38"/>
                    <w:rPr>
                      <w:highlight w:val="none"/>
                    </w:rPr>
                  </w:pPr>
                  <w:r>
                    <w:rPr>
                      <w:highlight w:val="none"/>
                    </w:rPr>
                    <w:t>63</w:t>
                  </w:r>
                </w:p>
              </w:tc>
              <w:tc>
                <w:tcPr>
                  <w:tcW w:w="777" w:type="dxa"/>
                  <w:vAlign w:val="center"/>
                </w:tcPr>
                <w:p w14:paraId="77E32E97">
                  <w:pPr>
                    <w:pStyle w:val="38"/>
                    <w:rPr>
                      <w:highlight w:val="none"/>
                    </w:rPr>
                  </w:pPr>
                  <w:r>
                    <w:rPr>
                      <w:highlight w:val="none"/>
                    </w:rPr>
                    <w:t>61</w:t>
                  </w:r>
                </w:p>
              </w:tc>
              <w:tc>
                <w:tcPr>
                  <w:tcW w:w="777" w:type="dxa"/>
                  <w:vAlign w:val="center"/>
                </w:tcPr>
                <w:p w14:paraId="622CDC10">
                  <w:pPr>
                    <w:pStyle w:val="38"/>
                    <w:rPr>
                      <w:highlight w:val="none"/>
                    </w:rPr>
                  </w:pPr>
                  <w:r>
                    <w:rPr>
                      <w:highlight w:val="none"/>
                    </w:rPr>
                    <w:t>55</w:t>
                  </w:r>
                </w:p>
              </w:tc>
              <w:tc>
                <w:tcPr>
                  <w:tcW w:w="778" w:type="dxa"/>
                  <w:vAlign w:val="center"/>
                </w:tcPr>
                <w:p w14:paraId="284D4446">
                  <w:pPr>
                    <w:pStyle w:val="38"/>
                    <w:rPr>
                      <w:highlight w:val="none"/>
                    </w:rPr>
                  </w:pPr>
                  <w:r>
                    <w:rPr>
                      <w:highlight w:val="none"/>
                    </w:rPr>
                    <w:t>49</w:t>
                  </w:r>
                </w:p>
              </w:tc>
              <w:tc>
                <w:tcPr>
                  <w:tcW w:w="778" w:type="dxa"/>
                  <w:vAlign w:val="center"/>
                </w:tcPr>
                <w:p w14:paraId="2D277464">
                  <w:pPr>
                    <w:pStyle w:val="38"/>
                    <w:rPr>
                      <w:highlight w:val="none"/>
                    </w:rPr>
                  </w:pPr>
                  <w:r>
                    <w:rPr>
                      <w:highlight w:val="none"/>
                    </w:rPr>
                    <w:t>43</w:t>
                  </w:r>
                </w:p>
              </w:tc>
              <w:tc>
                <w:tcPr>
                  <w:tcW w:w="466" w:type="dxa"/>
                  <w:vAlign w:val="center"/>
                </w:tcPr>
                <w:p w14:paraId="50CA9849">
                  <w:pPr>
                    <w:pStyle w:val="38"/>
                    <w:rPr>
                      <w:highlight w:val="none"/>
                      <w:lang w:val="en-US"/>
                    </w:rPr>
                  </w:pPr>
                  <w:r>
                    <w:rPr>
                      <w:highlight w:val="none"/>
                    </w:rPr>
                    <w:t>4</w:t>
                  </w:r>
                  <w:r>
                    <w:rPr>
                      <w:rFonts w:hint="eastAsia"/>
                      <w:highlight w:val="none"/>
                      <w:lang w:val="en-US"/>
                    </w:rPr>
                    <w:t>2</w:t>
                  </w:r>
                </w:p>
              </w:tc>
            </w:tr>
            <w:tr w14:paraId="18BF2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1481" w:type="dxa"/>
                  <w:vAlign w:val="center"/>
                </w:tcPr>
                <w:p w14:paraId="3DD682DE">
                  <w:pPr>
                    <w:pStyle w:val="38"/>
                    <w:rPr>
                      <w:highlight w:val="none"/>
                    </w:rPr>
                  </w:pPr>
                  <w:r>
                    <w:rPr>
                      <w:highlight w:val="none"/>
                    </w:rPr>
                    <w:t>切割机</w:t>
                  </w:r>
                </w:p>
              </w:tc>
              <w:tc>
                <w:tcPr>
                  <w:tcW w:w="622" w:type="dxa"/>
                  <w:vAlign w:val="center"/>
                </w:tcPr>
                <w:p w14:paraId="4008CDF3">
                  <w:pPr>
                    <w:pStyle w:val="38"/>
                    <w:rPr>
                      <w:highlight w:val="none"/>
                    </w:rPr>
                  </w:pPr>
                  <w:r>
                    <w:rPr>
                      <w:highlight w:val="none"/>
                    </w:rPr>
                    <w:t>89</w:t>
                  </w:r>
                </w:p>
              </w:tc>
              <w:tc>
                <w:tcPr>
                  <w:tcW w:w="623" w:type="dxa"/>
                  <w:vAlign w:val="center"/>
                </w:tcPr>
                <w:p w14:paraId="5BE9EA92">
                  <w:pPr>
                    <w:pStyle w:val="38"/>
                    <w:rPr>
                      <w:highlight w:val="none"/>
                    </w:rPr>
                  </w:pPr>
                  <w:r>
                    <w:rPr>
                      <w:highlight w:val="none"/>
                    </w:rPr>
                    <w:t>83</w:t>
                  </w:r>
                </w:p>
              </w:tc>
              <w:tc>
                <w:tcPr>
                  <w:tcW w:w="623" w:type="dxa"/>
                  <w:vAlign w:val="center"/>
                </w:tcPr>
                <w:p w14:paraId="5454E295">
                  <w:pPr>
                    <w:pStyle w:val="38"/>
                    <w:rPr>
                      <w:highlight w:val="none"/>
                    </w:rPr>
                  </w:pPr>
                  <w:r>
                    <w:rPr>
                      <w:highlight w:val="none"/>
                    </w:rPr>
                    <w:t>77</w:t>
                  </w:r>
                </w:p>
              </w:tc>
              <w:tc>
                <w:tcPr>
                  <w:tcW w:w="623" w:type="dxa"/>
                  <w:vAlign w:val="center"/>
                </w:tcPr>
                <w:p w14:paraId="07E483B9">
                  <w:pPr>
                    <w:pStyle w:val="38"/>
                    <w:rPr>
                      <w:highlight w:val="none"/>
                    </w:rPr>
                  </w:pPr>
                  <w:r>
                    <w:rPr>
                      <w:highlight w:val="none"/>
                    </w:rPr>
                    <w:t>73</w:t>
                  </w:r>
                </w:p>
              </w:tc>
              <w:tc>
                <w:tcPr>
                  <w:tcW w:w="623" w:type="dxa"/>
                  <w:vAlign w:val="center"/>
                </w:tcPr>
                <w:p w14:paraId="164B0C50">
                  <w:pPr>
                    <w:pStyle w:val="38"/>
                    <w:rPr>
                      <w:highlight w:val="none"/>
                    </w:rPr>
                  </w:pPr>
                  <w:r>
                    <w:rPr>
                      <w:highlight w:val="none"/>
                    </w:rPr>
                    <w:t>71</w:t>
                  </w:r>
                </w:p>
              </w:tc>
              <w:tc>
                <w:tcPr>
                  <w:tcW w:w="777" w:type="dxa"/>
                  <w:vAlign w:val="center"/>
                </w:tcPr>
                <w:p w14:paraId="3DD249D2">
                  <w:pPr>
                    <w:pStyle w:val="38"/>
                    <w:rPr>
                      <w:highlight w:val="none"/>
                    </w:rPr>
                  </w:pPr>
                  <w:r>
                    <w:rPr>
                      <w:highlight w:val="none"/>
                    </w:rPr>
                    <w:t>69</w:t>
                  </w:r>
                </w:p>
              </w:tc>
              <w:tc>
                <w:tcPr>
                  <w:tcW w:w="777" w:type="dxa"/>
                  <w:vAlign w:val="center"/>
                </w:tcPr>
                <w:p w14:paraId="725F7F7A">
                  <w:pPr>
                    <w:pStyle w:val="38"/>
                    <w:rPr>
                      <w:highlight w:val="none"/>
                    </w:rPr>
                  </w:pPr>
                  <w:r>
                    <w:rPr>
                      <w:highlight w:val="none"/>
                    </w:rPr>
                    <w:t>63</w:t>
                  </w:r>
                </w:p>
              </w:tc>
              <w:tc>
                <w:tcPr>
                  <w:tcW w:w="778" w:type="dxa"/>
                  <w:vAlign w:val="center"/>
                </w:tcPr>
                <w:p w14:paraId="2124E308">
                  <w:pPr>
                    <w:pStyle w:val="38"/>
                    <w:rPr>
                      <w:highlight w:val="none"/>
                    </w:rPr>
                  </w:pPr>
                  <w:r>
                    <w:rPr>
                      <w:highlight w:val="none"/>
                    </w:rPr>
                    <w:t>57</w:t>
                  </w:r>
                </w:p>
              </w:tc>
              <w:tc>
                <w:tcPr>
                  <w:tcW w:w="778" w:type="dxa"/>
                  <w:vAlign w:val="center"/>
                </w:tcPr>
                <w:p w14:paraId="02008034">
                  <w:pPr>
                    <w:pStyle w:val="38"/>
                    <w:rPr>
                      <w:highlight w:val="none"/>
                    </w:rPr>
                  </w:pPr>
                  <w:r>
                    <w:rPr>
                      <w:highlight w:val="none"/>
                    </w:rPr>
                    <w:t>51</w:t>
                  </w:r>
                </w:p>
              </w:tc>
              <w:tc>
                <w:tcPr>
                  <w:tcW w:w="466" w:type="dxa"/>
                  <w:vAlign w:val="center"/>
                </w:tcPr>
                <w:p w14:paraId="5585F273">
                  <w:pPr>
                    <w:pStyle w:val="38"/>
                    <w:rPr>
                      <w:highlight w:val="none"/>
                      <w:lang w:val="en-US"/>
                    </w:rPr>
                  </w:pPr>
                  <w:r>
                    <w:rPr>
                      <w:highlight w:val="none"/>
                    </w:rPr>
                    <w:t>4</w:t>
                  </w:r>
                  <w:r>
                    <w:rPr>
                      <w:rFonts w:hint="eastAsia"/>
                      <w:highlight w:val="none"/>
                      <w:lang w:val="en-US"/>
                    </w:rPr>
                    <w:t>6</w:t>
                  </w:r>
                </w:p>
              </w:tc>
            </w:tr>
          </w:tbl>
          <w:p w14:paraId="482DB52F">
            <w:pPr>
              <w:spacing w:line="360" w:lineRule="auto"/>
              <w:ind w:firstLine="456"/>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预测可知：主要机械在60m以外均不会超过建筑物施工场界昼间噪声限值75dB（A），而在夜间无施工作业且施工噪声是短暂的且具有分散性，一般在白天施工，不会对夜间声环境产生影响。</w:t>
            </w:r>
          </w:p>
          <w:p w14:paraId="16BC479A">
            <w:pPr>
              <w:spacing w:line="360" w:lineRule="auto"/>
              <w:ind w:firstLine="456"/>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施工机械产生噪声将对敏感点昼间有一定程度的影响。为避免施工机械对沿线敏感点声环境的影响，本评价要求项目施工期间采取以下措施：</w:t>
            </w:r>
          </w:p>
          <w:p w14:paraId="5E7D618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（1）合理安排施工</w:t>
            </w:r>
          </w:p>
          <w:p w14:paraId="36CC1232">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①根据《建筑施工场界环境噪声排放标准》</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GB12523-2011</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确定工程施工场界，合理科学地布局施工现场，</w:t>
            </w:r>
            <w:r>
              <w:rPr>
                <w:rFonts w:hint="default" w:ascii="Times New Roman" w:hAnsi="Times New Roman" w:cs="Times New Roman"/>
                <w:color w:val="000000"/>
                <w:sz w:val="24"/>
                <w:szCs w:val="24"/>
                <w:highlight w:val="none"/>
              </w:rPr>
              <w:t>施工机械</w:t>
            </w:r>
            <w:r>
              <w:rPr>
                <w:rFonts w:hint="eastAsia" w:cs="Times New Roman"/>
                <w:color w:val="000000"/>
                <w:sz w:val="24"/>
                <w:szCs w:val="24"/>
                <w:highlight w:val="none"/>
                <w:lang w:eastAsia="zh-CN"/>
              </w:rPr>
              <w:t>应</w:t>
            </w:r>
            <w:r>
              <w:rPr>
                <w:rFonts w:hint="default" w:ascii="Times New Roman" w:hAnsi="Times New Roman" w:cs="Times New Roman"/>
                <w:color w:val="000000"/>
                <w:sz w:val="24"/>
                <w:szCs w:val="24"/>
                <w:highlight w:val="none"/>
              </w:rPr>
              <w:t>布置在施工场地内远离周边敏感点</w:t>
            </w:r>
            <w:r>
              <w:rPr>
                <w:rFonts w:hint="eastAsia" w:cs="Times New Roman"/>
                <w:color w:val="000000"/>
                <w:sz w:val="24"/>
                <w:szCs w:val="24"/>
                <w:highlight w:val="none"/>
                <w:lang w:eastAsia="zh-CN"/>
              </w:rPr>
              <w:t>的</w:t>
            </w:r>
            <w:r>
              <w:rPr>
                <w:rFonts w:hint="default" w:ascii="Times New Roman" w:hAnsi="Times New Roman" w:cs="Times New Roman"/>
                <w:color w:val="000000"/>
                <w:sz w:val="24"/>
                <w:szCs w:val="24"/>
                <w:highlight w:val="none"/>
              </w:rPr>
              <w:t>一侧</w:t>
            </w:r>
            <w:r>
              <w:rPr>
                <w:rFonts w:hint="default" w:ascii="Times New Roman" w:hAnsi="Times New Roman" w:eastAsia="宋体" w:cs="Times New Roman"/>
                <w:color w:val="000000"/>
                <w:kern w:val="0"/>
                <w:sz w:val="24"/>
                <w:szCs w:val="24"/>
                <w:highlight w:val="none"/>
                <w:lang w:val="en-US" w:eastAsia="zh-CN" w:bidi="ar"/>
              </w:rPr>
              <w:t>。</w:t>
            </w:r>
          </w:p>
          <w:p w14:paraId="4B15DA42">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②施工现场设置施工标志，并将施工计划报交通管理部门，以便做好车辆的疏通工作，保证交通的安全、畅通。</w:t>
            </w:r>
          </w:p>
          <w:p w14:paraId="1FA927A9">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（2）合理安排施工时间</w:t>
            </w:r>
          </w:p>
          <w:p w14:paraId="3753C065">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施工单位合理安排施工时间</w:t>
            </w:r>
            <w:r>
              <w:rPr>
                <w:rFonts w:hint="eastAsia" w:cs="Times New Roman"/>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合理安排</w:t>
            </w:r>
            <w:r>
              <w:rPr>
                <w:rFonts w:hint="default" w:ascii="Times New Roman" w:hAnsi="Times New Roman" w:eastAsia="宋体" w:cs="Times New Roman"/>
                <w:color w:val="000000"/>
                <w:kern w:val="0"/>
                <w:sz w:val="24"/>
                <w:szCs w:val="24"/>
                <w:highlight w:val="none"/>
                <w:lang w:val="en-US" w:eastAsia="zh-CN" w:bidi="ar"/>
              </w:rPr>
              <w:t>施工时间</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cs="Times New Roman"/>
                <w:color w:val="000000"/>
                <w:sz w:val="24"/>
                <w:szCs w:val="24"/>
                <w:highlight w:val="none"/>
              </w:rPr>
              <w:t>按照</w:t>
            </w:r>
            <w:r>
              <w:rPr>
                <w:rFonts w:hint="default" w:ascii="Times New Roman" w:hAnsi="Times New Roman" w:eastAsia="宋体" w:cs="Times New Roman"/>
                <w:color w:val="000000"/>
                <w:kern w:val="0"/>
                <w:sz w:val="24"/>
                <w:szCs w:val="24"/>
                <w:highlight w:val="none"/>
                <w:lang w:val="en-US" w:eastAsia="zh-CN" w:bidi="ar"/>
              </w:rPr>
              <w:t>《建筑施工场界环境噪声排放标准》</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GB12523-2011</w:t>
            </w:r>
            <w:r>
              <w:rPr>
                <w:rFonts w:hint="eastAsia" w:cs="Times New Roman"/>
                <w:color w:val="000000"/>
                <w:kern w:val="0"/>
                <w:sz w:val="24"/>
                <w:szCs w:val="24"/>
                <w:highlight w:val="none"/>
                <w:lang w:val="en-US" w:eastAsia="zh-CN" w:bidi="ar"/>
              </w:rPr>
              <w:t>）</w:t>
            </w:r>
            <w:r>
              <w:rPr>
                <w:rFonts w:hint="default" w:ascii="Times New Roman" w:hAnsi="Times New Roman" w:cs="Times New Roman"/>
                <w:color w:val="000000"/>
                <w:sz w:val="24"/>
                <w:szCs w:val="24"/>
                <w:highlight w:val="none"/>
              </w:rPr>
              <w:t>要求，严禁夜间施工（夜间22：00～次日06：00）</w:t>
            </w:r>
            <w:r>
              <w:rPr>
                <w:rFonts w:hint="default" w:ascii="Times New Roman" w:hAnsi="Times New Roman" w:eastAsia="宋体" w:cs="Times New Roman"/>
                <w:color w:val="000000"/>
                <w:kern w:val="0"/>
                <w:sz w:val="24"/>
                <w:szCs w:val="24"/>
                <w:highlight w:val="none"/>
                <w:lang w:val="en-US" w:eastAsia="zh-CN" w:bidi="ar"/>
              </w:rPr>
              <w:t>。</w:t>
            </w:r>
          </w:p>
          <w:p w14:paraId="4F20D968">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减少施工交通噪声，施工期间运输车辆均为大型重车，限制大型载重车的车速，运输路线安排上应尽量</w:t>
            </w:r>
            <w:r>
              <w:rPr>
                <w:rFonts w:hint="eastAsia" w:cs="Times New Roman"/>
                <w:color w:val="000000"/>
                <w:kern w:val="0"/>
                <w:sz w:val="24"/>
                <w:szCs w:val="24"/>
                <w:highlight w:val="none"/>
                <w:lang w:val="en-US" w:eastAsia="zh-CN" w:bidi="ar"/>
              </w:rPr>
              <w:t>避开</w:t>
            </w:r>
            <w:r>
              <w:rPr>
                <w:rFonts w:hint="default" w:ascii="Times New Roman" w:hAnsi="Times New Roman" w:eastAsia="宋体" w:cs="Times New Roman"/>
                <w:color w:val="000000"/>
                <w:kern w:val="0"/>
                <w:sz w:val="24"/>
                <w:szCs w:val="24"/>
                <w:highlight w:val="none"/>
                <w:lang w:val="en-US" w:eastAsia="zh-CN" w:bidi="ar"/>
              </w:rPr>
              <w:t>环境敏感目标。</w:t>
            </w:r>
          </w:p>
          <w:p w14:paraId="0E4A0C10">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（3）采取噪声控制措施</w:t>
            </w:r>
          </w:p>
          <w:p w14:paraId="225D9B1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施工单位应尽量选用低噪声、低振动的施工机械设备和带有消声、隔音的附属设备，减少对周围声环境的影响。加强施工机械的保养维护，使其处于良好</w:t>
            </w:r>
            <w:r>
              <w:rPr>
                <w:rFonts w:hint="eastAsia" w:cs="Times New Roman"/>
                <w:color w:val="000000"/>
                <w:kern w:val="0"/>
                <w:sz w:val="24"/>
                <w:szCs w:val="24"/>
                <w:highlight w:val="none"/>
                <w:lang w:val="en-US" w:eastAsia="zh-CN" w:bidi="ar"/>
              </w:rPr>
              <w:t>的</w:t>
            </w:r>
            <w:r>
              <w:rPr>
                <w:rFonts w:hint="default" w:ascii="Times New Roman" w:hAnsi="Times New Roman" w:eastAsia="宋体" w:cs="Times New Roman"/>
                <w:color w:val="000000"/>
                <w:kern w:val="0"/>
                <w:sz w:val="24"/>
                <w:szCs w:val="24"/>
                <w:highlight w:val="none"/>
                <w:lang w:val="en-US" w:eastAsia="zh-CN" w:bidi="ar"/>
              </w:rPr>
              <w:t>运行状态。做好宣传工作，倡导科学管理和文明施工。</w:t>
            </w:r>
          </w:p>
          <w:p w14:paraId="68194069">
            <w:pPr>
              <w:pStyle w:val="11"/>
              <w:bidi w:val="0"/>
              <w:spacing w:line="360" w:lineRule="auto"/>
              <w:ind w:firstLine="480" w:firstLineChars="200"/>
              <w:rPr>
                <w:rFonts w:hint="default" w:ascii="Times New Roman" w:hAnsi="Times New Roman" w:eastAsia="宋体" w:cs="Times New Roman"/>
                <w:highlight w:val="none"/>
                <w:lang w:eastAsia="zh-CN"/>
              </w:rPr>
            </w:pPr>
            <w:r>
              <w:rPr>
                <w:rFonts w:hint="default" w:ascii="Times New Roman" w:hAnsi="Times New Roman" w:eastAsia="宋体" w:cs="Times New Roman"/>
                <w:color w:val="000000"/>
                <w:sz w:val="24"/>
                <w:szCs w:val="24"/>
                <w:highlight w:val="none"/>
                <w:lang w:val="en-US" w:eastAsia="zh-CN"/>
              </w:rPr>
              <w:t>通过以上控制措施，建筑施工过程中场界环境噪声不得超过《建筑施工场界环境噪声排放标准》</w:t>
            </w:r>
            <w:r>
              <w:rPr>
                <w:rFonts w:hint="eastAsia" w:ascii="Times New Roman" w:hAnsi="Times New Roman"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GB12523-2011</w:t>
            </w:r>
            <w:r>
              <w:rPr>
                <w:rFonts w:hint="eastAsia" w:ascii="Times New Roman" w:hAnsi="Times New Roman"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中的标准要求</w:t>
            </w:r>
            <w:r>
              <w:rPr>
                <w:rFonts w:hint="eastAsia"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000000"/>
                <w:kern w:val="0"/>
                <w:sz w:val="24"/>
                <w:szCs w:val="24"/>
                <w:highlight w:val="none"/>
                <w:lang w:val="en-US" w:eastAsia="zh-CN" w:bidi="ar"/>
              </w:rPr>
              <w:t>施工期属于短期行为，总体上存在无规则、强度大、暂时性等特点。加强施工期间的施工组织和施工管理，合理安排施工进度和时间，环保施工、文明施工</w:t>
            </w:r>
            <w:r>
              <w:rPr>
                <w:rFonts w:hint="eastAsia"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快速施工，并因地制宜地制定有效的临时降噪措施，不会对声环境产生明显影响。</w:t>
            </w:r>
          </w:p>
          <w:p w14:paraId="5A144338">
            <w:pPr>
              <w:pStyle w:val="13"/>
              <w:spacing w:after="0" w:line="360" w:lineRule="auto"/>
              <w:ind w:left="0" w:leftChars="0"/>
              <w:rPr>
                <w:b/>
                <w:bCs/>
                <w:sz w:val="24"/>
                <w:szCs w:val="32"/>
                <w:highlight w:val="none"/>
                <w:lang w:val="en-US"/>
              </w:rPr>
            </w:pPr>
            <w:r>
              <w:rPr>
                <w:rFonts w:hint="eastAsia"/>
                <w:b/>
                <w:bCs/>
                <w:sz w:val="24"/>
                <w:szCs w:val="32"/>
                <w:highlight w:val="none"/>
                <w:lang w:val="en-US"/>
              </w:rPr>
              <w:t>4</w:t>
            </w:r>
            <w:r>
              <w:rPr>
                <w:rFonts w:hint="eastAsia"/>
                <w:b/>
                <w:bCs/>
                <w:sz w:val="24"/>
                <w:szCs w:val="32"/>
                <w:highlight w:val="none"/>
                <w:lang w:val="en-US" w:eastAsia="zh-CN"/>
              </w:rPr>
              <w:t>.</w:t>
            </w:r>
            <w:r>
              <w:rPr>
                <w:rFonts w:hint="eastAsia"/>
                <w:b/>
                <w:bCs/>
                <w:sz w:val="24"/>
                <w:szCs w:val="32"/>
                <w:highlight w:val="none"/>
                <w:lang w:val="en-US"/>
              </w:rPr>
              <w:t>固体废物影响分析</w:t>
            </w:r>
          </w:p>
          <w:p w14:paraId="0F852EB1">
            <w:pPr>
              <w:pStyle w:val="13"/>
              <w:spacing w:after="0" w:line="360" w:lineRule="auto"/>
              <w:ind w:left="0" w:leftChars="0" w:firstLine="480" w:firstLineChars="200"/>
              <w:rPr>
                <w:rFonts w:hint="eastAsia"/>
                <w:sz w:val="24"/>
                <w:szCs w:val="32"/>
                <w:highlight w:val="none"/>
              </w:rPr>
            </w:pPr>
            <w:r>
              <w:rPr>
                <w:rFonts w:hint="eastAsia"/>
                <w:sz w:val="24"/>
                <w:szCs w:val="32"/>
                <w:highlight w:val="none"/>
              </w:rPr>
              <w:t>施工期产生的固体废物主要为施工废料、废油漆桶及生活垃圾。施工废料</w:t>
            </w:r>
            <w:r>
              <w:rPr>
                <w:rFonts w:hint="eastAsia"/>
                <w:sz w:val="24"/>
                <w:szCs w:val="32"/>
                <w:highlight w:val="none"/>
                <w:lang w:val="en-US" w:eastAsia="zh-CN"/>
              </w:rPr>
              <w:t>共计0.5t，</w:t>
            </w:r>
            <w:r>
              <w:rPr>
                <w:rFonts w:hint="eastAsia"/>
                <w:sz w:val="24"/>
                <w:szCs w:val="32"/>
                <w:highlight w:val="none"/>
              </w:rPr>
              <w:t>均由回收利用单位进行回收利用；废油漆桶</w:t>
            </w:r>
            <w:r>
              <w:rPr>
                <w:rFonts w:hint="eastAsia"/>
                <w:sz w:val="24"/>
                <w:szCs w:val="32"/>
                <w:highlight w:val="none"/>
                <w:lang w:val="en-US" w:eastAsia="zh-CN"/>
              </w:rPr>
              <w:t>产生量为5kg。</w:t>
            </w:r>
            <w:r>
              <w:rPr>
                <w:rFonts w:hint="eastAsia"/>
                <w:sz w:val="24"/>
                <w:szCs w:val="32"/>
                <w:highlight w:val="none"/>
                <w:lang w:val="en-US"/>
              </w:rPr>
              <w:t>暂存</w:t>
            </w:r>
            <w:r>
              <w:rPr>
                <w:rFonts w:hint="eastAsia"/>
                <w:sz w:val="24"/>
                <w:szCs w:val="32"/>
                <w:highlight w:val="none"/>
                <w:lang w:val="en-US" w:eastAsia="zh-CN"/>
              </w:rPr>
              <w:t>在伊泰化工厂区</w:t>
            </w:r>
            <w:r>
              <w:rPr>
                <w:rFonts w:hint="eastAsia"/>
                <w:sz w:val="24"/>
                <w:szCs w:val="32"/>
                <w:highlight w:val="none"/>
                <w:lang w:val="en-US"/>
              </w:rPr>
              <w:t>危废间后</w:t>
            </w:r>
            <w:r>
              <w:rPr>
                <w:rFonts w:hint="eastAsia"/>
                <w:sz w:val="24"/>
                <w:szCs w:val="32"/>
                <w:highlight w:val="none"/>
              </w:rPr>
              <w:t>委托有资质的单位处置；施工期生活垃圾经收集后，交由当地环卫部门处置。</w:t>
            </w:r>
          </w:p>
          <w:p w14:paraId="51EDBD76">
            <w:pPr>
              <w:pStyle w:val="13"/>
              <w:spacing w:after="0" w:line="360" w:lineRule="auto"/>
              <w:ind w:left="0" w:leftChars="0" w:firstLine="480" w:firstLineChars="200"/>
              <w:rPr>
                <w:rFonts w:hint="eastAsia"/>
                <w:highlight w:val="none"/>
              </w:rPr>
            </w:pPr>
            <w:r>
              <w:rPr>
                <w:rFonts w:hint="eastAsia"/>
                <w:sz w:val="24"/>
                <w:szCs w:val="32"/>
                <w:highlight w:val="none"/>
              </w:rPr>
              <w:t>施工期产生的各类固废均能有效处置，基本不会对周边环境造成影响。</w:t>
            </w:r>
          </w:p>
          <w:p w14:paraId="0C7E3F52">
            <w:pPr>
              <w:spacing w:line="360" w:lineRule="auto"/>
              <w:rPr>
                <w:rFonts w:hint="eastAsia"/>
                <w:b/>
                <w:bCs/>
                <w:sz w:val="24"/>
                <w:szCs w:val="32"/>
                <w:highlight w:val="none"/>
              </w:rPr>
            </w:pPr>
            <w:r>
              <w:rPr>
                <w:rFonts w:hint="eastAsia"/>
                <w:b/>
                <w:bCs/>
                <w:sz w:val="24"/>
                <w:szCs w:val="32"/>
                <w:highlight w:val="none"/>
              </w:rPr>
              <w:t>5</w:t>
            </w:r>
            <w:r>
              <w:rPr>
                <w:rFonts w:hint="eastAsia"/>
                <w:b/>
                <w:bCs/>
                <w:sz w:val="24"/>
                <w:szCs w:val="32"/>
                <w:highlight w:val="none"/>
                <w:lang w:val="en-US" w:eastAsia="zh-CN"/>
              </w:rPr>
              <w:t>.</w:t>
            </w:r>
            <w:r>
              <w:rPr>
                <w:rFonts w:hint="eastAsia"/>
                <w:b/>
                <w:bCs/>
                <w:sz w:val="24"/>
                <w:szCs w:val="32"/>
                <w:highlight w:val="none"/>
              </w:rPr>
              <w:t>生态环境影响分析</w:t>
            </w:r>
          </w:p>
          <w:p w14:paraId="4CD465D3">
            <w:pPr>
              <w:spacing w:line="360" w:lineRule="auto"/>
              <w:ind w:firstLine="480" w:firstLineChars="200"/>
              <w:rPr>
                <w:rFonts w:hint="eastAsia"/>
                <w:sz w:val="24"/>
                <w:szCs w:val="32"/>
                <w:highlight w:val="none"/>
              </w:rPr>
            </w:pPr>
            <w:r>
              <w:rPr>
                <w:rFonts w:hint="eastAsia" w:ascii="Times New Roman" w:hAnsi="Times New Roman" w:eastAsia="宋体" w:cs="Times New Roman"/>
                <w:snapToGrid w:val="0"/>
                <w:sz w:val="24"/>
                <w:szCs w:val="24"/>
                <w:highlight w:val="none"/>
                <w:lang w:val="en-US" w:eastAsia="zh-CN"/>
              </w:rPr>
              <w:t>本项目为伊泰化工在原有联博管廊的基础上</w:t>
            </w:r>
            <w:r>
              <w:rPr>
                <w:rFonts w:hint="eastAsia" w:ascii="Times New Roman" w:hAnsi="Times New Roman" w:eastAsia="宋体" w:cs="Times New Roman"/>
                <w:sz w:val="24"/>
                <w:szCs w:val="24"/>
                <w:highlight w:val="none"/>
                <w:lang w:val="en-US" w:eastAsia="zh-CN"/>
              </w:rPr>
              <w:t>通过加固、加两层的方式，将23条物料管线布置在改造后的联博管廊，属于</w:t>
            </w:r>
            <w:r>
              <w:rPr>
                <w:rFonts w:hint="eastAsia" w:ascii="Times New Roman" w:hAnsi="Times New Roman" w:cs="Times New Roman"/>
                <w:sz w:val="24"/>
                <w:szCs w:val="24"/>
                <w:highlight w:val="none"/>
                <w:lang w:val="en-US" w:eastAsia="zh-CN"/>
              </w:rPr>
              <w:t>物</w:t>
            </w:r>
            <w:r>
              <w:rPr>
                <w:rFonts w:hint="eastAsia" w:ascii="Times New Roman" w:hAnsi="Times New Roman" w:eastAsia="宋体" w:cs="Times New Roman"/>
                <w:sz w:val="24"/>
                <w:szCs w:val="24"/>
                <w:highlight w:val="none"/>
                <w:lang w:val="en-US" w:eastAsia="zh-CN"/>
              </w:rPr>
              <w:t>料输送管线及管廊建设，</w:t>
            </w:r>
            <w:r>
              <w:rPr>
                <w:rFonts w:hint="eastAsia" w:ascii="Times New Roman" w:hAnsi="Times New Roman" w:cs="Times New Roman"/>
                <w:sz w:val="24"/>
                <w:szCs w:val="24"/>
                <w:highlight w:val="none"/>
                <w:lang w:val="en-US" w:eastAsia="zh-CN"/>
              </w:rPr>
              <w:t>本项目的建设不对主体工程</w:t>
            </w:r>
            <w:r>
              <w:rPr>
                <w:rFonts w:hint="eastAsia" w:ascii="Times New Roman" w:hAnsi="Times New Roman" w:eastAsia="宋体" w:cs="Times New Roman"/>
                <w:snapToGrid w:val="0"/>
                <w:sz w:val="24"/>
                <w:szCs w:val="24"/>
                <w:highlight w:val="none"/>
                <w:lang w:val="en-US" w:eastAsia="zh-CN"/>
              </w:rPr>
              <w:t>进行技改，项目选址</w:t>
            </w:r>
            <w:r>
              <w:rPr>
                <w:rFonts w:hint="eastAsia" w:ascii="Times New Roman" w:hAnsi="Times New Roman" w:eastAsia="宋体" w:cs="Times New Roman"/>
                <w:sz w:val="24"/>
                <w:szCs w:val="32"/>
                <w:highlight w:val="none"/>
                <w:lang w:val="en-US" w:eastAsia="zh-CN"/>
              </w:rPr>
              <w:t>位于伊泰化工厂区内</w:t>
            </w:r>
            <w:r>
              <w:rPr>
                <w:rFonts w:hint="eastAsia" w:cs="Times New Roman"/>
                <w:sz w:val="24"/>
                <w:szCs w:val="32"/>
                <w:highlight w:val="none"/>
                <w:lang w:val="en-US" w:eastAsia="zh-CN"/>
              </w:rPr>
              <w:t>及厂界外空地</w:t>
            </w:r>
            <w:r>
              <w:rPr>
                <w:rFonts w:hint="eastAsia" w:ascii="Times New Roman" w:hAnsi="Times New Roman" w:eastAsia="宋体" w:cs="Times New Roman"/>
                <w:sz w:val="24"/>
                <w:szCs w:val="32"/>
                <w:highlight w:val="none"/>
                <w:lang w:val="en-US" w:eastAsia="zh-CN"/>
              </w:rPr>
              <w:t>，紧挨鹏泰生物</w:t>
            </w:r>
            <w:r>
              <w:rPr>
                <w:rFonts w:hint="eastAsia"/>
                <w:sz w:val="24"/>
                <w:szCs w:val="32"/>
                <w:highlight w:val="none"/>
              </w:rPr>
              <w:t>。</w:t>
            </w:r>
          </w:p>
          <w:p w14:paraId="10980331">
            <w:pPr>
              <w:spacing w:line="360" w:lineRule="auto"/>
              <w:ind w:firstLine="480" w:firstLineChars="200"/>
              <w:rPr>
                <w:rFonts w:ascii="宋体" w:hAnsi="宋体" w:cs="宋体"/>
                <w:bCs/>
                <w:color w:val="0000FF"/>
                <w:szCs w:val="21"/>
                <w:highlight w:val="none"/>
              </w:rPr>
            </w:pPr>
            <w:r>
              <w:rPr>
                <w:rFonts w:hint="eastAsia"/>
                <w:sz w:val="24"/>
                <w:szCs w:val="32"/>
                <w:highlight w:val="none"/>
              </w:rPr>
              <w:t>施工期结束后，除支架基础外，将拆除施工现场其</w:t>
            </w:r>
            <w:r>
              <w:rPr>
                <w:rFonts w:hint="eastAsia"/>
                <w:sz w:val="24"/>
                <w:szCs w:val="32"/>
                <w:highlight w:val="none"/>
                <w:lang w:eastAsia="zh-CN"/>
              </w:rPr>
              <w:t>他建筑物</w:t>
            </w:r>
            <w:r>
              <w:rPr>
                <w:rFonts w:hint="eastAsia"/>
                <w:sz w:val="24"/>
                <w:szCs w:val="32"/>
                <w:highlight w:val="none"/>
              </w:rPr>
              <w:t>并恢复</w:t>
            </w:r>
            <w:r>
              <w:rPr>
                <w:rFonts w:hint="eastAsia"/>
                <w:sz w:val="24"/>
                <w:szCs w:val="32"/>
                <w:highlight w:val="none"/>
                <w:lang w:val="en-US" w:eastAsia="zh-CN"/>
              </w:rPr>
              <w:t>厂区原有状态</w:t>
            </w:r>
            <w:r>
              <w:rPr>
                <w:rFonts w:hint="eastAsia"/>
                <w:sz w:val="24"/>
                <w:szCs w:val="32"/>
                <w:highlight w:val="none"/>
              </w:rPr>
              <w:t>。</w:t>
            </w:r>
            <w:r>
              <w:rPr>
                <w:rFonts w:hint="eastAsia"/>
                <w:sz w:val="24"/>
                <w:szCs w:val="32"/>
                <w:highlight w:val="none"/>
                <w:lang w:val="en-US" w:eastAsia="zh-CN"/>
              </w:rPr>
              <w:t>项目</w:t>
            </w:r>
            <w:r>
              <w:rPr>
                <w:rFonts w:hint="eastAsia" w:cs="Times New Roman"/>
                <w:bCs/>
                <w:sz w:val="24"/>
                <w:highlight w:val="none"/>
                <w:lang w:val="en-US" w:eastAsia="zh-CN"/>
              </w:rPr>
              <w:t>黄河水管线</w:t>
            </w:r>
            <w:r>
              <w:rPr>
                <w:rFonts w:hint="eastAsia" w:ascii="Times New Roman" w:hAnsi="Times New Roman" w:eastAsia="宋体" w:cs="Times New Roman"/>
                <w:bCs/>
                <w:sz w:val="24"/>
                <w:highlight w:val="none"/>
                <w:lang w:val="en-US" w:eastAsia="zh-CN"/>
              </w:rPr>
              <w:t>接至已有埋地管道</w:t>
            </w:r>
            <w:r>
              <w:rPr>
                <w:rFonts w:hint="eastAsia" w:cs="Times New Roman"/>
                <w:bCs/>
                <w:sz w:val="24"/>
                <w:highlight w:val="none"/>
                <w:lang w:val="en-US" w:eastAsia="zh-CN"/>
              </w:rPr>
              <w:t>预留接口</w:t>
            </w:r>
            <w:r>
              <w:rPr>
                <w:rFonts w:hint="eastAsia" w:ascii="Times New Roman" w:hAnsi="Times New Roman" w:eastAsia="宋体" w:cs="Times New Roman"/>
                <w:bCs/>
                <w:sz w:val="24"/>
                <w:highlight w:val="none"/>
                <w:lang w:val="en-US" w:eastAsia="zh-CN"/>
              </w:rPr>
              <w:t>，</w:t>
            </w:r>
            <w:r>
              <w:rPr>
                <w:rFonts w:hint="eastAsia" w:cs="Times New Roman"/>
                <w:bCs/>
                <w:sz w:val="24"/>
                <w:highlight w:val="none"/>
                <w:lang w:val="en-US" w:eastAsia="zh-CN"/>
              </w:rPr>
              <w:t>管线整体采用架空敷设，管线从</w:t>
            </w:r>
            <w:r>
              <w:rPr>
                <w:rFonts w:hint="eastAsia" w:ascii="Times New Roman" w:hAnsi="Times New Roman" w:eastAsia="宋体" w:cs="Times New Roman"/>
                <w:bCs/>
                <w:sz w:val="24"/>
                <w:highlight w:val="none"/>
                <w:lang w:val="en-US" w:eastAsia="zh-CN"/>
              </w:rPr>
              <w:t>支墩上</w:t>
            </w:r>
            <w:r>
              <w:rPr>
                <w:rFonts w:hint="default" w:ascii="Times New Roman" w:hAnsi="Times New Roman" w:eastAsia="宋体" w:cs="Times New Roman"/>
                <w:bCs/>
                <w:sz w:val="24"/>
                <w:highlight w:val="none"/>
                <w:lang w:val="en-US" w:eastAsia="zh-CN"/>
              </w:rPr>
              <w:t>引入伊泰化工</w:t>
            </w:r>
            <w:r>
              <w:rPr>
                <w:rFonts w:hint="eastAsia" w:ascii="Times New Roman" w:hAnsi="Times New Roman" w:eastAsia="宋体" w:cs="Times New Roman"/>
                <w:bCs/>
                <w:sz w:val="24"/>
                <w:highlight w:val="none"/>
                <w:lang w:val="en-US" w:eastAsia="zh-CN"/>
              </w:rPr>
              <w:t>联博</w:t>
            </w:r>
            <w:r>
              <w:rPr>
                <w:rFonts w:hint="default" w:ascii="Times New Roman" w:hAnsi="Times New Roman" w:eastAsia="宋体" w:cs="Times New Roman"/>
                <w:bCs/>
                <w:sz w:val="24"/>
                <w:highlight w:val="none"/>
                <w:lang w:val="en-US" w:eastAsia="zh-CN"/>
              </w:rPr>
              <w:t>管廊</w:t>
            </w:r>
            <w:r>
              <w:rPr>
                <w:rFonts w:hint="eastAsia" w:ascii="Times New Roman" w:hAnsi="Times New Roman" w:eastAsia="宋体" w:cs="Times New Roman"/>
                <w:bCs/>
                <w:sz w:val="24"/>
                <w:highlight w:val="none"/>
                <w:lang w:val="en-US" w:eastAsia="zh-CN"/>
              </w:rPr>
              <w:t>不涉及土方工程。</w:t>
            </w:r>
            <w:r>
              <w:rPr>
                <w:rFonts w:hint="eastAsia" w:cs="Times New Roman"/>
                <w:sz w:val="24"/>
                <w:highlight w:val="none"/>
                <w:lang w:val="en-US" w:eastAsia="zh-CN"/>
              </w:rPr>
              <w:t>本项目WRT甲烷气、清净废水管道位于厂区外均采用架空敷设。管道跨越厂区之间的天然牧草地，</w:t>
            </w:r>
            <w:r>
              <w:rPr>
                <w:rFonts w:ascii="Segoe UI" w:hAnsi="Segoe UI" w:eastAsia="Segoe UI" w:cs="Segoe UI"/>
                <w:i w:val="0"/>
                <w:iCs w:val="0"/>
                <w:caps w:val="0"/>
                <w:color w:val="0F1115"/>
                <w:spacing w:val="0"/>
                <w:sz w:val="24"/>
                <w:szCs w:val="24"/>
                <w:highlight w:val="none"/>
                <w:shd w:val="clear" w:fill="FFFFFF"/>
              </w:rPr>
              <w:t>施工过程中如对牧草造成局部损伤，应在施工结束后及时采取植被恢复措施，必要时进行草籽补播，促进植被自然恢复。</w:t>
            </w:r>
            <w:r>
              <w:rPr>
                <w:rFonts w:hint="eastAsia"/>
                <w:sz w:val="24"/>
                <w:szCs w:val="32"/>
                <w:highlight w:val="none"/>
              </w:rPr>
              <w:t>由于本项目支架基础占地面积在整体区域范围内较小，因此项目不会对区域整体土地利用的性质产生明显影响。</w:t>
            </w:r>
          </w:p>
        </w:tc>
      </w:tr>
      <w:tr w14:paraId="4015F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456" w:type="dxa"/>
            <w:noWrap w:val="0"/>
            <w:tcMar>
              <w:left w:w="28" w:type="dxa"/>
              <w:right w:w="28" w:type="dxa"/>
            </w:tcMar>
            <w:vAlign w:val="center"/>
          </w:tcPr>
          <w:p w14:paraId="51466E3D">
            <w:pPr>
              <w:pStyle w:val="18"/>
              <w:adjustRightInd w:val="0"/>
              <w:snapToGrid w:val="0"/>
              <w:spacing w:before="0" w:beforeAutospacing="0" w:after="0" w:afterAutospacing="0"/>
              <w:jc w:val="center"/>
              <w:rPr>
                <w:rFonts w:cs="宋体"/>
                <w:bCs/>
                <w:kern w:val="2"/>
                <w:sz w:val="21"/>
                <w:szCs w:val="21"/>
                <w:highlight w:val="none"/>
              </w:rPr>
            </w:pPr>
            <w:r>
              <w:rPr>
                <w:rFonts w:hint="eastAsia" w:cs="宋体"/>
                <w:bCs/>
                <w:spacing w:val="10"/>
                <w:kern w:val="2"/>
                <w:highlight w:val="none"/>
              </w:rPr>
              <w:t>运营期生态环境影响分析</w:t>
            </w:r>
          </w:p>
        </w:tc>
        <w:tc>
          <w:tcPr>
            <w:tcW w:w="8408" w:type="dxa"/>
            <w:noWrap w:val="0"/>
            <w:vAlign w:val="center"/>
          </w:tcPr>
          <w:p w14:paraId="47BB7CE5">
            <w:pPr>
              <w:pStyle w:val="13"/>
              <w:spacing w:after="0" w:line="360" w:lineRule="auto"/>
              <w:ind w:left="0" w:leftChars="0"/>
              <w:rPr>
                <w:b/>
                <w:bCs/>
                <w:sz w:val="24"/>
                <w:szCs w:val="32"/>
                <w:highlight w:val="none"/>
                <w:lang w:val="en-US"/>
              </w:rPr>
            </w:pPr>
            <w:r>
              <w:rPr>
                <w:rFonts w:hint="eastAsia"/>
                <w:b/>
                <w:bCs/>
                <w:sz w:val="24"/>
                <w:szCs w:val="32"/>
                <w:highlight w:val="none"/>
                <w:lang w:val="en-US" w:eastAsia="zh-CN"/>
              </w:rPr>
              <w:t>1.大气环境</w:t>
            </w:r>
            <w:r>
              <w:rPr>
                <w:rFonts w:hint="eastAsia"/>
                <w:b/>
                <w:bCs/>
                <w:sz w:val="24"/>
                <w:szCs w:val="32"/>
                <w:highlight w:val="none"/>
                <w:lang w:val="en-US"/>
              </w:rPr>
              <w:t>影响分析</w:t>
            </w:r>
          </w:p>
          <w:p w14:paraId="3A422F0E">
            <w:pPr>
              <w:spacing w:line="360" w:lineRule="auto"/>
              <w:ind w:firstLine="480" w:firstLineChars="200"/>
              <w:rPr>
                <w:rFonts w:hint="eastAsia" w:eastAsia="宋体"/>
                <w:sz w:val="24"/>
                <w:szCs w:val="32"/>
                <w:highlight w:val="none"/>
                <w:lang w:val="en-US" w:eastAsia="zh-CN"/>
              </w:rPr>
            </w:pPr>
            <w:r>
              <w:rPr>
                <w:rFonts w:hint="eastAsia"/>
                <w:sz w:val="24"/>
                <w:szCs w:val="32"/>
                <w:highlight w:val="none"/>
              </w:rPr>
              <w:t>项目正常运营后，</w:t>
            </w:r>
            <w:r>
              <w:rPr>
                <w:rFonts w:hint="eastAsia"/>
                <w:sz w:val="24"/>
                <w:szCs w:val="32"/>
                <w:highlight w:val="none"/>
                <w:lang w:val="en-US" w:eastAsia="zh-CN"/>
              </w:rPr>
              <w:t>正常工况下</w:t>
            </w:r>
            <w:r>
              <w:rPr>
                <w:rFonts w:hint="eastAsia"/>
                <w:sz w:val="24"/>
                <w:szCs w:val="32"/>
                <w:highlight w:val="none"/>
              </w:rPr>
              <w:t>不会产生废气。</w:t>
            </w:r>
          </w:p>
          <w:p w14:paraId="7B738F91">
            <w:pPr>
              <w:pStyle w:val="13"/>
              <w:spacing w:after="0" w:line="360" w:lineRule="auto"/>
              <w:ind w:left="0" w:leftChars="0"/>
              <w:rPr>
                <w:b/>
                <w:bCs/>
                <w:sz w:val="24"/>
                <w:szCs w:val="32"/>
                <w:highlight w:val="none"/>
                <w:lang w:val="en-US"/>
              </w:rPr>
            </w:pPr>
            <w:r>
              <w:rPr>
                <w:rFonts w:hint="eastAsia"/>
                <w:b/>
                <w:bCs/>
                <w:sz w:val="24"/>
                <w:szCs w:val="32"/>
                <w:highlight w:val="none"/>
                <w:lang w:val="en-US" w:eastAsia="zh-CN"/>
              </w:rPr>
              <w:t>2.水环境</w:t>
            </w:r>
            <w:r>
              <w:rPr>
                <w:rFonts w:hint="eastAsia"/>
                <w:b/>
                <w:bCs/>
                <w:sz w:val="24"/>
                <w:szCs w:val="32"/>
                <w:highlight w:val="none"/>
                <w:lang w:val="en-US"/>
              </w:rPr>
              <w:t>影响分析</w:t>
            </w:r>
          </w:p>
          <w:p w14:paraId="7C1F7BD6">
            <w:pPr>
              <w:spacing w:line="360" w:lineRule="auto"/>
              <w:ind w:firstLine="480" w:firstLineChars="200"/>
              <w:rPr>
                <w:rFonts w:hint="eastAsia"/>
                <w:sz w:val="24"/>
                <w:szCs w:val="32"/>
                <w:highlight w:val="none"/>
              </w:rPr>
            </w:pPr>
            <w:r>
              <w:rPr>
                <w:rFonts w:hint="eastAsia"/>
                <w:sz w:val="24"/>
                <w:szCs w:val="32"/>
                <w:highlight w:val="none"/>
              </w:rPr>
              <w:t>项目运营后，</w:t>
            </w:r>
            <w:r>
              <w:rPr>
                <w:rFonts w:hint="eastAsia"/>
                <w:sz w:val="24"/>
                <w:szCs w:val="32"/>
                <w:highlight w:val="none"/>
                <w:lang w:val="en-US" w:eastAsia="zh-CN"/>
              </w:rPr>
              <w:t>正常工况下</w:t>
            </w:r>
            <w:r>
              <w:rPr>
                <w:rFonts w:hint="eastAsia"/>
                <w:sz w:val="24"/>
                <w:szCs w:val="32"/>
                <w:highlight w:val="none"/>
              </w:rPr>
              <w:t>不会产生废</w:t>
            </w:r>
            <w:r>
              <w:rPr>
                <w:rFonts w:hint="eastAsia"/>
                <w:sz w:val="24"/>
                <w:szCs w:val="32"/>
                <w:highlight w:val="none"/>
                <w:lang w:val="en-US" w:eastAsia="zh-CN"/>
              </w:rPr>
              <w:t>水</w:t>
            </w:r>
            <w:r>
              <w:rPr>
                <w:rFonts w:hint="eastAsia"/>
                <w:sz w:val="24"/>
                <w:szCs w:val="32"/>
                <w:highlight w:val="none"/>
              </w:rPr>
              <w:t>。</w:t>
            </w:r>
          </w:p>
          <w:p w14:paraId="0A057AFE">
            <w:pPr>
              <w:spacing w:line="360" w:lineRule="auto"/>
              <w:ind w:firstLine="476" w:firstLineChars="200"/>
              <w:rPr>
                <w:rFonts w:hint="eastAsia"/>
                <w:color w:val="000000"/>
                <w:spacing w:val="-1"/>
                <w:sz w:val="24"/>
                <w:szCs w:val="24"/>
                <w:highlight w:val="none"/>
                <w:lang w:val="en-US" w:eastAsia="zh-CN"/>
              </w:rPr>
            </w:pPr>
            <w:r>
              <w:rPr>
                <w:color w:val="000000"/>
                <w:spacing w:val="-1"/>
                <w:sz w:val="24"/>
                <w:szCs w:val="24"/>
                <w:highlight w:val="none"/>
              </w:rPr>
              <w:t>本项目为</w:t>
            </w:r>
            <w:r>
              <w:rPr>
                <w:rFonts w:hint="eastAsia"/>
                <w:color w:val="000000"/>
                <w:spacing w:val="-1"/>
                <w:sz w:val="24"/>
                <w:szCs w:val="24"/>
                <w:highlight w:val="none"/>
                <w:lang w:val="en-US" w:eastAsia="zh-CN"/>
              </w:rPr>
              <w:t>架空管线</w:t>
            </w:r>
            <w:r>
              <w:rPr>
                <w:color w:val="000000"/>
                <w:spacing w:val="-1"/>
                <w:sz w:val="24"/>
                <w:szCs w:val="24"/>
                <w:highlight w:val="none"/>
              </w:rPr>
              <w:t>项目，</w:t>
            </w:r>
            <w:r>
              <w:rPr>
                <w:rFonts w:hint="eastAsia"/>
                <w:color w:val="000000"/>
                <w:spacing w:val="-1"/>
                <w:sz w:val="24"/>
                <w:szCs w:val="24"/>
                <w:highlight w:val="none"/>
                <w:lang w:val="en-US" w:eastAsia="zh-CN"/>
              </w:rPr>
              <w:t>架空管线工程本身主体结构不直接接触地下水，且本项目管线不涉及管线支架、塔基基础建设，均在原有基础上直接建设，本次建设内容均为空中管线，不涉及地面工程，管线支撑结构（如杆塔基础、支架底座）检修、维护均不属于本次评价内容，均依托现有工程。本项目对地下水影响较小。</w:t>
            </w:r>
          </w:p>
          <w:p w14:paraId="6520DF56">
            <w:pPr>
              <w:pStyle w:val="13"/>
              <w:spacing w:after="0" w:line="360" w:lineRule="auto"/>
              <w:ind w:left="0" w:leftChars="0"/>
              <w:rPr>
                <w:b/>
                <w:bCs/>
                <w:sz w:val="24"/>
                <w:szCs w:val="32"/>
                <w:highlight w:val="none"/>
                <w:lang w:val="en-US"/>
              </w:rPr>
            </w:pPr>
            <w:r>
              <w:rPr>
                <w:rFonts w:hint="eastAsia"/>
                <w:b/>
                <w:bCs/>
                <w:sz w:val="24"/>
                <w:szCs w:val="32"/>
                <w:highlight w:val="none"/>
                <w:lang w:val="en-US" w:eastAsia="zh-CN"/>
              </w:rPr>
              <w:t>3.固体废物</w:t>
            </w:r>
            <w:r>
              <w:rPr>
                <w:rFonts w:hint="eastAsia"/>
                <w:b/>
                <w:bCs/>
                <w:sz w:val="24"/>
                <w:szCs w:val="32"/>
                <w:highlight w:val="none"/>
                <w:lang w:val="en-US"/>
              </w:rPr>
              <w:t>影响分析</w:t>
            </w:r>
          </w:p>
          <w:p w14:paraId="71A9FADB">
            <w:pPr>
              <w:spacing w:line="360" w:lineRule="auto"/>
              <w:ind w:firstLine="480" w:firstLineChars="200"/>
              <w:rPr>
                <w:rFonts w:hint="default" w:eastAsia="宋体"/>
                <w:sz w:val="24"/>
                <w:szCs w:val="32"/>
                <w:highlight w:val="none"/>
                <w:lang w:val="en-US" w:eastAsia="zh-CN"/>
              </w:rPr>
            </w:pPr>
            <w:r>
              <w:rPr>
                <w:rFonts w:hint="eastAsia"/>
                <w:sz w:val="24"/>
                <w:szCs w:val="32"/>
                <w:highlight w:val="none"/>
                <w:lang w:val="en-US" w:eastAsia="zh-CN"/>
              </w:rPr>
              <w:t>本</w:t>
            </w:r>
            <w:r>
              <w:rPr>
                <w:rFonts w:hint="eastAsia"/>
                <w:sz w:val="24"/>
                <w:szCs w:val="32"/>
                <w:highlight w:val="none"/>
              </w:rPr>
              <w:t>项目正常运营后，</w:t>
            </w:r>
            <w:r>
              <w:rPr>
                <w:rFonts w:hint="eastAsia"/>
                <w:sz w:val="24"/>
                <w:szCs w:val="32"/>
                <w:highlight w:val="none"/>
                <w:lang w:val="en-US" w:eastAsia="zh-CN"/>
              </w:rPr>
              <w:t>正常工况下</w:t>
            </w:r>
            <w:r>
              <w:rPr>
                <w:rFonts w:hint="eastAsia"/>
                <w:sz w:val="24"/>
                <w:szCs w:val="32"/>
                <w:highlight w:val="none"/>
              </w:rPr>
              <w:t>不会产生</w:t>
            </w:r>
            <w:r>
              <w:rPr>
                <w:rFonts w:hint="eastAsia"/>
                <w:sz w:val="24"/>
                <w:szCs w:val="32"/>
                <w:highlight w:val="none"/>
                <w:lang w:val="en-US" w:eastAsia="zh-CN"/>
              </w:rPr>
              <w:t>固体废物</w:t>
            </w:r>
            <w:r>
              <w:rPr>
                <w:rFonts w:hint="eastAsia"/>
                <w:sz w:val="24"/>
                <w:szCs w:val="32"/>
                <w:highlight w:val="none"/>
              </w:rPr>
              <w:t>。</w:t>
            </w:r>
            <w:r>
              <w:rPr>
                <w:rFonts w:hint="eastAsia"/>
                <w:sz w:val="24"/>
                <w:szCs w:val="32"/>
                <w:highlight w:val="none"/>
                <w:lang w:val="en-US" w:eastAsia="zh-CN"/>
              </w:rPr>
              <w:t>管线维修均依托现有管廊维修人员及系统，不涉及新增生产排污。</w:t>
            </w:r>
          </w:p>
          <w:p w14:paraId="51E82141">
            <w:pPr>
              <w:pStyle w:val="13"/>
              <w:spacing w:after="0" w:line="360" w:lineRule="auto"/>
              <w:ind w:left="0" w:leftChars="0"/>
              <w:rPr>
                <w:b/>
                <w:bCs/>
                <w:sz w:val="24"/>
                <w:szCs w:val="32"/>
                <w:highlight w:val="none"/>
                <w:lang w:val="en-US"/>
              </w:rPr>
            </w:pPr>
            <w:r>
              <w:rPr>
                <w:rFonts w:hint="eastAsia"/>
                <w:b/>
                <w:bCs/>
                <w:sz w:val="24"/>
                <w:szCs w:val="32"/>
                <w:highlight w:val="none"/>
                <w:lang w:val="en-US" w:eastAsia="zh-CN"/>
              </w:rPr>
              <w:t>4.声环境</w:t>
            </w:r>
            <w:r>
              <w:rPr>
                <w:rFonts w:hint="eastAsia"/>
                <w:b/>
                <w:bCs/>
                <w:sz w:val="24"/>
                <w:szCs w:val="32"/>
                <w:highlight w:val="none"/>
                <w:lang w:val="en-US"/>
              </w:rPr>
              <w:t>影响分析</w:t>
            </w:r>
          </w:p>
          <w:p w14:paraId="6C1DBBF4">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（1）噪声源分析</w:t>
            </w:r>
          </w:p>
          <w:p w14:paraId="5230E3BE">
            <w:pPr>
              <w:keepNext w:val="0"/>
              <w:keepLines w:val="0"/>
              <w:widowControl/>
              <w:suppressLineNumbers w:val="0"/>
              <w:adjustRightInd w:val="0"/>
              <w:snapToGrid w:val="0"/>
              <w:spacing w:line="360" w:lineRule="auto"/>
              <w:ind w:firstLine="480" w:firstLineChars="200"/>
              <w:jc w:val="left"/>
              <w:rPr>
                <w:rFonts w:hint="default" w:ascii="Times New Roman" w:hAnsi="Times New Roman" w:eastAsia="宋体" w:cs="Times New Roman"/>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SA"/>
              </w:rPr>
              <w:t>本</w:t>
            </w:r>
            <w:r>
              <w:rPr>
                <w:rFonts w:hint="eastAsia" w:ascii="宋体" w:hAnsi="宋体" w:cs="宋体"/>
                <w:b w:val="0"/>
                <w:bCs w:val="0"/>
                <w:color w:val="000000"/>
                <w:kern w:val="0"/>
                <w:sz w:val="24"/>
                <w:szCs w:val="24"/>
                <w:highlight w:val="none"/>
                <w:lang w:val="en-US" w:eastAsia="zh-CN" w:bidi="ar-SA"/>
              </w:rPr>
              <w:t>项目</w:t>
            </w:r>
            <w:r>
              <w:rPr>
                <w:rFonts w:hint="eastAsia" w:ascii="宋体" w:hAnsi="宋体" w:eastAsia="宋体" w:cs="宋体"/>
                <w:b w:val="0"/>
                <w:bCs w:val="0"/>
                <w:color w:val="000000"/>
                <w:kern w:val="0"/>
                <w:sz w:val="24"/>
                <w:szCs w:val="24"/>
                <w:highlight w:val="none"/>
                <w:lang w:val="en-US" w:eastAsia="zh-CN" w:bidi="ar-SA"/>
              </w:rPr>
              <w:t>运营期主要噪声源</w:t>
            </w:r>
            <w:r>
              <w:rPr>
                <w:rFonts w:hint="eastAsia" w:ascii="宋体" w:hAnsi="宋体" w:cs="宋体"/>
                <w:b w:val="0"/>
                <w:bCs w:val="0"/>
                <w:color w:val="000000"/>
                <w:kern w:val="0"/>
                <w:sz w:val="24"/>
                <w:szCs w:val="24"/>
                <w:highlight w:val="none"/>
                <w:lang w:val="en-US" w:eastAsia="zh-CN" w:bidi="ar-SA"/>
              </w:rPr>
              <w:t>为新增压缩机。</w:t>
            </w:r>
          </w:p>
          <w:p w14:paraId="1011D6C0">
            <w:pPr>
              <w:spacing w:line="360" w:lineRule="auto"/>
              <w:ind w:firstLine="0" w:firstLineChars="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u w:val="none"/>
              </w:rPr>
              <w:t>表</w:t>
            </w:r>
            <w:r>
              <w:rPr>
                <w:rFonts w:hint="eastAsia" w:ascii="Times New Roman" w:hAnsi="Times New Roman" w:eastAsia="宋体" w:cs="Times New Roman"/>
                <w:b/>
                <w:bCs/>
                <w:color w:val="000000"/>
                <w:sz w:val="21"/>
                <w:szCs w:val="21"/>
                <w:highlight w:val="none"/>
                <w:u w:val="none"/>
                <w:lang w:val="en-US" w:eastAsia="zh-CN"/>
              </w:rPr>
              <w:t>4-</w:t>
            </w:r>
            <w:r>
              <w:rPr>
                <w:rFonts w:hint="eastAsia" w:cs="Times New Roman"/>
                <w:b/>
                <w:bCs/>
                <w:color w:val="000000"/>
                <w:sz w:val="21"/>
                <w:szCs w:val="21"/>
                <w:highlight w:val="none"/>
                <w:u w:val="none"/>
                <w:lang w:val="en-US" w:eastAsia="zh-CN"/>
              </w:rPr>
              <w:t>3</w:t>
            </w:r>
            <w:r>
              <w:rPr>
                <w:rFonts w:hint="eastAsia" w:ascii="Times New Roman" w:hAnsi="Times New Roman" w:eastAsia="宋体" w:cs="Times New Roman"/>
                <w:b/>
                <w:bCs/>
                <w:color w:val="000000"/>
                <w:sz w:val="21"/>
                <w:szCs w:val="21"/>
                <w:highlight w:val="none"/>
                <w:u w:val="none"/>
                <w:lang w:val="en-US" w:eastAsia="zh-CN"/>
              </w:rPr>
              <w:t xml:space="preserve">   </w:t>
            </w:r>
            <w:r>
              <w:rPr>
                <w:rFonts w:hint="default" w:ascii="Times New Roman" w:hAnsi="Times New Roman" w:eastAsia="宋体" w:cs="Times New Roman"/>
                <w:b/>
                <w:bCs/>
                <w:color w:val="000000"/>
                <w:sz w:val="21"/>
                <w:szCs w:val="21"/>
                <w:highlight w:val="none"/>
              </w:rPr>
              <w:t>噪声污染产、排情况及防治措施一览表</w:t>
            </w:r>
          </w:p>
          <w:tbl>
            <w:tblPr>
              <w:tblStyle w:val="19"/>
              <w:tblW w:w="8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
              <w:gridCol w:w="700"/>
              <w:gridCol w:w="643"/>
              <w:gridCol w:w="1000"/>
              <w:gridCol w:w="914"/>
              <w:gridCol w:w="672"/>
              <w:gridCol w:w="728"/>
              <w:gridCol w:w="843"/>
              <w:gridCol w:w="972"/>
              <w:gridCol w:w="557"/>
              <w:gridCol w:w="678"/>
            </w:tblGrid>
            <w:tr w14:paraId="7CA5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67" w:type="dxa"/>
                  <w:vMerge w:val="restart"/>
                  <w:tcBorders>
                    <w:tl2br w:val="nil"/>
                    <w:tr2bl w:val="nil"/>
                  </w:tcBorders>
                  <w:noWrap w:val="0"/>
                  <w:vAlign w:val="center"/>
                </w:tcPr>
                <w:p w14:paraId="23B559C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序号</w:t>
                  </w:r>
                </w:p>
              </w:tc>
              <w:tc>
                <w:tcPr>
                  <w:tcW w:w="700" w:type="dxa"/>
                  <w:vMerge w:val="restart"/>
                  <w:tcBorders>
                    <w:tl2br w:val="nil"/>
                    <w:tr2bl w:val="nil"/>
                  </w:tcBorders>
                  <w:noWrap w:val="0"/>
                  <w:vAlign w:val="center"/>
                </w:tcPr>
                <w:p w14:paraId="39CBA6B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建筑物名称</w:t>
                  </w:r>
                </w:p>
              </w:tc>
              <w:tc>
                <w:tcPr>
                  <w:tcW w:w="643" w:type="dxa"/>
                  <w:vMerge w:val="restart"/>
                  <w:tcBorders>
                    <w:tl2br w:val="nil"/>
                    <w:tr2bl w:val="nil"/>
                  </w:tcBorders>
                  <w:noWrap w:val="0"/>
                  <w:vAlign w:val="center"/>
                </w:tcPr>
                <w:p w14:paraId="5247A4F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声源名称</w:t>
                  </w:r>
                </w:p>
              </w:tc>
              <w:tc>
                <w:tcPr>
                  <w:tcW w:w="1000" w:type="dxa"/>
                  <w:tcBorders>
                    <w:tl2br w:val="nil"/>
                    <w:tr2bl w:val="nil"/>
                  </w:tcBorders>
                  <w:noWrap w:val="0"/>
                  <w:vAlign w:val="center"/>
                </w:tcPr>
                <w:p w14:paraId="5DFA4B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声源源强</w:t>
                  </w:r>
                </w:p>
              </w:tc>
              <w:tc>
                <w:tcPr>
                  <w:tcW w:w="914" w:type="dxa"/>
                  <w:vMerge w:val="restart"/>
                  <w:tcBorders>
                    <w:tl2br w:val="nil"/>
                    <w:tr2bl w:val="nil"/>
                  </w:tcBorders>
                  <w:noWrap w:val="0"/>
                  <w:vAlign w:val="center"/>
                </w:tcPr>
                <w:p w14:paraId="5F67F3E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声源控制措施</w:t>
                  </w:r>
                </w:p>
              </w:tc>
              <w:tc>
                <w:tcPr>
                  <w:tcW w:w="672" w:type="dxa"/>
                  <w:vMerge w:val="restart"/>
                  <w:tcBorders>
                    <w:tl2br w:val="nil"/>
                    <w:tr2bl w:val="nil"/>
                  </w:tcBorders>
                  <w:noWrap w:val="0"/>
                  <w:vAlign w:val="center"/>
                </w:tcPr>
                <w:p w14:paraId="79EACA8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距室内边界距离/m</w:t>
                  </w:r>
                </w:p>
              </w:tc>
              <w:tc>
                <w:tcPr>
                  <w:tcW w:w="728" w:type="dxa"/>
                  <w:vMerge w:val="restart"/>
                  <w:tcBorders>
                    <w:tl2br w:val="nil"/>
                    <w:tr2bl w:val="nil"/>
                  </w:tcBorders>
                  <w:noWrap w:val="0"/>
                  <w:vAlign w:val="center"/>
                </w:tcPr>
                <w:p w14:paraId="2CBEE0C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室内边界声级/dB</w:t>
                  </w:r>
                  <w:r>
                    <w:rPr>
                      <w:rFonts w:hint="eastAsia"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A</w:t>
                  </w:r>
                  <w:r>
                    <w:rPr>
                      <w:rFonts w:hint="eastAsia" w:cs="Times New Roman"/>
                      <w:i w:val="0"/>
                      <w:iCs w:val="0"/>
                      <w:color w:val="000000"/>
                      <w:kern w:val="0"/>
                      <w:sz w:val="21"/>
                      <w:szCs w:val="21"/>
                      <w:highlight w:val="none"/>
                      <w:u w:val="none"/>
                      <w:lang w:val="en-US" w:eastAsia="zh-CN" w:bidi="ar"/>
                    </w:rPr>
                    <w:t>）</w:t>
                  </w:r>
                </w:p>
              </w:tc>
              <w:tc>
                <w:tcPr>
                  <w:tcW w:w="843" w:type="dxa"/>
                  <w:vMerge w:val="restart"/>
                  <w:tcBorders>
                    <w:tl2br w:val="nil"/>
                    <w:tr2bl w:val="nil"/>
                  </w:tcBorders>
                  <w:noWrap/>
                  <w:vAlign w:val="center"/>
                </w:tcPr>
                <w:p w14:paraId="29BBF6E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运行时段</w:t>
                  </w:r>
                </w:p>
              </w:tc>
              <w:tc>
                <w:tcPr>
                  <w:tcW w:w="972" w:type="dxa"/>
                  <w:vMerge w:val="restart"/>
                  <w:tcBorders>
                    <w:tl2br w:val="nil"/>
                    <w:tr2bl w:val="nil"/>
                  </w:tcBorders>
                  <w:noWrap w:val="0"/>
                  <w:vAlign w:val="center"/>
                </w:tcPr>
                <w:p w14:paraId="622B1E4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建筑物插入损失/dB</w:t>
                  </w:r>
                  <w:r>
                    <w:rPr>
                      <w:rFonts w:hint="eastAsia"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A</w:t>
                  </w:r>
                  <w:r>
                    <w:rPr>
                      <w:rFonts w:hint="eastAsia" w:cs="Times New Roman"/>
                      <w:i w:val="0"/>
                      <w:iCs w:val="0"/>
                      <w:color w:val="000000"/>
                      <w:kern w:val="0"/>
                      <w:sz w:val="21"/>
                      <w:szCs w:val="21"/>
                      <w:highlight w:val="none"/>
                      <w:u w:val="none"/>
                      <w:lang w:val="en-US" w:eastAsia="zh-CN" w:bidi="ar"/>
                    </w:rPr>
                    <w:t>）</w:t>
                  </w:r>
                </w:p>
              </w:tc>
              <w:tc>
                <w:tcPr>
                  <w:tcW w:w="1235" w:type="dxa"/>
                  <w:gridSpan w:val="2"/>
                  <w:tcBorders>
                    <w:tl2br w:val="nil"/>
                    <w:tr2bl w:val="nil"/>
                  </w:tcBorders>
                  <w:noWrap w:val="0"/>
                  <w:vAlign w:val="center"/>
                </w:tcPr>
                <w:p w14:paraId="2303EC6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建筑物外噪声</w:t>
                  </w:r>
                </w:p>
              </w:tc>
            </w:tr>
            <w:tr w14:paraId="08B7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367" w:type="dxa"/>
                  <w:vMerge w:val="continue"/>
                  <w:tcBorders>
                    <w:tl2br w:val="nil"/>
                    <w:tr2bl w:val="nil"/>
                  </w:tcBorders>
                  <w:noWrap w:val="0"/>
                  <w:vAlign w:val="center"/>
                </w:tcPr>
                <w:p w14:paraId="70DDB4E8">
                  <w:pPr>
                    <w:jc w:val="center"/>
                    <w:rPr>
                      <w:rFonts w:hint="default" w:ascii="Times New Roman" w:hAnsi="Times New Roman" w:eastAsia="宋体" w:cs="Times New Roman"/>
                      <w:i w:val="0"/>
                      <w:iCs w:val="0"/>
                      <w:color w:val="000000"/>
                      <w:sz w:val="21"/>
                      <w:szCs w:val="21"/>
                      <w:highlight w:val="none"/>
                      <w:u w:val="none"/>
                    </w:rPr>
                  </w:pPr>
                </w:p>
              </w:tc>
              <w:tc>
                <w:tcPr>
                  <w:tcW w:w="700" w:type="dxa"/>
                  <w:vMerge w:val="continue"/>
                  <w:tcBorders>
                    <w:tl2br w:val="nil"/>
                    <w:tr2bl w:val="nil"/>
                  </w:tcBorders>
                  <w:noWrap w:val="0"/>
                  <w:vAlign w:val="center"/>
                </w:tcPr>
                <w:p w14:paraId="48885C84">
                  <w:pPr>
                    <w:jc w:val="center"/>
                    <w:rPr>
                      <w:rFonts w:hint="default" w:ascii="Times New Roman" w:hAnsi="Times New Roman" w:eastAsia="宋体" w:cs="Times New Roman"/>
                      <w:i w:val="0"/>
                      <w:iCs w:val="0"/>
                      <w:color w:val="000000"/>
                      <w:sz w:val="21"/>
                      <w:szCs w:val="21"/>
                      <w:highlight w:val="none"/>
                      <w:u w:val="none"/>
                    </w:rPr>
                  </w:pPr>
                </w:p>
              </w:tc>
              <w:tc>
                <w:tcPr>
                  <w:tcW w:w="643" w:type="dxa"/>
                  <w:vMerge w:val="continue"/>
                  <w:tcBorders>
                    <w:tl2br w:val="nil"/>
                    <w:tr2bl w:val="nil"/>
                  </w:tcBorders>
                  <w:noWrap w:val="0"/>
                  <w:vAlign w:val="center"/>
                </w:tcPr>
                <w:p w14:paraId="1D7F5822">
                  <w:pPr>
                    <w:jc w:val="center"/>
                    <w:rPr>
                      <w:rFonts w:hint="default" w:ascii="Times New Roman" w:hAnsi="Times New Roman" w:eastAsia="宋体" w:cs="Times New Roman"/>
                      <w:i w:val="0"/>
                      <w:iCs w:val="0"/>
                      <w:color w:val="000000"/>
                      <w:sz w:val="21"/>
                      <w:szCs w:val="21"/>
                      <w:highlight w:val="none"/>
                      <w:u w:val="none"/>
                    </w:rPr>
                  </w:pPr>
                </w:p>
              </w:tc>
              <w:tc>
                <w:tcPr>
                  <w:tcW w:w="1000" w:type="dxa"/>
                  <w:tcBorders>
                    <w:tl2br w:val="nil"/>
                    <w:tr2bl w:val="nil"/>
                  </w:tcBorders>
                  <w:noWrap w:val="0"/>
                  <w:vAlign w:val="center"/>
                </w:tcPr>
                <w:p w14:paraId="57CD352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声压级/据声源距离/dB</w:t>
                  </w:r>
                  <w:r>
                    <w:rPr>
                      <w:rFonts w:hint="eastAsia"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A</w:t>
                  </w:r>
                  <w:r>
                    <w:rPr>
                      <w:rFonts w:hint="eastAsia"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/m</w:t>
                  </w:r>
                </w:p>
              </w:tc>
              <w:tc>
                <w:tcPr>
                  <w:tcW w:w="914" w:type="dxa"/>
                  <w:vMerge w:val="continue"/>
                  <w:tcBorders>
                    <w:tl2br w:val="nil"/>
                    <w:tr2bl w:val="nil"/>
                  </w:tcBorders>
                  <w:noWrap w:val="0"/>
                  <w:vAlign w:val="center"/>
                </w:tcPr>
                <w:p w14:paraId="040A658B">
                  <w:pPr>
                    <w:jc w:val="center"/>
                    <w:rPr>
                      <w:rFonts w:hint="default" w:ascii="Times New Roman" w:hAnsi="Times New Roman" w:eastAsia="宋体" w:cs="Times New Roman"/>
                      <w:i w:val="0"/>
                      <w:iCs w:val="0"/>
                      <w:color w:val="000000"/>
                      <w:sz w:val="21"/>
                      <w:szCs w:val="21"/>
                      <w:highlight w:val="none"/>
                      <w:u w:val="none"/>
                    </w:rPr>
                  </w:pPr>
                </w:p>
              </w:tc>
              <w:tc>
                <w:tcPr>
                  <w:tcW w:w="672" w:type="dxa"/>
                  <w:vMerge w:val="continue"/>
                  <w:tcBorders>
                    <w:tl2br w:val="nil"/>
                    <w:tr2bl w:val="nil"/>
                  </w:tcBorders>
                  <w:noWrap w:val="0"/>
                  <w:vAlign w:val="center"/>
                </w:tcPr>
                <w:p w14:paraId="7CD39580">
                  <w:pPr>
                    <w:jc w:val="center"/>
                    <w:rPr>
                      <w:rFonts w:hint="default" w:ascii="Times New Roman" w:hAnsi="Times New Roman" w:eastAsia="宋体" w:cs="Times New Roman"/>
                      <w:i w:val="0"/>
                      <w:iCs w:val="0"/>
                      <w:color w:val="000000"/>
                      <w:sz w:val="21"/>
                      <w:szCs w:val="21"/>
                      <w:highlight w:val="none"/>
                      <w:u w:val="none"/>
                    </w:rPr>
                  </w:pPr>
                </w:p>
              </w:tc>
              <w:tc>
                <w:tcPr>
                  <w:tcW w:w="728" w:type="dxa"/>
                  <w:vMerge w:val="continue"/>
                  <w:tcBorders>
                    <w:tl2br w:val="nil"/>
                    <w:tr2bl w:val="nil"/>
                  </w:tcBorders>
                  <w:noWrap w:val="0"/>
                  <w:vAlign w:val="center"/>
                </w:tcPr>
                <w:p w14:paraId="367E5F0E">
                  <w:pPr>
                    <w:jc w:val="center"/>
                    <w:rPr>
                      <w:rFonts w:hint="default" w:ascii="Times New Roman" w:hAnsi="Times New Roman" w:eastAsia="宋体" w:cs="Times New Roman"/>
                      <w:i w:val="0"/>
                      <w:iCs w:val="0"/>
                      <w:color w:val="000000"/>
                      <w:sz w:val="21"/>
                      <w:szCs w:val="21"/>
                      <w:highlight w:val="none"/>
                      <w:u w:val="none"/>
                    </w:rPr>
                  </w:pPr>
                </w:p>
              </w:tc>
              <w:tc>
                <w:tcPr>
                  <w:tcW w:w="843" w:type="dxa"/>
                  <w:vMerge w:val="continue"/>
                  <w:tcBorders>
                    <w:tl2br w:val="nil"/>
                    <w:tr2bl w:val="nil"/>
                  </w:tcBorders>
                  <w:noWrap/>
                  <w:vAlign w:val="center"/>
                </w:tcPr>
                <w:p w14:paraId="05F898E8">
                  <w:pPr>
                    <w:jc w:val="center"/>
                    <w:rPr>
                      <w:rFonts w:hint="default" w:ascii="Times New Roman" w:hAnsi="Times New Roman" w:eastAsia="宋体" w:cs="Times New Roman"/>
                      <w:i w:val="0"/>
                      <w:iCs w:val="0"/>
                      <w:color w:val="000000"/>
                      <w:sz w:val="21"/>
                      <w:szCs w:val="21"/>
                      <w:highlight w:val="none"/>
                      <w:u w:val="none"/>
                    </w:rPr>
                  </w:pPr>
                </w:p>
              </w:tc>
              <w:tc>
                <w:tcPr>
                  <w:tcW w:w="972" w:type="dxa"/>
                  <w:vMerge w:val="continue"/>
                  <w:tcBorders>
                    <w:tl2br w:val="nil"/>
                    <w:tr2bl w:val="nil"/>
                  </w:tcBorders>
                  <w:noWrap w:val="0"/>
                  <w:vAlign w:val="center"/>
                </w:tcPr>
                <w:p w14:paraId="710C730F">
                  <w:pPr>
                    <w:jc w:val="center"/>
                    <w:rPr>
                      <w:rFonts w:hint="default" w:ascii="Times New Roman" w:hAnsi="Times New Roman" w:eastAsia="宋体" w:cs="Times New Roman"/>
                      <w:i w:val="0"/>
                      <w:iCs w:val="0"/>
                      <w:color w:val="000000"/>
                      <w:sz w:val="21"/>
                      <w:szCs w:val="21"/>
                      <w:highlight w:val="none"/>
                      <w:u w:val="none"/>
                    </w:rPr>
                  </w:pPr>
                </w:p>
              </w:tc>
              <w:tc>
                <w:tcPr>
                  <w:tcW w:w="557" w:type="dxa"/>
                  <w:tcBorders>
                    <w:tl2br w:val="nil"/>
                    <w:tr2bl w:val="nil"/>
                  </w:tcBorders>
                  <w:noWrap w:val="0"/>
                  <w:vAlign w:val="center"/>
                </w:tcPr>
                <w:p w14:paraId="0D13EF5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声压级/dB</w:t>
                  </w:r>
                  <w:r>
                    <w:rPr>
                      <w:rFonts w:hint="eastAsia"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A</w:t>
                  </w:r>
                  <w:r>
                    <w:rPr>
                      <w:rFonts w:hint="eastAsia" w:cs="Times New Roman"/>
                      <w:i w:val="0"/>
                      <w:iCs w:val="0"/>
                      <w:color w:val="000000"/>
                      <w:kern w:val="0"/>
                      <w:sz w:val="21"/>
                      <w:szCs w:val="21"/>
                      <w:highlight w:val="none"/>
                      <w:u w:val="none"/>
                      <w:lang w:val="en-US" w:eastAsia="zh-CN" w:bidi="ar"/>
                    </w:rPr>
                    <w:t>）</w:t>
                  </w:r>
                </w:p>
              </w:tc>
              <w:tc>
                <w:tcPr>
                  <w:tcW w:w="678" w:type="dxa"/>
                  <w:tcBorders>
                    <w:tl2br w:val="nil"/>
                    <w:tr2bl w:val="nil"/>
                  </w:tcBorders>
                  <w:noWrap w:val="0"/>
                  <w:vAlign w:val="center"/>
                </w:tcPr>
                <w:p w14:paraId="05CE2AD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建筑物</w:t>
                  </w:r>
                  <w:r>
                    <w:rPr>
                      <w:rFonts w:hint="default" w:ascii="Times New Roman" w:hAnsi="Times New Roman" w:eastAsia="宋体" w:cs="Times New Roman"/>
                      <w:i w:val="0"/>
                      <w:iCs w:val="0"/>
                      <w:color w:val="000000"/>
                      <w:kern w:val="0"/>
                      <w:sz w:val="21"/>
                      <w:szCs w:val="21"/>
                      <w:highlight w:val="none"/>
                      <w:u w:val="none"/>
                      <w:lang w:val="en-US" w:eastAsia="zh-CN" w:bidi="ar"/>
                    </w:rPr>
                    <w:br w:type="textWrapping"/>
                  </w:r>
                  <w:r>
                    <w:rPr>
                      <w:rFonts w:hint="default" w:ascii="Times New Roman" w:hAnsi="Times New Roman" w:eastAsia="宋体" w:cs="Times New Roman"/>
                      <w:i w:val="0"/>
                      <w:iCs w:val="0"/>
                      <w:color w:val="000000"/>
                      <w:kern w:val="0"/>
                      <w:sz w:val="21"/>
                      <w:szCs w:val="21"/>
                      <w:highlight w:val="none"/>
                      <w:u w:val="none"/>
                      <w:lang w:val="en-US" w:eastAsia="zh-CN" w:bidi="ar"/>
                    </w:rPr>
                    <w:t>外距离/m</w:t>
                  </w:r>
                </w:p>
              </w:tc>
            </w:tr>
            <w:tr w14:paraId="0EF5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367" w:type="dxa"/>
                  <w:tcBorders>
                    <w:tl2br w:val="nil"/>
                    <w:tr2bl w:val="nil"/>
                  </w:tcBorders>
                  <w:noWrap/>
                  <w:vAlign w:val="center"/>
                </w:tcPr>
                <w:p w14:paraId="22844EA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700" w:type="dxa"/>
                  <w:tcBorders>
                    <w:tl2br w:val="nil"/>
                    <w:tr2bl w:val="nil"/>
                  </w:tcBorders>
                  <w:noWrap/>
                  <w:vAlign w:val="center"/>
                </w:tcPr>
                <w:p w14:paraId="6036180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eastAsia="zh-CN"/>
                    </w:rPr>
                  </w:pPr>
                  <w:r>
                    <w:rPr>
                      <w:rFonts w:hint="default" w:ascii="Times New Roman" w:hAnsi="Times New Roman" w:cs="Times New Roman"/>
                      <w:highlight w:val="none"/>
                      <w:lang w:val="en-US" w:eastAsia="zh-CN"/>
                    </w:rPr>
                    <w:t>增压风机房</w:t>
                  </w:r>
                </w:p>
              </w:tc>
              <w:tc>
                <w:tcPr>
                  <w:tcW w:w="643" w:type="dxa"/>
                  <w:tcBorders>
                    <w:tl2br w:val="nil"/>
                    <w:tr2bl w:val="nil"/>
                  </w:tcBorders>
                  <w:noWrap/>
                  <w:vAlign w:val="center"/>
                </w:tcPr>
                <w:p w14:paraId="2670BE8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eastAsia="zh-CN"/>
                    </w:rPr>
                  </w:pPr>
                  <w:r>
                    <w:rPr>
                      <w:rFonts w:hint="default" w:ascii="Times New Roman" w:hAnsi="Times New Roman" w:cs="Times New Roman"/>
                      <w:i w:val="0"/>
                      <w:iCs w:val="0"/>
                      <w:color w:val="000000"/>
                      <w:sz w:val="21"/>
                      <w:szCs w:val="21"/>
                      <w:highlight w:val="none"/>
                      <w:u w:val="none"/>
                      <w:lang w:val="en-US" w:eastAsia="zh-CN"/>
                    </w:rPr>
                    <w:t>甲烷压缩机</w:t>
                  </w:r>
                </w:p>
              </w:tc>
              <w:tc>
                <w:tcPr>
                  <w:tcW w:w="1000" w:type="dxa"/>
                  <w:tcBorders>
                    <w:tl2br w:val="nil"/>
                    <w:tr2bl w:val="nil"/>
                  </w:tcBorders>
                  <w:noWrap/>
                  <w:vAlign w:val="center"/>
                </w:tcPr>
                <w:p w14:paraId="573A017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95/1</w:t>
                  </w:r>
                </w:p>
              </w:tc>
              <w:tc>
                <w:tcPr>
                  <w:tcW w:w="914" w:type="dxa"/>
                  <w:tcBorders>
                    <w:tl2br w:val="nil"/>
                    <w:tr2bl w:val="nil"/>
                  </w:tcBorders>
                  <w:noWrap w:val="0"/>
                  <w:vAlign w:val="center"/>
                </w:tcPr>
                <w:p w14:paraId="367744A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减振、建筑物隔声</w:t>
                  </w:r>
                </w:p>
              </w:tc>
              <w:tc>
                <w:tcPr>
                  <w:tcW w:w="672" w:type="dxa"/>
                  <w:tcBorders>
                    <w:tl2br w:val="nil"/>
                    <w:tr2bl w:val="nil"/>
                  </w:tcBorders>
                  <w:noWrap/>
                  <w:vAlign w:val="center"/>
                </w:tcPr>
                <w:p w14:paraId="71FDF02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728" w:type="dxa"/>
                  <w:tcBorders>
                    <w:tl2br w:val="nil"/>
                    <w:tr2bl w:val="nil"/>
                  </w:tcBorders>
                  <w:noWrap/>
                  <w:vAlign w:val="center"/>
                </w:tcPr>
                <w:p w14:paraId="1DA74FC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90</w:t>
                  </w:r>
                </w:p>
              </w:tc>
              <w:tc>
                <w:tcPr>
                  <w:tcW w:w="843" w:type="dxa"/>
                  <w:tcBorders>
                    <w:tl2br w:val="nil"/>
                    <w:tr2bl w:val="nil"/>
                  </w:tcBorders>
                  <w:noWrap/>
                  <w:vAlign w:val="center"/>
                </w:tcPr>
                <w:p w14:paraId="4F3AB10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正常</w:t>
                  </w:r>
                </w:p>
              </w:tc>
              <w:tc>
                <w:tcPr>
                  <w:tcW w:w="972" w:type="dxa"/>
                  <w:tcBorders>
                    <w:tl2br w:val="nil"/>
                    <w:tr2bl w:val="nil"/>
                  </w:tcBorders>
                  <w:noWrap/>
                  <w:vAlign w:val="center"/>
                </w:tcPr>
                <w:p w14:paraId="2155168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20</w:t>
                  </w:r>
                </w:p>
              </w:tc>
              <w:tc>
                <w:tcPr>
                  <w:tcW w:w="557" w:type="dxa"/>
                  <w:tcBorders>
                    <w:tl2br w:val="nil"/>
                    <w:tr2bl w:val="nil"/>
                  </w:tcBorders>
                  <w:noWrap/>
                  <w:vAlign w:val="center"/>
                </w:tcPr>
                <w:p w14:paraId="07C62F7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70</w:t>
                  </w:r>
                </w:p>
              </w:tc>
              <w:tc>
                <w:tcPr>
                  <w:tcW w:w="678" w:type="dxa"/>
                  <w:tcBorders>
                    <w:tl2br w:val="nil"/>
                    <w:tr2bl w:val="nil"/>
                  </w:tcBorders>
                  <w:noWrap/>
                  <w:vAlign w:val="center"/>
                </w:tcPr>
                <w:p w14:paraId="0678027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bl>
          <w:p w14:paraId="2039AB16">
            <w:pPr>
              <w:spacing w:line="360" w:lineRule="auto"/>
              <w:ind w:firstLine="480" w:firstLineChars="200"/>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（2）</w:t>
            </w:r>
            <w:r>
              <w:rPr>
                <w:rFonts w:hint="eastAsia" w:ascii="Times New Roman" w:hAnsi="Times New Roman" w:cs="Times New Roman"/>
                <w:color w:val="000000"/>
                <w:sz w:val="24"/>
                <w:szCs w:val="24"/>
                <w:highlight w:val="none"/>
              </w:rPr>
              <w:t>噪声预测模式</w:t>
            </w:r>
          </w:p>
          <w:p w14:paraId="115EBF4B">
            <w:pPr>
              <w:widowControl w:val="0"/>
              <w:spacing w:line="360" w:lineRule="auto"/>
              <w:ind w:firstLine="480" w:firstLineChars="200"/>
              <w:rPr>
                <w:color w:val="000000"/>
                <w:sz w:val="24"/>
                <w:szCs w:val="24"/>
                <w:highlight w:val="none"/>
              </w:rPr>
            </w:pPr>
            <w:r>
              <w:rPr>
                <w:rFonts w:hint="eastAsia"/>
                <w:color w:val="000000"/>
                <w:sz w:val="24"/>
                <w:szCs w:val="24"/>
                <w:highlight w:val="none"/>
              </w:rPr>
              <w:t>采用《环境影响评价技术导则 声环境》（</w:t>
            </w:r>
            <w:r>
              <w:rPr>
                <w:color w:val="000000"/>
                <w:sz w:val="24"/>
                <w:szCs w:val="24"/>
                <w:highlight w:val="none"/>
              </w:rPr>
              <w:t>HJ2.4-20</w:t>
            </w:r>
            <w:r>
              <w:rPr>
                <w:rFonts w:hint="eastAsia"/>
                <w:color w:val="000000"/>
                <w:sz w:val="24"/>
                <w:szCs w:val="24"/>
                <w:highlight w:val="none"/>
                <w:lang w:val="en-US" w:eastAsia="zh-CN"/>
              </w:rPr>
              <w:t>21</w:t>
            </w:r>
            <w:r>
              <w:rPr>
                <w:rFonts w:hint="eastAsia"/>
                <w:color w:val="000000"/>
                <w:sz w:val="24"/>
                <w:szCs w:val="24"/>
                <w:highlight w:val="none"/>
              </w:rPr>
              <w:t>）中工业噪声预测模式。在进行噪声预测时，采用声源的倍频带声功率级，</w:t>
            </w:r>
            <w:r>
              <w:rPr>
                <w:color w:val="000000"/>
                <w:sz w:val="24"/>
                <w:szCs w:val="24"/>
                <w:highlight w:val="none"/>
              </w:rPr>
              <w:t>A</w:t>
            </w:r>
            <w:r>
              <w:rPr>
                <w:rFonts w:hint="eastAsia"/>
                <w:color w:val="000000"/>
                <w:sz w:val="24"/>
                <w:szCs w:val="24"/>
                <w:highlight w:val="none"/>
              </w:rPr>
              <w:t>声功率级或靠近</w:t>
            </w:r>
            <w:r>
              <w:rPr>
                <w:rFonts w:hint="eastAsia"/>
                <w:color w:val="000000"/>
                <w:sz w:val="24"/>
                <w:szCs w:val="24"/>
                <w:highlight w:val="none"/>
                <w:lang w:eastAsia="zh-CN"/>
              </w:rPr>
              <w:t>声</w:t>
            </w:r>
            <w:r>
              <w:rPr>
                <w:rFonts w:hint="eastAsia"/>
                <w:color w:val="000000"/>
                <w:sz w:val="24"/>
                <w:szCs w:val="24"/>
                <w:highlight w:val="none"/>
              </w:rPr>
              <w:t>源某一位置的倍频带声压级、</w:t>
            </w:r>
            <w:r>
              <w:rPr>
                <w:color w:val="000000"/>
                <w:sz w:val="24"/>
                <w:szCs w:val="24"/>
                <w:highlight w:val="none"/>
              </w:rPr>
              <w:t>A</w:t>
            </w:r>
            <w:r>
              <w:rPr>
                <w:rFonts w:hint="eastAsia"/>
                <w:color w:val="000000"/>
                <w:sz w:val="24"/>
                <w:szCs w:val="24"/>
                <w:highlight w:val="none"/>
              </w:rPr>
              <w:t>声级来预测计算不同距离的声级。本项目采用工业声源</w:t>
            </w:r>
            <w:r>
              <w:rPr>
                <w:rFonts w:hint="eastAsia"/>
                <w:color w:val="000000"/>
                <w:sz w:val="24"/>
                <w:szCs w:val="24"/>
                <w:highlight w:val="none"/>
                <w:lang w:eastAsia="zh-CN"/>
              </w:rPr>
              <w:t>预测和</w:t>
            </w:r>
            <w:r>
              <w:rPr>
                <w:rFonts w:hint="eastAsia"/>
                <w:color w:val="000000"/>
                <w:sz w:val="24"/>
                <w:szCs w:val="24"/>
                <w:highlight w:val="none"/>
              </w:rPr>
              <w:t>室内声源预测模式进行计算。室内声源等效室外声源声功率级计算：</w:t>
            </w:r>
          </w:p>
          <w:p w14:paraId="72C1CF7F">
            <w:pPr>
              <w:widowControl w:val="0"/>
              <w:spacing w:line="360" w:lineRule="auto"/>
              <w:ind w:firstLine="480" w:firstLineChars="200"/>
              <w:rPr>
                <w:color w:val="000000"/>
                <w:sz w:val="24"/>
                <w:szCs w:val="24"/>
                <w:highlight w:val="none"/>
              </w:rPr>
            </w:pPr>
            <w:r>
              <w:rPr>
                <w:rFonts w:hint="eastAsia"/>
                <w:color w:val="000000"/>
                <w:sz w:val="24"/>
                <w:szCs w:val="24"/>
                <w:highlight w:val="none"/>
              </w:rPr>
              <w:t>声源位于室内，室内声源可采用等效室外声源声功率级法进行计算。设靠近开口处（或窗户）室内、室外某倍频带的声压级分别为</w:t>
            </w:r>
            <w:r>
              <w:rPr>
                <w:color w:val="000000"/>
                <w:sz w:val="24"/>
                <w:szCs w:val="24"/>
                <w:highlight w:val="none"/>
              </w:rPr>
              <w:t>Lp</w:t>
            </w:r>
            <w:r>
              <w:rPr>
                <w:color w:val="000000"/>
                <w:sz w:val="24"/>
                <w:szCs w:val="24"/>
                <w:highlight w:val="none"/>
                <w:vertAlign w:val="subscript"/>
              </w:rPr>
              <w:t>1</w:t>
            </w:r>
            <w:r>
              <w:rPr>
                <w:rFonts w:hint="eastAsia"/>
                <w:color w:val="000000"/>
                <w:sz w:val="24"/>
                <w:szCs w:val="24"/>
                <w:highlight w:val="none"/>
              </w:rPr>
              <w:t>和</w:t>
            </w:r>
            <w:r>
              <w:rPr>
                <w:color w:val="000000"/>
                <w:sz w:val="24"/>
                <w:szCs w:val="24"/>
                <w:highlight w:val="none"/>
              </w:rPr>
              <w:t>Lp</w:t>
            </w:r>
            <w:r>
              <w:rPr>
                <w:color w:val="000000"/>
                <w:sz w:val="24"/>
                <w:szCs w:val="24"/>
                <w:highlight w:val="none"/>
                <w:vertAlign w:val="subscript"/>
              </w:rPr>
              <w:t>2</w:t>
            </w:r>
            <w:r>
              <w:rPr>
                <w:rFonts w:hint="eastAsia"/>
                <w:color w:val="000000"/>
                <w:sz w:val="24"/>
                <w:szCs w:val="24"/>
                <w:highlight w:val="none"/>
              </w:rPr>
              <w:t>。若声源所在室内声场为近似扩散声场，则室外的倍频带声压级可近似求出：</w:t>
            </w:r>
          </w:p>
          <w:p w14:paraId="4F229559">
            <w:pPr>
              <w:widowControl w:val="0"/>
              <w:spacing w:before="120" w:beforeLines="50" w:line="360" w:lineRule="auto"/>
              <w:jc w:val="center"/>
              <w:rPr>
                <w:color w:val="000000"/>
                <w:sz w:val="24"/>
                <w:szCs w:val="24"/>
                <w:highlight w:val="none"/>
              </w:rPr>
            </w:pPr>
            <w:r>
              <w:rPr>
                <w:color w:val="000000"/>
                <w:sz w:val="24"/>
                <w:szCs w:val="24"/>
                <w:highlight w:val="none"/>
              </w:rPr>
              <w:drawing>
                <wp:inline distT="0" distB="0" distL="114300" distR="114300">
                  <wp:extent cx="1514475" cy="295275"/>
                  <wp:effectExtent l="0" t="0" r="0" b="1016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3"/>
                          <a:stretch>
                            <a:fillRect/>
                          </a:stretch>
                        </pic:blipFill>
                        <pic:spPr>
                          <a:xfrm>
                            <a:off x="0" y="0"/>
                            <a:ext cx="1514475" cy="295275"/>
                          </a:xfrm>
                          <a:prstGeom prst="rect">
                            <a:avLst/>
                          </a:prstGeom>
                          <a:noFill/>
                          <a:ln>
                            <a:noFill/>
                          </a:ln>
                        </pic:spPr>
                      </pic:pic>
                    </a:graphicData>
                  </a:graphic>
                </wp:inline>
              </w:drawing>
            </w:r>
          </w:p>
          <w:p w14:paraId="11BA28E8">
            <w:pPr>
              <w:widowControl w:val="0"/>
              <w:spacing w:line="360" w:lineRule="auto"/>
              <w:rPr>
                <w:color w:val="000000"/>
                <w:sz w:val="24"/>
                <w:szCs w:val="24"/>
                <w:highlight w:val="none"/>
              </w:rPr>
            </w:pPr>
            <w:r>
              <w:rPr>
                <w:rFonts w:hint="eastAsia"/>
                <w:color w:val="000000"/>
                <w:sz w:val="24"/>
                <w:szCs w:val="24"/>
                <w:highlight w:val="none"/>
              </w:rPr>
              <w:t>式中：</w:t>
            </w:r>
            <w:r>
              <w:rPr>
                <w:i/>
                <w:color w:val="000000"/>
                <w:sz w:val="24"/>
                <w:szCs w:val="24"/>
                <w:highlight w:val="none"/>
              </w:rPr>
              <w:t>TL—</w:t>
            </w:r>
            <w:r>
              <w:rPr>
                <w:rFonts w:hint="eastAsia"/>
                <w:color w:val="000000"/>
                <w:sz w:val="24"/>
                <w:szCs w:val="24"/>
                <w:highlight w:val="none"/>
              </w:rPr>
              <w:t>隔墙（或窗户）倍频带的隔声量，</w:t>
            </w:r>
            <w:r>
              <w:rPr>
                <w:color w:val="000000"/>
                <w:sz w:val="24"/>
                <w:szCs w:val="24"/>
                <w:highlight w:val="none"/>
              </w:rPr>
              <w:t>dB</w:t>
            </w:r>
            <w:r>
              <w:rPr>
                <w:rFonts w:hint="eastAsia"/>
                <w:color w:val="000000"/>
                <w:sz w:val="24"/>
                <w:szCs w:val="24"/>
                <w:highlight w:val="none"/>
              </w:rPr>
              <w:t>。</w:t>
            </w:r>
          </w:p>
          <w:p w14:paraId="4BA5A78A">
            <w:pPr>
              <w:widowControl w:val="0"/>
              <w:spacing w:line="360" w:lineRule="auto"/>
              <w:ind w:firstLine="480" w:firstLineChars="200"/>
              <w:rPr>
                <w:color w:val="000000"/>
                <w:sz w:val="24"/>
                <w:szCs w:val="24"/>
                <w:highlight w:val="none"/>
              </w:rPr>
            </w:pPr>
            <w:r>
              <w:rPr>
                <w:rFonts w:hint="eastAsia"/>
                <w:color w:val="000000"/>
                <w:sz w:val="24"/>
                <w:szCs w:val="24"/>
                <w:highlight w:val="none"/>
              </w:rPr>
              <w:t>某一室内声源靠近围护结构处产生的倍频带声压级：</w:t>
            </w:r>
          </w:p>
          <w:p w14:paraId="28F884ED">
            <w:pPr>
              <w:widowControl w:val="0"/>
              <w:spacing w:before="240" w:beforeLines="100" w:line="360" w:lineRule="auto"/>
              <w:jc w:val="center"/>
              <w:rPr>
                <w:color w:val="000000"/>
                <w:sz w:val="24"/>
                <w:szCs w:val="24"/>
                <w:highlight w:val="none"/>
              </w:rPr>
            </w:pPr>
            <w:r>
              <w:rPr>
                <w:color w:val="000000"/>
                <w:sz w:val="24"/>
                <w:szCs w:val="24"/>
                <w:highlight w:val="none"/>
              </w:rPr>
              <w:drawing>
                <wp:inline distT="0" distB="0" distL="114300" distR="114300">
                  <wp:extent cx="1695450" cy="457200"/>
                  <wp:effectExtent l="0" t="0" r="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4"/>
                          <a:srcRect b="8749"/>
                          <a:stretch>
                            <a:fillRect/>
                          </a:stretch>
                        </pic:blipFill>
                        <pic:spPr>
                          <a:xfrm>
                            <a:off x="0" y="0"/>
                            <a:ext cx="1695450" cy="457200"/>
                          </a:xfrm>
                          <a:prstGeom prst="rect">
                            <a:avLst/>
                          </a:prstGeom>
                          <a:noFill/>
                          <a:ln>
                            <a:noFill/>
                          </a:ln>
                        </pic:spPr>
                      </pic:pic>
                    </a:graphicData>
                  </a:graphic>
                </wp:inline>
              </w:drawing>
            </w:r>
          </w:p>
          <w:p w14:paraId="386FEB2B">
            <w:pPr>
              <w:widowControl w:val="0"/>
              <w:spacing w:line="360" w:lineRule="auto"/>
              <w:rPr>
                <w:color w:val="000000"/>
                <w:sz w:val="24"/>
                <w:szCs w:val="24"/>
                <w:highlight w:val="none"/>
              </w:rPr>
            </w:pPr>
            <w:r>
              <w:rPr>
                <w:rFonts w:hint="eastAsia"/>
                <w:color w:val="000000"/>
                <w:sz w:val="24"/>
                <w:szCs w:val="24"/>
                <w:highlight w:val="none"/>
              </w:rPr>
              <w:t>式中：</w:t>
            </w:r>
            <w:r>
              <w:rPr>
                <w:color w:val="000000"/>
                <w:sz w:val="24"/>
                <w:szCs w:val="24"/>
                <w:highlight w:val="none"/>
              </w:rPr>
              <w:t>Lp</w:t>
            </w:r>
            <w:r>
              <w:rPr>
                <w:color w:val="000000"/>
                <w:sz w:val="24"/>
                <w:szCs w:val="24"/>
                <w:highlight w:val="none"/>
                <w:vertAlign w:val="subscript"/>
              </w:rPr>
              <w:t>1</w:t>
            </w:r>
            <w:r>
              <w:rPr>
                <w:color w:val="000000"/>
                <w:sz w:val="24"/>
                <w:szCs w:val="24"/>
                <w:highlight w:val="none"/>
              </w:rPr>
              <w:t>—</w:t>
            </w:r>
            <w:r>
              <w:rPr>
                <w:rFonts w:hint="eastAsia"/>
                <w:color w:val="000000"/>
                <w:sz w:val="24"/>
                <w:szCs w:val="24"/>
                <w:highlight w:val="none"/>
              </w:rPr>
              <w:t>某个室内声源在靠近围护结构处产生的倍频带声压级；</w:t>
            </w:r>
          </w:p>
          <w:p w14:paraId="56E942EE">
            <w:pPr>
              <w:widowControl w:val="0"/>
              <w:spacing w:line="360" w:lineRule="auto"/>
              <w:ind w:firstLine="720" w:firstLineChars="300"/>
              <w:rPr>
                <w:color w:val="000000"/>
                <w:sz w:val="24"/>
                <w:szCs w:val="24"/>
                <w:highlight w:val="none"/>
              </w:rPr>
            </w:pPr>
            <w:r>
              <w:rPr>
                <w:i/>
                <w:color w:val="000000"/>
                <w:sz w:val="24"/>
                <w:szCs w:val="24"/>
                <w:highlight w:val="none"/>
              </w:rPr>
              <w:t>Lw</w:t>
            </w:r>
            <w:r>
              <w:rPr>
                <w:color w:val="000000"/>
                <w:sz w:val="24"/>
                <w:szCs w:val="24"/>
                <w:highlight w:val="none"/>
              </w:rPr>
              <w:t>—</w:t>
            </w:r>
            <w:r>
              <w:rPr>
                <w:rFonts w:hint="eastAsia"/>
                <w:color w:val="000000"/>
                <w:sz w:val="24"/>
                <w:szCs w:val="24"/>
                <w:highlight w:val="none"/>
              </w:rPr>
              <w:t>某个声源的倍频带声功率级；</w:t>
            </w:r>
          </w:p>
          <w:p w14:paraId="35463AAB">
            <w:pPr>
              <w:widowControl w:val="0"/>
              <w:spacing w:line="360" w:lineRule="auto"/>
              <w:ind w:firstLine="720" w:firstLineChars="300"/>
              <w:rPr>
                <w:color w:val="000000"/>
                <w:sz w:val="24"/>
                <w:szCs w:val="24"/>
                <w:highlight w:val="none"/>
              </w:rPr>
            </w:pPr>
            <w:r>
              <w:rPr>
                <w:i/>
                <w:color w:val="000000"/>
                <w:sz w:val="24"/>
                <w:szCs w:val="24"/>
                <w:highlight w:val="none"/>
              </w:rPr>
              <w:t>r</w:t>
            </w:r>
            <w:r>
              <w:rPr>
                <w:i/>
                <w:color w:val="000000"/>
                <w:sz w:val="24"/>
                <w:szCs w:val="24"/>
                <w:highlight w:val="none"/>
                <w:vertAlign w:val="subscript"/>
              </w:rPr>
              <w:t>1</w:t>
            </w:r>
            <w:r>
              <w:rPr>
                <w:color w:val="000000"/>
                <w:sz w:val="24"/>
                <w:szCs w:val="24"/>
                <w:highlight w:val="none"/>
              </w:rPr>
              <w:t>—</w:t>
            </w:r>
            <w:r>
              <w:rPr>
                <w:rFonts w:hint="eastAsia"/>
                <w:color w:val="000000"/>
                <w:sz w:val="24"/>
                <w:szCs w:val="24"/>
                <w:highlight w:val="none"/>
              </w:rPr>
              <w:t>室内某个声源与靠近结构围护处的距离（</w:t>
            </w:r>
            <w:r>
              <w:rPr>
                <w:color w:val="000000"/>
                <w:sz w:val="24"/>
                <w:szCs w:val="24"/>
                <w:highlight w:val="none"/>
              </w:rPr>
              <w:t>m</w:t>
            </w:r>
            <w:r>
              <w:rPr>
                <w:rFonts w:hint="eastAsia"/>
                <w:color w:val="000000"/>
                <w:sz w:val="24"/>
                <w:szCs w:val="24"/>
                <w:highlight w:val="none"/>
              </w:rPr>
              <w:t>）；</w:t>
            </w:r>
          </w:p>
          <w:p w14:paraId="489629D6">
            <w:pPr>
              <w:widowControl w:val="0"/>
              <w:spacing w:line="360" w:lineRule="auto"/>
              <w:ind w:firstLine="720" w:firstLineChars="300"/>
              <w:rPr>
                <w:color w:val="000000"/>
                <w:sz w:val="24"/>
                <w:szCs w:val="24"/>
                <w:highlight w:val="none"/>
              </w:rPr>
            </w:pPr>
            <w:r>
              <w:rPr>
                <w:i/>
                <w:color w:val="000000"/>
                <w:sz w:val="24"/>
                <w:szCs w:val="24"/>
                <w:highlight w:val="none"/>
              </w:rPr>
              <w:t>R</w:t>
            </w:r>
            <w:r>
              <w:rPr>
                <w:color w:val="000000"/>
                <w:sz w:val="24"/>
                <w:szCs w:val="24"/>
                <w:highlight w:val="none"/>
              </w:rPr>
              <w:t>—</w:t>
            </w:r>
            <w:r>
              <w:rPr>
                <w:rFonts w:hint="eastAsia"/>
                <w:color w:val="000000"/>
                <w:sz w:val="24"/>
                <w:szCs w:val="24"/>
                <w:highlight w:val="none"/>
              </w:rPr>
              <w:t>房间常数；</w:t>
            </w:r>
          </w:p>
          <w:p w14:paraId="07FA4F4F">
            <w:pPr>
              <w:widowControl w:val="0"/>
              <w:spacing w:line="360" w:lineRule="auto"/>
              <w:ind w:firstLine="720" w:firstLineChars="300"/>
              <w:rPr>
                <w:color w:val="000000"/>
                <w:sz w:val="24"/>
                <w:szCs w:val="24"/>
                <w:highlight w:val="none"/>
              </w:rPr>
            </w:pPr>
            <w:r>
              <w:rPr>
                <w:i/>
                <w:color w:val="000000"/>
                <w:sz w:val="24"/>
                <w:szCs w:val="24"/>
                <w:highlight w:val="none"/>
              </w:rPr>
              <w:t>Q</w:t>
            </w:r>
            <w:r>
              <w:rPr>
                <w:color w:val="000000"/>
                <w:sz w:val="24"/>
                <w:szCs w:val="24"/>
                <w:highlight w:val="none"/>
              </w:rPr>
              <w:t>—</w:t>
            </w:r>
            <w:r>
              <w:rPr>
                <w:rFonts w:hint="eastAsia"/>
                <w:color w:val="000000"/>
                <w:sz w:val="24"/>
                <w:szCs w:val="24"/>
                <w:highlight w:val="none"/>
              </w:rPr>
              <w:t>方向性因子。</w:t>
            </w:r>
          </w:p>
          <w:p w14:paraId="0F531103">
            <w:pPr>
              <w:widowControl w:val="0"/>
              <w:spacing w:line="360" w:lineRule="auto"/>
              <w:ind w:firstLine="480" w:firstLineChars="200"/>
              <w:rPr>
                <w:color w:val="000000"/>
                <w:sz w:val="24"/>
                <w:szCs w:val="24"/>
                <w:highlight w:val="none"/>
              </w:rPr>
            </w:pPr>
            <w:r>
              <w:rPr>
                <w:rFonts w:hint="eastAsia"/>
                <w:color w:val="000000"/>
                <w:sz w:val="24"/>
                <w:szCs w:val="24"/>
                <w:highlight w:val="none"/>
              </w:rPr>
              <w:t>计算出所有室内声源在靠近围护结构处产生的总倍频带声压级：</w:t>
            </w:r>
          </w:p>
          <w:p w14:paraId="7AEBC0CC">
            <w:pPr>
              <w:widowControl w:val="0"/>
              <w:spacing w:before="240" w:beforeLines="100" w:line="360" w:lineRule="auto"/>
              <w:jc w:val="center"/>
              <w:rPr>
                <w:color w:val="000000"/>
                <w:sz w:val="24"/>
                <w:szCs w:val="24"/>
                <w:highlight w:val="none"/>
              </w:rPr>
            </w:pPr>
            <w:r>
              <w:rPr>
                <w:color w:val="000000"/>
                <w:sz w:val="24"/>
                <w:szCs w:val="24"/>
                <w:highlight w:val="none"/>
              </w:rPr>
              <w:drawing>
                <wp:inline distT="0" distB="0" distL="114300" distR="114300">
                  <wp:extent cx="1743075" cy="390525"/>
                  <wp:effectExtent l="0" t="0" r="0" b="508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5"/>
                          <a:stretch>
                            <a:fillRect/>
                          </a:stretch>
                        </pic:blipFill>
                        <pic:spPr>
                          <a:xfrm>
                            <a:off x="0" y="0"/>
                            <a:ext cx="1743075" cy="390525"/>
                          </a:xfrm>
                          <a:prstGeom prst="rect">
                            <a:avLst/>
                          </a:prstGeom>
                          <a:noFill/>
                          <a:ln>
                            <a:noFill/>
                          </a:ln>
                        </pic:spPr>
                      </pic:pic>
                    </a:graphicData>
                  </a:graphic>
                </wp:inline>
              </w:drawing>
            </w:r>
          </w:p>
          <w:p w14:paraId="137BFD35">
            <w:pPr>
              <w:widowControl w:val="0"/>
              <w:spacing w:line="360" w:lineRule="auto"/>
              <w:ind w:firstLine="480" w:firstLineChars="200"/>
              <w:rPr>
                <w:color w:val="000000"/>
                <w:sz w:val="24"/>
                <w:szCs w:val="24"/>
                <w:highlight w:val="none"/>
              </w:rPr>
            </w:pPr>
            <w:r>
              <w:rPr>
                <w:rFonts w:hint="eastAsia"/>
                <w:color w:val="000000"/>
                <w:sz w:val="24"/>
                <w:szCs w:val="24"/>
                <w:highlight w:val="none"/>
              </w:rPr>
              <w:t>计算出室外靠近围护结构处的声压级：</w:t>
            </w:r>
          </w:p>
          <w:p w14:paraId="51310A06">
            <w:pPr>
              <w:widowControl w:val="0"/>
              <w:spacing w:before="120" w:beforeLines="50" w:line="360" w:lineRule="auto"/>
              <w:jc w:val="center"/>
              <w:rPr>
                <w:color w:val="000000"/>
                <w:sz w:val="24"/>
                <w:szCs w:val="24"/>
                <w:highlight w:val="none"/>
              </w:rPr>
            </w:pPr>
            <w:r>
              <w:rPr>
                <w:color w:val="000000"/>
                <w:sz w:val="24"/>
                <w:szCs w:val="24"/>
                <w:highlight w:val="none"/>
              </w:rPr>
              <w:drawing>
                <wp:inline distT="0" distB="0" distL="114300" distR="114300">
                  <wp:extent cx="2085975" cy="247650"/>
                  <wp:effectExtent l="0" t="0" r="0" b="1206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6"/>
                          <a:stretch>
                            <a:fillRect/>
                          </a:stretch>
                        </pic:blipFill>
                        <pic:spPr>
                          <a:xfrm>
                            <a:off x="0" y="0"/>
                            <a:ext cx="2085975" cy="247650"/>
                          </a:xfrm>
                          <a:prstGeom prst="rect">
                            <a:avLst/>
                          </a:prstGeom>
                          <a:noFill/>
                          <a:ln>
                            <a:noFill/>
                          </a:ln>
                        </pic:spPr>
                      </pic:pic>
                    </a:graphicData>
                  </a:graphic>
                </wp:inline>
              </w:drawing>
            </w:r>
          </w:p>
          <w:p w14:paraId="48383B59">
            <w:pPr>
              <w:widowControl w:val="0"/>
              <w:spacing w:line="360" w:lineRule="auto"/>
              <w:ind w:firstLine="480" w:firstLineChars="200"/>
              <w:rPr>
                <w:color w:val="000000"/>
                <w:sz w:val="24"/>
                <w:szCs w:val="24"/>
                <w:highlight w:val="none"/>
              </w:rPr>
            </w:pPr>
            <w:r>
              <w:rPr>
                <w:rFonts w:hint="eastAsia"/>
                <w:color w:val="000000"/>
                <w:sz w:val="24"/>
                <w:szCs w:val="24"/>
                <w:highlight w:val="none"/>
              </w:rPr>
              <w:t>将室外声级</w:t>
            </w:r>
            <w:r>
              <w:rPr>
                <w:i/>
                <w:color w:val="000000"/>
                <w:sz w:val="24"/>
                <w:szCs w:val="24"/>
                <w:highlight w:val="none"/>
              </w:rPr>
              <w:t>Lp</w:t>
            </w:r>
            <w:r>
              <w:rPr>
                <w:i/>
                <w:color w:val="000000"/>
                <w:sz w:val="24"/>
                <w:szCs w:val="24"/>
                <w:highlight w:val="none"/>
                <w:vertAlign w:val="subscript"/>
              </w:rPr>
              <w:t>2</w:t>
            </w:r>
            <w:r>
              <w:rPr>
                <w:rFonts w:hint="eastAsia"/>
                <w:i/>
                <w:color w:val="000000"/>
                <w:sz w:val="24"/>
                <w:szCs w:val="24"/>
                <w:highlight w:val="none"/>
              </w:rPr>
              <w:t>（</w:t>
            </w:r>
            <w:r>
              <w:rPr>
                <w:i/>
                <w:color w:val="000000"/>
                <w:sz w:val="24"/>
                <w:szCs w:val="24"/>
                <w:highlight w:val="none"/>
              </w:rPr>
              <w:t>T</w:t>
            </w:r>
            <w:r>
              <w:rPr>
                <w:rFonts w:hint="eastAsia"/>
                <w:i/>
                <w:color w:val="000000"/>
                <w:sz w:val="24"/>
                <w:szCs w:val="24"/>
                <w:highlight w:val="none"/>
              </w:rPr>
              <w:t>）</w:t>
            </w:r>
            <w:r>
              <w:rPr>
                <w:rFonts w:hint="eastAsia"/>
                <w:color w:val="000000"/>
                <w:sz w:val="24"/>
                <w:szCs w:val="24"/>
                <w:highlight w:val="none"/>
              </w:rPr>
              <w:t>和透声面积换算成等效的室外声源，计算出等效声源倍频带的声功率级</w:t>
            </w:r>
            <w:r>
              <w:rPr>
                <w:color w:val="000000"/>
                <w:sz w:val="24"/>
                <w:szCs w:val="24"/>
                <w:highlight w:val="none"/>
              </w:rPr>
              <w:t>Lw</w:t>
            </w:r>
            <w:r>
              <w:rPr>
                <w:rFonts w:hint="eastAsia"/>
                <w:color w:val="000000"/>
                <w:sz w:val="24"/>
                <w:szCs w:val="24"/>
                <w:highlight w:val="none"/>
              </w:rPr>
              <w:t>：</w:t>
            </w:r>
          </w:p>
          <w:p w14:paraId="4F9457BF">
            <w:pPr>
              <w:widowControl w:val="0"/>
              <w:spacing w:before="120" w:beforeLines="50" w:line="360" w:lineRule="auto"/>
              <w:jc w:val="center"/>
              <w:rPr>
                <w:color w:val="000000"/>
                <w:sz w:val="24"/>
                <w:szCs w:val="24"/>
                <w:highlight w:val="none"/>
              </w:rPr>
            </w:pPr>
            <w:r>
              <w:rPr>
                <w:color w:val="000000"/>
                <w:sz w:val="24"/>
                <w:szCs w:val="24"/>
                <w:highlight w:val="none"/>
              </w:rPr>
              <w:drawing>
                <wp:inline distT="0" distB="0" distL="114300" distR="114300">
                  <wp:extent cx="1733550" cy="257175"/>
                  <wp:effectExtent l="0" t="0" r="381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7"/>
                          <a:stretch>
                            <a:fillRect/>
                          </a:stretch>
                        </pic:blipFill>
                        <pic:spPr>
                          <a:xfrm>
                            <a:off x="0" y="0"/>
                            <a:ext cx="1733550" cy="257175"/>
                          </a:xfrm>
                          <a:prstGeom prst="rect">
                            <a:avLst/>
                          </a:prstGeom>
                          <a:noFill/>
                          <a:ln>
                            <a:noFill/>
                          </a:ln>
                        </pic:spPr>
                      </pic:pic>
                    </a:graphicData>
                  </a:graphic>
                </wp:inline>
              </w:drawing>
            </w:r>
          </w:p>
          <w:p w14:paraId="6CD602EC">
            <w:pPr>
              <w:widowControl w:val="0"/>
              <w:spacing w:line="360" w:lineRule="auto"/>
              <w:rPr>
                <w:color w:val="000000"/>
                <w:sz w:val="24"/>
                <w:szCs w:val="24"/>
                <w:highlight w:val="none"/>
              </w:rPr>
            </w:pPr>
            <w:r>
              <w:rPr>
                <w:rFonts w:hint="eastAsia"/>
                <w:color w:val="000000"/>
                <w:sz w:val="24"/>
                <w:szCs w:val="24"/>
                <w:highlight w:val="none"/>
              </w:rPr>
              <w:t>式中：</w:t>
            </w:r>
            <w:r>
              <w:rPr>
                <w:color w:val="000000"/>
                <w:sz w:val="24"/>
                <w:szCs w:val="24"/>
                <w:highlight w:val="none"/>
              </w:rPr>
              <w:t>S—</w:t>
            </w:r>
            <w:r>
              <w:rPr>
                <w:rFonts w:hint="eastAsia"/>
                <w:color w:val="000000"/>
                <w:sz w:val="24"/>
                <w:szCs w:val="24"/>
                <w:highlight w:val="none"/>
              </w:rPr>
              <w:t>透声面积，</w:t>
            </w:r>
            <w:r>
              <w:rPr>
                <w:color w:val="000000"/>
                <w:sz w:val="24"/>
                <w:szCs w:val="24"/>
                <w:highlight w:val="none"/>
              </w:rPr>
              <w:t>m</w:t>
            </w:r>
            <w:r>
              <w:rPr>
                <w:color w:val="000000"/>
                <w:sz w:val="24"/>
                <w:szCs w:val="24"/>
                <w:highlight w:val="none"/>
                <w:vertAlign w:val="superscript"/>
              </w:rPr>
              <w:t>2</w:t>
            </w:r>
            <w:r>
              <w:rPr>
                <w:rFonts w:hint="eastAsia"/>
                <w:color w:val="000000"/>
                <w:sz w:val="24"/>
                <w:szCs w:val="24"/>
                <w:highlight w:val="none"/>
              </w:rPr>
              <w:t>。</w:t>
            </w:r>
          </w:p>
          <w:p w14:paraId="78E605E2">
            <w:pPr>
              <w:widowControl w:val="0"/>
              <w:spacing w:line="360" w:lineRule="auto"/>
              <w:ind w:firstLine="480" w:firstLineChars="200"/>
              <w:rPr>
                <w:color w:val="000000"/>
                <w:sz w:val="24"/>
                <w:szCs w:val="24"/>
                <w:highlight w:val="none"/>
              </w:rPr>
            </w:pPr>
            <w:r>
              <w:rPr>
                <w:rFonts w:hint="eastAsia"/>
                <w:color w:val="000000"/>
                <w:sz w:val="24"/>
                <w:szCs w:val="24"/>
                <w:highlight w:val="none"/>
              </w:rPr>
              <w:t>然后按室外声源预测方法计算预测点的</w:t>
            </w:r>
            <w:r>
              <w:rPr>
                <w:color w:val="000000"/>
                <w:sz w:val="24"/>
                <w:szCs w:val="24"/>
                <w:highlight w:val="none"/>
              </w:rPr>
              <w:t>A</w:t>
            </w:r>
            <w:r>
              <w:rPr>
                <w:rFonts w:hint="eastAsia"/>
                <w:color w:val="000000"/>
                <w:sz w:val="24"/>
                <w:szCs w:val="24"/>
                <w:highlight w:val="none"/>
              </w:rPr>
              <w:t>声级。</w:t>
            </w:r>
          </w:p>
          <w:p w14:paraId="40EF36D4">
            <w:pPr>
              <w:widowControl w:val="0"/>
              <w:spacing w:line="360" w:lineRule="auto"/>
              <w:ind w:firstLine="480" w:firstLineChars="200"/>
              <w:rPr>
                <w:color w:val="000000"/>
                <w:sz w:val="24"/>
                <w:szCs w:val="24"/>
                <w:highlight w:val="none"/>
              </w:rPr>
            </w:pPr>
            <w:r>
              <w:rPr>
                <w:rFonts w:hint="eastAsia"/>
                <w:color w:val="000000"/>
                <w:sz w:val="24"/>
                <w:szCs w:val="24"/>
                <w:highlight w:val="none"/>
              </w:rPr>
              <w:t>③计算噪声贡献值</w:t>
            </w:r>
          </w:p>
          <w:p w14:paraId="0BC99198">
            <w:pPr>
              <w:widowControl w:val="0"/>
              <w:spacing w:line="360" w:lineRule="auto"/>
              <w:ind w:firstLine="480" w:firstLineChars="200"/>
              <w:rPr>
                <w:color w:val="000000"/>
                <w:sz w:val="24"/>
                <w:szCs w:val="24"/>
                <w:highlight w:val="none"/>
              </w:rPr>
            </w:pPr>
            <w:r>
              <w:rPr>
                <w:rFonts w:hint="eastAsia"/>
                <w:color w:val="000000"/>
                <w:sz w:val="24"/>
                <w:szCs w:val="24"/>
                <w:highlight w:val="none"/>
              </w:rPr>
              <w:t>设第</w:t>
            </w:r>
            <w:r>
              <w:rPr>
                <w:color w:val="000000"/>
                <w:sz w:val="24"/>
                <w:szCs w:val="24"/>
                <w:highlight w:val="none"/>
              </w:rPr>
              <w:t>i</w:t>
            </w:r>
            <w:r>
              <w:rPr>
                <w:rFonts w:hint="eastAsia"/>
                <w:color w:val="000000"/>
                <w:sz w:val="24"/>
                <w:szCs w:val="24"/>
                <w:highlight w:val="none"/>
              </w:rPr>
              <w:t>个室外声源在预测点产生的</w:t>
            </w:r>
            <w:r>
              <w:rPr>
                <w:color w:val="000000"/>
                <w:sz w:val="24"/>
                <w:szCs w:val="24"/>
                <w:highlight w:val="none"/>
              </w:rPr>
              <w:t>A</w:t>
            </w:r>
            <w:r>
              <w:rPr>
                <w:rFonts w:hint="eastAsia"/>
                <w:color w:val="000000"/>
                <w:sz w:val="24"/>
                <w:szCs w:val="24"/>
                <w:highlight w:val="none"/>
              </w:rPr>
              <w:t>声级为</w:t>
            </w:r>
            <w:r>
              <w:rPr>
                <w:color w:val="000000"/>
                <w:sz w:val="24"/>
                <w:szCs w:val="24"/>
                <w:highlight w:val="none"/>
              </w:rPr>
              <w:t>LAi</w:t>
            </w:r>
            <w:r>
              <w:rPr>
                <w:rFonts w:hint="eastAsia"/>
                <w:color w:val="000000"/>
                <w:sz w:val="24"/>
                <w:szCs w:val="24"/>
                <w:highlight w:val="none"/>
              </w:rPr>
              <w:t>，在</w:t>
            </w:r>
            <w:r>
              <w:rPr>
                <w:color w:val="000000"/>
                <w:sz w:val="24"/>
                <w:szCs w:val="24"/>
                <w:highlight w:val="none"/>
              </w:rPr>
              <w:t>T</w:t>
            </w:r>
            <w:r>
              <w:rPr>
                <w:rFonts w:hint="eastAsia"/>
                <w:color w:val="000000"/>
                <w:sz w:val="24"/>
                <w:szCs w:val="24"/>
                <w:highlight w:val="none"/>
              </w:rPr>
              <w:t>时间内该声源工作时间为</w:t>
            </w:r>
            <w:r>
              <w:rPr>
                <w:color w:val="000000"/>
                <w:sz w:val="24"/>
                <w:szCs w:val="24"/>
                <w:highlight w:val="none"/>
              </w:rPr>
              <w:t>ti</w:t>
            </w:r>
            <w:r>
              <w:rPr>
                <w:rFonts w:hint="eastAsia"/>
                <w:color w:val="000000"/>
                <w:sz w:val="24"/>
                <w:szCs w:val="24"/>
                <w:highlight w:val="none"/>
              </w:rPr>
              <w:t>；第</w:t>
            </w:r>
            <w:r>
              <w:rPr>
                <w:color w:val="000000"/>
                <w:sz w:val="24"/>
                <w:szCs w:val="24"/>
                <w:highlight w:val="none"/>
              </w:rPr>
              <w:t>j</w:t>
            </w:r>
            <w:r>
              <w:rPr>
                <w:rFonts w:hint="eastAsia"/>
                <w:color w:val="000000"/>
                <w:sz w:val="24"/>
                <w:szCs w:val="24"/>
                <w:highlight w:val="none"/>
              </w:rPr>
              <w:t>个等效室外声源在预测点产生的</w:t>
            </w:r>
            <w:r>
              <w:rPr>
                <w:color w:val="000000"/>
                <w:sz w:val="24"/>
                <w:szCs w:val="24"/>
                <w:highlight w:val="none"/>
              </w:rPr>
              <w:t>A</w:t>
            </w:r>
            <w:r>
              <w:rPr>
                <w:rFonts w:hint="eastAsia"/>
                <w:color w:val="000000"/>
                <w:sz w:val="24"/>
                <w:szCs w:val="24"/>
                <w:highlight w:val="none"/>
              </w:rPr>
              <w:t>声级为</w:t>
            </w:r>
            <w:r>
              <w:rPr>
                <w:color w:val="000000"/>
                <w:sz w:val="24"/>
                <w:szCs w:val="24"/>
                <w:highlight w:val="none"/>
              </w:rPr>
              <w:t>LAj</w:t>
            </w:r>
            <w:r>
              <w:rPr>
                <w:rFonts w:hint="eastAsia"/>
                <w:color w:val="000000"/>
                <w:sz w:val="24"/>
                <w:szCs w:val="24"/>
                <w:highlight w:val="none"/>
              </w:rPr>
              <w:t>，在</w:t>
            </w:r>
            <w:r>
              <w:rPr>
                <w:color w:val="000000"/>
                <w:sz w:val="24"/>
                <w:szCs w:val="24"/>
                <w:highlight w:val="none"/>
              </w:rPr>
              <w:t>T</w:t>
            </w:r>
            <w:r>
              <w:rPr>
                <w:rFonts w:hint="eastAsia"/>
                <w:color w:val="000000"/>
                <w:sz w:val="24"/>
                <w:szCs w:val="24"/>
                <w:highlight w:val="none"/>
              </w:rPr>
              <w:t>时间内该声源工作时间为</w:t>
            </w:r>
            <w:r>
              <w:rPr>
                <w:color w:val="000000"/>
                <w:sz w:val="24"/>
                <w:szCs w:val="24"/>
                <w:highlight w:val="none"/>
              </w:rPr>
              <w:t>tj</w:t>
            </w:r>
            <w:r>
              <w:rPr>
                <w:rFonts w:hint="eastAsia"/>
                <w:color w:val="000000"/>
                <w:sz w:val="24"/>
                <w:szCs w:val="24"/>
                <w:highlight w:val="none"/>
              </w:rPr>
              <w:t>，则预测点产生的贡献值为：</w:t>
            </w:r>
          </w:p>
          <w:p w14:paraId="6A24FD2A">
            <w:pPr>
              <w:widowControl w:val="0"/>
              <w:spacing w:before="240" w:beforeLines="100" w:line="360" w:lineRule="auto"/>
              <w:jc w:val="center"/>
              <w:rPr>
                <w:color w:val="000000"/>
                <w:sz w:val="24"/>
                <w:szCs w:val="24"/>
                <w:highlight w:val="none"/>
              </w:rPr>
            </w:pPr>
            <w:r>
              <w:rPr>
                <w:color w:val="000000"/>
                <w:sz w:val="24"/>
                <w:szCs w:val="24"/>
                <w:highlight w:val="none"/>
              </w:rPr>
              <w:drawing>
                <wp:inline distT="0" distB="0" distL="114300" distR="114300">
                  <wp:extent cx="2295525" cy="381000"/>
                  <wp:effectExtent l="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8"/>
                          <a:stretch>
                            <a:fillRect/>
                          </a:stretch>
                        </pic:blipFill>
                        <pic:spPr>
                          <a:xfrm>
                            <a:off x="0" y="0"/>
                            <a:ext cx="2295525" cy="381000"/>
                          </a:xfrm>
                          <a:prstGeom prst="rect">
                            <a:avLst/>
                          </a:prstGeom>
                          <a:noFill/>
                          <a:ln>
                            <a:noFill/>
                          </a:ln>
                        </pic:spPr>
                      </pic:pic>
                    </a:graphicData>
                  </a:graphic>
                </wp:inline>
              </w:drawing>
            </w:r>
          </w:p>
          <w:p w14:paraId="5BD1F57F">
            <w:pPr>
              <w:widowControl w:val="0"/>
              <w:spacing w:line="360" w:lineRule="auto"/>
              <w:rPr>
                <w:color w:val="000000"/>
                <w:sz w:val="24"/>
                <w:szCs w:val="24"/>
                <w:highlight w:val="none"/>
              </w:rPr>
            </w:pPr>
            <w:r>
              <w:rPr>
                <w:rFonts w:hint="eastAsia"/>
                <w:color w:val="000000"/>
                <w:sz w:val="24"/>
                <w:szCs w:val="24"/>
                <w:highlight w:val="none"/>
              </w:rPr>
              <w:t>式中：</w:t>
            </w:r>
            <w:r>
              <w:rPr>
                <w:i/>
                <w:color w:val="000000"/>
                <w:sz w:val="24"/>
                <w:szCs w:val="24"/>
                <w:highlight w:val="none"/>
              </w:rPr>
              <w:t>T—</w:t>
            </w:r>
            <w:r>
              <w:rPr>
                <w:rFonts w:hint="eastAsia"/>
                <w:color w:val="000000"/>
                <w:sz w:val="24"/>
                <w:szCs w:val="24"/>
                <w:highlight w:val="none"/>
              </w:rPr>
              <w:t>计算等效声级的时间；</w:t>
            </w:r>
          </w:p>
          <w:p w14:paraId="1B4945D5">
            <w:pPr>
              <w:widowControl w:val="0"/>
              <w:spacing w:line="360" w:lineRule="auto"/>
              <w:ind w:firstLine="720" w:firstLineChars="300"/>
              <w:rPr>
                <w:color w:val="000000"/>
                <w:sz w:val="24"/>
                <w:szCs w:val="24"/>
                <w:highlight w:val="none"/>
              </w:rPr>
            </w:pPr>
            <w:r>
              <w:rPr>
                <w:i/>
                <w:color w:val="000000"/>
                <w:sz w:val="24"/>
                <w:szCs w:val="24"/>
                <w:highlight w:val="none"/>
              </w:rPr>
              <w:t>N—</w:t>
            </w:r>
            <w:r>
              <w:rPr>
                <w:rFonts w:hint="eastAsia"/>
                <w:color w:val="000000"/>
                <w:sz w:val="24"/>
                <w:szCs w:val="24"/>
                <w:highlight w:val="none"/>
              </w:rPr>
              <w:t>室外声源个数；</w:t>
            </w:r>
          </w:p>
          <w:p w14:paraId="149384C9">
            <w:pPr>
              <w:widowControl w:val="0"/>
              <w:spacing w:line="360" w:lineRule="auto"/>
              <w:ind w:firstLine="720" w:firstLineChars="300"/>
              <w:rPr>
                <w:color w:val="000000"/>
                <w:sz w:val="24"/>
                <w:szCs w:val="24"/>
                <w:highlight w:val="none"/>
              </w:rPr>
            </w:pPr>
            <w:r>
              <w:rPr>
                <w:i/>
                <w:color w:val="000000"/>
                <w:sz w:val="24"/>
                <w:szCs w:val="24"/>
                <w:highlight w:val="none"/>
              </w:rPr>
              <w:t>M—</w:t>
            </w:r>
            <w:r>
              <w:rPr>
                <w:rFonts w:hint="eastAsia"/>
                <w:color w:val="000000"/>
                <w:sz w:val="24"/>
                <w:szCs w:val="24"/>
                <w:highlight w:val="none"/>
              </w:rPr>
              <w:t>等效室外声源个数。</w:t>
            </w:r>
          </w:p>
          <w:p w14:paraId="0C3D2DC9">
            <w:pPr>
              <w:widowControl w:val="0"/>
              <w:spacing w:line="360" w:lineRule="auto"/>
              <w:ind w:firstLine="480" w:firstLineChars="200"/>
              <w:rPr>
                <w:color w:val="000000"/>
                <w:sz w:val="24"/>
                <w:szCs w:val="24"/>
                <w:highlight w:val="none"/>
              </w:rPr>
            </w:pPr>
            <w:r>
              <w:rPr>
                <w:rFonts w:hint="eastAsia"/>
                <w:color w:val="000000"/>
                <w:sz w:val="24"/>
                <w:szCs w:val="24"/>
                <w:highlight w:val="none"/>
              </w:rPr>
              <w:t>④预测值计算</w:t>
            </w:r>
          </w:p>
          <w:p w14:paraId="6E979A6E">
            <w:pPr>
              <w:widowControl w:val="0"/>
              <w:spacing w:line="360" w:lineRule="auto"/>
              <w:ind w:firstLine="480" w:firstLineChars="200"/>
              <w:rPr>
                <w:color w:val="000000"/>
                <w:sz w:val="24"/>
                <w:szCs w:val="24"/>
                <w:highlight w:val="none"/>
              </w:rPr>
            </w:pPr>
            <w:r>
              <w:rPr>
                <w:rFonts w:hint="eastAsia"/>
                <w:color w:val="000000"/>
                <w:sz w:val="24"/>
                <w:szCs w:val="24"/>
                <w:highlight w:val="none"/>
              </w:rPr>
              <w:t>预测点的预测等效声级（</w:t>
            </w:r>
            <w:r>
              <w:rPr>
                <w:color w:val="000000"/>
                <w:sz w:val="24"/>
                <w:szCs w:val="24"/>
                <w:highlight w:val="none"/>
              </w:rPr>
              <w:t>Leq</w:t>
            </w:r>
            <w:r>
              <w:rPr>
                <w:rFonts w:hint="eastAsia"/>
                <w:color w:val="000000"/>
                <w:sz w:val="24"/>
                <w:szCs w:val="24"/>
                <w:highlight w:val="none"/>
              </w:rPr>
              <w:t>）计算公式：</w:t>
            </w:r>
          </w:p>
          <w:p w14:paraId="7F0228F0">
            <w:pPr>
              <w:widowControl w:val="0"/>
              <w:spacing w:before="120" w:beforeLines="50" w:line="360" w:lineRule="auto"/>
              <w:jc w:val="center"/>
              <w:rPr>
                <w:color w:val="000000"/>
                <w:sz w:val="24"/>
                <w:szCs w:val="24"/>
                <w:highlight w:val="none"/>
              </w:rPr>
            </w:pPr>
            <w:r>
              <w:rPr>
                <w:color w:val="000000"/>
                <w:sz w:val="24"/>
                <w:szCs w:val="24"/>
                <w:highlight w:val="none"/>
              </w:rPr>
              <w:drawing>
                <wp:inline distT="0" distB="0" distL="114300" distR="114300">
                  <wp:extent cx="1971675" cy="295275"/>
                  <wp:effectExtent l="0" t="0" r="9525"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9"/>
                          <a:stretch>
                            <a:fillRect/>
                          </a:stretch>
                        </pic:blipFill>
                        <pic:spPr>
                          <a:xfrm>
                            <a:off x="0" y="0"/>
                            <a:ext cx="1971675" cy="295275"/>
                          </a:xfrm>
                          <a:prstGeom prst="rect">
                            <a:avLst/>
                          </a:prstGeom>
                          <a:noFill/>
                          <a:ln>
                            <a:noFill/>
                          </a:ln>
                        </pic:spPr>
                      </pic:pic>
                    </a:graphicData>
                  </a:graphic>
                </wp:inline>
              </w:drawing>
            </w:r>
          </w:p>
          <w:p w14:paraId="24AC42C3">
            <w:pPr>
              <w:widowControl w:val="0"/>
              <w:spacing w:line="360" w:lineRule="auto"/>
              <w:rPr>
                <w:color w:val="000000"/>
                <w:sz w:val="24"/>
                <w:szCs w:val="24"/>
                <w:highlight w:val="none"/>
              </w:rPr>
            </w:pPr>
            <w:r>
              <w:rPr>
                <w:rFonts w:hint="eastAsia"/>
                <w:color w:val="000000"/>
                <w:sz w:val="24"/>
                <w:szCs w:val="24"/>
                <w:highlight w:val="none"/>
              </w:rPr>
              <w:t>式中：</w:t>
            </w:r>
            <w:r>
              <w:rPr>
                <w:i/>
                <w:color w:val="000000"/>
                <w:sz w:val="24"/>
                <w:szCs w:val="24"/>
                <w:highlight w:val="none"/>
              </w:rPr>
              <w:t>Leqg</w:t>
            </w:r>
            <w:r>
              <w:rPr>
                <w:color w:val="000000"/>
                <w:sz w:val="24"/>
                <w:szCs w:val="24"/>
                <w:highlight w:val="none"/>
              </w:rPr>
              <w:t>—</w:t>
            </w:r>
            <w:r>
              <w:rPr>
                <w:rFonts w:hint="eastAsia"/>
                <w:color w:val="000000"/>
                <w:sz w:val="24"/>
                <w:szCs w:val="24"/>
                <w:highlight w:val="none"/>
              </w:rPr>
              <w:t>建设项目声源在预测点的等效声级贡献值，</w:t>
            </w:r>
            <w:r>
              <w:rPr>
                <w:color w:val="000000"/>
                <w:sz w:val="24"/>
                <w:szCs w:val="24"/>
                <w:highlight w:val="none"/>
              </w:rPr>
              <w:t>dB</w:t>
            </w:r>
            <w:r>
              <w:rPr>
                <w:rFonts w:hint="eastAsia"/>
                <w:color w:val="000000"/>
                <w:sz w:val="24"/>
                <w:szCs w:val="24"/>
                <w:highlight w:val="none"/>
              </w:rPr>
              <w:t>（</w:t>
            </w:r>
            <w:r>
              <w:rPr>
                <w:color w:val="000000"/>
                <w:sz w:val="24"/>
                <w:szCs w:val="24"/>
                <w:highlight w:val="none"/>
              </w:rPr>
              <w:t>A</w:t>
            </w:r>
            <w:r>
              <w:rPr>
                <w:rFonts w:hint="eastAsia"/>
                <w:color w:val="000000"/>
                <w:sz w:val="24"/>
                <w:szCs w:val="24"/>
                <w:highlight w:val="none"/>
              </w:rPr>
              <w:t>）；</w:t>
            </w:r>
          </w:p>
          <w:p w14:paraId="674DFE56">
            <w:pPr>
              <w:widowControl w:val="0"/>
              <w:spacing w:line="360" w:lineRule="auto"/>
              <w:ind w:firstLine="720" w:firstLineChars="300"/>
              <w:rPr>
                <w:color w:val="000000"/>
                <w:sz w:val="24"/>
                <w:szCs w:val="24"/>
                <w:highlight w:val="none"/>
              </w:rPr>
            </w:pPr>
            <w:r>
              <w:rPr>
                <w:i/>
                <w:color w:val="000000"/>
                <w:sz w:val="24"/>
                <w:szCs w:val="24"/>
                <w:highlight w:val="none"/>
              </w:rPr>
              <w:t>Leqb</w:t>
            </w:r>
            <w:r>
              <w:rPr>
                <w:color w:val="000000"/>
                <w:sz w:val="24"/>
                <w:szCs w:val="24"/>
                <w:highlight w:val="none"/>
              </w:rPr>
              <w:t>—</w:t>
            </w:r>
            <w:r>
              <w:rPr>
                <w:rFonts w:hint="eastAsia"/>
                <w:color w:val="000000"/>
                <w:sz w:val="24"/>
                <w:szCs w:val="24"/>
                <w:highlight w:val="none"/>
              </w:rPr>
              <w:t>预测点的背景值，</w:t>
            </w:r>
            <w:r>
              <w:rPr>
                <w:color w:val="000000"/>
                <w:sz w:val="24"/>
                <w:szCs w:val="24"/>
                <w:highlight w:val="none"/>
              </w:rPr>
              <w:t>dB</w:t>
            </w:r>
            <w:r>
              <w:rPr>
                <w:rFonts w:hint="eastAsia"/>
                <w:color w:val="000000"/>
                <w:sz w:val="24"/>
                <w:szCs w:val="24"/>
                <w:highlight w:val="none"/>
              </w:rPr>
              <w:t>（</w:t>
            </w:r>
            <w:r>
              <w:rPr>
                <w:color w:val="000000"/>
                <w:sz w:val="24"/>
                <w:szCs w:val="24"/>
                <w:highlight w:val="none"/>
              </w:rPr>
              <w:t>A</w:t>
            </w:r>
            <w:r>
              <w:rPr>
                <w:rFonts w:hint="eastAsia"/>
                <w:color w:val="000000"/>
                <w:sz w:val="24"/>
                <w:szCs w:val="24"/>
                <w:highlight w:val="none"/>
              </w:rPr>
              <w:t>）。</w:t>
            </w:r>
          </w:p>
          <w:p w14:paraId="4DE35665">
            <w:pPr>
              <w:widowControl w:val="0"/>
              <w:spacing w:line="360" w:lineRule="auto"/>
              <w:ind w:firstLine="720" w:firstLineChars="300"/>
              <w:rPr>
                <w:rFonts w:hint="eastAsia"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3</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预测结果</w:t>
            </w:r>
          </w:p>
          <w:p w14:paraId="6B8095D6">
            <w:pPr>
              <w:widowControl w:val="0"/>
              <w:spacing w:line="360" w:lineRule="auto"/>
              <w:ind w:firstLine="480" w:firstLineChars="200"/>
              <w:rPr>
                <w:color w:val="000000"/>
                <w:sz w:val="24"/>
                <w:szCs w:val="24"/>
                <w:highlight w:val="none"/>
              </w:rPr>
            </w:pPr>
            <w:r>
              <w:rPr>
                <w:rFonts w:hint="eastAsia"/>
                <w:color w:val="000000"/>
                <w:sz w:val="24"/>
                <w:szCs w:val="24"/>
                <w:highlight w:val="none"/>
              </w:rPr>
              <w:t>根据本项目主要噪声源的声学参数、声源分布及声源防治措施，对项目运行后的厂界噪声进行预测计算。</w:t>
            </w:r>
          </w:p>
          <w:p w14:paraId="289B0F4A">
            <w:pPr>
              <w:widowControl w:val="0"/>
              <w:spacing w:line="360" w:lineRule="auto"/>
              <w:jc w:val="center"/>
              <w:rPr>
                <w:b/>
                <w:color w:val="000000"/>
                <w:sz w:val="21"/>
                <w:szCs w:val="21"/>
                <w:highlight w:val="none"/>
              </w:rPr>
            </w:pPr>
            <w:r>
              <w:rPr>
                <w:rFonts w:hint="eastAsia"/>
                <w:b/>
                <w:color w:val="000000"/>
                <w:sz w:val="21"/>
                <w:szCs w:val="21"/>
                <w:highlight w:val="none"/>
              </w:rPr>
              <w:t>表</w:t>
            </w:r>
            <w:r>
              <w:rPr>
                <w:b/>
                <w:color w:val="000000"/>
                <w:sz w:val="21"/>
                <w:szCs w:val="21"/>
                <w:highlight w:val="none"/>
              </w:rPr>
              <w:t>4-</w:t>
            </w:r>
            <w:r>
              <w:rPr>
                <w:rFonts w:hint="eastAsia"/>
                <w:b/>
                <w:color w:val="000000"/>
                <w:sz w:val="21"/>
                <w:szCs w:val="21"/>
                <w:highlight w:val="none"/>
                <w:lang w:val="en-US" w:eastAsia="zh-CN"/>
              </w:rPr>
              <w:t xml:space="preserve">4 </w:t>
            </w:r>
            <w:r>
              <w:rPr>
                <w:b/>
                <w:color w:val="000000"/>
                <w:sz w:val="21"/>
                <w:szCs w:val="21"/>
                <w:highlight w:val="none"/>
              </w:rPr>
              <w:t xml:space="preserve">  </w:t>
            </w:r>
            <w:r>
              <w:rPr>
                <w:rFonts w:hint="eastAsia"/>
                <w:b/>
                <w:color w:val="000000"/>
                <w:sz w:val="21"/>
                <w:szCs w:val="21"/>
                <w:highlight w:val="none"/>
                <w:lang w:val="en-US" w:eastAsia="zh-CN"/>
              </w:rPr>
              <w:t>厂界</w:t>
            </w:r>
            <w:r>
              <w:rPr>
                <w:rFonts w:hint="eastAsia"/>
                <w:b/>
                <w:color w:val="000000"/>
                <w:sz w:val="21"/>
                <w:szCs w:val="21"/>
                <w:highlight w:val="none"/>
              </w:rPr>
              <w:t xml:space="preserve">噪声预测结果 </w:t>
            </w:r>
            <w:r>
              <w:rPr>
                <w:rFonts w:hint="eastAsia"/>
                <w:b/>
                <w:color w:val="000000"/>
                <w:sz w:val="21"/>
                <w:szCs w:val="21"/>
                <w:highlight w:val="none"/>
                <w:lang w:val="en-US" w:eastAsia="zh-CN"/>
              </w:rPr>
              <w:t xml:space="preserve"> </w:t>
            </w:r>
            <w:r>
              <w:rPr>
                <w:rFonts w:hint="eastAsia"/>
                <w:b/>
                <w:color w:val="000000"/>
                <w:sz w:val="21"/>
                <w:szCs w:val="21"/>
                <w:highlight w:val="none"/>
              </w:rPr>
              <w:t xml:space="preserve"> 单位：</w:t>
            </w:r>
            <w:r>
              <w:rPr>
                <w:b/>
                <w:color w:val="000000"/>
                <w:sz w:val="21"/>
                <w:szCs w:val="21"/>
                <w:highlight w:val="none"/>
              </w:rPr>
              <w:t>dB</w:t>
            </w:r>
            <w:r>
              <w:rPr>
                <w:rFonts w:hint="eastAsia"/>
                <w:b/>
                <w:color w:val="000000"/>
                <w:sz w:val="21"/>
                <w:szCs w:val="21"/>
                <w:highlight w:val="none"/>
              </w:rPr>
              <w:t>（</w:t>
            </w:r>
            <w:r>
              <w:rPr>
                <w:b/>
                <w:color w:val="000000"/>
                <w:sz w:val="21"/>
                <w:szCs w:val="21"/>
                <w:highlight w:val="none"/>
              </w:rPr>
              <w:t>A</w:t>
            </w:r>
            <w:r>
              <w:rPr>
                <w:rFonts w:hint="eastAsia"/>
                <w:b/>
                <w:color w:val="000000"/>
                <w:sz w:val="21"/>
                <w:szCs w:val="21"/>
                <w:highlight w:val="none"/>
              </w:rPr>
              <w:t>）</w:t>
            </w:r>
          </w:p>
          <w:tbl>
            <w:tblPr>
              <w:tblStyle w:val="19"/>
              <w:tblW w:w="7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4"/>
              <w:gridCol w:w="1497"/>
              <w:gridCol w:w="1252"/>
              <w:gridCol w:w="1254"/>
              <w:gridCol w:w="1254"/>
              <w:gridCol w:w="1254"/>
            </w:tblGrid>
            <w:tr w14:paraId="7E64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73" w:hRule="atLeast"/>
                <w:jc w:val="center"/>
              </w:trPr>
              <w:tc>
                <w:tcPr>
                  <w:tcW w:w="897" w:type="pct"/>
                  <w:tcBorders>
                    <w:tl2br w:val="nil"/>
                    <w:tr2bl w:val="nil"/>
                  </w:tcBorders>
                  <w:noWrap w:val="0"/>
                  <w:tcMar>
                    <w:top w:w="28" w:type="dxa"/>
                    <w:left w:w="28" w:type="dxa"/>
                    <w:bottom w:w="28" w:type="dxa"/>
                    <w:right w:w="28" w:type="dxa"/>
                  </w:tcMar>
                  <w:vAlign w:val="center"/>
                </w:tcPr>
                <w:p w14:paraId="3D77B080">
                  <w:pPr>
                    <w:widowControl w:val="0"/>
                    <w:adjustRightInd w:val="0"/>
                    <w:snapToGrid w:val="0"/>
                    <w:jc w:val="center"/>
                    <w:rPr>
                      <w:rFonts w:hint="eastAsia" w:eastAsia="宋体"/>
                      <w:color w:val="000000"/>
                      <w:sz w:val="21"/>
                      <w:szCs w:val="21"/>
                      <w:highlight w:val="none"/>
                      <w:lang w:eastAsia="zh-CN"/>
                    </w:rPr>
                  </w:pPr>
                  <w:r>
                    <w:rPr>
                      <w:rFonts w:hint="eastAsia"/>
                      <w:color w:val="000000"/>
                      <w:sz w:val="21"/>
                      <w:szCs w:val="21"/>
                      <w:highlight w:val="none"/>
                      <w:lang w:val="en-US" w:eastAsia="zh-CN"/>
                    </w:rPr>
                    <w:t>接收点</w:t>
                  </w:r>
                </w:p>
              </w:tc>
              <w:tc>
                <w:tcPr>
                  <w:tcW w:w="943" w:type="pct"/>
                  <w:tcBorders>
                    <w:tl2br w:val="nil"/>
                    <w:tr2bl w:val="nil"/>
                  </w:tcBorders>
                  <w:noWrap w:val="0"/>
                  <w:tcMar>
                    <w:top w:w="28" w:type="dxa"/>
                    <w:left w:w="28" w:type="dxa"/>
                    <w:bottom w:w="28" w:type="dxa"/>
                    <w:right w:w="28" w:type="dxa"/>
                  </w:tcMar>
                  <w:vAlign w:val="center"/>
                </w:tcPr>
                <w:p w14:paraId="5E9075A7">
                  <w:pPr>
                    <w:widowControl w:val="0"/>
                    <w:adjustRightInd w:val="0"/>
                    <w:snapToGrid w:val="0"/>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接收点高度（m）</w:t>
                  </w:r>
                </w:p>
              </w:tc>
              <w:tc>
                <w:tcPr>
                  <w:tcW w:w="788" w:type="pct"/>
                  <w:tcBorders>
                    <w:tl2br w:val="nil"/>
                    <w:tr2bl w:val="nil"/>
                  </w:tcBorders>
                  <w:noWrap w:val="0"/>
                  <w:tcMar>
                    <w:top w:w="28" w:type="dxa"/>
                    <w:left w:w="28" w:type="dxa"/>
                    <w:bottom w:w="28" w:type="dxa"/>
                    <w:right w:w="28" w:type="dxa"/>
                  </w:tcMar>
                  <w:vAlign w:val="center"/>
                </w:tcPr>
                <w:p w14:paraId="629687BC">
                  <w:pPr>
                    <w:widowControl w:val="0"/>
                    <w:adjustRightInd w:val="0"/>
                    <w:snapToGrid w:val="0"/>
                    <w:jc w:val="center"/>
                    <w:rPr>
                      <w:rFonts w:hint="eastAsia"/>
                      <w:color w:val="000000"/>
                      <w:sz w:val="21"/>
                      <w:szCs w:val="21"/>
                      <w:highlight w:val="none"/>
                      <w:lang w:val="en-US" w:eastAsia="zh-CN"/>
                    </w:rPr>
                  </w:pPr>
                  <w:r>
                    <w:rPr>
                      <w:rFonts w:hint="eastAsia"/>
                      <w:color w:val="000000"/>
                      <w:sz w:val="21"/>
                      <w:szCs w:val="21"/>
                      <w:highlight w:val="none"/>
                      <w:lang w:val="en-US" w:eastAsia="zh-CN"/>
                    </w:rPr>
                    <w:t>贡献值</w:t>
                  </w:r>
                </w:p>
              </w:tc>
              <w:tc>
                <w:tcPr>
                  <w:tcW w:w="790" w:type="pct"/>
                  <w:tcBorders>
                    <w:tl2br w:val="nil"/>
                    <w:tr2bl w:val="nil"/>
                  </w:tcBorders>
                  <w:noWrap w:val="0"/>
                  <w:tcMar>
                    <w:top w:w="28" w:type="dxa"/>
                    <w:left w:w="28" w:type="dxa"/>
                    <w:bottom w:w="28" w:type="dxa"/>
                    <w:right w:w="28" w:type="dxa"/>
                  </w:tcMar>
                  <w:vAlign w:val="center"/>
                </w:tcPr>
                <w:p w14:paraId="6163E9BB">
                  <w:pPr>
                    <w:widowControl w:val="0"/>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预测值</w:t>
                  </w:r>
                </w:p>
              </w:tc>
              <w:tc>
                <w:tcPr>
                  <w:tcW w:w="790" w:type="pct"/>
                  <w:tcBorders>
                    <w:tl2br w:val="nil"/>
                    <w:tr2bl w:val="nil"/>
                  </w:tcBorders>
                  <w:noWrap w:val="0"/>
                  <w:tcMar>
                    <w:top w:w="28" w:type="dxa"/>
                    <w:left w:w="28" w:type="dxa"/>
                    <w:bottom w:w="28" w:type="dxa"/>
                    <w:right w:w="28" w:type="dxa"/>
                  </w:tcMar>
                  <w:vAlign w:val="center"/>
                </w:tcPr>
                <w:p w14:paraId="2A6C6433">
                  <w:pPr>
                    <w:widowControl w:val="0"/>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背景值</w:t>
                  </w:r>
                </w:p>
              </w:tc>
              <w:tc>
                <w:tcPr>
                  <w:tcW w:w="790" w:type="pct"/>
                  <w:tcBorders>
                    <w:tl2br w:val="nil"/>
                    <w:tr2bl w:val="nil"/>
                  </w:tcBorders>
                  <w:noWrap w:val="0"/>
                  <w:tcMar>
                    <w:top w:w="28" w:type="dxa"/>
                    <w:left w:w="28" w:type="dxa"/>
                    <w:bottom w:w="28" w:type="dxa"/>
                    <w:right w:w="28" w:type="dxa"/>
                  </w:tcMar>
                  <w:vAlign w:val="center"/>
                </w:tcPr>
                <w:p w14:paraId="5DB2B4D8">
                  <w:pPr>
                    <w:widowControl w:val="0"/>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达标情况</w:t>
                  </w:r>
                </w:p>
              </w:tc>
            </w:tr>
            <w:tr w14:paraId="6095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1" w:hRule="atLeast"/>
                <w:jc w:val="center"/>
              </w:trPr>
              <w:tc>
                <w:tcPr>
                  <w:tcW w:w="897" w:type="pct"/>
                  <w:tcBorders>
                    <w:tl2br w:val="nil"/>
                    <w:tr2bl w:val="nil"/>
                  </w:tcBorders>
                  <w:noWrap w:val="0"/>
                  <w:tcMar>
                    <w:top w:w="28" w:type="dxa"/>
                    <w:left w:w="28" w:type="dxa"/>
                    <w:bottom w:w="28" w:type="dxa"/>
                    <w:right w:w="28" w:type="dxa"/>
                  </w:tcMar>
                  <w:vAlign w:val="center"/>
                </w:tcPr>
                <w:p w14:paraId="76E24CEC">
                  <w:pPr>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厂界北</w:t>
                  </w:r>
                </w:p>
              </w:tc>
              <w:tc>
                <w:tcPr>
                  <w:tcW w:w="943" w:type="pct"/>
                  <w:tcBorders>
                    <w:tl2br w:val="nil"/>
                    <w:tr2bl w:val="nil"/>
                  </w:tcBorders>
                  <w:noWrap w:val="0"/>
                  <w:tcMar>
                    <w:top w:w="28" w:type="dxa"/>
                    <w:left w:w="28" w:type="dxa"/>
                    <w:bottom w:w="28" w:type="dxa"/>
                    <w:right w:w="28" w:type="dxa"/>
                  </w:tcMar>
                  <w:vAlign w:val="center"/>
                </w:tcPr>
                <w:p w14:paraId="4483E1E5">
                  <w:pPr>
                    <w:jc w:val="center"/>
                    <w:rPr>
                      <w:rFonts w:hint="default"/>
                      <w:color w:val="000000"/>
                      <w:sz w:val="21"/>
                      <w:szCs w:val="21"/>
                      <w:highlight w:val="none"/>
                      <w:lang w:val="en-US" w:eastAsia="zh-CN"/>
                    </w:rPr>
                  </w:pPr>
                  <w:r>
                    <w:rPr>
                      <w:rFonts w:hint="eastAsia"/>
                      <w:color w:val="000000"/>
                      <w:sz w:val="21"/>
                      <w:szCs w:val="21"/>
                      <w:highlight w:val="none"/>
                      <w:lang w:val="en-US" w:eastAsia="zh-CN"/>
                    </w:rPr>
                    <w:t>1.2米</w:t>
                  </w:r>
                </w:p>
              </w:tc>
              <w:tc>
                <w:tcPr>
                  <w:tcW w:w="788" w:type="pct"/>
                  <w:tcBorders>
                    <w:tl2br w:val="nil"/>
                    <w:tr2bl w:val="nil"/>
                  </w:tcBorders>
                  <w:noWrap w:val="0"/>
                  <w:tcMar>
                    <w:top w:w="28" w:type="dxa"/>
                    <w:left w:w="28" w:type="dxa"/>
                    <w:bottom w:w="28" w:type="dxa"/>
                    <w:right w:w="28" w:type="dxa"/>
                  </w:tcMar>
                  <w:vAlign w:val="center"/>
                </w:tcPr>
                <w:p w14:paraId="5DE5781F">
                  <w:pPr>
                    <w:jc w:val="center"/>
                    <w:rPr>
                      <w:rFonts w:hint="default" w:eastAsia="宋体"/>
                      <w:color w:val="000000"/>
                      <w:sz w:val="21"/>
                      <w:szCs w:val="21"/>
                      <w:highlight w:val="none"/>
                      <w:lang w:val="en-US" w:eastAsia="zh-CN"/>
                    </w:rPr>
                  </w:pPr>
                  <w:r>
                    <w:rPr>
                      <w:rFonts w:hint="eastAsia"/>
                      <w:highlight w:val="none"/>
                      <w:lang w:val="en-US" w:eastAsia="zh-CN"/>
                    </w:rPr>
                    <w:t>44.32</w:t>
                  </w:r>
                </w:p>
              </w:tc>
              <w:tc>
                <w:tcPr>
                  <w:tcW w:w="790" w:type="pct"/>
                  <w:tcBorders>
                    <w:tl2br w:val="nil"/>
                    <w:tr2bl w:val="nil"/>
                  </w:tcBorders>
                  <w:noWrap w:val="0"/>
                  <w:tcMar>
                    <w:top w:w="28" w:type="dxa"/>
                    <w:left w:w="28" w:type="dxa"/>
                    <w:bottom w:w="28" w:type="dxa"/>
                    <w:right w:w="28" w:type="dxa"/>
                  </w:tcMar>
                  <w:vAlign w:val="center"/>
                </w:tcPr>
                <w:p w14:paraId="4BAD65CC">
                  <w:pPr>
                    <w:jc w:val="center"/>
                    <w:rPr>
                      <w:rFonts w:hint="default"/>
                      <w:highlight w:val="none"/>
                      <w:lang w:val="en-US" w:eastAsia="zh-CN"/>
                    </w:rPr>
                  </w:pPr>
                  <w:r>
                    <w:rPr>
                      <w:rFonts w:hint="eastAsia"/>
                      <w:highlight w:val="none"/>
                      <w:lang w:val="en-US" w:eastAsia="zh-CN"/>
                    </w:rPr>
                    <w:t>53.38</w:t>
                  </w:r>
                </w:p>
              </w:tc>
              <w:tc>
                <w:tcPr>
                  <w:tcW w:w="790" w:type="pct"/>
                  <w:tcBorders>
                    <w:tl2br w:val="nil"/>
                    <w:tr2bl w:val="nil"/>
                  </w:tcBorders>
                  <w:noWrap w:val="0"/>
                  <w:tcMar>
                    <w:top w:w="28" w:type="dxa"/>
                    <w:left w:w="28" w:type="dxa"/>
                    <w:bottom w:w="28" w:type="dxa"/>
                    <w:right w:w="28" w:type="dxa"/>
                  </w:tcMar>
                  <w:vAlign w:val="center"/>
                </w:tcPr>
                <w:p w14:paraId="1FEA6062">
                  <w:pPr>
                    <w:jc w:val="center"/>
                    <w:rPr>
                      <w:rFonts w:hint="default"/>
                      <w:highlight w:val="none"/>
                      <w:lang w:val="en-US" w:eastAsia="zh-CN"/>
                    </w:rPr>
                  </w:pPr>
                  <w:r>
                    <w:rPr>
                      <w:rFonts w:hint="eastAsia"/>
                      <w:highlight w:val="none"/>
                      <w:lang w:val="en-US" w:eastAsia="zh-CN"/>
                    </w:rPr>
                    <w:t>52.08</w:t>
                  </w:r>
                </w:p>
              </w:tc>
              <w:tc>
                <w:tcPr>
                  <w:tcW w:w="790" w:type="pct"/>
                  <w:tcBorders>
                    <w:tl2br w:val="nil"/>
                    <w:tr2bl w:val="nil"/>
                  </w:tcBorders>
                  <w:noWrap w:val="0"/>
                  <w:tcMar>
                    <w:top w:w="28" w:type="dxa"/>
                    <w:left w:w="28" w:type="dxa"/>
                    <w:bottom w:w="28" w:type="dxa"/>
                    <w:right w:w="28" w:type="dxa"/>
                  </w:tcMar>
                  <w:vAlign w:val="center"/>
                </w:tcPr>
                <w:p w14:paraId="244F5F70">
                  <w:pPr>
                    <w:jc w:val="center"/>
                    <w:rPr>
                      <w:rFonts w:hint="eastAsia"/>
                      <w:color w:val="000000"/>
                      <w:sz w:val="21"/>
                      <w:szCs w:val="21"/>
                      <w:highlight w:val="none"/>
                      <w:lang w:val="en-US" w:eastAsia="zh-CN"/>
                    </w:rPr>
                  </w:pPr>
                  <w:r>
                    <w:rPr>
                      <w:rFonts w:hint="eastAsia"/>
                      <w:color w:val="000000"/>
                      <w:sz w:val="21"/>
                      <w:szCs w:val="21"/>
                      <w:highlight w:val="none"/>
                      <w:lang w:val="en-US" w:eastAsia="zh-CN"/>
                    </w:rPr>
                    <w:t>达标</w:t>
                  </w:r>
                </w:p>
              </w:tc>
            </w:tr>
            <w:tr w14:paraId="221D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8" w:hRule="atLeast"/>
                <w:jc w:val="center"/>
              </w:trPr>
              <w:tc>
                <w:tcPr>
                  <w:tcW w:w="897" w:type="pct"/>
                  <w:tcBorders>
                    <w:tl2br w:val="nil"/>
                    <w:tr2bl w:val="nil"/>
                  </w:tcBorders>
                  <w:noWrap w:val="0"/>
                  <w:tcMar>
                    <w:top w:w="28" w:type="dxa"/>
                    <w:left w:w="28" w:type="dxa"/>
                    <w:bottom w:w="28" w:type="dxa"/>
                    <w:right w:w="28" w:type="dxa"/>
                  </w:tcMar>
                  <w:vAlign w:val="center"/>
                </w:tcPr>
                <w:p w14:paraId="659CBC8A">
                  <w:pPr>
                    <w:jc w:val="center"/>
                    <w:rPr>
                      <w:rFonts w:hint="default"/>
                      <w:color w:val="000000"/>
                      <w:sz w:val="21"/>
                      <w:szCs w:val="21"/>
                      <w:highlight w:val="none"/>
                      <w:lang w:val="en-US" w:eastAsia="zh-CN"/>
                    </w:rPr>
                  </w:pPr>
                  <w:r>
                    <w:rPr>
                      <w:rFonts w:hint="eastAsia"/>
                      <w:color w:val="000000"/>
                      <w:sz w:val="21"/>
                      <w:szCs w:val="21"/>
                      <w:highlight w:val="none"/>
                      <w:lang w:val="en-US" w:eastAsia="zh-CN"/>
                    </w:rPr>
                    <w:t>厂界南</w:t>
                  </w:r>
                </w:p>
              </w:tc>
              <w:tc>
                <w:tcPr>
                  <w:tcW w:w="943" w:type="pct"/>
                  <w:tcBorders>
                    <w:tl2br w:val="nil"/>
                    <w:tr2bl w:val="nil"/>
                  </w:tcBorders>
                  <w:noWrap w:val="0"/>
                  <w:tcMar>
                    <w:top w:w="28" w:type="dxa"/>
                    <w:left w:w="28" w:type="dxa"/>
                    <w:bottom w:w="28" w:type="dxa"/>
                    <w:right w:w="28" w:type="dxa"/>
                  </w:tcMar>
                  <w:vAlign w:val="center"/>
                </w:tcPr>
                <w:p w14:paraId="748887C5">
                  <w:pPr>
                    <w:jc w:val="center"/>
                    <w:rPr>
                      <w:rFonts w:hint="eastAsia"/>
                      <w:color w:val="000000"/>
                      <w:sz w:val="21"/>
                      <w:szCs w:val="21"/>
                      <w:highlight w:val="none"/>
                      <w:lang w:val="en-US" w:eastAsia="zh-CN"/>
                    </w:rPr>
                  </w:pPr>
                  <w:r>
                    <w:rPr>
                      <w:rFonts w:hint="eastAsia"/>
                      <w:color w:val="000000"/>
                      <w:sz w:val="21"/>
                      <w:szCs w:val="21"/>
                      <w:highlight w:val="none"/>
                      <w:lang w:val="en-US" w:eastAsia="zh-CN"/>
                    </w:rPr>
                    <w:t>1.2米</w:t>
                  </w:r>
                </w:p>
              </w:tc>
              <w:tc>
                <w:tcPr>
                  <w:tcW w:w="788" w:type="pct"/>
                  <w:tcBorders>
                    <w:tl2br w:val="nil"/>
                    <w:tr2bl w:val="nil"/>
                  </w:tcBorders>
                  <w:noWrap w:val="0"/>
                  <w:tcMar>
                    <w:top w:w="28" w:type="dxa"/>
                    <w:left w:w="28" w:type="dxa"/>
                    <w:bottom w:w="28" w:type="dxa"/>
                    <w:right w:w="28" w:type="dxa"/>
                  </w:tcMar>
                  <w:vAlign w:val="center"/>
                </w:tcPr>
                <w:p w14:paraId="4FFA49E9">
                  <w:pPr>
                    <w:jc w:val="center"/>
                    <w:rPr>
                      <w:rFonts w:hint="default"/>
                      <w:color w:val="000000"/>
                      <w:sz w:val="21"/>
                      <w:szCs w:val="21"/>
                      <w:highlight w:val="none"/>
                      <w:lang w:val="en-US" w:eastAsia="zh-CN"/>
                    </w:rPr>
                  </w:pPr>
                  <w:r>
                    <w:rPr>
                      <w:rFonts w:hint="eastAsia"/>
                      <w:color w:val="000000"/>
                      <w:sz w:val="21"/>
                      <w:szCs w:val="21"/>
                      <w:highlight w:val="none"/>
                      <w:lang w:val="en-US" w:eastAsia="zh-CN"/>
                    </w:rPr>
                    <w:t>44.34</w:t>
                  </w:r>
                </w:p>
              </w:tc>
              <w:tc>
                <w:tcPr>
                  <w:tcW w:w="790" w:type="pct"/>
                  <w:tcBorders>
                    <w:tl2br w:val="nil"/>
                    <w:tr2bl w:val="nil"/>
                  </w:tcBorders>
                  <w:noWrap w:val="0"/>
                  <w:tcMar>
                    <w:top w:w="28" w:type="dxa"/>
                    <w:left w:w="28" w:type="dxa"/>
                    <w:bottom w:w="28" w:type="dxa"/>
                    <w:right w:w="28" w:type="dxa"/>
                  </w:tcMar>
                  <w:vAlign w:val="center"/>
                </w:tcPr>
                <w:p w14:paraId="6CC9A20F">
                  <w:pPr>
                    <w:jc w:val="center"/>
                    <w:rPr>
                      <w:rFonts w:hint="default"/>
                      <w:color w:val="000000"/>
                      <w:sz w:val="21"/>
                      <w:szCs w:val="21"/>
                      <w:highlight w:val="none"/>
                      <w:lang w:val="en-US" w:eastAsia="zh-CN"/>
                    </w:rPr>
                  </w:pPr>
                  <w:r>
                    <w:rPr>
                      <w:rFonts w:hint="eastAsia"/>
                      <w:color w:val="000000"/>
                      <w:sz w:val="21"/>
                      <w:szCs w:val="21"/>
                      <w:highlight w:val="none"/>
                      <w:lang w:val="en-US" w:eastAsia="zh-CN"/>
                    </w:rPr>
                    <w:t>55.01</w:t>
                  </w:r>
                </w:p>
              </w:tc>
              <w:tc>
                <w:tcPr>
                  <w:tcW w:w="790" w:type="pct"/>
                  <w:tcBorders>
                    <w:tl2br w:val="nil"/>
                    <w:tr2bl w:val="nil"/>
                  </w:tcBorders>
                  <w:noWrap w:val="0"/>
                  <w:tcMar>
                    <w:top w:w="28" w:type="dxa"/>
                    <w:left w:w="28" w:type="dxa"/>
                    <w:bottom w:w="28" w:type="dxa"/>
                    <w:right w:w="28" w:type="dxa"/>
                  </w:tcMar>
                  <w:vAlign w:val="center"/>
                </w:tcPr>
                <w:p w14:paraId="4AA4DE9B">
                  <w:pPr>
                    <w:jc w:val="center"/>
                    <w:rPr>
                      <w:rFonts w:hint="default"/>
                      <w:color w:val="000000"/>
                      <w:sz w:val="21"/>
                      <w:szCs w:val="21"/>
                      <w:highlight w:val="none"/>
                      <w:lang w:val="en-US" w:eastAsia="zh-CN"/>
                    </w:rPr>
                  </w:pPr>
                  <w:r>
                    <w:rPr>
                      <w:rFonts w:hint="eastAsia"/>
                      <w:color w:val="000000"/>
                      <w:sz w:val="21"/>
                      <w:szCs w:val="21"/>
                      <w:highlight w:val="none"/>
                      <w:lang w:val="en-US" w:eastAsia="zh-CN"/>
                    </w:rPr>
                    <w:t>54.62</w:t>
                  </w:r>
                </w:p>
              </w:tc>
              <w:tc>
                <w:tcPr>
                  <w:tcW w:w="790" w:type="pct"/>
                  <w:tcBorders>
                    <w:tl2br w:val="nil"/>
                    <w:tr2bl w:val="nil"/>
                  </w:tcBorders>
                  <w:noWrap w:val="0"/>
                  <w:tcMar>
                    <w:top w:w="28" w:type="dxa"/>
                    <w:left w:w="28" w:type="dxa"/>
                    <w:bottom w:w="28" w:type="dxa"/>
                    <w:right w:w="28" w:type="dxa"/>
                  </w:tcMar>
                  <w:vAlign w:val="center"/>
                </w:tcPr>
                <w:p w14:paraId="45213D5C">
                  <w:pPr>
                    <w:jc w:val="center"/>
                    <w:rPr>
                      <w:rFonts w:hint="eastAsia"/>
                      <w:color w:val="000000"/>
                      <w:sz w:val="21"/>
                      <w:szCs w:val="21"/>
                      <w:highlight w:val="none"/>
                      <w:lang w:val="en-US" w:eastAsia="zh-CN"/>
                    </w:rPr>
                  </w:pPr>
                  <w:r>
                    <w:rPr>
                      <w:rFonts w:hint="eastAsia"/>
                      <w:color w:val="000000"/>
                      <w:sz w:val="21"/>
                      <w:szCs w:val="21"/>
                      <w:highlight w:val="none"/>
                      <w:lang w:val="en-US" w:eastAsia="zh-CN"/>
                    </w:rPr>
                    <w:t>达标</w:t>
                  </w:r>
                </w:p>
              </w:tc>
            </w:tr>
            <w:tr w14:paraId="5E3A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2" w:hRule="atLeast"/>
                <w:jc w:val="center"/>
              </w:trPr>
              <w:tc>
                <w:tcPr>
                  <w:tcW w:w="897" w:type="pct"/>
                  <w:tcBorders>
                    <w:tl2br w:val="nil"/>
                    <w:tr2bl w:val="nil"/>
                  </w:tcBorders>
                  <w:noWrap w:val="0"/>
                  <w:tcMar>
                    <w:top w:w="28" w:type="dxa"/>
                    <w:left w:w="28" w:type="dxa"/>
                    <w:bottom w:w="28" w:type="dxa"/>
                    <w:right w:w="28" w:type="dxa"/>
                  </w:tcMar>
                  <w:vAlign w:val="center"/>
                </w:tcPr>
                <w:p w14:paraId="28191313">
                  <w:pPr>
                    <w:jc w:val="center"/>
                    <w:rPr>
                      <w:rFonts w:hint="default"/>
                      <w:color w:val="000000"/>
                      <w:sz w:val="21"/>
                      <w:szCs w:val="21"/>
                      <w:highlight w:val="none"/>
                      <w:lang w:val="en-US" w:eastAsia="zh-CN"/>
                    </w:rPr>
                  </w:pPr>
                  <w:r>
                    <w:rPr>
                      <w:rFonts w:hint="eastAsia"/>
                      <w:color w:val="000000"/>
                      <w:sz w:val="21"/>
                      <w:szCs w:val="21"/>
                      <w:highlight w:val="none"/>
                      <w:lang w:val="en-US" w:eastAsia="zh-CN"/>
                    </w:rPr>
                    <w:t>厂界西</w:t>
                  </w:r>
                </w:p>
              </w:tc>
              <w:tc>
                <w:tcPr>
                  <w:tcW w:w="943" w:type="pct"/>
                  <w:tcBorders>
                    <w:tl2br w:val="nil"/>
                    <w:tr2bl w:val="nil"/>
                  </w:tcBorders>
                  <w:noWrap w:val="0"/>
                  <w:tcMar>
                    <w:top w:w="28" w:type="dxa"/>
                    <w:left w:w="28" w:type="dxa"/>
                    <w:bottom w:w="28" w:type="dxa"/>
                    <w:right w:w="28" w:type="dxa"/>
                  </w:tcMar>
                  <w:vAlign w:val="center"/>
                </w:tcPr>
                <w:p w14:paraId="5A0D3C61">
                  <w:pPr>
                    <w:jc w:val="center"/>
                    <w:rPr>
                      <w:rFonts w:hint="eastAsia"/>
                      <w:color w:val="000000"/>
                      <w:sz w:val="21"/>
                      <w:szCs w:val="21"/>
                      <w:highlight w:val="none"/>
                      <w:lang w:val="en-US" w:eastAsia="zh-CN"/>
                    </w:rPr>
                  </w:pPr>
                  <w:r>
                    <w:rPr>
                      <w:rFonts w:hint="eastAsia"/>
                      <w:color w:val="000000"/>
                      <w:sz w:val="21"/>
                      <w:szCs w:val="21"/>
                      <w:highlight w:val="none"/>
                      <w:lang w:val="en-US" w:eastAsia="zh-CN"/>
                    </w:rPr>
                    <w:t>1.2米</w:t>
                  </w:r>
                </w:p>
              </w:tc>
              <w:tc>
                <w:tcPr>
                  <w:tcW w:w="788" w:type="pct"/>
                  <w:tcBorders>
                    <w:tl2br w:val="nil"/>
                    <w:tr2bl w:val="nil"/>
                  </w:tcBorders>
                  <w:noWrap w:val="0"/>
                  <w:tcMar>
                    <w:top w:w="28" w:type="dxa"/>
                    <w:left w:w="28" w:type="dxa"/>
                    <w:bottom w:w="28" w:type="dxa"/>
                    <w:right w:w="28" w:type="dxa"/>
                  </w:tcMar>
                  <w:vAlign w:val="center"/>
                </w:tcPr>
                <w:p w14:paraId="3DEB8A09">
                  <w:pPr>
                    <w:jc w:val="center"/>
                    <w:rPr>
                      <w:rFonts w:hint="default"/>
                      <w:color w:val="000000"/>
                      <w:sz w:val="21"/>
                      <w:szCs w:val="21"/>
                      <w:highlight w:val="none"/>
                      <w:lang w:val="en-US" w:eastAsia="zh-CN"/>
                    </w:rPr>
                  </w:pPr>
                  <w:r>
                    <w:rPr>
                      <w:rFonts w:hint="eastAsia"/>
                      <w:color w:val="000000"/>
                      <w:sz w:val="21"/>
                      <w:szCs w:val="21"/>
                      <w:highlight w:val="none"/>
                      <w:lang w:val="en-US" w:eastAsia="zh-CN"/>
                    </w:rPr>
                    <w:t>37.44</w:t>
                  </w:r>
                </w:p>
              </w:tc>
              <w:tc>
                <w:tcPr>
                  <w:tcW w:w="790" w:type="pct"/>
                  <w:tcBorders>
                    <w:tl2br w:val="nil"/>
                    <w:tr2bl w:val="nil"/>
                  </w:tcBorders>
                  <w:noWrap w:val="0"/>
                  <w:tcMar>
                    <w:top w:w="28" w:type="dxa"/>
                    <w:left w:w="28" w:type="dxa"/>
                    <w:bottom w:w="28" w:type="dxa"/>
                    <w:right w:w="28" w:type="dxa"/>
                  </w:tcMar>
                  <w:vAlign w:val="center"/>
                </w:tcPr>
                <w:p w14:paraId="703EC5C8">
                  <w:pPr>
                    <w:jc w:val="center"/>
                    <w:rPr>
                      <w:rFonts w:hint="default"/>
                      <w:color w:val="000000"/>
                      <w:sz w:val="21"/>
                      <w:szCs w:val="21"/>
                      <w:highlight w:val="none"/>
                      <w:lang w:val="en-US" w:eastAsia="zh-CN"/>
                    </w:rPr>
                  </w:pPr>
                  <w:r>
                    <w:rPr>
                      <w:rFonts w:hint="eastAsia"/>
                      <w:color w:val="000000"/>
                      <w:sz w:val="21"/>
                      <w:szCs w:val="21"/>
                      <w:highlight w:val="none"/>
                      <w:lang w:val="en-US" w:eastAsia="zh-CN"/>
                    </w:rPr>
                    <w:t>55.88</w:t>
                  </w:r>
                </w:p>
              </w:tc>
              <w:tc>
                <w:tcPr>
                  <w:tcW w:w="790" w:type="pct"/>
                  <w:tcBorders>
                    <w:tl2br w:val="nil"/>
                    <w:tr2bl w:val="nil"/>
                  </w:tcBorders>
                  <w:noWrap w:val="0"/>
                  <w:tcMar>
                    <w:top w:w="28" w:type="dxa"/>
                    <w:left w:w="28" w:type="dxa"/>
                    <w:bottom w:w="28" w:type="dxa"/>
                    <w:right w:w="28" w:type="dxa"/>
                  </w:tcMar>
                  <w:vAlign w:val="center"/>
                </w:tcPr>
                <w:p w14:paraId="00F0E5A3">
                  <w:pPr>
                    <w:jc w:val="center"/>
                    <w:rPr>
                      <w:rFonts w:hint="default"/>
                      <w:color w:val="000000"/>
                      <w:sz w:val="21"/>
                      <w:szCs w:val="21"/>
                      <w:highlight w:val="none"/>
                      <w:lang w:val="en-US" w:eastAsia="zh-CN"/>
                    </w:rPr>
                  </w:pPr>
                  <w:r>
                    <w:rPr>
                      <w:rFonts w:hint="eastAsia"/>
                      <w:color w:val="000000"/>
                      <w:sz w:val="21"/>
                      <w:szCs w:val="21"/>
                      <w:highlight w:val="none"/>
                      <w:lang w:val="en-US" w:eastAsia="zh-CN"/>
                    </w:rPr>
                    <w:t>55.82</w:t>
                  </w:r>
                </w:p>
              </w:tc>
              <w:tc>
                <w:tcPr>
                  <w:tcW w:w="790" w:type="pct"/>
                  <w:tcBorders>
                    <w:tl2br w:val="nil"/>
                    <w:tr2bl w:val="nil"/>
                  </w:tcBorders>
                  <w:noWrap w:val="0"/>
                  <w:tcMar>
                    <w:top w:w="28" w:type="dxa"/>
                    <w:left w:w="28" w:type="dxa"/>
                    <w:bottom w:w="28" w:type="dxa"/>
                    <w:right w:w="28" w:type="dxa"/>
                  </w:tcMar>
                  <w:vAlign w:val="center"/>
                </w:tcPr>
                <w:p w14:paraId="3B231379">
                  <w:pPr>
                    <w:jc w:val="center"/>
                    <w:rPr>
                      <w:rFonts w:hint="eastAsia"/>
                      <w:color w:val="000000"/>
                      <w:sz w:val="21"/>
                      <w:szCs w:val="21"/>
                      <w:highlight w:val="none"/>
                      <w:lang w:val="en-US" w:eastAsia="zh-CN"/>
                    </w:rPr>
                  </w:pPr>
                  <w:r>
                    <w:rPr>
                      <w:rFonts w:hint="eastAsia"/>
                      <w:color w:val="000000"/>
                      <w:sz w:val="21"/>
                      <w:szCs w:val="21"/>
                      <w:highlight w:val="none"/>
                      <w:lang w:val="en-US" w:eastAsia="zh-CN"/>
                    </w:rPr>
                    <w:t>达标</w:t>
                  </w:r>
                </w:p>
              </w:tc>
            </w:tr>
            <w:tr w14:paraId="33C2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8" w:hRule="atLeast"/>
                <w:jc w:val="center"/>
              </w:trPr>
              <w:tc>
                <w:tcPr>
                  <w:tcW w:w="897" w:type="pct"/>
                  <w:tcBorders>
                    <w:tl2br w:val="nil"/>
                    <w:tr2bl w:val="nil"/>
                  </w:tcBorders>
                  <w:noWrap w:val="0"/>
                  <w:tcMar>
                    <w:top w:w="28" w:type="dxa"/>
                    <w:left w:w="28" w:type="dxa"/>
                    <w:bottom w:w="28" w:type="dxa"/>
                    <w:right w:w="28" w:type="dxa"/>
                  </w:tcMar>
                  <w:vAlign w:val="center"/>
                </w:tcPr>
                <w:p w14:paraId="78F8DBBE">
                  <w:pPr>
                    <w:jc w:val="center"/>
                    <w:rPr>
                      <w:rFonts w:hint="default"/>
                      <w:color w:val="000000"/>
                      <w:sz w:val="21"/>
                      <w:szCs w:val="21"/>
                      <w:highlight w:val="none"/>
                      <w:lang w:val="en-US" w:eastAsia="zh-CN"/>
                    </w:rPr>
                  </w:pPr>
                  <w:r>
                    <w:rPr>
                      <w:rFonts w:hint="eastAsia"/>
                      <w:color w:val="000000"/>
                      <w:sz w:val="21"/>
                      <w:szCs w:val="21"/>
                      <w:highlight w:val="none"/>
                      <w:lang w:val="en-US" w:eastAsia="zh-CN"/>
                    </w:rPr>
                    <w:t>厂界东</w:t>
                  </w:r>
                </w:p>
              </w:tc>
              <w:tc>
                <w:tcPr>
                  <w:tcW w:w="943" w:type="pct"/>
                  <w:tcBorders>
                    <w:tl2br w:val="nil"/>
                    <w:tr2bl w:val="nil"/>
                  </w:tcBorders>
                  <w:noWrap w:val="0"/>
                  <w:tcMar>
                    <w:top w:w="28" w:type="dxa"/>
                    <w:left w:w="28" w:type="dxa"/>
                    <w:bottom w:w="28" w:type="dxa"/>
                    <w:right w:w="28" w:type="dxa"/>
                  </w:tcMar>
                  <w:vAlign w:val="center"/>
                </w:tcPr>
                <w:p w14:paraId="3430E22F">
                  <w:pPr>
                    <w:jc w:val="center"/>
                    <w:rPr>
                      <w:rFonts w:hint="eastAsia"/>
                      <w:color w:val="000000"/>
                      <w:sz w:val="21"/>
                      <w:szCs w:val="21"/>
                      <w:highlight w:val="none"/>
                      <w:lang w:val="en-US" w:eastAsia="zh-CN"/>
                    </w:rPr>
                  </w:pPr>
                  <w:r>
                    <w:rPr>
                      <w:rFonts w:hint="eastAsia"/>
                      <w:color w:val="000000"/>
                      <w:sz w:val="21"/>
                      <w:szCs w:val="21"/>
                      <w:highlight w:val="none"/>
                      <w:lang w:val="en-US" w:eastAsia="zh-CN"/>
                    </w:rPr>
                    <w:t>1.2米</w:t>
                  </w:r>
                </w:p>
              </w:tc>
              <w:tc>
                <w:tcPr>
                  <w:tcW w:w="788" w:type="pct"/>
                  <w:tcBorders>
                    <w:tl2br w:val="nil"/>
                    <w:tr2bl w:val="nil"/>
                  </w:tcBorders>
                  <w:noWrap w:val="0"/>
                  <w:tcMar>
                    <w:top w:w="28" w:type="dxa"/>
                    <w:left w:w="28" w:type="dxa"/>
                    <w:bottom w:w="28" w:type="dxa"/>
                    <w:right w:w="28" w:type="dxa"/>
                  </w:tcMar>
                  <w:vAlign w:val="center"/>
                </w:tcPr>
                <w:p w14:paraId="6D116A6D">
                  <w:pPr>
                    <w:jc w:val="center"/>
                    <w:rPr>
                      <w:rFonts w:hint="default"/>
                      <w:color w:val="000000"/>
                      <w:sz w:val="21"/>
                      <w:szCs w:val="21"/>
                      <w:highlight w:val="none"/>
                      <w:lang w:val="en-US" w:eastAsia="zh-CN"/>
                    </w:rPr>
                  </w:pPr>
                  <w:r>
                    <w:rPr>
                      <w:rFonts w:hint="eastAsia"/>
                      <w:color w:val="000000"/>
                      <w:sz w:val="21"/>
                      <w:szCs w:val="21"/>
                      <w:highlight w:val="none"/>
                      <w:lang w:val="en-US" w:eastAsia="zh-CN"/>
                    </w:rPr>
                    <w:t>45.28</w:t>
                  </w:r>
                </w:p>
              </w:tc>
              <w:tc>
                <w:tcPr>
                  <w:tcW w:w="790" w:type="pct"/>
                  <w:tcBorders>
                    <w:tl2br w:val="nil"/>
                    <w:tr2bl w:val="nil"/>
                  </w:tcBorders>
                  <w:noWrap w:val="0"/>
                  <w:tcMar>
                    <w:top w:w="28" w:type="dxa"/>
                    <w:left w:w="28" w:type="dxa"/>
                    <w:bottom w:w="28" w:type="dxa"/>
                    <w:right w:w="28" w:type="dxa"/>
                  </w:tcMar>
                  <w:vAlign w:val="center"/>
                </w:tcPr>
                <w:p w14:paraId="15C616B7">
                  <w:pPr>
                    <w:jc w:val="center"/>
                    <w:rPr>
                      <w:rFonts w:hint="default"/>
                      <w:color w:val="000000"/>
                      <w:sz w:val="21"/>
                      <w:szCs w:val="21"/>
                      <w:highlight w:val="none"/>
                      <w:lang w:val="en-US" w:eastAsia="zh-CN"/>
                    </w:rPr>
                  </w:pPr>
                  <w:r>
                    <w:rPr>
                      <w:rFonts w:hint="eastAsia"/>
                      <w:color w:val="000000"/>
                      <w:sz w:val="21"/>
                      <w:szCs w:val="21"/>
                      <w:highlight w:val="none"/>
                      <w:lang w:val="en-US" w:eastAsia="zh-CN"/>
                    </w:rPr>
                    <w:t>52.29</w:t>
                  </w:r>
                </w:p>
              </w:tc>
              <w:tc>
                <w:tcPr>
                  <w:tcW w:w="790" w:type="pct"/>
                  <w:tcBorders>
                    <w:tl2br w:val="nil"/>
                    <w:tr2bl w:val="nil"/>
                  </w:tcBorders>
                  <w:noWrap w:val="0"/>
                  <w:tcMar>
                    <w:top w:w="28" w:type="dxa"/>
                    <w:left w:w="28" w:type="dxa"/>
                    <w:bottom w:w="28" w:type="dxa"/>
                    <w:right w:w="28" w:type="dxa"/>
                  </w:tcMar>
                  <w:vAlign w:val="center"/>
                </w:tcPr>
                <w:p w14:paraId="075F2B72">
                  <w:pPr>
                    <w:jc w:val="center"/>
                    <w:rPr>
                      <w:rFonts w:hint="default"/>
                      <w:color w:val="000000"/>
                      <w:sz w:val="21"/>
                      <w:szCs w:val="21"/>
                      <w:highlight w:val="none"/>
                      <w:lang w:val="en-US" w:eastAsia="zh-CN"/>
                    </w:rPr>
                  </w:pPr>
                  <w:r>
                    <w:rPr>
                      <w:rFonts w:hint="eastAsia"/>
                      <w:color w:val="000000"/>
                      <w:sz w:val="21"/>
                      <w:szCs w:val="21"/>
                      <w:highlight w:val="none"/>
                      <w:lang w:val="en-US" w:eastAsia="zh-CN"/>
                    </w:rPr>
                    <w:t>51.33</w:t>
                  </w:r>
                </w:p>
              </w:tc>
              <w:tc>
                <w:tcPr>
                  <w:tcW w:w="790" w:type="pct"/>
                  <w:tcBorders>
                    <w:tl2br w:val="nil"/>
                    <w:tr2bl w:val="nil"/>
                  </w:tcBorders>
                  <w:noWrap w:val="0"/>
                  <w:tcMar>
                    <w:top w:w="28" w:type="dxa"/>
                    <w:left w:w="28" w:type="dxa"/>
                    <w:bottom w:w="28" w:type="dxa"/>
                    <w:right w:w="28" w:type="dxa"/>
                  </w:tcMar>
                  <w:vAlign w:val="center"/>
                </w:tcPr>
                <w:p w14:paraId="51DC0691">
                  <w:pPr>
                    <w:jc w:val="center"/>
                    <w:rPr>
                      <w:rFonts w:hint="eastAsia"/>
                      <w:color w:val="000000"/>
                      <w:sz w:val="21"/>
                      <w:szCs w:val="21"/>
                      <w:highlight w:val="none"/>
                      <w:lang w:val="en-US" w:eastAsia="zh-CN"/>
                    </w:rPr>
                  </w:pPr>
                  <w:r>
                    <w:rPr>
                      <w:rFonts w:hint="eastAsia"/>
                      <w:color w:val="000000"/>
                      <w:sz w:val="21"/>
                      <w:szCs w:val="21"/>
                      <w:highlight w:val="none"/>
                      <w:lang w:val="en-US" w:eastAsia="zh-CN"/>
                    </w:rPr>
                    <w:t>达标</w:t>
                  </w:r>
                </w:p>
              </w:tc>
            </w:tr>
          </w:tbl>
          <w:p w14:paraId="0F45A8D0">
            <w:pPr>
              <w:widowControl w:val="0"/>
              <w:autoSpaceDE/>
              <w:autoSpaceDN/>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kern w:val="0"/>
                <w:sz w:val="24"/>
                <w:szCs w:val="24"/>
                <w:highlight w:val="none"/>
                <w:lang w:val="en-US" w:eastAsia="zh-CN"/>
              </w:rPr>
            </w:pPr>
            <w:r>
              <w:rPr>
                <w:rFonts w:hint="default" w:ascii="Times New Roman" w:hAnsi="Times New Roman" w:eastAsia="宋体" w:cs="Times New Roman"/>
                <w:color w:val="000000"/>
                <w:sz w:val="24"/>
                <w:szCs w:val="24"/>
                <w:highlight w:val="none"/>
              </w:rPr>
              <w:t>从上表预测结果中可以看出，本项目各噪声源在采取措施情况下</w:t>
            </w:r>
            <w:r>
              <w:rPr>
                <w:rFonts w:hint="default" w:ascii="Times New Roman" w:hAnsi="Times New Roman" w:eastAsia="宋体" w:cs="Times New Roman"/>
                <w:color w:val="000000"/>
                <w:sz w:val="24"/>
                <w:szCs w:val="24"/>
                <w:highlight w:val="none"/>
                <w:lang w:val="en-US" w:eastAsia="zh-CN"/>
              </w:rPr>
              <w:t>转载点</w:t>
            </w:r>
            <w:r>
              <w:rPr>
                <w:rFonts w:hint="default" w:ascii="Times New Roman" w:hAnsi="Times New Roman" w:eastAsia="宋体" w:cs="Times New Roman"/>
                <w:color w:val="000000"/>
                <w:sz w:val="24"/>
                <w:szCs w:val="24"/>
                <w:highlight w:val="none"/>
              </w:rPr>
              <w:t>厂界昼</w:t>
            </w:r>
            <w:r>
              <w:rPr>
                <w:rFonts w:hint="default" w:ascii="Times New Roman" w:hAnsi="Times New Roman" w:eastAsia="宋体" w:cs="Times New Roman"/>
                <w:color w:val="000000"/>
                <w:sz w:val="24"/>
                <w:szCs w:val="24"/>
                <w:highlight w:val="none"/>
                <w:lang w:val="en-US" w:eastAsia="zh-CN"/>
              </w:rPr>
              <w:t>间、夜间</w:t>
            </w:r>
            <w:r>
              <w:rPr>
                <w:rFonts w:hint="default" w:ascii="Times New Roman" w:hAnsi="Times New Roman" w:eastAsia="宋体" w:cs="Times New Roman"/>
                <w:color w:val="000000"/>
                <w:sz w:val="24"/>
                <w:szCs w:val="24"/>
                <w:highlight w:val="none"/>
              </w:rPr>
              <w:t>噪声预测值满足《工业企业厂界环境噪声排放标准》（GB12348-2008）</w:t>
            </w:r>
            <w:r>
              <w:rPr>
                <w:rFonts w:hint="default" w:ascii="Times New Roman" w:hAnsi="Times New Roman"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rPr>
              <w:t>类标准</w:t>
            </w:r>
            <w:r>
              <w:rPr>
                <w:rFonts w:hint="default" w:ascii="Times New Roman" w:hAnsi="Times New Roman" w:eastAsia="宋体" w:cs="Times New Roman"/>
                <w:b w:val="0"/>
                <w:bCs w:val="0"/>
                <w:color w:val="000000"/>
                <w:kern w:val="0"/>
                <w:sz w:val="24"/>
                <w:szCs w:val="24"/>
                <w:highlight w:val="none"/>
                <w:lang w:val="en-US" w:eastAsia="zh-CN"/>
              </w:rPr>
              <w:t>。</w:t>
            </w:r>
          </w:p>
          <w:p w14:paraId="48151403">
            <w:pPr>
              <w:pStyle w:val="13"/>
              <w:spacing w:after="0" w:line="360" w:lineRule="auto"/>
              <w:ind w:left="0" w:leftChars="0"/>
              <w:rPr>
                <w:b/>
                <w:bCs/>
                <w:sz w:val="24"/>
                <w:szCs w:val="32"/>
                <w:highlight w:val="none"/>
                <w:lang w:val="en-US"/>
              </w:rPr>
            </w:pPr>
            <w:r>
              <w:rPr>
                <w:rFonts w:hint="eastAsia"/>
                <w:b/>
                <w:bCs/>
                <w:sz w:val="24"/>
                <w:szCs w:val="32"/>
                <w:highlight w:val="none"/>
                <w:lang w:val="en-US" w:eastAsia="zh-CN"/>
              </w:rPr>
              <w:t>5.生态环境</w:t>
            </w:r>
            <w:r>
              <w:rPr>
                <w:rFonts w:hint="eastAsia"/>
                <w:b/>
                <w:bCs/>
                <w:sz w:val="24"/>
                <w:szCs w:val="32"/>
                <w:highlight w:val="none"/>
                <w:lang w:val="en-US"/>
              </w:rPr>
              <w:t>影响分析</w:t>
            </w:r>
          </w:p>
          <w:p w14:paraId="0DB414D0">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line="360" w:lineRule="auto"/>
              <w:ind w:firstLine="476" w:firstLineChars="200"/>
              <w:jc w:val="left"/>
              <w:textAlignment w:val="auto"/>
              <w:rPr>
                <w:rFonts w:hint="eastAsia" w:ascii="宋体" w:hAnsi="宋体" w:eastAsia="宋体" w:cs="宋体"/>
                <w:b/>
                <w:bCs/>
                <w:color w:val="000000"/>
                <w:kern w:val="0"/>
                <w:sz w:val="24"/>
                <w:szCs w:val="24"/>
                <w:highlight w:val="none"/>
                <w:lang w:val="en-US" w:eastAsia="zh-CN"/>
              </w:rPr>
            </w:pPr>
            <w:r>
              <w:rPr>
                <w:color w:val="000000"/>
                <w:spacing w:val="-1"/>
                <w:sz w:val="24"/>
                <w:szCs w:val="24"/>
                <w:highlight w:val="none"/>
              </w:rPr>
              <w:t>本项目为</w:t>
            </w:r>
            <w:r>
              <w:rPr>
                <w:rFonts w:hint="eastAsia"/>
                <w:color w:val="000000"/>
                <w:spacing w:val="-1"/>
                <w:sz w:val="24"/>
                <w:szCs w:val="24"/>
                <w:highlight w:val="none"/>
                <w:lang w:val="en-US" w:eastAsia="zh-CN"/>
              </w:rPr>
              <w:t>架空管线</w:t>
            </w:r>
            <w:r>
              <w:rPr>
                <w:color w:val="000000"/>
                <w:spacing w:val="-1"/>
                <w:sz w:val="24"/>
                <w:szCs w:val="24"/>
                <w:highlight w:val="none"/>
              </w:rPr>
              <w:t>项目，</w:t>
            </w:r>
            <w:r>
              <w:rPr>
                <w:rFonts w:hint="eastAsia" w:cs="Times New Roman"/>
                <w:bCs/>
                <w:sz w:val="24"/>
                <w:highlight w:val="none"/>
                <w:lang w:val="en-US" w:eastAsia="zh-CN"/>
              </w:rPr>
              <w:t>项目黄河水管道厂区外取水点已经预留接口，本项目建设直接接入接口，不涉及土方工程。本项目建设</w:t>
            </w:r>
            <w:r>
              <w:rPr>
                <w:rFonts w:hint="eastAsia" w:ascii="Times New Roman" w:hAnsi="Times New Roman" w:eastAsia="宋体" w:cs="Times New Roman"/>
                <w:bCs/>
                <w:sz w:val="24"/>
                <w:highlight w:val="none"/>
                <w:lang w:val="zh-CN" w:eastAsia="zh-CN"/>
              </w:rPr>
              <w:t>未涉及占用基本农田、生态公益林等保护目标，项目厂区内现状为</w:t>
            </w:r>
            <w:r>
              <w:rPr>
                <w:rFonts w:hint="eastAsia" w:cs="Times New Roman"/>
                <w:bCs/>
                <w:sz w:val="24"/>
                <w:highlight w:val="none"/>
                <w:lang w:val="en-US" w:eastAsia="zh-CN"/>
              </w:rPr>
              <w:t>碎石地面、硬化道路</w:t>
            </w:r>
            <w:r>
              <w:rPr>
                <w:rFonts w:hint="eastAsia" w:ascii="Times New Roman" w:hAnsi="Times New Roman" w:eastAsia="宋体" w:cs="Times New Roman"/>
                <w:bCs/>
                <w:sz w:val="24"/>
                <w:highlight w:val="none"/>
                <w:lang w:val="zh-CN" w:eastAsia="zh-CN"/>
              </w:rPr>
              <w:t>、空地、厂区外为裸露土壤，无保护植被</w:t>
            </w:r>
            <w:r>
              <w:rPr>
                <w:rFonts w:hint="eastAsia" w:cs="Times New Roman"/>
                <w:bCs/>
                <w:sz w:val="24"/>
                <w:highlight w:val="none"/>
                <w:lang w:val="zh-CN" w:eastAsia="zh-CN"/>
              </w:rPr>
              <w:t>。</w:t>
            </w:r>
            <w:r>
              <w:rPr>
                <w:rFonts w:hint="eastAsia" w:cs="Times New Roman"/>
                <w:bCs/>
                <w:sz w:val="24"/>
                <w:highlight w:val="none"/>
                <w:lang w:val="en-US" w:eastAsia="zh-CN"/>
              </w:rPr>
              <w:t>WRT甲烷气、清净废水管道位于厂界外，有绿化带存在，但由于管线单独设置墩柱，架空敷设直接接入鹏泰，因此项目运营期对生态环境的影响很小。</w:t>
            </w:r>
          </w:p>
          <w:p w14:paraId="732683D3">
            <w:pPr>
              <w:pStyle w:val="13"/>
              <w:spacing w:after="0" w:line="360" w:lineRule="auto"/>
              <w:ind w:left="0" w:leftChars="0"/>
              <w:rPr>
                <w:rFonts w:hint="default"/>
                <w:b/>
                <w:bCs/>
                <w:sz w:val="24"/>
                <w:szCs w:val="32"/>
                <w:highlight w:val="none"/>
                <w:lang w:val="en-US"/>
              </w:rPr>
            </w:pPr>
            <w:r>
              <w:rPr>
                <w:rFonts w:hint="eastAsia"/>
                <w:b/>
                <w:bCs/>
                <w:sz w:val="24"/>
                <w:szCs w:val="32"/>
                <w:highlight w:val="none"/>
                <w:lang w:val="en-US" w:eastAsia="zh-CN"/>
              </w:rPr>
              <w:t>6.环境风险分析</w:t>
            </w:r>
          </w:p>
          <w:p w14:paraId="27A5E9B2">
            <w:pPr>
              <w:spacing w:line="360" w:lineRule="auto"/>
              <w:ind w:firstLine="480" w:firstLineChars="200"/>
              <w:rPr>
                <w:rFonts w:hint="eastAsia"/>
                <w:sz w:val="24"/>
                <w:szCs w:val="32"/>
                <w:highlight w:val="none"/>
              </w:rPr>
            </w:pPr>
            <w:r>
              <w:rPr>
                <w:rFonts w:hint="eastAsia" w:ascii="Times New Roman" w:hAnsi="Times New Roman" w:eastAsia="宋体" w:cs="Times New Roman"/>
                <w:sz w:val="24"/>
                <w:szCs w:val="32"/>
                <w:highlight w:val="none"/>
                <w:lang w:val="en-US" w:eastAsia="zh-CN"/>
              </w:rPr>
              <w:t>根据</w:t>
            </w:r>
            <w:r>
              <w:rPr>
                <w:rFonts w:hint="eastAsia" w:cs="Times New Roman"/>
                <w:sz w:val="24"/>
                <w:szCs w:val="32"/>
                <w:highlight w:val="none"/>
                <w:lang w:val="en-US" w:eastAsia="zh-CN"/>
              </w:rPr>
              <w:t>环境风险专题，</w:t>
            </w:r>
            <w:r>
              <w:rPr>
                <w:rFonts w:hint="eastAsia" w:ascii="Times New Roman" w:hAnsi="Times New Roman" w:eastAsia="宋体" w:cs="Times New Roman"/>
                <w:sz w:val="24"/>
                <w:szCs w:val="32"/>
                <w:highlight w:val="none"/>
                <w:lang w:val="en-US" w:eastAsia="zh-CN"/>
              </w:rPr>
              <w:t>在落实本评价提出的各项环境风险防范措施后，</w:t>
            </w:r>
            <w:r>
              <w:rPr>
                <w:rFonts w:hint="eastAsia" w:cs="Times New Roman"/>
                <w:sz w:val="24"/>
                <w:szCs w:val="32"/>
                <w:highlight w:val="none"/>
                <w:lang w:val="en-US" w:eastAsia="zh-CN"/>
              </w:rPr>
              <w:t>项目的环境风险可防可控</w:t>
            </w:r>
            <w:r>
              <w:rPr>
                <w:rFonts w:hint="eastAsia" w:ascii="Times New Roman" w:hAnsi="Times New Roman" w:eastAsia="宋体" w:cs="Times New Roman"/>
                <w:sz w:val="24"/>
                <w:szCs w:val="32"/>
                <w:highlight w:val="none"/>
                <w:lang w:val="en-US" w:eastAsia="zh-CN"/>
              </w:rPr>
              <w:t>。</w:t>
            </w:r>
          </w:p>
        </w:tc>
      </w:tr>
      <w:tr w14:paraId="3A66E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456" w:type="dxa"/>
            <w:noWrap w:val="0"/>
            <w:vAlign w:val="center"/>
          </w:tcPr>
          <w:p w14:paraId="4FFA8304">
            <w:pPr>
              <w:pStyle w:val="18"/>
              <w:adjustRightInd w:val="0"/>
              <w:snapToGrid w:val="0"/>
              <w:spacing w:before="0" w:beforeAutospacing="0" w:after="0" w:afterAutospacing="0"/>
              <w:jc w:val="center"/>
              <w:rPr>
                <w:rFonts w:cs="宋体"/>
                <w:bCs/>
                <w:kern w:val="2"/>
                <w:sz w:val="21"/>
                <w:szCs w:val="21"/>
                <w:highlight w:val="none"/>
              </w:rPr>
            </w:pPr>
            <w:r>
              <w:rPr>
                <w:rFonts w:hint="eastAsia" w:cs="宋体"/>
                <w:bCs/>
                <w:kern w:val="2"/>
                <w:highlight w:val="none"/>
              </w:rPr>
              <w:t>选址选线环境合理性分析</w:t>
            </w:r>
          </w:p>
        </w:tc>
        <w:tc>
          <w:tcPr>
            <w:tcW w:w="8408" w:type="dxa"/>
            <w:noWrap w:val="0"/>
            <w:vAlign w:val="center"/>
          </w:tcPr>
          <w:p w14:paraId="3113FFAD">
            <w:pPr>
              <w:adjustRightInd w:val="0"/>
              <w:snapToGrid w:val="0"/>
              <w:spacing w:line="360" w:lineRule="auto"/>
              <w:ind w:firstLine="480" w:firstLineChars="200"/>
              <w:rPr>
                <w:rFonts w:hint="eastAsia"/>
                <w:color w:val="1900FF"/>
                <w:sz w:val="24"/>
                <w:szCs w:val="32"/>
                <w:highlight w:val="none"/>
              </w:rPr>
            </w:pPr>
            <w:r>
              <w:rPr>
                <w:rFonts w:hint="eastAsia"/>
                <w:sz w:val="24"/>
                <w:szCs w:val="32"/>
                <w:highlight w:val="none"/>
              </w:rPr>
              <w:t>本项目位于</w:t>
            </w:r>
            <w:r>
              <w:rPr>
                <w:rFonts w:hint="eastAsia" w:ascii="Times New Roman" w:hAnsi="Times New Roman" w:eastAsia="宋体" w:cs="Times New Roman"/>
                <w:bCs/>
                <w:sz w:val="24"/>
                <w:highlight w:val="none"/>
                <w:lang w:val="en-US" w:eastAsia="zh-CN"/>
              </w:rPr>
              <w:t>鄂尔多斯市杭锦旗独贵塔拉工业园区</w:t>
            </w:r>
            <w:r>
              <w:rPr>
                <w:rFonts w:hint="eastAsia" w:cs="Times New Roman"/>
                <w:bCs/>
                <w:sz w:val="24"/>
                <w:highlight w:val="none"/>
                <w:lang w:val="en-US" w:eastAsia="zh-CN"/>
              </w:rPr>
              <w:t>南项目区（又名</w:t>
            </w:r>
            <w:r>
              <w:rPr>
                <w:rFonts w:hint="eastAsia" w:ascii="Times New Roman" w:hAnsi="Times New Roman" w:eastAsia="宋体" w:cs="Times New Roman"/>
                <w:bCs/>
                <w:sz w:val="24"/>
                <w:highlight w:val="none"/>
                <w:lang w:val="en-US" w:eastAsia="zh-CN"/>
              </w:rPr>
              <w:t>锦泰精细化工园</w:t>
            </w: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内蒙古伊泰化工有限</w:t>
            </w:r>
            <w:r>
              <w:rPr>
                <w:rFonts w:hint="eastAsia" w:cs="Times New Roman"/>
                <w:bCs/>
                <w:sz w:val="24"/>
                <w:highlight w:val="none"/>
                <w:lang w:val="en-US" w:eastAsia="zh-CN"/>
              </w:rPr>
              <w:t>责任</w:t>
            </w:r>
            <w:r>
              <w:rPr>
                <w:rFonts w:hint="eastAsia" w:ascii="Times New Roman" w:hAnsi="Times New Roman" w:eastAsia="宋体" w:cs="Times New Roman"/>
                <w:bCs/>
                <w:sz w:val="24"/>
                <w:highlight w:val="none"/>
                <w:lang w:val="en-US" w:eastAsia="zh-CN"/>
              </w:rPr>
              <w:t>公司</w:t>
            </w:r>
            <w:r>
              <w:rPr>
                <w:rFonts w:hint="eastAsia"/>
                <w:sz w:val="24"/>
                <w:szCs w:val="32"/>
                <w:highlight w:val="none"/>
              </w:rPr>
              <w:t>，沿线不涉及自然遗迹、人文遗迹、自然保护区、风景名胜区、基本农田保护区、珍稀或濒危野生动植物生境、生态公益林用地等生态敏感目标。</w:t>
            </w:r>
          </w:p>
          <w:p w14:paraId="17BB5072">
            <w:pPr>
              <w:adjustRightInd w:val="0"/>
              <w:snapToGrid w:val="0"/>
              <w:spacing w:line="360" w:lineRule="auto"/>
              <w:ind w:firstLine="480" w:firstLineChars="200"/>
              <w:rPr>
                <w:rFonts w:hint="eastAsia" w:ascii="Times New Roman" w:hAnsi="Times New Roman" w:eastAsia="宋体" w:cs="Times New Roman"/>
                <w:sz w:val="24"/>
                <w:szCs w:val="32"/>
                <w:highlight w:val="none"/>
              </w:rPr>
            </w:pPr>
            <w:r>
              <w:rPr>
                <w:rFonts w:hint="eastAsia" w:ascii="Times New Roman" w:hAnsi="Times New Roman" w:eastAsia="宋体" w:cs="Times New Roman"/>
                <w:sz w:val="24"/>
                <w:szCs w:val="32"/>
                <w:highlight w:val="none"/>
              </w:rPr>
              <w:t>工程沿线均为工业用地或空地，项目沿线</w:t>
            </w:r>
            <w:r>
              <w:rPr>
                <w:rFonts w:hint="eastAsia" w:cs="Times New Roman"/>
                <w:sz w:val="24"/>
                <w:szCs w:val="32"/>
                <w:highlight w:val="none"/>
                <w:lang w:val="en-US" w:eastAsia="zh-CN"/>
              </w:rPr>
              <w:t>5</w:t>
            </w:r>
            <w:r>
              <w:rPr>
                <w:rFonts w:hint="eastAsia" w:ascii="Times New Roman" w:hAnsi="Times New Roman" w:eastAsia="宋体" w:cs="Times New Roman"/>
                <w:sz w:val="24"/>
                <w:szCs w:val="32"/>
                <w:highlight w:val="none"/>
              </w:rPr>
              <w:t>00m范围无敏感目标，项目建设不涉及环境敏感点，</w:t>
            </w:r>
            <w:r>
              <w:rPr>
                <w:rFonts w:hint="eastAsia" w:ascii="Times New Roman" w:hAnsi="Times New Roman" w:eastAsia="宋体" w:cs="Times New Roman"/>
                <w:sz w:val="24"/>
                <w:szCs w:val="32"/>
                <w:highlight w:val="none"/>
                <w:lang w:val="en-US" w:eastAsia="zh-CN"/>
              </w:rPr>
              <w:t>项目管道线路所经地属于工业园区规划区范围内，符合园区规划。选址位于伊泰化工厂区内</w:t>
            </w:r>
            <w:r>
              <w:rPr>
                <w:rFonts w:hint="eastAsia" w:cs="Times New Roman"/>
                <w:sz w:val="24"/>
                <w:szCs w:val="32"/>
                <w:highlight w:val="none"/>
                <w:lang w:val="en-US" w:eastAsia="zh-CN"/>
              </w:rPr>
              <w:t>及厂界外空地</w:t>
            </w:r>
            <w:r>
              <w:rPr>
                <w:rFonts w:hint="eastAsia" w:ascii="Times New Roman" w:hAnsi="Times New Roman" w:eastAsia="宋体" w:cs="Times New Roman"/>
                <w:sz w:val="24"/>
                <w:szCs w:val="32"/>
                <w:highlight w:val="none"/>
                <w:lang w:val="en-US" w:eastAsia="zh-CN"/>
              </w:rPr>
              <w:t>，紧挨鹏泰生物。方便两家公司的气体运输、施工和生产维护管理。</w:t>
            </w:r>
          </w:p>
          <w:p w14:paraId="3D85E52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32"/>
                <w:highlight w:val="none"/>
                <w:lang w:val="en-US" w:eastAsia="zh-CN"/>
              </w:rPr>
            </w:pPr>
            <w:r>
              <w:rPr>
                <w:rFonts w:hint="eastAsia" w:ascii="Times New Roman" w:hAnsi="Times New Roman" w:eastAsia="宋体" w:cs="Times New Roman"/>
                <w:sz w:val="24"/>
                <w:szCs w:val="32"/>
                <w:highlight w:val="none"/>
                <w:lang w:val="en-US" w:eastAsia="zh-CN"/>
              </w:rPr>
              <w:t>管线均采取架空敷设的方式，</w:t>
            </w:r>
            <w:r>
              <w:rPr>
                <w:rFonts w:hint="eastAsia" w:cs="Times New Roman"/>
                <w:bCs/>
                <w:sz w:val="24"/>
                <w:highlight w:val="none"/>
                <w:lang w:val="en-US" w:eastAsia="zh-CN"/>
              </w:rPr>
              <w:t>黄河水管道厂区外取水点已经预留接口，本项目建设直接接入接口，不涉及土方工程，对周边环境影响较小。</w:t>
            </w:r>
            <w:r>
              <w:rPr>
                <w:rFonts w:hint="eastAsia" w:cs="Times New Roman"/>
                <w:sz w:val="24"/>
                <w:highlight w:val="none"/>
                <w:lang w:val="en-US" w:eastAsia="zh-CN"/>
              </w:rPr>
              <w:t>本项目WRT甲烷气、清净废水管道位于厂区外，部分管道跨越厂区之间天然牧草地。如果</w:t>
            </w:r>
            <w:r>
              <w:rPr>
                <w:rFonts w:ascii="Segoe UI" w:hAnsi="Segoe UI" w:eastAsia="Segoe UI" w:cs="Segoe UI"/>
                <w:i w:val="0"/>
                <w:iCs w:val="0"/>
                <w:caps w:val="0"/>
                <w:color w:val="0F1115"/>
                <w:spacing w:val="0"/>
                <w:sz w:val="24"/>
                <w:szCs w:val="24"/>
                <w:highlight w:val="none"/>
                <w:shd w:val="clear" w:fill="FFFFFF"/>
              </w:rPr>
              <w:t>施工过程中对牧草造成局部损伤，应在施工结束后及时采取植被恢复措施，必要时进行草籽补播，</w:t>
            </w:r>
            <w:r>
              <w:rPr>
                <w:rFonts w:hint="eastAsia" w:ascii="Segoe UI" w:hAnsi="Segoe UI" w:eastAsia="宋体" w:cs="Segoe UI"/>
                <w:i w:val="0"/>
                <w:iCs w:val="0"/>
                <w:caps w:val="0"/>
                <w:color w:val="0F1115"/>
                <w:spacing w:val="0"/>
                <w:sz w:val="24"/>
                <w:szCs w:val="24"/>
                <w:highlight w:val="none"/>
                <w:shd w:val="clear" w:fill="FFFFFF"/>
                <w:lang w:eastAsia="zh-CN"/>
              </w:rPr>
              <w:t>以</w:t>
            </w:r>
            <w:r>
              <w:rPr>
                <w:rFonts w:ascii="Segoe UI" w:hAnsi="Segoe UI" w:eastAsia="Segoe UI" w:cs="Segoe UI"/>
                <w:i w:val="0"/>
                <w:iCs w:val="0"/>
                <w:caps w:val="0"/>
                <w:color w:val="0F1115"/>
                <w:spacing w:val="0"/>
                <w:sz w:val="24"/>
                <w:szCs w:val="24"/>
                <w:highlight w:val="none"/>
                <w:shd w:val="clear" w:fill="FFFFFF"/>
              </w:rPr>
              <w:t>促进植被自然恢复</w:t>
            </w:r>
            <w:r>
              <w:rPr>
                <w:rFonts w:hint="eastAsia" w:ascii="Segoe UI" w:hAnsi="Segoe UI" w:eastAsia="宋体" w:cs="Segoe UI"/>
                <w:i w:val="0"/>
                <w:iCs w:val="0"/>
                <w:caps w:val="0"/>
                <w:color w:val="0F1115"/>
                <w:spacing w:val="0"/>
                <w:sz w:val="24"/>
                <w:szCs w:val="24"/>
                <w:highlight w:val="none"/>
                <w:shd w:val="clear" w:fill="FFFFFF"/>
                <w:lang w:eastAsia="zh-CN"/>
              </w:rPr>
              <w:t>。</w:t>
            </w:r>
            <w:r>
              <w:rPr>
                <w:rFonts w:hint="eastAsia" w:ascii="Segoe UI" w:hAnsi="Segoe UI" w:eastAsia="宋体" w:cs="Segoe UI"/>
                <w:i w:val="0"/>
                <w:iCs w:val="0"/>
                <w:caps w:val="0"/>
                <w:color w:val="0F1115"/>
                <w:spacing w:val="0"/>
                <w:sz w:val="24"/>
                <w:szCs w:val="24"/>
                <w:highlight w:val="none"/>
                <w:shd w:val="clear" w:fill="FFFFFF"/>
                <w:lang w:val="en-US" w:eastAsia="zh-CN"/>
              </w:rPr>
              <w:t>总体来看周边</w:t>
            </w:r>
            <w:r>
              <w:rPr>
                <w:rFonts w:hint="eastAsia" w:ascii="Times New Roman" w:hAnsi="Times New Roman" w:eastAsia="宋体" w:cs="Times New Roman"/>
                <w:bCs/>
                <w:sz w:val="24"/>
                <w:highlight w:val="none"/>
                <w:lang w:val="zh-CN" w:eastAsia="zh-CN"/>
              </w:rPr>
              <w:t>环境不敏感</w:t>
            </w:r>
            <w:r>
              <w:rPr>
                <w:rFonts w:hint="eastAsia" w:cs="Times New Roman"/>
                <w:bCs/>
                <w:sz w:val="24"/>
                <w:highlight w:val="none"/>
                <w:lang w:val="zh-CN" w:eastAsia="zh-CN"/>
              </w:rPr>
              <w:t>，</w:t>
            </w:r>
            <w:r>
              <w:rPr>
                <w:rFonts w:hint="eastAsia" w:cs="Times New Roman"/>
                <w:bCs/>
                <w:sz w:val="24"/>
                <w:highlight w:val="none"/>
                <w:lang w:val="en-US" w:eastAsia="zh-CN"/>
              </w:rPr>
              <w:t>因此</w:t>
            </w:r>
            <w:r>
              <w:rPr>
                <w:rFonts w:hint="eastAsia" w:ascii="Times New Roman" w:hAnsi="Times New Roman" w:eastAsia="宋体" w:cs="Times New Roman"/>
                <w:bCs/>
                <w:sz w:val="24"/>
                <w:highlight w:val="none"/>
                <w:lang w:val="zh-CN" w:eastAsia="zh-CN"/>
              </w:rPr>
              <w:t>占地及施工对区域生态环境的影响很小。</w:t>
            </w:r>
            <w:r>
              <w:rPr>
                <w:rFonts w:hint="eastAsia" w:ascii="Times New Roman" w:hAnsi="Times New Roman" w:eastAsia="宋体" w:cs="Times New Roman"/>
                <w:sz w:val="24"/>
                <w:szCs w:val="32"/>
                <w:highlight w:val="none"/>
                <w:lang w:val="en-US" w:eastAsia="zh-CN"/>
              </w:rPr>
              <w:t>项目施工期</w:t>
            </w:r>
            <w:r>
              <w:rPr>
                <w:rFonts w:hint="eastAsia" w:cs="Times New Roman"/>
                <w:sz w:val="24"/>
                <w:szCs w:val="32"/>
                <w:highlight w:val="none"/>
                <w:lang w:val="en-US" w:eastAsia="zh-CN"/>
              </w:rPr>
              <w:t>应</w:t>
            </w:r>
            <w:r>
              <w:rPr>
                <w:rFonts w:hint="eastAsia" w:ascii="Times New Roman" w:hAnsi="Times New Roman" w:eastAsia="宋体" w:cs="Times New Roman"/>
                <w:sz w:val="24"/>
                <w:szCs w:val="32"/>
                <w:highlight w:val="none"/>
                <w:lang w:val="en-US" w:eastAsia="zh-CN"/>
              </w:rPr>
              <w:t>严格管理，尽量避免对自然环境和生态平衡的破坏，防止水土流失，保护自然景观，使管线布设和自然景观</w:t>
            </w:r>
            <w:r>
              <w:rPr>
                <w:rFonts w:hint="eastAsia" w:cs="Times New Roman"/>
                <w:sz w:val="24"/>
                <w:szCs w:val="32"/>
                <w:highlight w:val="none"/>
                <w:lang w:val="en-US" w:eastAsia="zh-CN"/>
              </w:rPr>
              <w:t>与</w:t>
            </w:r>
            <w:r>
              <w:rPr>
                <w:rFonts w:hint="eastAsia" w:ascii="Times New Roman" w:hAnsi="Times New Roman" w:eastAsia="宋体" w:cs="Times New Roman"/>
                <w:sz w:val="24"/>
                <w:szCs w:val="32"/>
                <w:highlight w:val="none"/>
                <w:lang w:val="en-US" w:eastAsia="zh-CN"/>
              </w:rPr>
              <w:t>城市生态相协调，不会对当地生态系统产生严重的影响。</w:t>
            </w:r>
          </w:p>
          <w:p w14:paraId="03EB76F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32"/>
                <w:highlight w:val="none"/>
              </w:rPr>
            </w:pPr>
            <w:r>
              <w:rPr>
                <w:rFonts w:hint="eastAsia" w:ascii="Times New Roman" w:hAnsi="Times New Roman" w:eastAsia="宋体" w:cs="Times New Roman"/>
                <w:sz w:val="24"/>
                <w:szCs w:val="32"/>
                <w:highlight w:val="none"/>
                <w:lang w:val="en-US" w:eastAsia="zh-CN"/>
              </w:rPr>
              <w:t>本项目管线线路</w:t>
            </w:r>
            <w:r>
              <w:rPr>
                <w:sz w:val="24"/>
                <w:highlight w:val="none"/>
              </w:rPr>
              <w:t>已于202</w:t>
            </w:r>
            <w:r>
              <w:rPr>
                <w:rFonts w:hint="eastAsia"/>
                <w:sz w:val="24"/>
                <w:highlight w:val="none"/>
              </w:rPr>
              <w:t>5</w:t>
            </w:r>
            <w:r>
              <w:rPr>
                <w:sz w:val="24"/>
                <w:highlight w:val="none"/>
              </w:rPr>
              <w:t>年</w:t>
            </w:r>
            <w:r>
              <w:rPr>
                <w:rFonts w:hint="eastAsia"/>
                <w:sz w:val="24"/>
                <w:highlight w:val="none"/>
                <w:lang w:val="en-US" w:eastAsia="zh-CN"/>
              </w:rPr>
              <w:t>8</w:t>
            </w:r>
            <w:r>
              <w:rPr>
                <w:sz w:val="24"/>
                <w:highlight w:val="none"/>
              </w:rPr>
              <w:t>月</w:t>
            </w:r>
            <w:r>
              <w:rPr>
                <w:rFonts w:hint="eastAsia"/>
                <w:sz w:val="24"/>
                <w:highlight w:val="none"/>
                <w:lang w:val="en-US" w:eastAsia="zh-CN"/>
              </w:rPr>
              <w:t>21</w:t>
            </w:r>
            <w:r>
              <w:rPr>
                <w:sz w:val="24"/>
                <w:highlight w:val="none"/>
              </w:rPr>
              <w:t>日在</w:t>
            </w:r>
            <w:r>
              <w:rPr>
                <w:rFonts w:hint="eastAsia"/>
                <w:sz w:val="24"/>
                <w:highlight w:val="none"/>
                <w:lang w:val="en-US" w:eastAsia="zh-CN"/>
              </w:rPr>
              <w:t>杭锦旗工信和科技局</w:t>
            </w:r>
            <w:r>
              <w:rPr>
                <w:sz w:val="24"/>
                <w:highlight w:val="none"/>
              </w:rPr>
              <w:t>备案，项目代码</w:t>
            </w:r>
            <w:r>
              <w:rPr>
                <w:rFonts w:hint="eastAsia"/>
                <w:sz w:val="24"/>
                <w:highlight w:val="none"/>
              </w:rPr>
              <w:t>2508-150625-07-02-100656</w:t>
            </w:r>
            <w:r>
              <w:rPr>
                <w:sz w:val="24"/>
                <w:highlight w:val="none"/>
              </w:rPr>
              <w:t>（见附件</w:t>
            </w:r>
            <w:r>
              <w:rPr>
                <w:rFonts w:hint="eastAsia"/>
                <w:sz w:val="24"/>
                <w:highlight w:val="none"/>
                <w:lang w:val="en-US" w:eastAsia="zh-CN"/>
              </w:rPr>
              <w:t>三</w:t>
            </w:r>
            <w:r>
              <w:rPr>
                <w:sz w:val="24"/>
                <w:highlight w:val="none"/>
              </w:rPr>
              <w:t>）</w:t>
            </w:r>
            <w:r>
              <w:rPr>
                <w:rFonts w:hint="eastAsia" w:ascii="Times New Roman" w:hAnsi="Times New Roman" w:eastAsia="宋体" w:cs="Times New Roman"/>
                <w:sz w:val="24"/>
                <w:szCs w:val="32"/>
                <w:highlight w:val="none"/>
              </w:rPr>
              <w:t>。</w:t>
            </w:r>
          </w:p>
          <w:p w14:paraId="7FD0514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cs="Times New Roman"/>
                <w:sz w:val="24"/>
                <w:szCs w:val="32"/>
                <w:highlight w:val="none"/>
                <w:lang w:val="en-US" w:eastAsia="zh-CN"/>
              </w:rPr>
            </w:pPr>
            <w:r>
              <w:rPr>
                <w:rFonts w:hint="eastAsia" w:cs="Times New Roman"/>
                <w:sz w:val="24"/>
                <w:szCs w:val="32"/>
                <w:highlight w:val="none"/>
                <w:lang w:val="en-US" w:eastAsia="zh-CN"/>
              </w:rPr>
              <w:t>2025年8月已取得《鄂尔多斯杭锦旗经济开发区管理委员会关于同意伊泰化工与鹏泰生物厂区之间地带建设物料输送管线管廊的函》。具体内容见（附件五）。</w:t>
            </w:r>
          </w:p>
          <w:p w14:paraId="352478D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default" w:cs="Times New Roman"/>
                <w:sz w:val="24"/>
                <w:szCs w:val="32"/>
                <w:highlight w:val="none"/>
                <w:lang w:val="en-US" w:eastAsia="zh-CN"/>
              </w:rPr>
            </w:pPr>
            <w:r>
              <w:rPr>
                <w:rFonts w:hint="eastAsia" w:cs="Times New Roman"/>
                <w:sz w:val="24"/>
                <w:szCs w:val="32"/>
                <w:highlight w:val="none"/>
                <w:lang w:val="en-US" w:eastAsia="zh-CN"/>
              </w:rPr>
              <w:t>2021年12月22日内蒙古自治区文物考古研究院以内文考基字〔2021〕261号文出具了《鄂尔多斯杭锦旗经济开发区项目文物核查报告》，具体内容见（附件七）。</w:t>
            </w:r>
          </w:p>
          <w:p w14:paraId="445EC71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sz w:val="24"/>
                <w:szCs w:val="32"/>
                <w:highlight w:val="none"/>
              </w:rPr>
            </w:pPr>
            <w:r>
              <w:rPr>
                <w:rFonts w:hint="eastAsia" w:ascii="Times New Roman" w:hAnsi="Times New Roman" w:eastAsia="宋体" w:cs="Times New Roman"/>
                <w:sz w:val="24"/>
                <w:szCs w:val="32"/>
                <w:highlight w:val="none"/>
              </w:rPr>
              <w:t>本项目建设主要影响要素为环境风险</w:t>
            </w:r>
            <w:r>
              <w:rPr>
                <w:rFonts w:hint="eastAsia"/>
                <w:sz w:val="24"/>
                <w:szCs w:val="32"/>
                <w:highlight w:val="none"/>
              </w:rPr>
              <w:t>，在落实各项环境风险防控措施后，本项目环境风险可防可控。</w:t>
            </w:r>
          </w:p>
          <w:p w14:paraId="21959CA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ascii="宋体" w:hAnsi="宋体" w:cs="宋体"/>
                <w:bCs/>
                <w:color w:val="0000FF"/>
                <w:szCs w:val="21"/>
                <w:highlight w:val="none"/>
              </w:rPr>
            </w:pPr>
            <w:r>
              <w:rPr>
                <w:rFonts w:hint="eastAsia"/>
                <w:sz w:val="24"/>
                <w:szCs w:val="32"/>
                <w:highlight w:val="none"/>
              </w:rPr>
              <w:t>综上分析，从环境影响角度分析，项目选址</w:t>
            </w:r>
            <w:r>
              <w:rPr>
                <w:rFonts w:hint="eastAsia"/>
                <w:sz w:val="24"/>
                <w:szCs w:val="32"/>
                <w:highlight w:val="none"/>
                <w:lang w:eastAsia="zh-CN"/>
              </w:rPr>
              <w:t>和</w:t>
            </w:r>
            <w:r>
              <w:rPr>
                <w:rFonts w:hint="eastAsia"/>
                <w:sz w:val="24"/>
                <w:szCs w:val="32"/>
                <w:highlight w:val="none"/>
              </w:rPr>
              <w:t>选线合理可行。</w:t>
            </w:r>
          </w:p>
        </w:tc>
      </w:tr>
    </w:tbl>
    <w:p w14:paraId="481F0770">
      <w:pPr>
        <w:pStyle w:val="18"/>
        <w:jc w:val="center"/>
        <w:rPr>
          <w:rFonts w:ascii="黑体" w:hAnsi="黑体" w:eastAsia="黑体"/>
          <w:snapToGrid w:val="0"/>
          <w:sz w:val="36"/>
          <w:szCs w:val="36"/>
          <w:highlight w:val="none"/>
        </w:rPr>
        <w:sectPr>
          <w:pgSz w:w="11906" w:h="16838"/>
          <w:pgMar w:top="1701" w:right="1701" w:bottom="1701" w:left="1701" w:header="851" w:footer="1077" w:gutter="0"/>
          <w:pgNumType w:fmt="decimal"/>
          <w:cols w:space="720" w:num="1"/>
          <w:docGrid w:linePitch="312" w:charSpace="0"/>
        </w:sectPr>
      </w:pPr>
    </w:p>
    <w:p w14:paraId="0CBE1AB4">
      <w:pPr>
        <w:pStyle w:val="18"/>
        <w:jc w:val="center"/>
        <w:outlineLvl w:val="0"/>
        <w:rPr>
          <w:rFonts w:ascii="黑体" w:hAnsi="黑体" w:eastAsia="黑体"/>
          <w:snapToGrid w:val="0"/>
          <w:sz w:val="30"/>
          <w:szCs w:val="30"/>
          <w:highlight w:val="none"/>
        </w:rPr>
      </w:pPr>
      <w:r>
        <w:rPr>
          <w:rFonts w:hint="eastAsia" w:ascii="黑体" w:hAnsi="黑体" w:eastAsia="黑体"/>
          <w:snapToGrid w:val="0"/>
          <w:sz w:val="30"/>
          <w:szCs w:val="30"/>
          <w:highlight w:val="none"/>
        </w:rPr>
        <w:t>五、主要生态环境保护措施</w:t>
      </w:r>
    </w:p>
    <w:tbl>
      <w:tblPr>
        <w:tblStyle w:val="19"/>
        <w:tblW w:w="87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032"/>
      </w:tblGrid>
      <w:tr w14:paraId="4EDC5F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noWrap w:val="0"/>
            <w:tcMar>
              <w:left w:w="28" w:type="dxa"/>
              <w:right w:w="28" w:type="dxa"/>
            </w:tcMar>
            <w:vAlign w:val="center"/>
          </w:tcPr>
          <w:p w14:paraId="08BA6848">
            <w:pPr>
              <w:adjustRightInd w:val="0"/>
              <w:snapToGrid w:val="0"/>
              <w:jc w:val="center"/>
              <w:rPr>
                <w:rFonts w:ascii="宋体" w:hAnsi="宋体"/>
                <w:bCs/>
                <w:szCs w:val="21"/>
                <w:highlight w:val="none"/>
              </w:rPr>
            </w:pPr>
            <w:r>
              <w:rPr>
                <w:rFonts w:hint="eastAsia" w:ascii="宋体" w:hAnsi="宋体" w:cs="宋体"/>
                <w:bCs/>
                <w:spacing w:val="10"/>
                <w:sz w:val="24"/>
                <w:highlight w:val="none"/>
              </w:rPr>
              <w:t>施工期生态环境保护措施</w:t>
            </w:r>
          </w:p>
        </w:tc>
        <w:tc>
          <w:tcPr>
            <w:tcW w:w="8032" w:type="dxa"/>
            <w:noWrap w:val="0"/>
            <w:vAlign w:val="center"/>
          </w:tcPr>
          <w:p w14:paraId="24571F86">
            <w:pPr>
              <w:adjustRightInd/>
              <w:snapToGrid/>
              <w:spacing w:after="0" w:line="360" w:lineRule="auto"/>
              <w:ind w:left="0" w:leftChars="0" w:firstLine="482" w:firstLineChars="200"/>
              <w:rPr>
                <w:rFonts w:hint="default"/>
                <w:b/>
                <w:bCs/>
                <w:sz w:val="24"/>
                <w:szCs w:val="32"/>
                <w:highlight w:val="none"/>
                <w:lang w:val="en-US"/>
              </w:rPr>
            </w:pPr>
            <w:r>
              <w:rPr>
                <w:rFonts w:hint="eastAsia"/>
                <w:b/>
                <w:bCs/>
                <w:sz w:val="24"/>
                <w:szCs w:val="32"/>
                <w:highlight w:val="none"/>
                <w:lang w:val="en-US" w:eastAsia="zh-CN"/>
              </w:rPr>
              <w:t>1.施工期大气环境保护措施</w:t>
            </w:r>
          </w:p>
          <w:p w14:paraId="0A7AC44B">
            <w:pPr>
              <w:adjustRightInd w:val="0"/>
              <w:snapToGrid w:val="0"/>
              <w:spacing w:line="360" w:lineRule="auto"/>
              <w:ind w:firstLine="480" w:firstLineChars="200"/>
              <w:rPr>
                <w:rFonts w:hint="eastAsia" w:ascii="Times New Roman" w:hAnsi="Times New Roman" w:eastAsia="宋体" w:cs="Times New Roman"/>
                <w:sz w:val="24"/>
                <w:szCs w:val="32"/>
                <w:highlight w:val="none"/>
              </w:rPr>
            </w:pPr>
            <w:r>
              <w:rPr>
                <w:rFonts w:hint="eastAsia" w:ascii="Times New Roman" w:hAnsi="Times New Roman" w:eastAsia="宋体" w:cs="Times New Roman"/>
                <w:sz w:val="24"/>
                <w:szCs w:val="32"/>
                <w:highlight w:val="none"/>
                <w:lang w:val="en-US" w:eastAsia="zh-CN"/>
              </w:rPr>
              <w:t>①运输车辆的尾气</w:t>
            </w:r>
          </w:p>
          <w:p w14:paraId="51CAE6AB">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本项目施工机械和运输车辆排放的大气</w:t>
            </w:r>
            <w:r>
              <w:rPr>
                <w:rFonts w:hint="eastAsia" w:cs="Times New Roman"/>
                <w:color w:val="000000"/>
                <w:sz w:val="24"/>
                <w:szCs w:val="24"/>
                <w:highlight w:val="none"/>
                <w:lang w:val="en-US" w:eastAsia="zh-CN"/>
              </w:rPr>
              <w:t>污染物</w:t>
            </w:r>
            <w:r>
              <w:rPr>
                <w:rFonts w:hint="default" w:ascii="Times New Roman" w:hAnsi="Times New Roman" w:eastAsia="宋体" w:cs="Times New Roman"/>
                <w:color w:val="000000"/>
                <w:sz w:val="24"/>
                <w:szCs w:val="24"/>
                <w:highlight w:val="none"/>
                <w:lang w:val="en-US" w:eastAsia="zh-CN"/>
              </w:rPr>
              <w:t>相对较少，对周边</w:t>
            </w:r>
            <w:r>
              <w:rPr>
                <w:rFonts w:hint="eastAsia" w:cs="Times New Roman"/>
                <w:color w:val="000000"/>
                <w:sz w:val="24"/>
                <w:szCs w:val="24"/>
                <w:highlight w:val="none"/>
                <w:lang w:val="en-US" w:eastAsia="zh-CN"/>
              </w:rPr>
              <w:t>环境</w:t>
            </w:r>
            <w:r>
              <w:rPr>
                <w:rFonts w:hint="default" w:ascii="Times New Roman" w:hAnsi="Times New Roman" w:eastAsia="宋体" w:cs="Times New Roman"/>
                <w:color w:val="000000"/>
                <w:sz w:val="24"/>
                <w:szCs w:val="24"/>
                <w:highlight w:val="none"/>
                <w:lang w:val="en-US" w:eastAsia="zh-CN"/>
              </w:rPr>
              <w:t>影响程度及范围较小，通过采取限制</w:t>
            </w:r>
            <w:r>
              <w:rPr>
                <w:rFonts w:hint="eastAsia" w:cs="Times New Roman"/>
                <w:color w:val="000000"/>
                <w:sz w:val="24"/>
                <w:szCs w:val="24"/>
                <w:highlight w:val="none"/>
                <w:lang w:val="en-US" w:eastAsia="zh-CN"/>
              </w:rPr>
              <w:t>超载</w:t>
            </w:r>
            <w:r>
              <w:rPr>
                <w:rFonts w:hint="default" w:ascii="Times New Roman" w:hAnsi="Times New Roman" w:eastAsia="宋体" w:cs="Times New Roman"/>
                <w:color w:val="000000"/>
                <w:sz w:val="24"/>
                <w:szCs w:val="24"/>
                <w:highlight w:val="none"/>
                <w:lang w:val="en-US" w:eastAsia="zh-CN"/>
              </w:rPr>
              <w:t>、限制超速等措施，现场施工机械和人员活动范围严格限在作业带范围内，尽量减少施工破坏面</w:t>
            </w:r>
            <w:r>
              <w:rPr>
                <w:rFonts w:hint="eastAsia" w:cs="Times New Roman"/>
                <w:color w:val="000000"/>
                <w:sz w:val="24"/>
                <w:szCs w:val="24"/>
                <w:highlight w:val="none"/>
                <w:lang w:val="en-US" w:eastAsia="zh-CN"/>
              </w:rPr>
              <w:t>，避免大风天气作业，</w:t>
            </w:r>
            <w:r>
              <w:rPr>
                <w:rFonts w:hint="default" w:ascii="Times New Roman" w:hAnsi="Times New Roman" w:eastAsia="宋体" w:cs="Times New Roman"/>
                <w:color w:val="000000"/>
                <w:sz w:val="24"/>
                <w:szCs w:val="24"/>
                <w:highlight w:val="none"/>
                <w:lang w:val="en-US" w:eastAsia="zh-CN"/>
              </w:rPr>
              <w:t>可以大大降低运输车辆及施工机械尾气对周围环境的影响。</w:t>
            </w:r>
            <w:r>
              <w:rPr>
                <w:rFonts w:hint="eastAsia" w:ascii="Times New Roman" w:hAnsi="Times New Roman" w:eastAsia="宋体" w:cs="Times New Roman"/>
                <w:sz w:val="24"/>
                <w:szCs w:val="32"/>
                <w:highlight w:val="none"/>
                <w:lang w:val="en-US" w:eastAsia="zh-CN"/>
              </w:rPr>
              <w:t>车辆在开阔的地段运输，运输并不是连续运输，有利于车辆尾气的扩散，</w:t>
            </w:r>
            <w:r>
              <w:rPr>
                <w:rFonts w:hint="default" w:ascii="Times New Roman" w:hAnsi="Times New Roman" w:eastAsia="宋体" w:cs="Times New Roman"/>
                <w:color w:val="000000"/>
                <w:sz w:val="24"/>
                <w:szCs w:val="24"/>
                <w:highlight w:val="none"/>
                <w:lang w:val="en-US" w:eastAsia="zh-CN"/>
              </w:rPr>
              <w:t>因此运输车辆所排放的尾气对周围环境影响较小。</w:t>
            </w:r>
          </w:p>
          <w:p w14:paraId="317B5193">
            <w:pPr>
              <w:adjustRightInd w:val="0"/>
              <w:snapToGrid w:val="0"/>
              <w:spacing w:line="360" w:lineRule="auto"/>
              <w:ind w:firstLine="480" w:firstLineChars="200"/>
              <w:rPr>
                <w:rFonts w:hint="eastAsia" w:ascii="Times New Roman" w:hAnsi="Times New Roman" w:eastAsia="宋体" w:cs="Times New Roman"/>
                <w:sz w:val="24"/>
                <w:szCs w:val="32"/>
                <w:highlight w:val="none"/>
                <w:lang w:val="en-US" w:eastAsia="zh-CN"/>
              </w:rPr>
            </w:pPr>
            <w:r>
              <w:rPr>
                <w:rFonts w:hint="eastAsia" w:ascii="Times New Roman" w:hAnsi="Times New Roman" w:eastAsia="宋体" w:cs="Times New Roman"/>
                <w:sz w:val="24"/>
                <w:szCs w:val="32"/>
                <w:highlight w:val="none"/>
                <w:lang w:val="en-US" w:eastAsia="zh-CN"/>
              </w:rPr>
              <w:t>②扬尘</w:t>
            </w:r>
          </w:p>
          <w:p w14:paraId="1055A19D">
            <w:pPr>
              <w:adjustRightInd w:val="0"/>
              <w:snapToGrid w:val="0"/>
              <w:spacing w:line="360" w:lineRule="auto"/>
              <w:ind w:firstLine="480" w:firstLineChars="200"/>
              <w:rPr>
                <w:rFonts w:hint="eastAsia" w:ascii="Times New Roman" w:hAnsi="Times New Roman" w:eastAsia="宋体" w:cs="Times New Roman"/>
                <w:sz w:val="24"/>
                <w:szCs w:val="32"/>
                <w:highlight w:val="none"/>
                <w:lang w:val="en-US" w:eastAsia="zh-CN"/>
              </w:rPr>
            </w:pPr>
            <w:r>
              <w:rPr>
                <w:rFonts w:hint="eastAsia" w:cs="Times New Roman"/>
                <w:sz w:val="24"/>
                <w:szCs w:val="32"/>
                <w:highlight w:val="none"/>
                <w:lang w:val="en-US" w:eastAsia="zh-CN"/>
              </w:rPr>
              <w:t>本项目在</w:t>
            </w:r>
            <w:r>
              <w:rPr>
                <w:rFonts w:hint="eastAsia" w:ascii="Times New Roman" w:hAnsi="Times New Roman" w:eastAsia="宋体" w:cs="Times New Roman"/>
                <w:sz w:val="24"/>
                <w:szCs w:val="32"/>
                <w:highlight w:val="none"/>
                <w:lang w:val="en-US" w:eastAsia="zh-CN"/>
              </w:rPr>
              <w:t>施工过程中扬尘量甚微，</w:t>
            </w:r>
            <w:r>
              <w:rPr>
                <w:rFonts w:hint="eastAsia" w:cs="Times New Roman"/>
                <w:sz w:val="24"/>
                <w:szCs w:val="32"/>
                <w:highlight w:val="none"/>
                <w:lang w:val="en-US" w:eastAsia="zh-CN"/>
              </w:rPr>
              <w:t>项目管线均为架空敷设，黄河水管线在厂区</w:t>
            </w:r>
            <w:r>
              <w:rPr>
                <w:rFonts w:hint="default" w:ascii="Times New Roman" w:hAnsi="Times New Roman" w:eastAsia="宋体" w:cs="Times New Roman"/>
                <w:bCs/>
                <w:sz w:val="24"/>
                <w:highlight w:val="none"/>
                <w:lang w:val="en-US" w:eastAsia="zh-CN"/>
              </w:rPr>
              <w:t>外埋地管线处</w:t>
            </w:r>
            <w:r>
              <w:rPr>
                <w:rFonts w:hint="eastAsia" w:cs="Times New Roman"/>
                <w:sz w:val="24"/>
                <w:szCs w:val="32"/>
                <w:highlight w:val="none"/>
                <w:lang w:val="en-US" w:eastAsia="zh-CN"/>
              </w:rPr>
              <w:t>已经预留接口，不涉及管沟开挖。外</w:t>
            </w:r>
            <w:r>
              <w:rPr>
                <w:rFonts w:hint="eastAsia" w:ascii="Times New Roman" w:hAnsi="Times New Roman" w:eastAsia="宋体" w:cs="Times New Roman"/>
                <w:sz w:val="24"/>
                <w:szCs w:val="32"/>
                <w:highlight w:val="none"/>
                <w:lang w:val="en-US" w:eastAsia="zh-CN"/>
              </w:rPr>
              <w:t>施工场地干燥时适当喷水加湿，在施工场地清理阶段，做到先</w:t>
            </w:r>
            <w:r>
              <w:rPr>
                <w:rFonts w:hint="eastAsia" w:cs="Times New Roman"/>
                <w:sz w:val="24"/>
                <w:szCs w:val="32"/>
                <w:highlight w:val="none"/>
                <w:lang w:val="en-US" w:eastAsia="zh-CN"/>
              </w:rPr>
              <w:t>洒水</w:t>
            </w:r>
            <w:r>
              <w:rPr>
                <w:rFonts w:hint="eastAsia" w:ascii="Times New Roman" w:hAnsi="Times New Roman" w:eastAsia="宋体" w:cs="Times New Roman"/>
                <w:sz w:val="24"/>
                <w:szCs w:val="32"/>
                <w:highlight w:val="none"/>
                <w:lang w:val="en-US" w:eastAsia="zh-CN"/>
              </w:rPr>
              <w:t>，后清扫，防止扬尘产生。</w:t>
            </w:r>
          </w:p>
          <w:p w14:paraId="2D83D676">
            <w:pPr>
              <w:adjustRightInd w:val="0"/>
              <w:snapToGrid w:val="0"/>
              <w:spacing w:line="360" w:lineRule="auto"/>
              <w:ind w:firstLine="480" w:firstLineChars="200"/>
              <w:rPr>
                <w:rFonts w:hint="eastAsia" w:ascii="Times New Roman" w:hAnsi="Times New Roman" w:eastAsia="宋体" w:cs="Times New Roman"/>
                <w:sz w:val="24"/>
                <w:szCs w:val="32"/>
                <w:highlight w:val="none"/>
              </w:rPr>
            </w:pPr>
            <w:r>
              <w:rPr>
                <w:rFonts w:hint="eastAsia" w:ascii="Times New Roman" w:hAnsi="Times New Roman" w:eastAsia="宋体" w:cs="Times New Roman"/>
                <w:sz w:val="24"/>
                <w:szCs w:val="32"/>
                <w:highlight w:val="none"/>
                <w:lang w:val="en-US" w:eastAsia="zh-CN"/>
              </w:rPr>
              <w:t>尽可能</w:t>
            </w:r>
            <w:r>
              <w:rPr>
                <w:rFonts w:hint="eastAsia" w:cs="Times New Roman"/>
                <w:sz w:val="24"/>
                <w:szCs w:val="32"/>
                <w:highlight w:val="none"/>
                <w:lang w:val="en-US" w:eastAsia="zh-CN"/>
              </w:rPr>
              <w:t>地</w:t>
            </w:r>
            <w:r>
              <w:rPr>
                <w:rFonts w:hint="eastAsia" w:ascii="Times New Roman" w:hAnsi="Times New Roman" w:eastAsia="宋体" w:cs="Times New Roman"/>
                <w:sz w:val="24"/>
                <w:szCs w:val="32"/>
                <w:highlight w:val="none"/>
                <w:lang w:val="en-US" w:eastAsia="zh-CN"/>
              </w:rPr>
              <w:t>加快施工进度安排。</w:t>
            </w:r>
          </w:p>
          <w:p w14:paraId="016FA512">
            <w:pPr>
              <w:adjustRightInd w:val="0"/>
              <w:snapToGrid w:val="0"/>
              <w:spacing w:line="360" w:lineRule="auto"/>
              <w:ind w:firstLine="480" w:firstLineChars="200"/>
              <w:rPr>
                <w:rFonts w:hint="eastAsia" w:ascii="Times New Roman" w:hAnsi="Times New Roman" w:eastAsia="宋体" w:cs="Times New Roman"/>
                <w:sz w:val="24"/>
                <w:szCs w:val="32"/>
                <w:highlight w:val="none"/>
              </w:rPr>
            </w:pPr>
            <w:r>
              <w:rPr>
                <w:rFonts w:hint="eastAsia" w:ascii="Times New Roman" w:hAnsi="Times New Roman" w:eastAsia="宋体" w:cs="Times New Roman"/>
                <w:sz w:val="24"/>
                <w:szCs w:val="32"/>
                <w:highlight w:val="none"/>
                <w:lang w:val="en-US" w:eastAsia="zh-CN"/>
              </w:rPr>
              <w:t>③焊接废气</w:t>
            </w:r>
          </w:p>
          <w:p w14:paraId="03EA4732">
            <w:pPr>
              <w:adjustRightInd w:val="0"/>
              <w:snapToGrid w:val="0"/>
              <w:spacing w:line="360" w:lineRule="auto"/>
              <w:ind w:firstLine="480" w:firstLineChars="200"/>
              <w:rPr>
                <w:rFonts w:hint="eastAsia" w:ascii="Times New Roman" w:hAnsi="Times New Roman" w:eastAsia="宋体" w:cs="Times New Roman"/>
                <w:sz w:val="24"/>
                <w:szCs w:val="32"/>
                <w:highlight w:val="none"/>
              </w:rPr>
            </w:pPr>
            <w:r>
              <w:rPr>
                <w:rFonts w:hint="eastAsia" w:ascii="Times New Roman" w:hAnsi="Times New Roman" w:eastAsia="宋体" w:cs="Times New Roman"/>
                <w:sz w:val="24"/>
                <w:szCs w:val="32"/>
                <w:highlight w:val="none"/>
                <w:lang w:val="en-US" w:eastAsia="zh-CN"/>
              </w:rPr>
              <w:t>由于焊接烟尘的排放具有分散、间断排放和排放量小的特点，且焊接均为户外作业，故焊接烟尘对周围环境空气质量影响较小。</w:t>
            </w:r>
          </w:p>
          <w:p w14:paraId="3DB21F5F">
            <w:pPr>
              <w:adjustRightInd w:val="0"/>
              <w:snapToGrid w:val="0"/>
              <w:spacing w:line="360" w:lineRule="auto"/>
              <w:ind w:firstLine="480" w:firstLineChars="200"/>
              <w:rPr>
                <w:rFonts w:hint="eastAsia" w:ascii="Times New Roman" w:hAnsi="Times New Roman" w:eastAsia="宋体" w:cs="Times New Roman"/>
                <w:sz w:val="24"/>
                <w:szCs w:val="32"/>
                <w:highlight w:val="none"/>
              </w:rPr>
            </w:pPr>
            <w:r>
              <w:rPr>
                <w:rFonts w:hint="eastAsia" w:ascii="Times New Roman" w:hAnsi="Times New Roman" w:eastAsia="宋体" w:cs="Times New Roman"/>
                <w:sz w:val="24"/>
                <w:szCs w:val="32"/>
                <w:highlight w:val="none"/>
                <w:lang w:val="en-US" w:eastAsia="zh-CN"/>
              </w:rPr>
              <w:t>④施工机械废气</w:t>
            </w:r>
          </w:p>
          <w:p w14:paraId="57E09A4D">
            <w:pPr>
              <w:adjustRightInd w:val="0"/>
              <w:snapToGrid w:val="0"/>
              <w:spacing w:line="360" w:lineRule="auto"/>
              <w:ind w:firstLine="480" w:firstLineChars="200"/>
              <w:rPr>
                <w:rFonts w:hint="eastAsia" w:ascii="Times New Roman" w:hAnsi="Times New Roman" w:eastAsia="宋体" w:cs="Times New Roman"/>
                <w:sz w:val="24"/>
                <w:szCs w:val="32"/>
                <w:highlight w:val="none"/>
              </w:rPr>
            </w:pPr>
            <w:r>
              <w:rPr>
                <w:rFonts w:hint="eastAsia" w:ascii="Times New Roman" w:hAnsi="Times New Roman" w:eastAsia="宋体" w:cs="Times New Roman"/>
                <w:sz w:val="24"/>
                <w:szCs w:val="32"/>
                <w:highlight w:val="none"/>
                <w:lang w:val="en-US" w:eastAsia="zh-CN"/>
              </w:rPr>
              <w:t>本项目施工期由于废气量较小，且施工现场均在户外，有利于空气的扩散。同时废气污染源具有间断</w:t>
            </w:r>
            <w:r>
              <w:rPr>
                <w:rFonts w:hint="eastAsia" w:cs="Times New Roman"/>
                <w:sz w:val="24"/>
                <w:szCs w:val="32"/>
                <w:highlight w:val="none"/>
                <w:lang w:val="en-US" w:eastAsia="zh-CN"/>
              </w:rPr>
              <w:t>性</w:t>
            </w:r>
            <w:r>
              <w:rPr>
                <w:rFonts w:hint="eastAsia" w:ascii="Times New Roman" w:hAnsi="Times New Roman" w:eastAsia="宋体" w:cs="Times New Roman"/>
                <w:sz w:val="24"/>
                <w:szCs w:val="32"/>
                <w:highlight w:val="none"/>
                <w:lang w:val="en-US" w:eastAsia="zh-CN"/>
              </w:rPr>
              <w:t>和流动性，因此对局部地区周围环境影响较小。施工废气产生量很少，加之当地大气扩散条件良好</w:t>
            </w:r>
            <w:r>
              <w:rPr>
                <w:rFonts w:hint="eastAsia" w:cs="Times New Roman"/>
                <w:sz w:val="24"/>
                <w:szCs w:val="32"/>
                <w:highlight w:val="none"/>
                <w:lang w:val="en-US" w:eastAsia="zh-CN"/>
              </w:rPr>
              <w:t>，</w:t>
            </w:r>
            <w:r>
              <w:rPr>
                <w:rFonts w:hint="eastAsia" w:ascii="Times New Roman" w:hAnsi="Times New Roman" w:eastAsia="宋体" w:cs="Times New Roman"/>
                <w:sz w:val="24"/>
                <w:szCs w:val="32"/>
                <w:highlight w:val="none"/>
                <w:lang w:val="en-US" w:eastAsia="zh-CN"/>
              </w:rPr>
              <w:t>但其对周边环境产生的影响客观存在，因此建议施工方应加强对机械设备的维修和管理，降低机械设备产生的施工废气对周边环境造成的影响。</w:t>
            </w:r>
          </w:p>
          <w:p w14:paraId="76B40F9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采取以上措施后，施工扬尘排放能够满足</w:t>
            </w:r>
            <w:r>
              <w:rPr>
                <w:rFonts w:hint="default" w:ascii="Times New Roman" w:hAnsi="Times New Roman" w:eastAsia="宋体" w:cs="Times New Roman"/>
                <w:color w:val="000000"/>
                <w:sz w:val="24"/>
                <w:szCs w:val="24"/>
                <w:highlight w:val="none"/>
              </w:rPr>
              <w:t>《大气污染物综合排放标准》（GB16297-1996）中表2标准限值</w:t>
            </w:r>
            <w:r>
              <w:rPr>
                <w:rFonts w:hint="default" w:ascii="Times New Roman" w:hAnsi="Times New Roman" w:eastAsia="宋体" w:cs="Times New Roman"/>
                <w:color w:val="000000"/>
                <w:sz w:val="24"/>
                <w:szCs w:val="24"/>
                <w:highlight w:val="none"/>
                <w:lang w:val="en-US" w:eastAsia="zh-CN"/>
              </w:rPr>
              <w:t>。可使其对</w:t>
            </w:r>
            <w:r>
              <w:rPr>
                <w:rFonts w:hint="eastAsia" w:cs="Times New Roman"/>
                <w:color w:val="000000"/>
                <w:sz w:val="24"/>
                <w:szCs w:val="24"/>
                <w:highlight w:val="none"/>
                <w:lang w:val="en-US" w:eastAsia="zh-CN"/>
              </w:rPr>
              <w:t>周边</w:t>
            </w:r>
            <w:r>
              <w:rPr>
                <w:rFonts w:hint="default" w:ascii="Times New Roman" w:hAnsi="Times New Roman" w:eastAsia="宋体" w:cs="Times New Roman"/>
                <w:color w:val="000000"/>
                <w:sz w:val="24"/>
                <w:szCs w:val="24"/>
                <w:highlight w:val="none"/>
                <w:lang w:val="en-US" w:eastAsia="zh-CN"/>
              </w:rPr>
              <w:t>环境的影响降至最低。随着施工的完成，这些影响也将消失，因此不会对周围环境产生较大的不利影响。</w:t>
            </w:r>
          </w:p>
          <w:p w14:paraId="65F85EFE">
            <w:pPr>
              <w:adjustRightInd/>
              <w:snapToGrid/>
              <w:spacing w:after="0" w:line="360" w:lineRule="auto"/>
              <w:ind w:left="0" w:leftChars="0" w:firstLine="482" w:firstLineChars="200"/>
              <w:rPr>
                <w:rFonts w:hint="default"/>
                <w:b/>
                <w:bCs/>
                <w:sz w:val="24"/>
                <w:szCs w:val="32"/>
                <w:highlight w:val="none"/>
                <w:lang w:val="en-US"/>
              </w:rPr>
            </w:pPr>
            <w:r>
              <w:rPr>
                <w:rFonts w:hint="eastAsia"/>
                <w:b/>
                <w:bCs/>
                <w:sz w:val="24"/>
                <w:szCs w:val="32"/>
                <w:highlight w:val="none"/>
                <w:lang w:val="en-US" w:eastAsia="zh-CN"/>
              </w:rPr>
              <w:t>2.施工期声环境保护措施</w:t>
            </w:r>
          </w:p>
          <w:p w14:paraId="7C078CA9">
            <w:pPr>
              <w:adjustRightInd w:val="0"/>
              <w:snapToGrid w:val="0"/>
              <w:spacing w:line="360" w:lineRule="auto"/>
              <w:ind w:firstLine="480" w:firstLineChars="200"/>
              <w:rPr>
                <w:rFonts w:hint="default" w:ascii="Times New Roman" w:hAnsi="Times New Roman" w:eastAsia="宋体" w:cs="Times New Roman"/>
                <w:sz w:val="24"/>
                <w:szCs w:val="32"/>
                <w:highlight w:val="none"/>
              </w:rPr>
            </w:pPr>
            <w:r>
              <w:rPr>
                <w:rFonts w:hint="default" w:ascii="Times New Roman" w:hAnsi="Times New Roman" w:eastAsia="宋体" w:cs="Times New Roman"/>
                <w:sz w:val="24"/>
                <w:szCs w:val="32"/>
                <w:highlight w:val="none"/>
                <w:lang w:val="en-US" w:eastAsia="zh-CN"/>
              </w:rPr>
              <w:t>施工</w:t>
            </w:r>
            <w:r>
              <w:rPr>
                <w:rFonts w:hint="eastAsia" w:cs="Times New Roman"/>
                <w:sz w:val="24"/>
                <w:szCs w:val="32"/>
                <w:highlight w:val="none"/>
                <w:lang w:val="en-US" w:eastAsia="zh-CN"/>
              </w:rPr>
              <w:t>期间</w:t>
            </w:r>
            <w:r>
              <w:rPr>
                <w:rFonts w:hint="default" w:ascii="Times New Roman" w:hAnsi="Times New Roman" w:eastAsia="宋体" w:cs="Times New Roman"/>
                <w:sz w:val="24"/>
                <w:szCs w:val="32"/>
                <w:highlight w:val="none"/>
                <w:lang w:val="en-US" w:eastAsia="zh-CN"/>
              </w:rPr>
              <w:t>采取以下措施后，可有效降低施工期噪声对周围环境的影响：</w:t>
            </w:r>
          </w:p>
          <w:p w14:paraId="2D12A7A0">
            <w:pPr>
              <w:adjustRightInd w:val="0"/>
              <w:snapToGrid w:val="0"/>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（1）施工单位合理安排施工时间。本项目不得在中午12：00-14：00和夜间22:00-次日6:00，从事打桩</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切割</w:t>
            </w:r>
            <w:r>
              <w:rPr>
                <w:rFonts w:hint="default" w:ascii="Times New Roman" w:hAnsi="Times New Roman" w:eastAsia="宋体" w:cs="Times New Roman"/>
                <w:color w:val="000000"/>
                <w:sz w:val="24"/>
                <w:szCs w:val="24"/>
                <w:highlight w:val="none"/>
              </w:rPr>
              <w:t>等高噪声作业，</w:t>
            </w:r>
            <w:r>
              <w:rPr>
                <w:rFonts w:hint="default" w:ascii="Times New Roman" w:hAnsi="Times New Roman" w:eastAsia="宋体" w:cs="Times New Roman"/>
                <w:color w:val="000000"/>
                <w:spacing w:val="6"/>
                <w:sz w:val="24"/>
                <w:szCs w:val="24"/>
                <w:highlight w:val="none"/>
              </w:rPr>
              <w:t>夜间禁止使用高噪声设备。</w:t>
            </w:r>
          </w:p>
          <w:p w14:paraId="3CBD9CF4">
            <w:pPr>
              <w:adjustRightInd w:val="0"/>
              <w:snapToGrid w:val="0"/>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（2）施工单位应尽量选用先进的低噪声设备，在高噪声设备周围设置屏障以减轻噪声对周围环境的影响，或者采用安装排气筒</w:t>
            </w:r>
            <w:r>
              <w:rPr>
                <w:rFonts w:hint="eastAsia"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消音器和隔离发动机</w:t>
            </w:r>
            <w:r>
              <w:rPr>
                <w:rFonts w:hint="eastAsia" w:cs="Times New Roman"/>
                <w:color w:val="000000"/>
                <w:sz w:val="24"/>
                <w:szCs w:val="24"/>
                <w:highlight w:val="none"/>
                <w:lang w:eastAsia="zh-CN"/>
              </w:rPr>
              <w:t>启动</w:t>
            </w:r>
            <w:r>
              <w:rPr>
                <w:rFonts w:hint="default" w:ascii="Times New Roman" w:hAnsi="Times New Roman" w:eastAsia="宋体" w:cs="Times New Roman"/>
                <w:color w:val="000000"/>
                <w:sz w:val="24"/>
                <w:szCs w:val="24"/>
                <w:highlight w:val="none"/>
              </w:rPr>
              <w:t>部件的方法降低噪声。控制施工场界噪声不超过《建筑施工场界环境噪声排放标准》（GB12523-2011）的要求。</w:t>
            </w:r>
          </w:p>
          <w:p w14:paraId="31C6BB82">
            <w:pPr>
              <w:adjustRightInd w:val="0"/>
              <w:snapToGrid w:val="0"/>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（3）施工单位采用先进的施工工艺，合理选用施工机械。对动力机械、设备等</w:t>
            </w:r>
            <w:r>
              <w:rPr>
                <w:rFonts w:hint="eastAsia" w:cs="Times New Roman"/>
                <w:color w:val="000000"/>
                <w:sz w:val="24"/>
                <w:szCs w:val="24"/>
                <w:highlight w:val="none"/>
                <w:lang w:eastAsia="zh-CN"/>
              </w:rPr>
              <w:t>进行</w:t>
            </w:r>
            <w:r>
              <w:rPr>
                <w:rFonts w:hint="default" w:ascii="Times New Roman" w:hAnsi="Times New Roman" w:eastAsia="宋体" w:cs="Times New Roman"/>
                <w:color w:val="000000"/>
                <w:sz w:val="24"/>
                <w:szCs w:val="24"/>
                <w:highlight w:val="none"/>
              </w:rPr>
              <w:t>定期检修、养护，保证施工机械处于低噪声、高效率的状态。</w:t>
            </w:r>
          </w:p>
          <w:p w14:paraId="2493FB1D">
            <w:pPr>
              <w:adjustRightInd w:val="0"/>
              <w:snapToGrid w:val="0"/>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（4）</w:t>
            </w:r>
            <w:r>
              <w:rPr>
                <w:rFonts w:hint="default" w:ascii="Times New Roman" w:hAnsi="Times New Roman" w:eastAsia="宋体" w:cs="Times New Roman"/>
                <w:color w:val="000000"/>
                <w:spacing w:val="10"/>
                <w:sz w:val="24"/>
                <w:szCs w:val="24"/>
                <w:highlight w:val="none"/>
              </w:rPr>
              <w:t>施工现场合理布局，以避免局部声级过高，尽可能将施工阶段的噪声减至最小。</w:t>
            </w:r>
          </w:p>
          <w:p w14:paraId="11B96E7B">
            <w:pPr>
              <w:adjustRightInd w:val="0"/>
              <w:snapToGrid w:val="0"/>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（5）采取有效的隔音、减振、消声</w:t>
            </w:r>
            <w:r>
              <w:rPr>
                <w:rFonts w:hint="eastAsia" w:cs="Times New Roman"/>
                <w:color w:val="000000"/>
                <w:sz w:val="24"/>
                <w:szCs w:val="24"/>
                <w:highlight w:val="none"/>
                <w:lang w:eastAsia="zh-CN"/>
              </w:rPr>
              <w:t>等</w:t>
            </w:r>
            <w:r>
              <w:rPr>
                <w:rFonts w:hint="default" w:ascii="Times New Roman" w:hAnsi="Times New Roman" w:eastAsia="宋体" w:cs="Times New Roman"/>
                <w:color w:val="000000"/>
                <w:sz w:val="24"/>
                <w:szCs w:val="24"/>
                <w:highlight w:val="none"/>
              </w:rPr>
              <w:t>措施，降低噪声</w:t>
            </w:r>
            <w:r>
              <w:rPr>
                <w:rFonts w:hint="eastAsia" w:cs="Times New Roman"/>
                <w:color w:val="000000"/>
                <w:sz w:val="24"/>
                <w:szCs w:val="24"/>
                <w:highlight w:val="none"/>
                <w:lang w:eastAsia="zh-CN"/>
              </w:rPr>
              <w:t>等级</w:t>
            </w:r>
            <w:r>
              <w:rPr>
                <w:rFonts w:hint="default" w:ascii="Times New Roman" w:hAnsi="Times New Roman" w:eastAsia="宋体" w:cs="Times New Roman"/>
                <w:color w:val="000000"/>
                <w:sz w:val="24"/>
                <w:szCs w:val="24"/>
                <w:highlight w:val="none"/>
              </w:rPr>
              <w:t>。对位置相对固定的施工机械，如切割机、电锯等，应将其设置在专门的工棚内，同时选用低噪声设备，并采取一定的吸音、隔声、降噪措施，控制施工机械噪声符合《建筑施工场界环境噪声排放标准》（GB12523-2011），做到施工场界噪声达标排放。</w:t>
            </w:r>
          </w:p>
          <w:p w14:paraId="30479F4E">
            <w:pPr>
              <w:adjustRightInd w:val="0"/>
              <w:snapToGrid w:val="0"/>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（6）降低人为噪声，按规定操作机械设备，模板、支架装卸过程中尽量减少碰撞声音。</w:t>
            </w:r>
          </w:p>
          <w:p w14:paraId="435C209A">
            <w:pPr>
              <w:adjustRightInd w:val="0"/>
              <w:snapToGrid w:val="0"/>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（7）建立临时</w:t>
            </w:r>
            <w:r>
              <w:rPr>
                <w:rFonts w:hint="eastAsia" w:cs="Times New Roman"/>
                <w:color w:val="000000"/>
                <w:sz w:val="24"/>
                <w:szCs w:val="24"/>
                <w:highlight w:val="none"/>
                <w:lang w:eastAsia="zh-CN"/>
              </w:rPr>
              <w:t>隔</w:t>
            </w:r>
            <w:r>
              <w:rPr>
                <w:rFonts w:hint="default" w:ascii="Times New Roman" w:hAnsi="Times New Roman" w:eastAsia="宋体" w:cs="Times New Roman"/>
                <w:color w:val="000000"/>
                <w:sz w:val="24"/>
                <w:szCs w:val="24"/>
                <w:highlight w:val="none"/>
              </w:rPr>
              <w:t>声屏障，对施工区域周围建立简易墙体或墙幕，阻隔噪声传播</w:t>
            </w:r>
            <w:r>
              <w:rPr>
                <w:rFonts w:hint="eastAsia"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对位置固定的机械设备可适当设立</w:t>
            </w:r>
            <w:r>
              <w:rPr>
                <w:rFonts w:hint="eastAsia" w:cs="Times New Roman"/>
                <w:color w:val="000000"/>
                <w:sz w:val="24"/>
                <w:szCs w:val="24"/>
                <w:highlight w:val="none"/>
                <w:lang w:eastAsia="zh-CN"/>
              </w:rPr>
              <w:t>临时</w:t>
            </w:r>
            <w:r>
              <w:rPr>
                <w:rFonts w:hint="default" w:ascii="Times New Roman" w:hAnsi="Times New Roman" w:eastAsia="宋体" w:cs="Times New Roman"/>
                <w:color w:val="000000"/>
                <w:sz w:val="24"/>
                <w:szCs w:val="24"/>
                <w:highlight w:val="none"/>
              </w:rPr>
              <w:t>隔声屏障。</w:t>
            </w:r>
          </w:p>
          <w:p w14:paraId="145271A9">
            <w:pPr>
              <w:adjustRightInd w:val="0"/>
              <w:snapToGrid w:val="0"/>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（8）控制汽车鸣笛、施工鸣哨</w:t>
            </w:r>
            <w:r>
              <w:rPr>
                <w:rFonts w:hint="eastAsia" w:cs="Times New Roman"/>
                <w:color w:val="000000"/>
                <w:sz w:val="24"/>
                <w:szCs w:val="24"/>
                <w:highlight w:val="none"/>
                <w:lang w:eastAsia="zh-CN"/>
              </w:rPr>
              <w:t>等</w:t>
            </w:r>
            <w:r>
              <w:rPr>
                <w:rFonts w:hint="default" w:ascii="Times New Roman" w:hAnsi="Times New Roman" w:eastAsia="宋体" w:cs="Times New Roman"/>
                <w:color w:val="000000"/>
                <w:sz w:val="24"/>
                <w:szCs w:val="24"/>
                <w:highlight w:val="none"/>
              </w:rPr>
              <w:t>指挥。</w:t>
            </w:r>
          </w:p>
          <w:p w14:paraId="557571CE">
            <w:pPr>
              <w:adjustRightInd w:val="0"/>
              <w:snapToGrid w:val="0"/>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（9）严格控制施工车辆运输路线，控制车速，减少对周围</w:t>
            </w:r>
            <w:r>
              <w:rPr>
                <w:rFonts w:hint="eastAsia" w:ascii="Times New Roman" w:hAnsi="Times New Roman" w:cs="Times New Roman"/>
                <w:color w:val="000000"/>
                <w:sz w:val="24"/>
                <w:szCs w:val="24"/>
                <w:highlight w:val="none"/>
                <w:lang w:val="en-US" w:eastAsia="zh-CN"/>
              </w:rPr>
              <w:t>环境</w:t>
            </w:r>
            <w:r>
              <w:rPr>
                <w:rFonts w:hint="default" w:ascii="Times New Roman" w:hAnsi="Times New Roman" w:eastAsia="宋体" w:cs="Times New Roman"/>
                <w:color w:val="000000"/>
                <w:sz w:val="24"/>
                <w:szCs w:val="24"/>
                <w:highlight w:val="none"/>
              </w:rPr>
              <w:t>的影响。</w:t>
            </w:r>
          </w:p>
          <w:p w14:paraId="0DD3A85B">
            <w:pPr>
              <w:adjustRightInd/>
              <w:snapToGrid/>
              <w:spacing w:line="360" w:lineRule="auto"/>
              <w:ind w:firstLine="52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pacing w:val="10"/>
                <w:sz w:val="24"/>
                <w:szCs w:val="24"/>
                <w:highlight w:val="none"/>
              </w:rPr>
              <w:t>（10）现场施工人员要严加管理，文明施工。</w:t>
            </w:r>
          </w:p>
          <w:p w14:paraId="4B615253">
            <w:pPr>
              <w:adjustRightInd w:val="0"/>
              <w:snapToGrid w:val="0"/>
              <w:spacing w:line="360" w:lineRule="auto"/>
              <w:ind w:firstLine="480" w:firstLineChars="200"/>
              <w:rPr>
                <w:rFonts w:hint="eastAsia" w:ascii="Times New Roman" w:hAnsi="Times New Roman" w:eastAsia="宋体" w:cs="Times New Roman"/>
                <w:sz w:val="24"/>
                <w:szCs w:val="32"/>
                <w:highlight w:val="none"/>
              </w:rPr>
            </w:pPr>
            <w:r>
              <w:rPr>
                <w:rFonts w:hint="default" w:ascii="Times New Roman" w:hAnsi="Times New Roman" w:eastAsia="宋体" w:cs="Times New Roman"/>
                <w:color w:val="000000"/>
                <w:sz w:val="24"/>
                <w:szCs w:val="24"/>
                <w:highlight w:val="none"/>
                <w:lang w:val="en-US" w:eastAsia="zh-CN"/>
              </w:rPr>
              <w:t>通过以上控制措施，建筑施工过程中场界环境噪声不得超过《建筑施工场界环境噪声排放标准》</w:t>
            </w:r>
            <w:r>
              <w:rPr>
                <w:rFonts w:hint="eastAsia"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GB125</w:t>
            </w:r>
            <w:r>
              <w:rPr>
                <w:rFonts w:hint="eastAsia" w:cs="Times New Roman"/>
                <w:color w:val="000000"/>
                <w:sz w:val="24"/>
                <w:szCs w:val="24"/>
                <w:highlight w:val="none"/>
                <w:lang w:val="en-US" w:eastAsia="zh-CN"/>
              </w:rPr>
              <w:t>23</w:t>
            </w:r>
            <w:r>
              <w:rPr>
                <w:rFonts w:hint="default" w:ascii="Times New Roman" w:hAnsi="Times New Roman" w:eastAsia="宋体" w:cs="Times New Roman"/>
                <w:color w:val="000000"/>
                <w:sz w:val="24"/>
                <w:szCs w:val="24"/>
                <w:highlight w:val="none"/>
                <w:lang w:val="en-US" w:eastAsia="zh-CN"/>
              </w:rPr>
              <w:t>-2011</w:t>
            </w:r>
            <w:r>
              <w:rPr>
                <w:rFonts w:hint="eastAsia"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中的标准要求。</w:t>
            </w:r>
          </w:p>
          <w:p w14:paraId="7BB758EC">
            <w:pPr>
              <w:adjustRightInd/>
              <w:snapToGrid/>
              <w:spacing w:after="0" w:line="360" w:lineRule="auto"/>
              <w:ind w:left="0" w:leftChars="0" w:firstLine="482" w:firstLineChars="200"/>
              <w:rPr>
                <w:rFonts w:hint="default"/>
                <w:b/>
                <w:bCs/>
                <w:sz w:val="24"/>
                <w:szCs w:val="32"/>
                <w:highlight w:val="none"/>
                <w:lang w:val="en-US"/>
              </w:rPr>
            </w:pPr>
            <w:r>
              <w:rPr>
                <w:rFonts w:hint="eastAsia"/>
                <w:b/>
                <w:bCs/>
                <w:sz w:val="24"/>
                <w:szCs w:val="32"/>
                <w:highlight w:val="none"/>
                <w:lang w:val="en-US" w:eastAsia="zh-CN"/>
              </w:rPr>
              <w:t>3.施工期水环境保护措施</w:t>
            </w:r>
          </w:p>
          <w:p w14:paraId="4FD2BAF9">
            <w:pPr>
              <w:spacing w:line="360" w:lineRule="auto"/>
              <w:ind w:firstLine="480" w:firstLineChars="200"/>
              <w:rPr>
                <w:rFonts w:hint="eastAsia" w:ascii="Times New Roman" w:hAnsi="Times New Roman" w:eastAsia="宋体" w:cs="Times New Roman"/>
                <w:sz w:val="24"/>
                <w:szCs w:val="32"/>
                <w:highlight w:val="none"/>
                <w:lang w:val="en-US" w:eastAsia="zh-CN"/>
              </w:rPr>
            </w:pPr>
            <w:r>
              <w:rPr>
                <w:rFonts w:hint="eastAsia" w:ascii="Times New Roman" w:hAnsi="Times New Roman" w:eastAsia="宋体" w:cs="Times New Roman"/>
                <w:sz w:val="24"/>
                <w:szCs w:val="32"/>
                <w:highlight w:val="none"/>
                <w:lang w:val="en-US" w:eastAsia="zh-CN"/>
              </w:rPr>
              <w:t>本项目施工期废水主要来自施工人员在施工作业中产生的生活污水以及试压废水。</w:t>
            </w:r>
          </w:p>
          <w:p w14:paraId="177A8645">
            <w:pPr>
              <w:spacing w:line="360" w:lineRule="auto"/>
              <w:ind w:firstLine="480" w:firstLineChars="200"/>
              <w:rPr>
                <w:rFonts w:hint="eastAsia" w:cs="宋体"/>
                <w:color w:val="1900FF"/>
                <w:sz w:val="24"/>
                <w:highlight w:val="none"/>
              </w:rPr>
            </w:pPr>
            <w:r>
              <w:rPr>
                <w:rFonts w:hint="eastAsia" w:cs="宋体"/>
                <w:sz w:val="24"/>
                <w:highlight w:val="none"/>
              </w:rPr>
              <w:t>本项目施工</w:t>
            </w:r>
            <w:r>
              <w:rPr>
                <w:rFonts w:hint="eastAsia" w:cs="宋体"/>
                <w:sz w:val="24"/>
                <w:highlight w:val="none"/>
                <w:lang w:eastAsia="zh-CN"/>
              </w:rPr>
              <w:t>期间</w:t>
            </w:r>
            <w:r>
              <w:rPr>
                <w:rFonts w:hint="eastAsia" w:cs="宋体"/>
                <w:sz w:val="24"/>
                <w:highlight w:val="none"/>
              </w:rPr>
              <w:t>人员</w:t>
            </w:r>
            <w:r>
              <w:rPr>
                <w:rFonts w:hint="eastAsia" w:cs="宋体"/>
                <w:sz w:val="24"/>
                <w:highlight w:val="none"/>
                <w:lang w:val="en-US" w:eastAsia="zh-CN"/>
              </w:rPr>
              <w:t>依托内蒙古伊泰化工有限责任公司现有工作人员，生活污水</w:t>
            </w:r>
            <w:r>
              <w:rPr>
                <w:rFonts w:hint="eastAsia" w:cs="宋体"/>
                <w:sz w:val="24"/>
                <w:highlight w:val="none"/>
              </w:rPr>
              <w:t>依托现有公共卫生间集中收集</w:t>
            </w:r>
            <w:r>
              <w:rPr>
                <w:rFonts w:hint="eastAsia" w:cs="宋体"/>
                <w:sz w:val="24"/>
                <w:highlight w:val="none"/>
                <w:lang w:val="en-US" w:eastAsia="zh-CN"/>
              </w:rPr>
              <w:t>，最终排向厂区污水处理站</w:t>
            </w:r>
            <w:r>
              <w:rPr>
                <w:rFonts w:hint="eastAsia" w:cs="宋体"/>
                <w:sz w:val="24"/>
                <w:highlight w:val="none"/>
              </w:rPr>
              <w:t>。</w:t>
            </w:r>
          </w:p>
          <w:p w14:paraId="703F04B3">
            <w:pPr>
              <w:spacing w:line="360" w:lineRule="auto"/>
              <w:ind w:firstLine="480" w:firstLineChars="200"/>
              <w:rPr>
                <w:rFonts w:hint="default" w:ascii="Times New Roman" w:hAnsi="Times New Roman" w:cs="Times New Roman"/>
                <w:sz w:val="24"/>
                <w:szCs w:val="24"/>
                <w:highlight w:val="none"/>
                <w:lang w:val="en-US" w:eastAsia="zh-CN"/>
              </w:rPr>
            </w:pPr>
            <w:r>
              <w:rPr>
                <w:rFonts w:hint="default" w:ascii="Times New Roman" w:hAnsi="Times New Roman" w:cs="Times New Roman"/>
                <w:sz w:val="24"/>
                <w:highlight w:val="none"/>
              </w:rPr>
              <w:t>管道试压采用</w:t>
            </w:r>
            <w:r>
              <w:rPr>
                <w:rFonts w:hint="eastAsia" w:ascii="Times New Roman" w:hAnsi="Times New Roman" w:cs="Times New Roman"/>
                <w:sz w:val="24"/>
                <w:highlight w:val="none"/>
                <w:lang w:val="en-US" w:eastAsia="zh-CN"/>
              </w:rPr>
              <w:t>现有管网提供的新鲜水</w:t>
            </w:r>
            <w:r>
              <w:rPr>
                <w:rFonts w:hint="default" w:ascii="Times New Roman" w:hAnsi="Times New Roman" w:cs="Times New Roman"/>
                <w:sz w:val="24"/>
                <w:highlight w:val="none"/>
              </w:rPr>
              <w:t>，试压后需把水排尽，产生试压</w:t>
            </w:r>
            <w:r>
              <w:rPr>
                <w:rFonts w:hint="default" w:ascii="Times New Roman" w:hAnsi="Times New Roman" w:eastAsia="宋体" w:cs="Times New Roman"/>
                <w:kern w:val="2"/>
                <w:sz w:val="24"/>
                <w:szCs w:val="32"/>
                <w:highlight w:val="none"/>
                <w:lang w:val="en-US" w:eastAsia="zh-CN" w:bidi="ar-SA"/>
              </w:rPr>
              <w:t>废水</w:t>
            </w:r>
            <w:r>
              <w:rPr>
                <w:rFonts w:hint="eastAsia" w:ascii="Times New Roman" w:hAnsi="Times New Roman" w:eastAsia="宋体" w:cs="Times New Roman"/>
                <w:kern w:val="2"/>
                <w:sz w:val="24"/>
                <w:szCs w:val="32"/>
                <w:highlight w:val="none"/>
                <w:lang w:val="en-US" w:eastAsia="zh-CN" w:bidi="ar-SA"/>
              </w:rPr>
              <w:t>水质较简单</w:t>
            </w:r>
            <w:r>
              <w:rPr>
                <w:rFonts w:hint="default" w:ascii="Times New Roman" w:hAnsi="Times New Roman" w:eastAsia="宋体" w:cs="Times New Roman"/>
                <w:kern w:val="2"/>
                <w:sz w:val="24"/>
                <w:szCs w:val="32"/>
                <w:highlight w:val="none"/>
                <w:lang w:val="en-US" w:eastAsia="zh-CN" w:bidi="ar-SA"/>
              </w:rPr>
              <w:t>，废水中含有少量SS，</w:t>
            </w:r>
            <w:r>
              <w:rPr>
                <w:rFonts w:hint="eastAsia" w:ascii="Times New Roman" w:hAnsi="Times New Roman" w:eastAsia="宋体" w:cs="Times New Roman"/>
                <w:kern w:val="2"/>
                <w:sz w:val="24"/>
                <w:szCs w:val="32"/>
                <w:highlight w:val="none"/>
                <w:lang w:val="en-US" w:eastAsia="zh-CN" w:bidi="ar-SA"/>
              </w:rPr>
              <w:t>浓度低于50mg/L。</w:t>
            </w:r>
            <w:r>
              <w:rPr>
                <w:rFonts w:hint="default" w:ascii="Times New Roman" w:hAnsi="Times New Roman" w:eastAsia="宋体" w:cs="Times New Roman"/>
                <w:kern w:val="2"/>
                <w:sz w:val="24"/>
                <w:szCs w:val="32"/>
                <w:highlight w:val="none"/>
                <w:lang w:val="en-US" w:eastAsia="zh-CN" w:bidi="ar-SA"/>
              </w:rPr>
              <w:t>污染物来源为管道内部</w:t>
            </w:r>
            <w:r>
              <w:rPr>
                <w:rFonts w:hint="default" w:ascii="Times New Roman" w:hAnsi="Times New Roman" w:cs="Times New Roman"/>
                <w:sz w:val="24"/>
                <w:highlight w:val="none"/>
              </w:rPr>
              <w:t>灰尘和杂质，</w:t>
            </w:r>
            <w:r>
              <w:rPr>
                <w:rFonts w:hint="eastAsia" w:ascii="Times New Roman" w:hAnsi="Times New Roman" w:eastAsia="宋体" w:cs="宋体"/>
                <w:kern w:val="2"/>
                <w:sz w:val="24"/>
                <w:szCs w:val="24"/>
                <w:highlight w:val="none"/>
              </w:rPr>
              <w:t>废水</w:t>
            </w:r>
            <w:r>
              <w:rPr>
                <w:rFonts w:hint="eastAsia" w:cs="宋体"/>
                <w:kern w:val="2"/>
                <w:sz w:val="24"/>
                <w:szCs w:val="24"/>
                <w:highlight w:val="none"/>
                <w:lang w:val="en-US" w:eastAsia="zh-CN"/>
              </w:rPr>
              <w:t>产生后通过罐车运输至伊泰化工</w:t>
            </w:r>
            <w:r>
              <w:rPr>
                <w:rFonts w:hint="eastAsia" w:ascii="Times New Roman" w:hAnsi="Times New Roman" w:eastAsia="宋体" w:cs="宋体"/>
                <w:kern w:val="2"/>
                <w:sz w:val="24"/>
                <w:szCs w:val="24"/>
                <w:highlight w:val="none"/>
              </w:rPr>
              <w:t>厂区内现有</w:t>
            </w:r>
            <w:r>
              <w:rPr>
                <w:rFonts w:hint="eastAsia" w:cs="宋体"/>
                <w:sz w:val="24"/>
                <w:highlight w:val="none"/>
              </w:rPr>
              <w:t>污水处理站废水处理及回用清净废水处理单元</w:t>
            </w:r>
            <w:r>
              <w:rPr>
                <w:rFonts w:hint="eastAsia" w:ascii="Times New Roman" w:hAnsi="Times New Roman" w:eastAsia="宋体" w:cs="宋体"/>
                <w:kern w:val="2"/>
                <w:sz w:val="24"/>
                <w:szCs w:val="24"/>
                <w:highlight w:val="none"/>
              </w:rPr>
              <w:t>，处理后回用，不外排。</w:t>
            </w:r>
            <w:r>
              <w:rPr>
                <w:rFonts w:hint="default" w:ascii="Times New Roman" w:hAnsi="Times New Roman" w:cs="Times New Roman"/>
                <w:sz w:val="24"/>
                <w:szCs w:val="24"/>
                <w:highlight w:val="none"/>
                <w:lang w:val="en-US" w:eastAsia="zh-CN"/>
              </w:rPr>
              <w:t>清净废水处理单元处理规模为600m</w:t>
            </w:r>
            <w:r>
              <w:rPr>
                <w:rFonts w:hint="default" w:ascii="Times New Roman" w:hAnsi="Times New Roman" w:cs="Times New Roman"/>
                <w:sz w:val="24"/>
                <w:szCs w:val="24"/>
                <w:highlight w:val="none"/>
                <w:vertAlign w:val="superscript"/>
                <w:lang w:val="en-US" w:eastAsia="zh-CN"/>
              </w:rPr>
              <w:t>3</w:t>
            </w:r>
            <w:r>
              <w:rPr>
                <w:rFonts w:hint="default" w:ascii="Times New Roman" w:hAnsi="Times New Roman" w:cs="Times New Roman"/>
                <w:sz w:val="24"/>
                <w:szCs w:val="24"/>
                <w:highlight w:val="none"/>
                <w:lang w:val="en-US" w:eastAsia="zh-CN"/>
              </w:rPr>
              <w:t>/h，采用</w:t>
            </w:r>
            <w:r>
              <w:rPr>
                <w:rFonts w:hint="default" w:ascii="Times New Roman" w:hAnsi="Times New Roman" w:cs="Times New Roman"/>
                <w:sz w:val="24"/>
                <w:szCs w:val="24"/>
                <w:highlight w:val="none"/>
              </w:rPr>
              <w:t>高密度沉淀池</w:t>
            </w:r>
            <w:r>
              <w:rPr>
                <w:rFonts w:hint="default" w:ascii="Times New Roman" w:hAnsi="Times New Roman" w:eastAsia="Times New Roman" w:cs="Times New Roman"/>
                <w:sz w:val="24"/>
                <w:szCs w:val="24"/>
                <w:highlight w:val="none"/>
              </w:rPr>
              <w:t>+</w:t>
            </w:r>
            <w:r>
              <w:rPr>
                <w:rFonts w:hint="default" w:ascii="Times New Roman" w:hAnsi="Times New Roman" w:cs="Times New Roman"/>
                <w:sz w:val="24"/>
                <w:szCs w:val="24"/>
                <w:highlight w:val="none"/>
              </w:rPr>
              <w:t>多介质过滤器</w:t>
            </w:r>
            <w:r>
              <w:rPr>
                <w:rFonts w:hint="default" w:ascii="Times New Roman" w:hAnsi="Times New Roman" w:eastAsia="Times New Roman" w:cs="Times New Roman"/>
                <w:sz w:val="24"/>
                <w:szCs w:val="24"/>
                <w:highlight w:val="none"/>
              </w:rPr>
              <w:t>+</w:t>
            </w:r>
            <w:r>
              <w:rPr>
                <w:rFonts w:hint="default" w:ascii="Times New Roman" w:hAnsi="Times New Roman" w:cs="Times New Roman"/>
                <w:sz w:val="24"/>
                <w:szCs w:val="24"/>
                <w:highlight w:val="none"/>
              </w:rPr>
              <w:t>自清洗过滤器</w:t>
            </w:r>
            <w:r>
              <w:rPr>
                <w:rFonts w:hint="default" w:ascii="Times New Roman" w:hAnsi="Times New Roman" w:eastAsia="Times New Roman" w:cs="Times New Roman"/>
                <w:sz w:val="24"/>
                <w:szCs w:val="24"/>
                <w:highlight w:val="none"/>
              </w:rPr>
              <w:t>+</w:t>
            </w:r>
            <w:r>
              <w:rPr>
                <w:rFonts w:hint="default" w:ascii="Times New Roman" w:hAnsi="Times New Roman" w:cs="Times New Roman"/>
                <w:sz w:val="24"/>
                <w:szCs w:val="24"/>
                <w:highlight w:val="none"/>
              </w:rPr>
              <w:t>外压式</w:t>
            </w:r>
            <w:r>
              <w:rPr>
                <w:rFonts w:hint="default" w:ascii="Times New Roman" w:hAnsi="Times New Roman" w:eastAsia="Times New Roman" w:cs="Times New Roman"/>
                <w:sz w:val="24"/>
                <w:szCs w:val="24"/>
                <w:highlight w:val="none"/>
              </w:rPr>
              <w:t>UF+RO</w:t>
            </w:r>
            <w:r>
              <w:rPr>
                <w:rFonts w:hint="default" w:ascii="Times New Roman" w:hAnsi="Times New Roman" w:eastAsia="宋体" w:cs="Times New Roman"/>
                <w:sz w:val="24"/>
                <w:szCs w:val="24"/>
                <w:highlight w:val="none"/>
                <w:lang w:eastAsia="zh-CN"/>
              </w:rPr>
              <w:t>，</w:t>
            </w:r>
            <w:r>
              <w:rPr>
                <w:rFonts w:hint="default" w:ascii="Times New Roman" w:hAnsi="Times New Roman" w:cs="Times New Roman"/>
                <w:color w:val="000000"/>
                <w:sz w:val="24"/>
                <w:highlight w:val="none"/>
              </w:rPr>
              <w:t>内蒙古伊泰化工有限责任公司120万吨/年精细化学品示范项目</w:t>
            </w:r>
            <w:r>
              <w:rPr>
                <w:rFonts w:hint="default" w:ascii="Times New Roman" w:hAnsi="Times New Roman" w:cs="Times New Roman"/>
                <w:color w:val="000000"/>
                <w:sz w:val="24"/>
                <w:highlight w:val="none"/>
                <w:lang w:val="en-US" w:eastAsia="zh-CN"/>
              </w:rPr>
              <w:t>清净废水</w:t>
            </w:r>
            <w:r>
              <w:rPr>
                <w:rFonts w:hint="eastAsia" w:ascii="Times New Roman" w:hAnsi="Times New Roman" w:cs="Times New Roman"/>
                <w:color w:val="000000"/>
                <w:sz w:val="24"/>
                <w:highlight w:val="none"/>
                <w:lang w:val="en-US" w:eastAsia="zh-CN"/>
              </w:rPr>
              <w:t>冬季</w:t>
            </w:r>
            <w:r>
              <w:rPr>
                <w:rFonts w:hint="default" w:ascii="Times New Roman" w:hAnsi="Times New Roman" w:cs="Times New Roman"/>
                <w:color w:val="000000"/>
                <w:sz w:val="24"/>
                <w:highlight w:val="none"/>
                <w:lang w:val="en-US" w:eastAsia="zh-CN"/>
              </w:rPr>
              <w:t>排水量为37.8</w:t>
            </w:r>
            <w:r>
              <w:rPr>
                <w:rFonts w:hint="default" w:ascii="Times New Roman" w:hAnsi="Times New Roman" w:cs="Times New Roman"/>
                <w:sz w:val="24"/>
                <w:szCs w:val="24"/>
                <w:highlight w:val="none"/>
                <w:lang w:val="en-US" w:eastAsia="zh-CN"/>
              </w:rPr>
              <w:t>m</w:t>
            </w:r>
            <w:r>
              <w:rPr>
                <w:rFonts w:hint="default" w:ascii="Times New Roman" w:hAnsi="Times New Roman" w:cs="Times New Roman"/>
                <w:sz w:val="24"/>
                <w:szCs w:val="24"/>
                <w:highlight w:val="none"/>
                <w:vertAlign w:val="superscript"/>
                <w:lang w:val="en-US" w:eastAsia="zh-CN"/>
              </w:rPr>
              <w:t>3</w:t>
            </w:r>
            <w:r>
              <w:rPr>
                <w:rFonts w:hint="default" w:ascii="Times New Roman" w:hAnsi="Times New Roman" w:cs="Times New Roman"/>
                <w:sz w:val="24"/>
                <w:szCs w:val="24"/>
                <w:highlight w:val="none"/>
                <w:lang w:val="en-US" w:eastAsia="zh-CN"/>
              </w:rPr>
              <w:t>/h、剩余562.2m</w:t>
            </w:r>
            <w:r>
              <w:rPr>
                <w:rFonts w:hint="default" w:ascii="Times New Roman" w:hAnsi="Times New Roman" w:cs="Times New Roman"/>
                <w:sz w:val="24"/>
                <w:szCs w:val="24"/>
                <w:highlight w:val="none"/>
                <w:vertAlign w:val="superscript"/>
                <w:lang w:val="en-US" w:eastAsia="zh-CN"/>
              </w:rPr>
              <w:t>3</w:t>
            </w:r>
            <w:r>
              <w:rPr>
                <w:rFonts w:hint="default" w:ascii="Times New Roman" w:hAnsi="Times New Roman" w:cs="Times New Roman"/>
                <w:sz w:val="24"/>
                <w:szCs w:val="24"/>
                <w:highlight w:val="none"/>
                <w:lang w:val="en-US" w:eastAsia="zh-CN"/>
              </w:rPr>
              <w:t>/h。综上，本项目生产废水</w:t>
            </w:r>
            <w:r>
              <w:rPr>
                <w:rFonts w:hint="eastAsia" w:ascii="Times New Roman" w:hAnsi="Times New Roman" w:cs="Times New Roman"/>
                <w:sz w:val="24"/>
                <w:szCs w:val="24"/>
                <w:highlight w:val="none"/>
                <w:lang w:val="en-US" w:eastAsia="zh-CN"/>
              </w:rPr>
              <w:t>200m</w:t>
            </w:r>
            <w:r>
              <w:rPr>
                <w:rFonts w:hint="eastAsia" w:ascii="Times New Roman" w:hAnsi="Times New Roman" w:cs="Times New Roman"/>
                <w:sz w:val="24"/>
                <w:szCs w:val="24"/>
                <w:highlight w:val="none"/>
                <w:vertAlign w:val="superscript"/>
                <w:lang w:val="en-US" w:eastAsia="zh-CN"/>
              </w:rPr>
              <w:t>3</w:t>
            </w:r>
            <w:r>
              <w:rPr>
                <w:rFonts w:hint="eastAsia" w:ascii="Times New Roman" w:hAnsi="Times New Roman" w:cs="Times New Roman"/>
                <w:sz w:val="24"/>
                <w:szCs w:val="24"/>
                <w:highlight w:val="none"/>
                <w:lang w:val="en-US" w:eastAsia="zh-CN"/>
              </w:rPr>
              <w:t>/a</w:t>
            </w:r>
            <w:r>
              <w:rPr>
                <w:rFonts w:hint="default" w:ascii="Times New Roman" w:hAnsi="Times New Roman" w:cs="Times New Roman"/>
                <w:sz w:val="24"/>
                <w:szCs w:val="24"/>
                <w:highlight w:val="none"/>
                <w:lang w:val="en-US" w:eastAsia="zh-CN"/>
              </w:rPr>
              <w:t>可依托</w:t>
            </w:r>
            <w:r>
              <w:rPr>
                <w:rFonts w:hint="eastAsia" w:ascii="Times New Roman" w:hAnsi="Times New Roman" w:cs="Times New Roman"/>
                <w:sz w:val="24"/>
                <w:szCs w:val="24"/>
                <w:highlight w:val="none"/>
                <w:lang w:val="en-US" w:eastAsia="zh-CN"/>
              </w:rPr>
              <w:t>伊泰化工</w:t>
            </w:r>
            <w:r>
              <w:rPr>
                <w:rFonts w:hint="eastAsia" w:ascii="Times New Roman" w:hAnsi="Times New Roman" w:eastAsia="宋体" w:cs="宋体"/>
                <w:kern w:val="2"/>
                <w:sz w:val="24"/>
                <w:szCs w:val="24"/>
                <w:highlight w:val="none"/>
              </w:rPr>
              <w:t>现有</w:t>
            </w:r>
            <w:r>
              <w:rPr>
                <w:rFonts w:hint="eastAsia" w:cs="宋体"/>
                <w:sz w:val="24"/>
                <w:highlight w:val="none"/>
              </w:rPr>
              <w:t>污水处理站废水处理及回用清净废水处理</w:t>
            </w:r>
            <w:r>
              <w:rPr>
                <w:rFonts w:hint="eastAsia" w:cs="宋体"/>
                <w:sz w:val="24"/>
                <w:highlight w:val="none"/>
                <w:lang w:val="en-US" w:eastAsia="zh-CN"/>
              </w:rPr>
              <w:t>单元</w:t>
            </w:r>
            <w:r>
              <w:rPr>
                <w:rFonts w:hint="default" w:ascii="Times New Roman" w:hAnsi="Times New Roman" w:cs="Times New Roman"/>
                <w:sz w:val="24"/>
                <w:szCs w:val="24"/>
                <w:highlight w:val="none"/>
                <w:lang w:val="en-US" w:eastAsia="zh-CN"/>
              </w:rPr>
              <w:t>。</w:t>
            </w:r>
          </w:p>
          <w:p w14:paraId="7316ECF5">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cs="Times New Roman" w:eastAsiaTheme="minorEastAsia"/>
                <w:sz w:val="24"/>
                <w:szCs w:val="24"/>
                <w:highlight w:val="none"/>
                <w:lang w:val="en-US" w:eastAsia="zh-CN"/>
              </w:rPr>
              <w:t>此外，</w:t>
            </w:r>
            <w:r>
              <w:rPr>
                <w:rFonts w:hint="default" w:ascii="Times New Roman" w:hAnsi="Times New Roman" w:eastAsia="宋体" w:cs="Times New Roman"/>
                <w:sz w:val="24"/>
                <w:highlight w:val="none"/>
                <w:lang w:val="en-US" w:eastAsia="zh-CN"/>
              </w:rPr>
              <w:t>本项目</w:t>
            </w:r>
            <w:r>
              <w:rPr>
                <w:rFonts w:hint="default"/>
                <w:sz w:val="24"/>
                <w:szCs w:val="24"/>
                <w:highlight w:val="none"/>
                <w:lang w:val="en-US" w:eastAsia="zh-CN"/>
              </w:rPr>
              <w:t>管线末端设置手动切断阀组。在物料输出端和接收端设置中控系统和紧急切断阀，阀门和仪表的控制信号接入伊泰化工公司DCS系统</w:t>
            </w:r>
            <w:r>
              <w:rPr>
                <w:rFonts w:hint="default" w:eastAsia="宋体" w:cs="Times New Roman"/>
                <w:sz w:val="24"/>
                <w:szCs w:val="24"/>
                <w:highlight w:val="none"/>
                <w:lang w:val="en-US" w:eastAsia="zh-CN"/>
              </w:rPr>
              <w:t>项目</w:t>
            </w:r>
            <w:r>
              <w:rPr>
                <w:rFonts w:hint="eastAsia" w:cs="Times New Roman"/>
                <w:sz w:val="24"/>
                <w:szCs w:val="24"/>
                <w:highlight w:val="none"/>
                <w:lang w:val="en-US" w:eastAsia="zh-CN"/>
              </w:rPr>
              <w:t>管线</w:t>
            </w:r>
            <w:r>
              <w:rPr>
                <w:rFonts w:hint="default" w:eastAsia="宋体" w:cs="Times New Roman"/>
                <w:sz w:val="24"/>
                <w:szCs w:val="24"/>
                <w:highlight w:val="none"/>
                <w:lang w:val="en-US" w:eastAsia="zh-CN"/>
              </w:rPr>
              <w:t>所有阀门、法兰安装全部在装置区内，不涉及装置区以外占地。厂区外WRT甲烷气管道、清净废水管道安装完成后进行探伤检测。正常状况下不会发生泄漏。</w:t>
            </w:r>
          </w:p>
          <w:p w14:paraId="1D1550F7">
            <w:pPr>
              <w:widowControl/>
              <w:adjustRightInd/>
              <w:snapToGrid/>
              <w:spacing w:line="360" w:lineRule="auto"/>
              <w:ind w:firstLine="0" w:firstLineChars="0"/>
              <w:jc w:val="center"/>
              <w:outlineLvl w:val="9"/>
              <w:rPr>
                <w:rFonts w:hint="eastAsia" w:ascii="Times New Roman" w:hAnsi="Times New Roman" w:eastAsia="宋体" w:cs="Times New Roman"/>
                <w:b/>
                <w:bCs/>
                <w:kern w:val="2"/>
                <w:sz w:val="21"/>
                <w:szCs w:val="21"/>
                <w:highlight w:val="none"/>
              </w:rPr>
            </w:pPr>
            <w:r>
              <w:rPr>
                <w:rFonts w:hint="eastAsia" w:ascii="Times New Roman" w:hAnsi="Times New Roman" w:eastAsia="宋体" w:cs="Times New Roman"/>
                <w:b/>
                <w:bCs/>
                <w:kern w:val="2"/>
                <w:sz w:val="21"/>
                <w:szCs w:val="21"/>
                <w:highlight w:val="none"/>
                <w:lang w:val="en-US" w:eastAsia="zh-CN"/>
              </w:rPr>
              <w:t>表</w:t>
            </w:r>
            <w:r>
              <w:rPr>
                <w:rFonts w:hint="eastAsia" w:cs="Times New Roman"/>
                <w:b/>
                <w:bCs/>
                <w:kern w:val="2"/>
                <w:sz w:val="21"/>
                <w:szCs w:val="21"/>
                <w:highlight w:val="none"/>
                <w:lang w:val="en-US" w:eastAsia="zh-CN"/>
              </w:rPr>
              <w:t>5-1</w:t>
            </w:r>
            <w:r>
              <w:rPr>
                <w:rFonts w:hint="eastAsia" w:ascii="Times New Roman" w:hAnsi="Times New Roman" w:eastAsia="宋体" w:cs="Times New Roman"/>
                <w:b/>
                <w:bCs/>
                <w:kern w:val="2"/>
                <w:sz w:val="21"/>
                <w:szCs w:val="21"/>
                <w:highlight w:val="none"/>
                <w:lang w:val="en-US" w:eastAsia="zh-CN"/>
              </w:rPr>
              <w:t xml:space="preserve">   </w:t>
            </w:r>
            <w:r>
              <w:rPr>
                <w:rFonts w:hint="eastAsia" w:cs="Times New Roman"/>
                <w:b/>
                <w:bCs/>
                <w:kern w:val="2"/>
                <w:sz w:val="21"/>
                <w:szCs w:val="21"/>
                <w:highlight w:val="none"/>
                <w:lang w:val="en-US" w:eastAsia="zh-CN"/>
              </w:rPr>
              <w:t>回用水</w:t>
            </w:r>
            <w:r>
              <w:rPr>
                <w:rFonts w:hint="eastAsia" w:ascii="Times New Roman" w:hAnsi="Times New Roman" w:eastAsia="宋体" w:cs="Times New Roman"/>
                <w:b/>
                <w:bCs/>
                <w:kern w:val="2"/>
                <w:sz w:val="21"/>
                <w:szCs w:val="21"/>
                <w:highlight w:val="none"/>
              </w:rPr>
              <w:t>进水水质要求</w:t>
            </w:r>
          </w:p>
          <w:tbl>
            <w:tblPr>
              <w:tblStyle w:val="19"/>
              <w:tblW w:w="7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1"/>
              <w:gridCol w:w="3502"/>
              <w:gridCol w:w="837"/>
              <w:gridCol w:w="713"/>
              <w:gridCol w:w="2015"/>
            </w:tblGrid>
            <w:tr w14:paraId="681E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651" w:type="dxa"/>
                  <w:vAlign w:val="center"/>
                </w:tcPr>
                <w:p w14:paraId="3667824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序号</w:t>
                  </w:r>
                </w:p>
              </w:tc>
              <w:tc>
                <w:tcPr>
                  <w:tcW w:w="3502" w:type="dxa"/>
                  <w:vAlign w:val="center"/>
                </w:tcPr>
                <w:p w14:paraId="27FF8C2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检验项目</w:t>
                  </w:r>
                </w:p>
              </w:tc>
              <w:tc>
                <w:tcPr>
                  <w:tcW w:w="837" w:type="dxa"/>
                  <w:vAlign w:val="center"/>
                </w:tcPr>
                <w:p w14:paraId="2867AC6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数值</w:t>
                  </w:r>
                </w:p>
              </w:tc>
              <w:tc>
                <w:tcPr>
                  <w:tcW w:w="713" w:type="dxa"/>
                  <w:vAlign w:val="center"/>
                </w:tcPr>
                <w:p w14:paraId="24F1FCF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单位</w:t>
                  </w:r>
                </w:p>
              </w:tc>
              <w:tc>
                <w:tcPr>
                  <w:tcW w:w="2015" w:type="dxa"/>
                  <w:vAlign w:val="center"/>
                </w:tcPr>
                <w:p w14:paraId="35F82C1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备注</w:t>
                  </w:r>
                </w:p>
              </w:tc>
            </w:tr>
            <w:tr w14:paraId="2C95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651" w:type="dxa"/>
                  <w:vAlign w:val="center"/>
                </w:tcPr>
                <w:p w14:paraId="0DE617F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w:t>
                  </w:r>
                </w:p>
              </w:tc>
              <w:tc>
                <w:tcPr>
                  <w:tcW w:w="3502" w:type="dxa"/>
                  <w:vAlign w:val="center"/>
                </w:tcPr>
                <w:p w14:paraId="6E12F8D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化学需氧量COD</w:t>
                  </w:r>
                  <w:r>
                    <w:rPr>
                      <w:rFonts w:hint="default" w:ascii="Times New Roman" w:hAnsi="Times New Roman" w:eastAsia="宋体" w:cs="Times New Roman"/>
                      <w:b w:val="0"/>
                      <w:bCs w:val="0"/>
                      <w:highlight w:val="none"/>
                      <w:vertAlign w:val="subscript"/>
                      <w:lang w:val="en-US" w:eastAsia="zh-CN"/>
                    </w:rPr>
                    <w:t>cr</w:t>
                  </w:r>
                </w:p>
              </w:tc>
              <w:tc>
                <w:tcPr>
                  <w:tcW w:w="837" w:type="dxa"/>
                  <w:vAlign w:val="center"/>
                </w:tcPr>
                <w:p w14:paraId="45B93BB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≤50</w:t>
                  </w:r>
                </w:p>
              </w:tc>
              <w:tc>
                <w:tcPr>
                  <w:tcW w:w="713" w:type="dxa"/>
                  <w:vAlign w:val="center"/>
                </w:tcPr>
                <w:p w14:paraId="455FFCA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3A79EE4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447F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651" w:type="dxa"/>
                  <w:vAlign w:val="center"/>
                </w:tcPr>
                <w:p w14:paraId="7A7C1A0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w:t>
                  </w:r>
                </w:p>
              </w:tc>
              <w:tc>
                <w:tcPr>
                  <w:tcW w:w="3502" w:type="dxa"/>
                  <w:vAlign w:val="center"/>
                </w:tcPr>
                <w:p w14:paraId="25473B0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生化需氧量BOD</w:t>
                  </w:r>
                  <w:r>
                    <w:rPr>
                      <w:rFonts w:hint="default" w:ascii="Times New Roman" w:hAnsi="Times New Roman" w:eastAsia="宋体" w:cs="Times New Roman"/>
                      <w:b w:val="0"/>
                      <w:bCs w:val="0"/>
                      <w:highlight w:val="none"/>
                      <w:vertAlign w:val="subscript"/>
                      <w:lang w:val="en-US" w:eastAsia="zh-CN"/>
                    </w:rPr>
                    <w:t>5</w:t>
                  </w:r>
                </w:p>
              </w:tc>
              <w:tc>
                <w:tcPr>
                  <w:tcW w:w="837" w:type="dxa"/>
                  <w:vAlign w:val="center"/>
                </w:tcPr>
                <w:p w14:paraId="6A1747B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w:t>
                  </w:r>
                </w:p>
              </w:tc>
              <w:tc>
                <w:tcPr>
                  <w:tcW w:w="713" w:type="dxa"/>
                  <w:vAlign w:val="center"/>
                </w:tcPr>
                <w:p w14:paraId="057647D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38D5010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4287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651" w:type="dxa"/>
                  <w:vAlign w:val="center"/>
                </w:tcPr>
                <w:p w14:paraId="11DD9B1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w:t>
                  </w:r>
                </w:p>
              </w:tc>
              <w:tc>
                <w:tcPr>
                  <w:tcW w:w="3502" w:type="dxa"/>
                  <w:vAlign w:val="center"/>
                </w:tcPr>
                <w:p w14:paraId="7F939C2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氨氮NH</w:t>
                  </w:r>
                  <w:r>
                    <w:rPr>
                      <w:rFonts w:hint="default" w:ascii="Times New Roman" w:hAnsi="Times New Roman" w:eastAsia="宋体" w:cs="Times New Roman"/>
                      <w:b w:val="0"/>
                      <w:bCs w:val="0"/>
                      <w:highlight w:val="none"/>
                      <w:vertAlign w:val="subscript"/>
                      <w:lang w:val="en-US" w:eastAsia="zh-CN"/>
                    </w:rPr>
                    <w:t>3</w:t>
                  </w:r>
                  <w:r>
                    <w:rPr>
                      <w:rFonts w:hint="default" w:ascii="Times New Roman" w:hAnsi="Times New Roman" w:eastAsia="宋体" w:cs="Times New Roman"/>
                      <w:b w:val="0"/>
                      <w:bCs w:val="0"/>
                      <w:highlight w:val="none"/>
                      <w:lang w:val="en-US" w:eastAsia="zh-CN"/>
                    </w:rPr>
                    <w:t>-N</w:t>
                  </w:r>
                </w:p>
              </w:tc>
              <w:tc>
                <w:tcPr>
                  <w:tcW w:w="837" w:type="dxa"/>
                  <w:vAlign w:val="center"/>
                </w:tcPr>
                <w:p w14:paraId="628ABB9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w:t>
                  </w:r>
                </w:p>
              </w:tc>
              <w:tc>
                <w:tcPr>
                  <w:tcW w:w="713" w:type="dxa"/>
                  <w:vAlign w:val="center"/>
                </w:tcPr>
                <w:p w14:paraId="6E84047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231E8F7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4A23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651" w:type="dxa"/>
                  <w:vAlign w:val="center"/>
                </w:tcPr>
                <w:p w14:paraId="3EA5866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w:t>
                  </w:r>
                </w:p>
              </w:tc>
              <w:tc>
                <w:tcPr>
                  <w:tcW w:w="3502" w:type="dxa"/>
                  <w:vAlign w:val="center"/>
                </w:tcPr>
                <w:p w14:paraId="7B7FD6E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总氮TN</w:t>
                  </w:r>
                </w:p>
              </w:tc>
              <w:tc>
                <w:tcPr>
                  <w:tcW w:w="837" w:type="dxa"/>
                  <w:vAlign w:val="center"/>
                </w:tcPr>
                <w:p w14:paraId="3FBB4EC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713" w:type="dxa"/>
                  <w:vAlign w:val="center"/>
                </w:tcPr>
                <w:p w14:paraId="3203482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0A5EA33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4C17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651" w:type="dxa"/>
                  <w:vAlign w:val="center"/>
                </w:tcPr>
                <w:p w14:paraId="6EB322F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w:t>
                  </w:r>
                </w:p>
              </w:tc>
              <w:tc>
                <w:tcPr>
                  <w:tcW w:w="3502" w:type="dxa"/>
                  <w:vAlign w:val="center"/>
                </w:tcPr>
                <w:p w14:paraId="63924ED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油</w:t>
                  </w:r>
                </w:p>
              </w:tc>
              <w:tc>
                <w:tcPr>
                  <w:tcW w:w="837" w:type="dxa"/>
                  <w:vAlign w:val="center"/>
                </w:tcPr>
                <w:p w14:paraId="3CB163C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w:t>
                  </w:r>
                </w:p>
              </w:tc>
              <w:tc>
                <w:tcPr>
                  <w:tcW w:w="713" w:type="dxa"/>
                  <w:vAlign w:val="center"/>
                </w:tcPr>
                <w:p w14:paraId="73B7385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0829A5E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48A7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651" w:type="dxa"/>
                  <w:vAlign w:val="center"/>
                </w:tcPr>
                <w:p w14:paraId="6D30309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6</w:t>
                  </w:r>
                </w:p>
              </w:tc>
              <w:tc>
                <w:tcPr>
                  <w:tcW w:w="3502" w:type="dxa"/>
                  <w:vAlign w:val="center"/>
                </w:tcPr>
                <w:p w14:paraId="42B591B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pH</w:t>
                  </w:r>
                </w:p>
              </w:tc>
              <w:tc>
                <w:tcPr>
                  <w:tcW w:w="837" w:type="dxa"/>
                  <w:vAlign w:val="center"/>
                </w:tcPr>
                <w:p w14:paraId="703263C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7~9</w:t>
                  </w:r>
                </w:p>
              </w:tc>
              <w:tc>
                <w:tcPr>
                  <w:tcW w:w="713" w:type="dxa"/>
                  <w:vAlign w:val="center"/>
                </w:tcPr>
                <w:p w14:paraId="3A49660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c>
                <w:tcPr>
                  <w:tcW w:w="2015" w:type="dxa"/>
                  <w:vAlign w:val="center"/>
                </w:tcPr>
                <w:p w14:paraId="1F596ED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2775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651" w:type="dxa"/>
                  <w:vAlign w:val="center"/>
                </w:tcPr>
                <w:p w14:paraId="53E98BD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7</w:t>
                  </w:r>
                </w:p>
              </w:tc>
              <w:tc>
                <w:tcPr>
                  <w:tcW w:w="3502" w:type="dxa"/>
                  <w:vAlign w:val="center"/>
                </w:tcPr>
                <w:p w14:paraId="4C1ADB5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SS</w:t>
                  </w:r>
                </w:p>
              </w:tc>
              <w:tc>
                <w:tcPr>
                  <w:tcW w:w="837" w:type="dxa"/>
                  <w:vAlign w:val="center"/>
                </w:tcPr>
                <w:p w14:paraId="64375D1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≤50</w:t>
                  </w:r>
                </w:p>
              </w:tc>
              <w:tc>
                <w:tcPr>
                  <w:tcW w:w="713" w:type="dxa"/>
                  <w:vAlign w:val="center"/>
                </w:tcPr>
                <w:p w14:paraId="192FE74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1965592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46169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651" w:type="dxa"/>
                  <w:vAlign w:val="center"/>
                </w:tcPr>
                <w:p w14:paraId="7322753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8</w:t>
                  </w:r>
                </w:p>
              </w:tc>
              <w:tc>
                <w:tcPr>
                  <w:tcW w:w="3502" w:type="dxa"/>
                  <w:vAlign w:val="center"/>
                </w:tcPr>
                <w:p w14:paraId="5A65CDE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TDS</w:t>
                  </w:r>
                </w:p>
              </w:tc>
              <w:tc>
                <w:tcPr>
                  <w:tcW w:w="837" w:type="dxa"/>
                  <w:vAlign w:val="center"/>
                </w:tcPr>
                <w:p w14:paraId="7781EE4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≤3500</w:t>
                  </w:r>
                </w:p>
              </w:tc>
              <w:tc>
                <w:tcPr>
                  <w:tcW w:w="713" w:type="dxa"/>
                  <w:vAlign w:val="center"/>
                </w:tcPr>
                <w:p w14:paraId="42D88A7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54A8DC3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03CE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651" w:type="dxa"/>
                  <w:vAlign w:val="center"/>
                </w:tcPr>
                <w:p w14:paraId="2E8A8F6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9</w:t>
                  </w:r>
                </w:p>
              </w:tc>
              <w:tc>
                <w:tcPr>
                  <w:tcW w:w="3502" w:type="dxa"/>
                  <w:vAlign w:val="center"/>
                </w:tcPr>
                <w:p w14:paraId="72964A0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Na</w:t>
                  </w:r>
                  <w:r>
                    <w:rPr>
                      <w:rFonts w:hint="default" w:ascii="Times New Roman" w:hAnsi="Times New Roman" w:eastAsia="宋体" w:cs="Times New Roman"/>
                      <w:b w:val="0"/>
                      <w:bCs w:val="0"/>
                      <w:highlight w:val="none"/>
                      <w:vertAlign w:val="superscript"/>
                      <w:lang w:val="en-US" w:eastAsia="zh-CN"/>
                    </w:rPr>
                    <w:t>+</w:t>
                  </w:r>
                </w:p>
              </w:tc>
              <w:tc>
                <w:tcPr>
                  <w:tcW w:w="837" w:type="dxa"/>
                  <w:vAlign w:val="center"/>
                </w:tcPr>
                <w:p w14:paraId="290DAC1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≤556</w:t>
                  </w:r>
                </w:p>
              </w:tc>
              <w:tc>
                <w:tcPr>
                  <w:tcW w:w="713" w:type="dxa"/>
                  <w:vAlign w:val="center"/>
                </w:tcPr>
                <w:p w14:paraId="709CE16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3E08528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426D9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651" w:type="dxa"/>
                  <w:vAlign w:val="center"/>
                </w:tcPr>
                <w:p w14:paraId="5DC239A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10</w:t>
                  </w:r>
                </w:p>
              </w:tc>
              <w:tc>
                <w:tcPr>
                  <w:tcW w:w="3502" w:type="dxa"/>
                  <w:vAlign w:val="center"/>
                </w:tcPr>
                <w:p w14:paraId="4639CD1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K</w:t>
                  </w:r>
                  <w:r>
                    <w:rPr>
                      <w:rFonts w:hint="default" w:ascii="Times New Roman" w:hAnsi="Times New Roman" w:eastAsia="宋体" w:cs="Times New Roman"/>
                      <w:b w:val="0"/>
                      <w:bCs w:val="0"/>
                      <w:highlight w:val="none"/>
                      <w:vertAlign w:val="superscript"/>
                      <w:lang w:val="en-US" w:eastAsia="zh-CN"/>
                    </w:rPr>
                    <w:t>+</w:t>
                  </w:r>
                </w:p>
              </w:tc>
              <w:tc>
                <w:tcPr>
                  <w:tcW w:w="837" w:type="dxa"/>
                  <w:vAlign w:val="center"/>
                </w:tcPr>
                <w:p w14:paraId="7A8D454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≤22</w:t>
                  </w:r>
                </w:p>
              </w:tc>
              <w:tc>
                <w:tcPr>
                  <w:tcW w:w="713" w:type="dxa"/>
                  <w:vAlign w:val="center"/>
                </w:tcPr>
                <w:p w14:paraId="723A79D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46BC9C2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24AE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651" w:type="dxa"/>
                  <w:vAlign w:val="center"/>
                </w:tcPr>
                <w:p w14:paraId="41803EA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11</w:t>
                  </w:r>
                </w:p>
              </w:tc>
              <w:tc>
                <w:tcPr>
                  <w:tcW w:w="3502" w:type="dxa"/>
                  <w:vAlign w:val="center"/>
                </w:tcPr>
                <w:p w14:paraId="09EF65B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Ca</w:t>
                  </w:r>
                  <w:r>
                    <w:rPr>
                      <w:rFonts w:hint="default" w:ascii="Times New Roman" w:hAnsi="Times New Roman" w:eastAsia="宋体" w:cs="Times New Roman"/>
                      <w:b w:val="0"/>
                      <w:bCs w:val="0"/>
                      <w:highlight w:val="none"/>
                      <w:vertAlign w:val="superscript"/>
                      <w:lang w:val="en-US" w:eastAsia="zh-CN"/>
                    </w:rPr>
                    <w:t>2+</w:t>
                  </w:r>
                </w:p>
              </w:tc>
              <w:tc>
                <w:tcPr>
                  <w:tcW w:w="837" w:type="dxa"/>
                  <w:vAlign w:val="center"/>
                </w:tcPr>
                <w:p w14:paraId="4AB6C54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≤304</w:t>
                  </w:r>
                </w:p>
              </w:tc>
              <w:tc>
                <w:tcPr>
                  <w:tcW w:w="713" w:type="dxa"/>
                  <w:vAlign w:val="center"/>
                </w:tcPr>
                <w:p w14:paraId="1AB8DE5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0A1E404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2A13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651" w:type="dxa"/>
                  <w:vAlign w:val="center"/>
                </w:tcPr>
                <w:p w14:paraId="25FA339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12</w:t>
                  </w:r>
                </w:p>
              </w:tc>
              <w:tc>
                <w:tcPr>
                  <w:tcW w:w="3502" w:type="dxa"/>
                  <w:vAlign w:val="center"/>
                </w:tcPr>
                <w:p w14:paraId="6FAC13B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w:t>
                  </w:r>
                  <w:r>
                    <w:rPr>
                      <w:rFonts w:hint="default" w:ascii="Times New Roman" w:hAnsi="Times New Roman" w:eastAsia="宋体" w:cs="Times New Roman"/>
                      <w:b w:val="0"/>
                      <w:bCs w:val="0"/>
                      <w:highlight w:val="none"/>
                      <w:vertAlign w:val="superscript"/>
                      <w:lang w:val="en-US" w:eastAsia="zh-CN"/>
                    </w:rPr>
                    <w:t>2+</w:t>
                  </w:r>
                </w:p>
              </w:tc>
              <w:tc>
                <w:tcPr>
                  <w:tcW w:w="837" w:type="dxa"/>
                  <w:vAlign w:val="center"/>
                </w:tcPr>
                <w:p w14:paraId="13E31BB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≤187</w:t>
                  </w:r>
                </w:p>
              </w:tc>
              <w:tc>
                <w:tcPr>
                  <w:tcW w:w="713" w:type="dxa"/>
                  <w:vAlign w:val="center"/>
                </w:tcPr>
                <w:p w14:paraId="129C134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0D9759D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67F5E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651" w:type="dxa"/>
                  <w:vAlign w:val="center"/>
                </w:tcPr>
                <w:p w14:paraId="5BD1CA4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13</w:t>
                  </w:r>
                </w:p>
              </w:tc>
              <w:tc>
                <w:tcPr>
                  <w:tcW w:w="3502" w:type="dxa"/>
                  <w:vAlign w:val="center"/>
                </w:tcPr>
                <w:p w14:paraId="7E261CF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Fe</w:t>
                  </w:r>
                  <w:r>
                    <w:rPr>
                      <w:rFonts w:hint="default" w:ascii="Times New Roman" w:hAnsi="Times New Roman" w:eastAsia="宋体" w:cs="Times New Roman"/>
                      <w:b w:val="0"/>
                      <w:bCs w:val="0"/>
                      <w:highlight w:val="none"/>
                      <w:vertAlign w:val="superscript"/>
                      <w:lang w:val="en-US" w:eastAsia="zh-CN"/>
                    </w:rPr>
                    <w:t>3+</w:t>
                  </w:r>
                </w:p>
              </w:tc>
              <w:tc>
                <w:tcPr>
                  <w:tcW w:w="837" w:type="dxa"/>
                  <w:vAlign w:val="center"/>
                </w:tcPr>
                <w:p w14:paraId="5270E2F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713" w:type="dxa"/>
                  <w:vAlign w:val="center"/>
                </w:tcPr>
                <w:p w14:paraId="53C84C6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4F4E460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3142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651" w:type="dxa"/>
                  <w:vAlign w:val="center"/>
                </w:tcPr>
                <w:p w14:paraId="02F7D3B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14</w:t>
                  </w:r>
                </w:p>
              </w:tc>
              <w:tc>
                <w:tcPr>
                  <w:tcW w:w="3502" w:type="dxa"/>
                  <w:vAlign w:val="center"/>
                </w:tcPr>
                <w:p w14:paraId="6291F5A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Al</w:t>
                  </w:r>
                  <w:r>
                    <w:rPr>
                      <w:rFonts w:hint="default" w:ascii="Times New Roman" w:hAnsi="Times New Roman" w:eastAsia="宋体" w:cs="Times New Roman"/>
                      <w:b w:val="0"/>
                      <w:bCs w:val="0"/>
                      <w:highlight w:val="none"/>
                      <w:vertAlign w:val="superscript"/>
                      <w:lang w:val="en-US" w:eastAsia="zh-CN"/>
                    </w:rPr>
                    <w:t>3+</w:t>
                  </w:r>
                </w:p>
              </w:tc>
              <w:tc>
                <w:tcPr>
                  <w:tcW w:w="837" w:type="dxa"/>
                  <w:vAlign w:val="center"/>
                </w:tcPr>
                <w:p w14:paraId="14073C0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713" w:type="dxa"/>
                  <w:vAlign w:val="center"/>
                </w:tcPr>
                <w:p w14:paraId="41DD4C2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1C98511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18C01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651" w:type="dxa"/>
                  <w:vAlign w:val="center"/>
                </w:tcPr>
                <w:p w14:paraId="71725AE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15</w:t>
                  </w:r>
                </w:p>
              </w:tc>
              <w:tc>
                <w:tcPr>
                  <w:tcW w:w="3502" w:type="dxa"/>
                  <w:vAlign w:val="center"/>
                </w:tcPr>
                <w:p w14:paraId="4B57BCC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NH</w:t>
                  </w:r>
                  <w:r>
                    <w:rPr>
                      <w:rFonts w:hint="default" w:ascii="Times New Roman" w:hAnsi="Times New Roman" w:eastAsia="宋体" w:cs="Times New Roman"/>
                      <w:b w:val="0"/>
                      <w:bCs w:val="0"/>
                      <w:highlight w:val="none"/>
                      <w:vertAlign w:val="superscript"/>
                      <w:lang w:val="en-US" w:eastAsia="zh-CN"/>
                    </w:rPr>
                    <w:t>4</w:t>
                  </w:r>
                  <w:r>
                    <w:rPr>
                      <w:rFonts w:hint="eastAsia" w:ascii="Times New Roman" w:hAnsi="Times New Roman" w:eastAsia="宋体" w:cs="Times New Roman"/>
                      <w:b w:val="0"/>
                      <w:bCs w:val="0"/>
                      <w:highlight w:val="none"/>
                      <w:vertAlign w:val="superscript"/>
                      <w:lang w:val="en-US" w:eastAsia="zh-CN"/>
                    </w:rPr>
                    <w:t>+</w:t>
                  </w:r>
                </w:p>
              </w:tc>
              <w:tc>
                <w:tcPr>
                  <w:tcW w:w="837" w:type="dxa"/>
                  <w:vAlign w:val="center"/>
                </w:tcPr>
                <w:p w14:paraId="4AB74A9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w:t>
                  </w:r>
                </w:p>
              </w:tc>
              <w:tc>
                <w:tcPr>
                  <w:tcW w:w="713" w:type="dxa"/>
                  <w:vAlign w:val="center"/>
                </w:tcPr>
                <w:p w14:paraId="7A7B0BF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2C22C8E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74EF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651" w:type="dxa"/>
                  <w:vAlign w:val="center"/>
                </w:tcPr>
                <w:p w14:paraId="161307A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16</w:t>
                  </w:r>
                </w:p>
              </w:tc>
              <w:tc>
                <w:tcPr>
                  <w:tcW w:w="3502" w:type="dxa"/>
                  <w:vAlign w:val="center"/>
                </w:tcPr>
                <w:p w14:paraId="6BD870F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Ba</w:t>
                  </w:r>
                  <w:r>
                    <w:rPr>
                      <w:rFonts w:hint="default" w:ascii="Times New Roman" w:hAnsi="Times New Roman" w:eastAsia="宋体" w:cs="Times New Roman"/>
                      <w:b w:val="0"/>
                      <w:bCs w:val="0"/>
                      <w:highlight w:val="none"/>
                      <w:vertAlign w:val="superscript"/>
                      <w:lang w:val="en-US" w:eastAsia="zh-CN"/>
                    </w:rPr>
                    <w:t>2+</w:t>
                  </w:r>
                </w:p>
              </w:tc>
              <w:tc>
                <w:tcPr>
                  <w:tcW w:w="837" w:type="dxa"/>
                  <w:vAlign w:val="center"/>
                </w:tcPr>
                <w:p w14:paraId="0273AAF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≤0.52</w:t>
                  </w:r>
                </w:p>
              </w:tc>
              <w:tc>
                <w:tcPr>
                  <w:tcW w:w="713" w:type="dxa"/>
                  <w:vAlign w:val="center"/>
                </w:tcPr>
                <w:p w14:paraId="34F467D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16C52CB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6EB5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651" w:type="dxa"/>
                  <w:vAlign w:val="center"/>
                </w:tcPr>
                <w:p w14:paraId="520F480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17</w:t>
                  </w:r>
                </w:p>
              </w:tc>
              <w:tc>
                <w:tcPr>
                  <w:tcW w:w="3502" w:type="dxa"/>
                  <w:vAlign w:val="center"/>
                </w:tcPr>
                <w:p w14:paraId="66C40FE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Sr</w:t>
                  </w:r>
                  <w:r>
                    <w:rPr>
                      <w:rFonts w:hint="default" w:ascii="Times New Roman" w:hAnsi="Times New Roman" w:eastAsia="宋体" w:cs="Times New Roman"/>
                      <w:b w:val="0"/>
                      <w:bCs w:val="0"/>
                      <w:highlight w:val="none"/>
                      <w:vertAlign w:val="superscript"/>
                      <w:lang w:val="en-US" w:eastAsia="zh-CN"/>
                    </w:rPr>
                    <w:t>2+</w:t>
                  </w:r>
                </w:p>
              </w:tc>
              <w:tc>
                <w:tcPr>
                  <w:tcW w:w="837" w:type="dxa"/>
                  <w:vAlign w:val="center"/>
                </w:tcPr>
                <w:p w14:paraId="1CEF10A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≤5.24</w:t>
                  </w:r>
                </w:p>
              </w:tc>
              <w:tc>
                <w:tcPr>
                  <w:tcW w:w="713" w:type="dxa"/>
                  <w:vAlign w:val="center"/>
                </w:tcPr>
                <w:p w14:paraId="4C4DC90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65E01FE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4482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651" w:type="dxa"/>
                  <w:vAlign w:val="center"/>
                </w:tcPr>
                <w:p w14:paraId="4360291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18</w:t>
                  </w:r>
                </w:p>
              </w:tc>
              <w:tc>
                <w:tcPr>
                  <w:tcW w:w="3502" w:type="dxa"/>
                  <w:vAlign w:val="center"/>
                </w:tcPr>
                <w:p w14:paraId="6E55900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Mn</w:t>
                  </w:r>
                  <w:r>
                    <w:rPr>
                      <w:rFonts w:hint="default" w:ascii="Times New Roman" w:hAnsi="Times New Roman" w:eastAsia="宋体" w:cs="Times New Roman"/>
                      <w:b w:val="0"/>
                      <w:bCs w:val="0"/>
                      <w:highlight w:val="none"/>
                      <w:vertAlign w:val="superscript"/>
                      <w:lang w:val="en-US" w:eastAsia="zh-CN"/>
                    </w:rPr>
                    <w:t>2+</w:t>
                  </w:r>
                </w:p>
              </w:tc>
              <w:tc>
                <w:tcPr>
                  <w:tcW w:w="837" w:type="dxa"/>
                  <w:vAlign w:val="center"/>
                </w:tcPr>
                <w:p w14:paraId="628FB6C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713" w:type="dxa"/>
                  <w:vAlign w:val="center"/>
                </w:tcPr>
                <w:p w14:paraId="1F248C5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7EBC94F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6B86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651" w:type="dxa"/>
                  <w:vAlign w:val="center"/>
                </w:tcPr>
                <w:p w14:paraId="6316771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19</w:t>
                  </w:r>
                </w:p>
              </w:tc>
              <w:tc>
                <w:tcPr>
                  <w:tcW w:w="3502" w:type="dxa"/>
                  <w:vAlign w:val="center"/>
                </w:tcPr>
                <w:p w14:paraId="2273032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Cu</w:t>
                  </w:r>
                  <w:r>
                    <w:rPr>
                      <w:rFonts w:hint="default" w:ascii="Times New Roman" w:hAnsi="Times New Roman" w:eastAsia="宋体" w:cs="Times New Roman"/>
                      <w:b w:val="0"/>
                      <w:bCs w:val="0"/>
                      <w:highlight w:val="none"/>
                      <w:vertAlign w:val="superscript"/>
                      <w:lang w:val="en-US" w:eastAsia="zh-CN"/>
                    </w:rPr>
                    <w:t>2+</w:t>
                  </w:r>
                </w:p>
              </w:tc>
              <w:tc>
                <w:tcPr>
                  <w:tcW w:w="837" w:type="dxa"/>
                  <w:vAlign w:val="center"/>
                </w:tcPr>
                <w:p w14:paraId="098F298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713" w:type="dxa"/>
                  <w:vAlign w:val="center"/>
                </w:tcPr>
                <w:p w14:paraId="7479CDC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7BCC198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5CBE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651" w:type="dxa"/>
                  <w:vAlign w:val="center"/>
                </w:tcPr>
                <w:p w14:paraId="0837ADA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20</w:t>
                  </w:r>
                </w:p>
              </w:tc>
              <w:tc>
                <w:tcPr>
                  <w:tcW w:w="3502" w:type="dxa"/>
                  <w:vAlign w:val="center"/>
                </w:tcPr>
                <w:p w14:paraId="46B3E74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Zn</w:t>
                  </w:r>
                  <w:r>
                    <w:rPr>
                      <w:rFonts w:hint="default" w:ascii="Times New Roman" w:hAnsi="Times New Roman" w:eastAsia="宋体" w:cs="Times New Roman"/>
                      <w:b w:val="0"/>
                      <w:bCs w:val="0"/>
                      <w:highlight w:val="none"/>
                      <w:vertAlign w:val="superscript"/>
                      <w:lang w:val="en-US" w:eastAsia="zh-CN"/>
                    </w:rPr>
                    <w:t>2+</w:t>
                  </w:r>
                </w:p>
              </w:tc>
              <w:tc>
                <w:tcPr>
                  <w:tcW w:w="837" w:type="dxa"/>
                  <w:vAlign w:val="center"/>
                </w:tcPr>
                <w:p w14:paraId="0D19BA0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713" w:type="dxa"/>
                  <w:vAlign w:val="center"/>
                </w:tcPr>
                <w:p w14:paraId="44FCD0C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0F8FE68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43CA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651" w:type="dxa"/>
                  <w:vAlign w:val="center"/>
                </w:tcPr>
                <w:p w14:paraId="025C3E5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21</w:t>
                  </w:r>
                </w:p>
              </w:tc>
              <w:tc>
                <w:tcPr>
                  <w:tcW w:w="3502" w:type="dxa"/>
                  <w:vAlign w:val="center"/>
                </w:tcPr>
                <w:p w14:paraId="57EEBD3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Cl</w:t>
                  </w:r>
                  <w:r>
                    <w:rPr>
                      <w:rFonts w:hint="default" w:ascii="Times New Roman" w:hAnsi="Times New Roman" w:eastAsia="宋体" w:cs="Times New Roman"/>
                      <w:b w:val="0"/>
                      <w:bCs w:val="0"/>
                      <w:highlight w:val="none"/>
                      <w:vertAlign w:val="superscript"/>
                      <w:lang w:val="en-US" w:eastAsia="zh-CN"/>
                    </w:rPr>
                    <w:t>-</w:t>
                  </w:r>
                </w:p>
              </w:tc>
              <w:tc>
                <w:tcPr>
                  <w:tcW w:w="837" w:type="dxa"/>
                  <w:vAlign w:val="center"/>
                </w:tcPr>
                <w:p w14:paraId="7886014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≤577</w:t>
                  </w:r>
                </w:p>
              </w:tc>
              <w:tc>
                <w:tcPr>
                  <w:tcW w:w="713" w:type="dxa"/>
                  <w:vAlign w:val="center"/>
                </w:tcPr>
                <w:p w14:paraId="141F720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0BD27BB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13DA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651" w:type="dxa"/>
                  <w:vAlign w:val="center"/>
                </w:tcPr>
                <w:p w14:paraId="28DDD53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22</w:t>
                  </w:r>
                </w:p>
              </w:tc>
              <w:tc>
                <w:tcPr>
                  <w:tcW w:w="3502" w:type="dxa"/>
                  <w:vAlign w:val="center"/>
                </w:tcPr>
                <w:p w14:paraId="5465976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SO</w:t>
                  </w:r>
                  <w:r>
                    <w:rPr>
                      <w:rFonts w:hint="default" w:ascii="Times New Roman" w:hAnsi="Times New Roman" w:eastAsia="宋体" w:cs="Times New Roman"/>
                      <w:b w:val="0"/>
                      <w:bCs w:val="0"/>
                      <w:highlight w:val="none"/>
                      <w:vertAlign w:val="subscript"/>
                      <w:lang w:val="en-US" w:eastAsia="zh-CN"/>
                    </w:rPr>
                    <w:t>4</w:t>
                  </w:r>
                  <w:r>
                    <w:rPr>
                      <w:rFonts w:hint="default" w:ascii="Times New Roman" w:hAnsi="Times New Roman" w:eastAsia="宋体" w:cs="Times New Roman"/>
                      <w:b w:val="0"/>
                      <w:bCs w:val="0"/>
                      <w:highlight w:val="none"/>
                      <w:vertAlign w:val="superscript"/>
                      <w:lang w:val="en-US" w:eastAsia="zh-CN"/>
                    </w:rPr>
                    <w:t>2-</w:t>
                  </w:r>
                </w:p>
              </w:tc>
              <w:tc>
                <w:tcPr>
                  <w:tcW w:w="837" w:type="dxa"/>
                  <w:vAlign w:val="center"/>
                </w:tcPr>
                <w:p w14:paraId="51110FE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≤790</w:t>
                  </w:r>
                </w:p>
              </w:tc>
              <w:tc>
                <w:tcPr>
                  <w:tcW w:w="713" w:type="dxa"/>
                  <w:vAlign w:val="center"/>
                </w:tcPr>
                <w:p w14:paraId="48B948D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5DA1D01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1644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651" w:type="dxa"/>
                  <w:vAlign w:val="center"/>
                </w:tcPr>
                <w:p w14:paraId="57815BE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23</w:t>
                  </w:r>
                </w:p>
              </w:tc>
              <w:tc>
                <w:tcPr>
                  <w:tcW w:w="3502" w:type="dxa"/>
                  <w:vAlign w:val="center"/>
                </w:tcPr>
                <w:p w14:paraId="6ACAB9B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HCO</w:t>
                  </w:r>
                  <w:r>
                    <w:rPr>
                      <w:rFonts w:hint="default" w:ascii="Times New Roman" w:hAnsi="Times New Roman" w:eastAsia="宋体" w:cs="Times New Roman"/>
                      <w:b w:val="0"/>
                      <w:bCs w:val="0"/>
                      <w:highlight w:val="none"/>
                      <w:vertAlign w:val="subscript"/>
                      <w:lang w:val="en-US" w:eastAsia="zh-CN"/>
                    </w:rPr>
                    <w:t>3</w:t>
                  </w:r>
                  <w:r>
                    <w:rPr>
                      <w:rFonts w:hint="eastAsia" w:ascii="Times New Roman" w:hAnsi="Times New Roman" w:eastAsia="宋体" w:cs="Times New Roman"/>
                      <w:b w:val="0"/>
                      <w:bCs w:val="0"/>
                      <w:highlight w:val="none"/>
                      <w:vertAlign w:val="superscript"/>
                      <w:lang w:val="en-US" w:eastAsia="zh-CN"/>
                    </w:rPr>
                    <w:t>-</w:t>
                  </w:r>
                </w:p>
              </w:tc>
              <w:tc>
                <w:tcPr>
                  <w:tcW w:w="837" w:type="dxa"/>
                  <w:vAlign w:val="center"/>
                </w:tcPr>
                <w:p w14:paraId="6C5F803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≤1282</w:t>
                  </w:r>
                </w:p>
              </w:tc>
              <w:tc>
                <w:tcPr>
                  <w:tcW w:w="713" w:type="dxa"/>
                  <w:vAlign w:val="center"/>
                </w:tcPr>
                <w:p w14:paraId="552E664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4C4947C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7C63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51" w:type="dxa"/>
                  <w:vAlign w:val="center"/>
                </w:tcPr>
                <w:p w14:paraId="7AEA972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24</w:t>
                  </w:r>
                </w:p>
              </w:tc>
              <w:tc>
                <w:tcPr>
                  <w:tcW w:w="3502" w:type="dxa"/>
                  <w:vAlign w:val="center"/>
                </w:tcPr>
                <w:p w14:paraId="06C97FC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CO</w:t>
                  </w:r>
                  <w:r>
                    <w:rPr>
                      <w:rFonts w:hint="default" w:ascii="Times New Roman" w:hAnsi="Times New Roman" w:eastAsia="宋体" w:cs="Times New Roman"/>
                      <w:b w:val="0"/>
                      <w:bCs w:val="0"/>
                      <w:highlight w:val="none"/>
                      <w:vertAlign w:val="subscript"/>
                      <w:lang w:val="en-US" w:eastAsia="zh-CN"/>
                    </w:rPr>
                    <w:t>3</w:t>
                  </w:r>
                  <w:r>
                    <w:rPr>
                      <w:rFonts w:hint="default" w:ascii="Times New Roman" w:hAnsi="Times New Roman" w:eastAsia="宋体" w:cs="Times New Roman"/>
                      <w:b w:val="0"/>
                      <w:bCs w:val="0"/>
                      <w:highlight w:val="none"/>
                      <w:vertAlign w:val="superscript"/>
                      <w:lang w:val="en-US" w:eastAsia="zh-CN"/>
                    </w:rPr>
                    <w:t>2-</w:t>
                  </w:r>
                </w:p>
              </w:tc>
              <w:tc>
                <w:tcPr>
                  <w:tcW w:w="837" w:type="dxa"/>
                  <w:vAlign w:val="center"/>
                </w:tcPr>
                <w:p w14:paraId="0132049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≤41</w:t>
                  </w:r>
                </w:p>
              </w:tc>
              <w:tc>
                <w:tcPr>
                  <w:tcW w:w="713" w:type="dxa"/>
                  <w:vAlign w:val="center"/>
                </w:tcPr>
                <w:p w14:paraId="0B6264E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2B90BB1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2460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651" w:type="dxa"/>
                  <w:vAlign w:val="center"/>
                </w:tcPr>
                <w:p w14:paraId="46559EA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25</w:t>
                  </w:r>
                </w:p>
              </w:tc>
              <w:tc>
                <w:tcPr>
                  <w:tcW w:w="3502" w:type="dxa"/>
                  <w:vAlign w:val="center"/>
                </w:tcPr>
                <w:p w14:paraId="631EE05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NO</w:t>
                  </w:r>
                  <w:r>
                    <w:rPr>
                      <w:rFonts w:hint="default" w:ascii="Times New Roman" w:hAnsi="Times New Roman" w:eastAsia="宋体" w:cs="Times New Roman"/>
                      <w:b w:val="0"/>
                      <w:bCs w:val="0"/>
                      <w:highlight w:val="none"/>
                      <w:vertAlign w:val="subscript"/>
                      <w:lang w:val="en-US" w:eastAsia="zh-CN"/>
                    </w:rPr>
                    <w:t>3</w:t>
                  </w:r>
                  <w:r>
                    <w:rPr>
                      <w:rFonts w:hint="eastAsia" w:ascii="Times New Roman" w:hAnsi="Times New Roman" w:eastAsia="宋体" w:cs="Times New Roman"/>
                      <w:b w:val="0"/>
                      <w:bCs w:val="0"/>
                      <w:highlight w:val="none"/>
                      <w:vertAlign w:val="superscript"/>
                      <w:lang w:val="en-US" w:eastAsia="zh-CN"/>
                    </w:rPr>
                    <w:t>-</w:t>
                  </w:r>
                </w:p>
              </w:tc>
              <w:tc>
                <w:tcPr>
                  <w:tcW w:w="837" w:type="dxa"/>
                  <w:vAlign w:val="center"/>
                </w:tcPr>
                <w:p w14:paraId="0898504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≤12</w:t>
                  </w:r>
                </w:p>
              </w:tc>
              <w:tc>
                <w:tcPr>
                  <w:tcW w:w="713" w:type="dxa"/>
                  <w:vAlign w:val="center"/>
                </w:tcPr>
                <w:p w14:paraId="3DBF853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50E1765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78D7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651" w:type="dxa"/>
                  <w:vAlign w:val="center"/>
                </w:tcPr>
                <w:p w14:paraId="4BCADA2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26</w:t>
                  </w:r>
                </w:p>
              </w:tc>
              <w:tc>
                <w:tcPr>
                  <w:tcW w:w="3502" w:type="dxa"/>
                  <w:vAlign w:val="center"/>
                </w:tcPr>
                <w:p w14:paraId="42B7238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NO</w:t>
                  </w:r>
                  <w:r>
                    <w:rPr>
                      <w:rFonts w:hint="default" w:ascii="Times New Roman" w:hAnsi="Times New Roman" w:eastAsia="宋体" w:cs="Times New Roman"/>
                      <w:b w:val="0"/>
                      <w:bCs w:val="0"/>
                      <w:highlight w:val="none"/>
                      <w:vertAlign w:val="subscript"/>
                      <w:lang w:val="en-US" w:eastAsia="zh-CN"/>
                    </w:rPr>
                    <w:t>3</w:t>
                  </w:r>
                  <w:r>
                    <w:rPr>
                      <w:rFonts w:hint="eastAsia" w:ascii="Times New Roman" w:hAnsi="Times New Roman" w:eastAsia="宋体" w:cs="Times New Roman"/>
                      <w:b w:val="0"/>
                      <w:bCs w:val="0"/>
                      <w:highlight w:val="none"/>
                      <w:vertAlign w:val="superscript"/>
                      <w:lang w:val="en-US" w:eastAsia="zh-CN"/>
                    </w:rPr>
                    <w:t>-</w:t>
                  </w:r>
                </w:p>
              </w:tc>
              <w:tc>
                <w:tcPr>
                  <w:tcW w:w="837" w:type="dxa"/>
                  <w:vAlign w:val="center"/>
                </w:tcPr>
                <w:p w14:paraId="7C9EC23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713" w:type="dxa"/>
                  <w:vAlign w:val="center"/>
                </w:tcPr>
                <w:p w14:paraId="0C0999C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3F13042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7122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651" w:type="dxa"/>
                  <w:vAlign w:val="center"/>
                </w:tcPr>
                <w:p w14:paraId="517F0FC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27</w:t>
                  </w:r>
                </w:p>
              </w:tc>
              <w:tc>
                <w:tcPr>
                  <w:tcW w:w="3502" w:type="dxa"/>
                  <w:vAlign w:val="center"/>
                </w:tcPr>
                <w:p w14:paraId="10D0891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OH-</w:t>
                  </w:r>
                </w:p>
              </w:tc>
              <w:tc>
                <w:tcPr>
                  <w:tcW w:w="837" w:type="dxa"/>
                  <w:vAlign w:val="center"/>
                </w:tcPr>
                <w:p w14:paraId="602CFE4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713" w:type="dxa"/>
                  <w:vAlign w:val="center"/>
                </w:tcPr>
                <w:p w14:paraId="4E3E2D3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7EB4069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0EA1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651" w:type="dxa"/>
                  <w:vAlign w:val="center"/>
                </w:tcPr>
                <w:p w14:paraId="096F6D2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28</w:t>
                  </w:r>
                </w:p>
              </w:tc>
              <w:tc>
                <w:tcPr>
                  <w:tcW w:w="3502" w:type="dxa"/>
                  <w:vAlign w:val="center"/>
                </w:tcPr>
                <w:p w14:paraId="3488478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HSiO</w:t>
                  </w:r>
                  <w:r>
                    <w:rPr>
                      <w:rFonts w:hint="default" w:ascii="Times New Roman" w:hAnsi="Times New Roman" w:eastAsia="宋体" w:cs="Times New Roman"/>
                      <w:b w:val="0"/>
                      <w:bCs w:val="0"/>
                      <w:highlight w:val="none"/>
                      <w:vertAlign w:val="subscript"/>
                      <w:lang w:val="en-US" w:eastAsia="zh-CN"/>
                    </w:rPr>
                    <w:t>3</w:t>
                  </w:r>
                  <w:r>
                    <w:rPr>
                      <w:rFonts w:hint="eastAsia" w:ascii="Times New Roman" w:hAnsi="Times New Roman" w:eastAsia="宋体" w:cs="Times New Roman"/>
                      <w:b w:val="0"/>
                      <w:bCs w:val="0"/>
                      <w:highlight w:val="none"/>
                      <w:vertAlign w:val="superscript"/>
                      <w:lang w:val="en-US" w:eastAsia="zh-CN"/>
                    </w:rPr>
                    <w:t>-</w:t>
                  </w:r>
                </w:p>
              </w:tc>
              <w:tc>
                <w:tcPr>
                  <w:tcW w:w="837" w:type="dxa"/>
                  <w:vAlign w:val="center"/>
                </w:tcPr>
                <w:p w14:paraId="053274C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713" w:type="dxa"/>
                  <w:vAlign w:val="center"/>
                </w:tcPr>
                <w:p w14:paraId="07423ED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41E7131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00F1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651" w:type="dxa"/>
                  <w:vAlign w:val="center"/>
                </w:tcPr>
                <w:p w14:paraId="487EF48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29</w:t>
                  </w:r>
                </w:p>
              </w:tc>
              <w:tc>
                <w:tcPr>
                  <w:tcW w:w="3502" w:type="dxa"/>
                  <w:vAlign w:val="center"/>
                </w:tcPr>
                <w:p w14:paraId="6D45AEC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F</w:t>
                  </w:r>
                  <w:r>
                    <w:rPr>
                      <w:rFonts w:hint="default" w:ascii="Times New Roman" w:hAnsi="Times New Roman" w:eastAsia="宋体" w:cs="Times New Roman"/>
                      <w:b w:val="0"/>
                      <w:bCs w:val="0"/>
                      <w:highlight w:val="none"/>
                      <w:vertAlign w:val="superscript"/>
                      <w:lang w:val="en-US" w:eastAsia="zh-CN"/>
                    </w:rPr>
                    <w:t>-</w:t>
                  </w:r>
                </w:p>
              </w:tc>
              <w:tc>
                <w:tcPr>
                  <w:tcW w:w="837" w:type="dxa"/>
                  <w:vAlign w:val="center"/>
                </w:tcPr>
                <w:p w14:paraId="1DD4EE9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w:t>
                  </w:r>
                </w:p>
              </w:tc>
              <w:tc>
                <w:tcPr>
                  <w:tcW w:w="713" w:type="dxa"/>
                  <w:vAlign w:val="center"/>
                </w:tcPr>
                <w:p w14:paraId="26159DC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301282B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57BC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651" w:type="dxa"/>
                  <w:vAlign w:val="center"/>
                </w:tcPr>
                <w:p w14:paraId="5C1962F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30</w:t>
                  </w:r>
                </w:p>
              </w:tc>
              <w:tc>
                <w:tcPr>
                  <w:tcW w:w="3502" w:type="dxa"/>
                  <w:vAlign w:val="center"/>
                </w:tcPr>
                <w:p w14:paraId="5BD5F57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PO</w:t>
                  </w:r>
                  <w:r>
                    <w:rPr>
                      <w:rFonts w:hint="default" w:ascii="Times New Roman" w:hAnsi="Times New Roman" w:eastAsia="宋体" w:cs="Times New Roman"/>
                      <w:b w:val="0"/>
                      <w:bCs w:val="0"/>
                      <w:highlight w:val="none"/>
                      <w:vertAlign w:val="subscript"/>
                      <w:lang w:val="en-US" w:eastAsia="zh-CN"/>
                    </w:rPr>
                    <w:t>4</w:t>
                  </w:r>
                  <w:r>
                    <w:rPr>
                      <w:rFonts w:hint="default" w:ascii="Times New Roman" w:hAnsi="Times New Roman" w:eastAsia="宋体" w:cs="Times New Roman"/>
                      <w:b w:val="0"/>
                      <w:bCs w:val="0"/>
                      <w:highlight w:val="none"/>
                      <w:vertAlign w:val="superscript"/>
                      <w:lang w:val="en-US" w:eastAsia="zh-CN"/>
                    </w:rPr>
                    <w:t>3-</w:t>
                  </w:r>
                </w:p>
              </w:tc>
              <w:tc>
                <w:tcPr>
                  <w:tcW w:w="837" w:type="dxa"/>
                  <w:vAlign w:val="center"/>
                </w:tcPr>
                <w:p w14:paraId="078E46F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713" w:type="dxa"/>
                  <w:vAlign w:val="center"/>
                </w:tcPr>
                <w:p w14:paraId="3DA9935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28E2B9C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3032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651" w:type="dxa"/>
                  <w:vAlign w:val="center"/>
                </w:tcPr>
                <w:p w14:paraId="291CBB6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31</w:t>
                  </w:r>
                </w:p>
              </w:tc>
              <w:tc>
                <w:tcPr>
                  <w:tcW w:w="3502" w:type="dxa"/>
                  <w:vAlign w:val="center"/>
                </w:tcPr>
                <w:p w14:paraId="2F55AC1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S</w:t>
                  </w:r>
                  <w:r>
                    <w:rPr>
                      <w:rFonts w:hint="default" w:ascii="Times New Roman" w:hAnsi="Times New Roman" w:eastAsia="宋体" w:cs="Times New Roman"/>
                      <w:b w:val="0"/>
                      <w:bCs w:val="0"/>
                      <w:highlight w:val="none"/>
                      <w:vertAlign w:val="superscript"/>
                      <w:lang w:val="en-US" w:eastAsia="zh-CN"/>
                    </w:rPr>
                    <w:t>2-</w:t>
                  </w:r>
                </w:p>
              </w:tc>
              <w:tc>
                <w:tcPr>
                  <w:tcW w:w="837" w:type="dxa"/>
                  <w:vAlign w:val="center"/>
                </w:tcPr>
                <w:p w14:paraId="39C1A85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713" w:type="dxa"/>
                  <w:vAlign w:val="center"/>
                </w:tcPr>
                <w:p w14:paraId="21C51C1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029F57F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最大&lt;30mg/L</w:t>
                  </w:r>
                </w:p>
              </w:tc>
            </w:tr>
            <w:tr w14:paraId="7002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651" w:type="dxa"/>
                  <w:vAlign w:val="center"/>
                </w:tcPr>
                <w:p w14:paraId="3F0CEA9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32</w:t>
                  </w:r>
                </w:p>
              </w:tc>
              <w:tc>
                <w:tcPr>
                  <w:tcW w:w="3502" w:type="dxa"/>
                  <w:vAlign w:val="center"/>
                </w:tcPr>
                <w:p w14:paraId="6AD6897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HCOO</w:t>
                  </w:r>
                  <w:r>
                    <w:rPr>
                      <w:rFonts w:hint="default" w:ascii="Times New Roman" w:hAnsi="Times New Roman" w:eastAsia="宋体" w:cs="Times New Roman"/>
                      <w:b w:val="0"/>
                      <w:bCs w:val="0"/>
                      <w:highlight w:val="none"/>
                      <w:vertAlign w:val="superscript"/>
                      <w:lang w:val="en-US" w:eastAsia="zh-CN"/>
                    </w:rPr>
                    <w:t>-</w:t>
                  </w:r>
                </w:p>
              </w:tc>
              <w:tc>
                <w:tcPr>
                  <w:tcW w:w="837" w:type="dxa"/>
                  <w:vAlign w:val="center"/>
                </w:tcPr>
                <w:p w14:paraId="0E36D23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713" w:type="dxa"/>
                  <w:vAlign w:val="center"/>
                </w:tcPr>
                <w:p w14:paraId="412A326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3A05673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2BBB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651" w:type="dxa"/>
                  <w:vAlign w:val="center"/>
                </w:tcPr>
                <w:p w14:paraId="6661CB7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33</w:t>
                  </w:r>
                </w:p>
              </w:tc>
              <w:tc>
                <w:tcPr>
                  <w:tcW w:w="3502" w:type="dxa"/>
                  <w:vAlign w:val="center"/>
                </w:tcPr>
                <w:p w14:paraId="2677ACF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CN</w:t>
                  </w:r>
                  <w:r>
                    <w:rPr>
                      <w:rFonts w:hint="default" w:ascii="Times New Roman" w:hAnsi="Times New Roman" w:eastAsia="宋体" w:cs="Times New Roman"/>
                      <w:b w:val="0"/>
                      <w:bCs w:val="0"/>
                      <w:highlight w:val="none"/>
                      <w:vertAlign w:val="superscript"/>
                      <w:lang w:val="en-US" w:eastAsia="zh-CN"/>
                    </w:rPr>
                    <w:t>-</w:t>
                  </w:r>
                </w:p>
              </w:tc>
              <w:tc>
                <w:tcPr>
                  <w:tcW w:w="837" w:type="dxa"/>
                  <w:vAlign w:val="center"/>
                </w:tcPr>
                <w:p w14:paraId="753E647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w:t>
                  </w:r>
                </w:p>
              </w:tc>
              <w:tc>
                <w:tcPr>
                  <w:tcW w:w="713" w:type="dxa"/>
                  <w:vAlign w:val="center"/>
                </w:tcPr>
                <w:p w14:paraId="5C50BEA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4BC7ED0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0548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651" w:type="dxa"/>
                  <w:vAlign w:val="center"/>
                </w:tcPr>
                <w:p w14:paraId="38B3E74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34</w:t>
                  </w:r>
                </w:p>
              </w:tc>
              <w:tc>
                <w:tcPr>
                  <w:tcW w:w="3502" w:type="dxa"/>
                  <w:vAlign w:val="center"/>
                </w:tcPr>
                <w:p w14:paraId="35E48EF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总硬度（以CaCO</w:t>
                  </w:r>
                  <w:r>
                    <w:rPr>
                      <w:rFonts w:hint="default" w:ascii="Times New Roman" w:hAnsi="Times New Roman" w:eastAsia="宋体" w:cs="Times New Roman"/>
                      <w:b w:val="0"/>
                      <w:bCs w:val="0"/>
                      <w:highlight w:val="none"/>
                      <w:vertAlign w:val="subscript"/>
                      <w:lang w:val="en-US" w:eastAsia="zh-CN"/>
                    </w:rPr>
                    <w:t>3</w:t>
                  </w:r>
                  <w:r>
                    <w:rPr>
                      <w:rFonts w:hint="default" w:ascii="Times New Roman" w:hAnsi="Times New Roman" w:eastAsia="宋体" w:cs="Times New Roman"/>
                      <w:b w:val="0"/>
                      <w:bCs w:val="0"/>
                      <w:highlight w:val="none"/>
                      <w:lang w:val="en-US" w:eastAsia="zh-CN"/>
                    </w:rPr>
                    <w:t>计）</w:t>
                  </w:r>
                </w:p>
              </w:tc>
              <w:tc>
                <w:tcPr>
                  <w:tcW w:w="837" w:type="dxa"/>
                  <w:vAlign w:val="center"/>
                </w:tcPr>
                <w:p w14:paraId="5F0994D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≤1500</w:t>
                  </w:r>
                </w:p>
              </w:tc>
              <w:tc>
                <w:tcPr>
                  <w:tcW w:w="713" w:type="dxa"/>
                  <w:vAlign w:val="center"/>
                </w:tcPr>
                <w:p w14:paraId="2ACB995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5004C23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r w14:paraId="58BF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651" w:type="dxa"/>
                  <w:vAlign w:val="center"/>
                </w:tcPr>
                <w:p w14:paraId="3BC4245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35</w:t>
                  </w:r>
                </w:p>
              </w:tc>
              <w:tc>
                <w:tcPr>
                  <w:tcW w:w="3502" w:type="dxa"/>
                  <w:vAlign w:val="center"/>
                </w:tcPr>
                <w:p w14:paraId="0E3B7B4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全硅</w:t>
                  </w:r>
                </w:p>
              </w:tc>
              <w:tc>
                <w:tcPr>
                  <w:tcW w:w="837" w:type="dxa"/>
                  <w:vAlign w:val="center"/>
                </w:tcPr>
                <w:p w14:paraId="79BAFFF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≤45</w:t>
                  </w:r>
                </w:p>
              </w:tc>
              <w:tc>
                <w:tcPr>
                  <w:tcW w:w="713" w:type="dxa"/>
                  <w:vAlign w:val="center"/>
                </w:tcPr>
                <w:p w14:paraId="53BA826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mg/L</w:t>
                  </w:r>
                </w:p>
              </w:tc>
              <w:tc>
                <w:tcPr>
                  <w:tcW w:w="2015" w:type="dxa"/>
                  <w:vAlign w:val="center"/>
                </w:tcPr>
                <w:p w14:paraId="77A8A89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highlight w:val="none"/>
                      <w:lang w:val="en-US" w:eastAsia="zh-CN"/>
                    </w:rPr>
                  </w:pPr>
                  <w:r>
                    <w:rPr>
                      <w:rFonts w:hint="eastAsia" w:cs="Times New Roman"/>
                      <w:b w:val="0"/>
                      <w:bCs w:val="0"/>
                      <w:highlight w:val="none"/>
                      <w:lang w:val="en-US" w:eastAsia="zh-CN"/>
                    </w:rPr>
                    <w:t>/</w:t>
                  </w:r>
                </w:p>
              </w:tc>
            </w:tr>
          </w:tbl>
          <w:p w14:paraId="760A0C65">
            <w:pPr>
              <w:adjustRightInd/>
              <w:snapToGrid/>
              <w:spacing w:after="0" w:line="360" w:lineRule="auto"/>
              <w:ind w:left="0" w:leftChars="0" w:firstLine="482" w:firstLineChars="200"/>
              <w:rPr>
                <w:rFonts w:hint="default" w:ascii="Times New Roman" w:hAnsi="Times New Roman" w:eastAsia="宋体" w:cs="Times New Roman"/>
                <w:b/>
                <w:bCs/>
                <w:sz w:val="24"/>
                <w:szCs w:val="32"/>
                <w:highlight w:val="none"/>
                <w:lang w:val="en-US" w:eastAsia="zh-CN"/>
              </w:rPr>
            </w:pPr>
            <w:r>
              <w:rPr>
                <w:rFonts w:hint="eastAsia" w:ascii="Times New Roman" w:hAnsi="Times New Roman" w:eastAsia="宋体" w:cs="Times New Roman"/>
                <w:b/>
                <w:bCs/>
                <w:sz w:val="24"/>
                <w:szCs w:val="32"/>
                <w:highlight w:val="none"/>
                <w:lang w:val="en-US" w:eastAsia="zh-CN"/>
              </w:rPr>
              <w:t>4</w:t>
            </w:r>
            <w:r>
              <w:rPr>
                <w:rFonts w:hint="eastAsia" w:cs="Times New Roman"/>
                <w:b/>
                <w:bCs/>
                <w:sz w:val="24"/>
                <w:szCs w:val="32"/>
                <w:highlight w:val="none"/>
                <w:lang w:val="en-US" w:eastAsia="zh-CN"/>
              </w:rPr>
              <w:t>.</w:t>
            </w:r>
            <w:r>
              <w:rPr>
                <w:rFonts w:hint="eastAsia" w:ascii="Times New Roman" w:hAnsi="Times New Roman" w:eastAsia="宋体" w:cs="Times New Roman"/>
                <w:b/>
                <w:bCs/>
                <w:sz w:val="24"/>
                <w:szCs w:val="32"/>
                <w:highlight w:val="none"/>
                <w:lang w:val="en-US" w:eastAsia="zh-CN"/>
              </w:rPr>
              <w:t>施工期固体废物保护措施</w:t>
            </w:r>
          </w:p>
          <w:p w14:paraId="69F831E7">
            <w:pPr>
              <w:spacing w:line="360" w:lineRule="auto"/>
              <w:ind w:firstLine="480" w:firstLineChars="200"/>
              <w:rPr>
                <w:rFonts w:hint="eastAsia"/>
                <w:sz w:val="24"/>
                <w:highlight w:val="none"/>
                <w:lang w:val="zh-CN"/>
              </w:rPr>
            </w:pPr>
            <w:r>
              <w:rPr>
                <w:rFonts w:hint="eastAsia"/>
                <w:sz w:val="24"/>
                <w:highlight w:val="none"/>
                <w:lang w:val="zh-CN"/>
              </w:rPr>
              <w:t>施工期产生的固体废物主要为施工废料、废油漆桶及生活垃圾。</w:t>
            </w:r>
          </w:p>
          <w:p w14:paraId="7ED4AADE">
            <w:pPr>
              <w:spacing w:line="360" w:lineRule="auto"/>
              <w:ind w:firstLine="480" w:firstLineChars="200"/>
              <w:rPr>
                <w:rFonts w:hint="eastAsia"/>
                <w:sz w:val="24"/>
                <w:highlight w:val="none"/>
                <w:lang w:val="zh-CN"/>
              </w:rPr>
            </w:pPr>
            <w:r>
              <w:rPr>
                <w:rFonts w:hint="eastAsia"/>
                <w:sz w:val="24"/>
                <w:highlight w:val="none"/>
                <w:lang w:val="zh-CN"/>
              </w:rPr>
              <w:t>①施工废料</w:t>
            </w:r>
          </w:p>
          <w:p w14:paraId="531A1206">
            <w:pPr>
              <w:spacing w:line="360" w:lineRule="auto"/>
              <w:ind w:firstLine="480" w:firstLineChars="200"/>
              <w:rPr>
                <w:bCs/>
                <w:sz w:val="24"/>
                <w:highlight w:val="none"/>
              </w:rPr>
            </w:pPr>
            <w:r>
              <w:rPr>
                <w:rFonts w:hint="eastAsia"/>
                <w:sz w:val="24"/>
                <w:highlight w:val="none"/>
                <w:lang w:val="zh-CN"/>
              </w:rPr>
              <w:t>施工废料主要包括管道焊接作业中产生的废焊条、焊渣、防腐材料、保温作业中产生的废防腐材料、废保温材料等。本项目施工过程产生的施工废料量约为</w:t>
            </w:r>
            <w:r>
              <w:rPr>
                <w:rFonts w:hint="eastAsia"/>
                <w:sz w:val="24"/>
                <w:highlight w:val="none"/>
                <w:lang w:val="en-US" w:eastAsia="zh-CN"/>
              </w:rPr>
              <w:t>0.5</w:t>
            </w:r>
            <w:r>
              <w:rPr>
                <w:rFonts w:hint="eastAsia"/>
                <w:sz w:val="24"/>
                <w:highlight w:val="none"/>
                <w:lang w:val="zh-CN"/>
              </w:rPr>
              <w:t>t。</w:t>
            </w:r>
            <w:r>
              <w:rPr>
                <w:bCs/>
                <w:sz w:val="24"/>
                <w:highlight w:val="none"/>
              </w:rPr>
              <w:t>收集后</w:t>
            </w:r>
            <w:r>
              <w:rPr>
                <w:rFonts w:hint="eastAsia"/>
                <w:bCs/>
                <w:sz w:val="24"/>
                <w:highlight w:val="none"/>
              </w:rPr>
              <w:t>由施工单位清运，可以进行回收利用的外售</w:t>
            </w:r>
            <w:r>
              <w:rPr>
                <w:rFonts w:hint="eastAsia"/>
                <w:bCs/>
                <w:sz w:val="24"/>
                <w:highlight w:val="none"/>
                <w:lang w:eastAsia="zh-CN"/>
              </w:rPr>
              <w:t>并</w:t>
            </w:r>
            <w:r>
              <w:rPr>
                <w:rFonts w:hint="eastAsia"/>
                <w:bCs/>
                <w:sz w:val="24"/>
                <w:highlight w:val="none"/>
              </w:rPr>
              <w:t>综合利用</w:t>
            </w:r>
            <w:r>
              <w:rPr>
                <w:rFonts w:hint="eastAsia"/>
                <w:bCs/>
                <w:sz w:val="24"/>
                <w:highlight w:val="none"/>
                <w:lang w:eastAsia="zh-CN"/>
              </w:rPr>
              <w:t>。</w:t>
            </w:r>
            <w:r>
              <w:rPr>
                <w:rFonts w:hint="eastAsia"/>
                <w:bCs/>
                <w:sz w:val="24"/>
                <w:highlight w:val="none"/>
              </w:rPr>
              <w:t>对不能回收利用的</w:t>
            </w:r>
            <w:r>
              <w:rPr>
                <w:rFonts w:hint="eastAsia"/>
                <w:bCs/>
                <w:sz w:val="24"/>
                <w:highlight w:val="none"/>
                <w:lang w:eastAsia="zh-CN"/>
              </w:rPr>
              <w:t>垃圾</w:t>
            </w:r>
            <w:r>
              <w:rPr>
                <w:rFonts w:hint="eastAsia"/>
                <w:bCs/>
                <w:sz w:val="24"/>
                <w:highlight w:val="none"/>
              </w:rPr>
              <w:t>运送至就近的建筑垃圾处理厂</w:t>
            </w:r>
            <w:r>
              <w:rPr>
                <w:rFonts w:hint="eastAsia"/>
                <w:bCs/>
                <w:sz w:val="24"/>
                <w:highlight w:val="none"/>
                <w:lang w:eastAsia="zh-CN"/>
              </w:rPr>
              <w:t>进行</w:t>
            </w:r>
            <w:r>
              <w:rPr>
                <w:rFonts w:hint="eastAsia"/>
                <w:bCs/>
                <w:sz w:val="24"/>
                <w:highlight w:val="none"/>
              </w:rPr>
              <w:t>统一处理</w:t>
            </w:r>
            <w:r>
              <w:rPr>
                <w:bCs/>
                <w:sz w:val="24"/>
                <w:highlight w:val="none"/>
              </w:rPr>
              <w:t>。</w:t>
            </w:r>
          </w:p>
          <w:p w14:paraId="3F28D459">
            <w:pPr>
              <w:spacing w:line="360" w:lineRule="auto"/>
              <w:ind w:firstLine="480" w:firstLineChars="200"/>
              <w:rPr>
                <w:rFonts w:hint="eastAsia"/>
                <w:sz w:val="24"/>
                <w:highlight w:val="none"/>
                <w:lang w:val="zh-CN"/>
              </w:rPr>
            </w:pPr>
            <w:r>
              <w:rPr>
                <w:rFonts w:hint="eastAsia"/>
                <w:sz w:val="24"/>
                <w:highlight w:val="none"/>
                <w:lang w:val="zh-CN"/>
              </w:rPr>
              <w:t>②废油漆桶</w:t>
            </w:r>
          </w:p>
          <w:p w14:paraId="6BD715A4">
            <w:pPr>
              <w:adjustRightInd w:val="0"/>
              <w:snapToGrid w:val="0"/>
              <w:spacing w:line="360" w:lineRule="auto"/>
              <w:ind w:firstLine="480" w:firstLineChars="200"/>
              <w:rPr>
                <w:rFonts w:hint="default" w:eastAsia="宋体"/>
                <w:sz w:val="24"/>
                <w:highlight w:val="none"/>
                <w:lang w:val="en-US" w:eastAsia="zh-CN"/>
              </w:rPr>
            </w:pPr>
            <w:r>
              <w:rPr>
                <w:rFonts w:hint="eastAsia"/>
                <w:sz w:val="24"/>
                <w:highlight w:val="none"/>
              </w:rPr>
              <w:t>本项目</w:t>
            </w:r>
            <w:r>
              <w:rPr>
                <w:rFonts w:hint="eastAsia"/>
                <w:sz w:val="24"/>
                <w:highlight w:val="none"/>
                <w:lang w:val="en-US" w:eastAsia="zh-CN"/>
              </w:rPr>
              <w:t>产生废油桶共计5kg，</w:t>
            </w:r>
            <w:r>
              <w:rPr>
                <w:rFonts w:hint="eastAsia"/>
                <w:sz w:val="24"/>
                <w:highlight w:val="none"/>
              </w:rPr>
              <w:t>依托内蒙古伊泰化工有限责任公司</w:t>
            </w:r>
            <w:r>
              <w:rPr>
                <w:rFonts w:hint="eastAsia"/>
                <w:sz w:val="24"/>
                <w:highlight w:val="none"/>
                <w:lang w:val="en-US" w:eastAsia="zh-CN"/>
              </w:rPr>
              <w:t>现有</w:t>
            </w:r>
            <w:r>
              <w:rPr>
                <w:rFonts w:hint="eastAsia"/>
                <w:sz w:val="24"/>
                <w:highlight w:val="none"/>
              </w:rPr>
              <w:t>危险废物暂存库，</w:t>
            </w:r>
            <w:r>
              <w:rPr>
                <w:rFonts w:hint="eastAsia"/>
                <w:sz w:val="24"/>
                <w:highlight w:val="none"/>
                <w:lang w:val="en-US" w:eastAsia="zh-CN"/>
              </w:rPr>
              <w:t>2021年4月，《内蒙古伊泰化工有限责任公司危险废物储存仓库建设项目环境影响报告表》取得鄂尔多斯市生态环境局批复（鄂环</w:t>
            </w:r>
            <w:r>
              <w:rPr>
                <w:rFonts w:hint="eastAsia" w:ascii="Times New Roman" w:hAnsi="Times New Roman" w:eastAsia="宋体" w:cs="Times New Roman"/>
                <w:sz w:val="24"/>
                <w:highlight w:val="none"/>
                <w:lang w:val="en-US" w:eastAsia="zh-CN"/>
              </w:rPr>
              <w:t>审〔2021〕349</w:t>
            </w:r>
            <w:r>
              <w:rPr>
                <w:rFonts w:hint="eastAsia"/>
                <w:sz w:val="24"/>
                <w:highlight w:val="none"/>
                <w:lang w:val="en-US" w:eastAsia="zh-CN"/>
              </w:rPr>
              <w:t>号），2022年3月通过自主验收。</w:t>
            </w:r>
          </w:p>
          <w:p w14:paraId="0673E301">
            <w:pPr>
              <w:spacing w:line="360" w:lineRule="auto"/>
              <w:ind w:firstLine="480" w:firstLineChars="200"/>
              <w:rPr>
                <w:highlight w:val="none"/>
              </w:rPr>
            </w:pPr>
            <w:r>
              <w:rPr>
                <w:rFonts w:hint="eastAsia"/>
                <w:sz w:val="24"/>
                <w:highlight w:val="none"/>
              </w:rPr>
              <w:t>利用现有1座危废暂存库，占地面积</w:t>
            </w:r>
            <w:r>
              <w:rPr>
                <w:rFonts w:hint="eastAsia"/>
                <w:sz w:val="24"/>
                <w:highlight w:val="none"/>
                <w:lang w:val="en-US" w:eastAsia="zh-CN"/>
              </w:rPr>
              <w:t>417.28</w:t>
            </w:r>
            <w:r>
              <w:rPr>
                <w:sz w:val="24"/>
                <w:highlight w:val="none"/>
              </w:rPr>
              <w:t>m</w:t>
            </w:r>
            <w:r>
              <w:rPr>
                <w:sz w:val="24"/>
                <w:highlight w:val="none"/>
                <w:vertAlign w:val="superscript"/>
              </w:rPr>
              <w:t>2</w:t>
            </w:r>
            <w:r>
              <w:rPr>
                <w:rFonts w:hint="eastAsia"/>
                <w:sz w:val="24"/>
                <w:highlight w:val="none"/>
              </w:rPr>
              <w:t>。危废暂存库地面及裙脚、导流渠、集液池防渗措施自下而上依次为：基础防渗层+2mm厚HDPE防渗膜+30cm抗渗C30混凝土结构+环氧树脂涂层防腐，防渗系数≤1.0×10</w:t>
            </w:r>
            <w:r>
              <w:rPr>
                <w:rFonts w:hint="eastAsia"/>
                <w:sz w:val="24"/>
                <w:highlight w:val="none"/>
                <w:vertAlign w:val="superscript"/>
              </w:rPr>
              <w:t>-10</w:t>
            </w:r>
            <w:r>
              <w:rPr>
                <w:rFonts w:hint="eastAsia"/>
                <w:sz w:val="24"/>
                <w:highlight w:val="none"/>
              </w:rPr>
              <w:t>cm/s；配备消防沙箱；库房内外均设有视频监控设施，设有危险废物标识牌、防爆灯及应急照明装置；管理制度完善，危废暂存库采取双人双锁管理。</w:t>
            </w:r>
            <w:r>
              <w:rPr>
                <w:rFonts w:hint="eastAsia"/>
                <w:sz w:val="24"/>
                <w:highlight w:val="none"/>
                <w:lang w:val="en-US" w:eastAsia="zh-CN"/>
              </w:rPr>
              <w:t>本项目</w:t>
            </w:r>
            <w:r>
              <w:rPr>
                <w:rFonts w:hint="eastAsia"/>
                <w:sz w:val="24"/>
                <w:highlight w:val="none"/>
                <w:lang w:val="zh-CN"/>
              </w:rPr>
              <w:t>废油漆桶属于《国家危险废物名录》（2025年版）中HW49其他废物，废物代码为900-041-49“含有或沾染毒性、感染性危险废物的废弃包装物、容器、过滤吸附介质”，应分类收集，</w:t>
            </w:r>
            <w:r>
              <w:rPr>
                <w:rFonts w:hint="eastAsia"/>
                <w:sz w:val="24"/>
                <w:highlight w:val="none"/>
              </w:rPr>
              <w:t>可满足本项目需求</w:t>
            </w:r>
            <w:r>
              <w:rPr>
                <w:rFonts w:hint="eastAsia"/>
                <w:sz w:val="24"/>
                <w:highlight w:val="none"/>
                <w:lang w:eastAsia="zh-CN"/>
              </w:rPr>
              <w:t>。</w:t>
            </w:r>
          </w:p>
          <w:p w14:paraId="1B0E6FCB">
            <w:pPr>
              <w:spacing w:line="360" w:lineRule="auto"/>
              <w:ind w:firstLine="480" w:firstLineChars="200"/>
              <w:rPr>
                <w:rFonts w:hint="eastAsia"/>
                <w:sz w:val="24"/>
                <w:highlight w:val="none"/>
                <w:lang w:val="zh-CN"/>
              </w:rPr>
            </w:pPr>
            <w:r>
              <w:rPr>
                <w:rFonts w:hint="eastAsia"/>
                <w:sz w:val="24"/>
                <w:highlight w:val="none"/>
                <w:lang w:val="zh-CN"/>
              </w:rPr>
              <w:t>③生活垃圾</w:t>
            </w:r>
          </w:p>
          <w:p w14:paraId="76346195">
            <w:pPr>
              <w:spacing w:line="360" w:lineRule="auto"/>
              <w:ind w:firstLine="480" w:firstLineChars="200"/>
              <w:rPr>
                <w:rFonts w:hint="eastAsia"/>
                <w:sz w:val="24"/>
                <w:highlight w:val="none"/>
                <w:lang w:val="zh-CN"/>
              </w:rPr>
            </w:pPr>
            <w:r>
              <w:rPr>
                <w:rFonts w:hint="eastAsia"/>
                <w:b w:val="0"/>
                <w:bCs/>
                <w:sz w:val="24"/>
                <w:szCs w:val="32"/>
                <w:highlight w:val="none"/>
                <w:lang w:val="en-US" w:eastAsia="zh-CN"/>
              </w:rPr>
              <w:t>施工</w:t>
            </w:r>
            <w:r>
              <w:rPr>
                <w:rFonts w:hint="eastAsia"/>
                <w:b w:val="0"/>
                <w:bCs/>
                <w:sz w:val="24"/>
                <w:szCs w:val="32"/>
                <w:highlight w:val="none"/>
              </w:rPr>
              <w:t>人员</w:t>
            </w:r>
            <w:r>
              <w:rPr>
                <w:rFonts w:hint="eastAsia"/>
                <w:b w:val="0"/>
                <w:bCs/>
                <w:sz w:val="24"/>
                <w:szCs w:val="32"/>
                <w:highlight w:val="none"/>
                <w:lang w:val="en-US" w:eastAsia="zh-CN"/>
              </w:rPr>
              <w:t>依托内蒙古伊泰化工有限责任公司现有设施，本次工程不新增生活垃圾</w:t>
            </w:r>
            <w:r>
              <w:rPr>
                <w:rFonts w:hint="eastAsia"/>
                <w:sz w:val="24"/>
                <w:highlight w:val="none"/>
                <w:lang w:val="zh-CN"/>
              </w:rPr>
              <w:t>。</w:t>
            </w:r>
            <w:r>
              <w:rPr>
                <w:bCs/>
                <w:sz w:val="24"/>
                <w:highlight w:val="none"/>
              </w:rPr>
              <w:t>生活垃圾经</w:t>
            </w:r>
            <w:r>
              <w:rPr>
                <w:rFonts w:hint="eastAsia"/>
                <w:bCs/>
                <w:sz w:val="24"/>
                <w:highlight w:val="none"/>
                <w:lang w:val="en-US" w:eastAsia="zh-CN"/>
              </w:rPr>
              <w:t>厂区垃圾桶</w:t>
            </w:r>
            <w:r>
              <w:rPr>
                <w:bCs/>
                <w:sz w:val="24"/>
                <w:highlight w:val="none"/>
              </w:rPr>
              <w:t>收集后</w:t>
            </w:r>
            <w:r>
              <w:rPr>
                <w:rFonts w:hint="eastAsia"/>
                <w:bCs/>
                <w:sz w:val="24"/>
                <w:highlight w:val="none"/>
                <w:lang w:val="en-US" w:eastAsia="zh-CN"/>
              </w:rPr>
              <w:t>统一由环卫部门处置</w:t>
            </w:r>
            <w:r>
              <w:rPr>
                <w:bCs/>
                <w:sz w:val="24"/>
                <w:highlight w:val="none"/>
              </w:rPr>
              <w:t>。</w:t>
            </w:r>
          </w:p>
          <w:p w14:paraId="609752C3">
            <w:pPr>
              <w:adjustRightInd/>
              <w:snapToGrid/>
              <w:spacing w:after="0" w:line="360" w:lineRule="auto"/>
              <w:ind w:left="0" w:leftChars="0" w:firstLine="482" w:firstLineChars="200"/>
              <w:rPr>
                <w:rFonts w:hint="default" w:ascii="Times New Roman" w:hAnsi="Times New Roman" w:eastAsia="宋体" w:cs="Times New Roman"/>
                <w:b/>
                <w:bCs/>
                <w:sz w:val="24"/>
                <w:szCs w:val="32"/>
                <w:highlight w:val="none"/>
                <w:lang w:val="en-US" w:eastAsia="zh-CN"/>
              </w:rPr>
            </w:pPr>
            <w:r>
              <w:rPr>
                <w:rFonts w:hint="eastAsia" w:ascii="Times New Roman" w:hAnsi="Times New Roman" w:eastAsia="宋体" w:cs="Times New Roman"/>
                <w:b/>
                <w:bCs/>
                <w:sz w:val="24"/>
                <w:szCs w:val="32"/>
                <w:highlight w:val="none"/>
                <w:lang w:val="en-US" w:eastAsia="zh-CN"/>
              </w:rPr>
              <w:t>5</w:t>
            </w:r>
            <w:r>
              <w:rPr>
                <w:rFonts w:hint="eastAsia" w:cs="Times New Roman"/>
                <w:b/>
                <w:bCs/>
                <w:sz w:val="24"/>
                <w:szCs w:val="32"/>
                <w:highlight w:val="none"/>
                <w:lang w:val="en-US" w:eastAsia="zh-CN"/>
              </w:rPr>
              <w:t>.</w:t>
            </w:r>
            <w:r>
              <w:rPr>
                <w:rFonts w:hint="eastAsia" w:ascii="Times New Roman" w:hAnsi="Times New Roman" w:eastAsia="宋体" w:cs="Times New Roman"/>
                <w:b/>
                <w:bCs/>
                <w:sz w:val="24"/>
                <w:szCs w:val="32"/>
                <w:highlight w:val="none"/>
                <w:lang w:val="en-US" w:eastAsia="zh-CN"/>
              </w:rPr>
              <w:t>施工期生态环境保护措施</w:t>
            </w:r>
          </w:p>
          <w:p w14:paraId="617434EA">
            <w:pPr>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本项目</w:t>
            </w:r>
            <w:r>
              <w:rPr>
                <w:rFonts w:hint="eastAsia" w:cs="Times New Roman"/>
                <w:sz w:val="24"/>
                <w:highlight w:val="none"/>
                <w:lang w:val="en-US" w:eastAsia="zh-CN"/>
              </w:rPr>
              <w:t>厂区内</w:t>
            </w:r>
            <w:r>
              <w:rPr>
                <w:rFonts w:hint="eastAsia" w:ascii="Times New Roman" w:hAnsi="Times New Roman" w:eastAsia="宋体" w:cs="Times New Roman"/>
                <w:sz w:val="24"/>
                <w:highlight w:val="none"/>
                <w:lang w:val="en-US" w:eastAsia="zh-CN"/>
              </w:rPr>
              <w:t>用地性质为工业用地</w:t>
            </w:r>
            <w:r>
              <w:rPr>
                <w:rFonts w:hint="eastAsia" w:cs="Times New Roman"/>
                <w:sz w:val="24"/>
                <w:highlight w:val="none"/>
                <w:lang w:val="en-US" w:eastAsia="zh-CN"/>
              </w:rPr>
              <w:t>，厂区外部分用地为天然牧草地</w:t>
            </w:r>
            <w:r>
              <w:rPr>
                <w:rFonts w:hint="eastAsia" w:ascii="Times New Roman" w:hAnsi="Times New Roman" w:eastAsia="宋体" w:cs="Times New Roman"/>
                <w:sz w:val="24"/>
                <w:highlight w:val="none"/>
                <w:lang w:val="en-US" w:eastAsia="zh-CN"/>
              </w:rPr>
              <w:t>，新建支架地段为</w:t>
            </w:r>
            <w:r>
              <w:rPr>
                <w:rFonts w:hint="eastAsia" w:ascii="Times New Roman" w:hAnsi="Times New Roman" w:eastAsia="宋体" w:cs="Times New Roman"/>
                <w:sz w:val="24"/>
                <w:highlight w:val="none"/>
                <w:lang w:val="zh-CN"/>
              </w:rPr>
              <w:t>伊泰化工在原有联博管廊的基础上通过加固、加层的方式</w:t>
            </w:r>
            <w:r>
              <w:rPr>
                <w:rFonts w:hint="eastAsia" w:ascii="Times New Roman" w:hAnsi="Times New Roman" w:eastAsia="宋体" w:cs="Times New Roman"/>
                <w:sz w:val="24"/>
                <w:highlight w:val="none"/>
                <w:lang w:val="en-US" w:eastAsia="zh-CN"/>
              </w:rPr>
              <w:t>，无植被与野生动物。</w:t>
            </w:r>
            <w:r>
              <w:rPr>
                <w:rFonts w:hint="eastAsia" w:cs="Times New Roman"/>
                <w:sz w:val="24"/>
                <w:highlight w:val="none"/>
                <w:lang w:val="en-US" w:eastAsia="zh-CN"/>
              </w:rPr>
              <w:t>本项目WRT甲烷气、清净废水管道位于厂区外部分管道跨越厂区之间天然牧草地，均采取架空铺设，对地表植被和土壤结构的直接破坏较小</w:t>
            </w:r>
            <w:r>
              <w:rPr>
                <w:rFonts w:hint="eastAsia" w:ascii="Times New Roman" w:hAnsi="Times New Roman" w:eastAsia="宋体" w:cs="Times New Roman"/>
                <w:sz w:val="24"/>
                <w:highlight w:val="none"/>
                <w:lang w:val="en-US" w:eastAsia="zh-CN"/>
              </w:rPr>
              <w:t>。</w:t>
            </w:r>
          </w:p>
          <w:p w14:paraId="3E57A54E">
            <w:pPr>
              <w:spacing w:line="360" w:lineRule="auto"/>
              <w:ind w:firstLine="480" w:firstLineChars="200"/>
              <w:rPr>
                <w:rFonts w:hint="default" w:ascii="Times New Roman" w:hAnsi="Times New Roman" w:eastAsia="宋体" w:cs="Times New Roman"/>
                <w:sz w:val="24"/>
                <w:highlight w:val="none"/>
                <w:lang w:val="en-US"/>
              </w:rPr>
            </w:pPr>
            <w:r>
              <w:rPr>
                <w:rFonts w:hint="eastAsia" w:ascii="Times New Roman" w:hAnsi="Times New Roman" w:eastAsia="宋体" w:cs="Times New Roman"/>
                <w:sz w:val="24"/>
                <w:highlight w:val="none"/>
                <w:lang w:val="en-US" w:eastAsia="zh-CN"/>
              </w:rPr>
              <w:t>施工过程中主要防护措施有以下内容：</w:t>
            </w:r>
          </w:p>
          <w:p w14:paraId="68E617A1">
            <w:pPr>
              <w:spacing w:line="360" w:lineRule="auto"/>
              <w:ind w:firstLine="480" w:firstLineChars="200"/>
              <w:rPr>
                <w:rFonts w:hint="eastAsia"/>
                <w:sz w:val="24"/>
                <w:highlight w:val="none"/>
              </w:rPr>
            </w:pPr>
            <w:r>
              <w:rPr>
                <w:rFonts w:hint="eastAsia"/>
                <w:sz w:val="24"/>
                <w:highlight w:val="none"/>
                <w:lang w:val="zh-CN"/>
              </w:rPr>
              <w:t>①</w:t>
            </w:r>
            <w:r>
              <w:rPr>
                <w:rFonts w:hint="eastAsia"/>
                <w:sz w:val="24"/>
                <w:highlight w:val="none"/>
              </w:rPr>
              <w:t>划定施工作业范围，减少施工扰动范围</w:t>
            </w:r>
            <w:r>
              <w:rPr>
                <w:rFonts w:hint="eastAsia"/>
                <w:sz w:val="24"/>
                <w:highlight w:val="none"/>
                <w:lang w:eastAsia="zh-CN"/>
              </w:rPr>
              <w:t>、</w:t>
            </w:r>
            <w:r>
              <w:rPr>
                <w:rFonts w:hint="eastAsia"/>
                <w:sz w:val="24"/>
                <w:highlight w:val="none"/>
                <w:lang w:val="en-US" w:eastAsia="zh-CN"/>
              </w:rPr>
              <w:t>避免大风天气作业</w:t>
            </w:r>
            <w:r>
              <w:rPr>
                <w:rFonts w:hint="eastAsia"/>
                <w:sz w:val="24"/>
                <w:highlight w:val="none"/>
              </w:rPr>
              <w:t>。</w:t>
            </w:r>
          </w:p>
          <w:p w14:paraId="1EEA3FDB">
            <w:pPr>
              <w:spacing w:line="360" w:lineRule="auto"/>
              <w:ind w:firstLine="480" w:firstLineChars="200"/>
              <w:rPr>
                <w:rFonts w:hint="eastAsia" w:ascii="Times New Roman" w:hAnsi="Times New Roman" w:eastAsia="宋体" w:cs="宋体"/>
                <w:kern w:val="2"/>
                <w:sz w:val="24"/>
                <w:szCs w:val="24"/>
                <w:highlight w:val="none"/>
              </w:rPr>
            </w:pPr>
            <w:r>
              <w:rPr>
                <w:rFonts w:hint="eastAsia"/>
                <w:sz w:val="24"/>
                <w:highlight w:val="none"/>
                <w:lang w:val="zh-CN"/>
              </w:rPr>
              <w:t>②</w:t>
            </w:r>
            <w:r>
              <w:rPr>
                <w:rFonts w:hint="eastAsia" w:ascii="Times New Roman" w:hAnsi="Times New Roman" w:eastAsia="宋体" w:cs="宋体"/>
                <w:kern w:val="2"/>
                <w:sz w:val="24"/>
                <w:szCs w:val="24"/>
                <w:highlight w:val="none"/>
              </w:rPr>
              <w:t>施工期</w:t>
            </w:r>
            <w:r>
              <w:rPr>
                <w:rFonts w:hint="eastAsia" w:cs="宋体"/>
                <w:kern w:val="2"/>
                <w:sz w:val="24"/>
                <w:szCs w:val="24"/>
                <w:highlight w:val="none"/>
                <w:lang w:val="en-US" w:eastAsia="zh-CN"/>
              </w:rPr>
              <w:t>试压</w:t>
            </w:r>
            <w:r>
              <w:rPr>
                <w:rFonts w:hint="eastAsia" w:ascii="Times New Roman" w:hAnsi="Times New Roman" w:eastAsia="宋体" w:cs="宋体"/>
                <w:kern w:val="2"/>
                <w:sz w:val="24"/>
                <w:szCs w:val="24"/>
                <w:highlight w:val="none"/>
              </w:rPr>
              <w:t>废水</w:t>
            </w:r>
            <w:r>
              <w:rPr>
                <w:rFonts w:hint="eastAsia" w:cs="宋体"/>
                <w:kern w:val="2"/>
                <w:sz w:val="24"/>
                <w:szCs w:val="24"/>
                <w:highlight w:val="none"/>
                <w:lang w:val="en-US" w:eastAsia="zh-CN"/>
              </w:rPr>
              <w:t>产生后通过罐车运输至伊泰化工</w:t>
            </w:r>
            <w:r>
              <w:rPr>
                <w:rFonts w:hint="eastAsia" w:ascii="Times New Roman" w:hAnsi="Times New Roman" w:eastAsia="宋体" w:cs="宋体"/>
                <w:kern w:val="2"/>
                <w:sz w:val="24"/>
                <w:szCs w:val="24"/>
                <w:highlight w:val="none"/>
              </w:rPr>
              <w:t>厂区内现有</w:t>
            </w:r>
            <w:r>
              <w:rPr>
                <w:rFonts w:hint="eastAsia" w:cs="宋体"/>
                <w:sz w:val="24"/>
                <w:highlight w:val="none"/>
              </w:rPr>
              <w:t>污水处理站废水处理及回用清净废水处理单元</w:t>
            </w:r>
            <w:r>
              <w:rPr>
                <w:rFonts w:hint="eastAsia" w:ascii="Times New Roman" w:hAnsi="Times New Roman" w:eastAsia="宋体" w:cs="宋体"/>
                <w:kern w:val="2"/>
                <w:sz w:val="24"/>
                <w:szCs w:val="24"/>
                <w:highlight w:val="none"/>
              </w:rPr>
              <w:t>，处理后回用，不外排。</w:t>
            </w:r>
          </w:p>
          <w:p w14:paraId="57C5167F">
            <w:pPr>
              <w:spacing w:line="360" w:lineRule="auto"/>
              <w:ind w:firstLine="480" w:firstLineChars="200"/>
              <w:rPr>
                <w:rFonts w:hint="default" w:ascii="Times New Roman" w:hAnsi="Times New Roman" w:eastAsia="宋体" w:cs="宋体"/>
                <w:kern w:val="2"/>
                <w:sz w:val="24"/>
                <w:szCs w:val="24"/>
                <w:highlight w:val="none"/>
                <w:lang w:val="en-US" w:eastAsia="zh-CN"/>
              </w:rPr>
            </w:pPr>
            <w:r>
              <w:rPr>
                <w:rFonts w:hint="eastAsia" w:cs="宋体"/>
                <w:kern w:val="2"/>
                <w:sz w:val="24"/>
                <w:szCs w:val="24"/>
                <w:highlight w:val="none"/>
                <w:lang w:val="en-US" w:eastAsia="zh-CN"/>
              </w:rPr>
              <w:t>厂区外</w:t>
            </w:r>
            <w:r>
              <w:rPr>
                <w:rFonts w:hint="default" w:eastAsia="宋体" w:cs="Times New Roman"/>
                <w:sz w:val="24"/>
                <w:szCs w:val="24"/>
                <w:highlight w:val="none"/>
                <w:lang w:val="en-US" w:eastAsia="zh-CN"/>
              </w:rPr>
              <w:t>WRT甲烷气管道、清净废水管道安装完成后进行探伤检测。正常状况下不会发生泄漏。</w:t>
            </w:r>
            <w:r>
              <w:rPr>
                <w:rFonts w:hint="eastAsia" w:cs="宋体"/>
                <w:kern w:val="2"/>
                <w:sz w:val="24"/>
                <w:szCs w:val="24"/>
                <w:highlight w:val="none"/>
                <w:lang w:val="en-US" w:eastAsia="zh-CN"/>
              </w:rPr>
              <w:t>对周边牧草地影响较小。</w:t>
            </w:r>
          </w:p>
          <w:p w14:paraId="0E2FC909">
            <w:pPr>
              <w:spacing w:line="360" w:lineRule="auto"/>
              <w:ind w:firstLine="480" w:firstLineChars="200"/>
              <w:rPr>
                <w:rFonts w:hint="eastAsia"/>
                <w:sz w:val="24"/>
                <w:highlight w:val="none"/>
              </w:rPr>
            </w:pPr>
            <w:r>
              <w:rPr>
                <w:rFonts w:hint="eastAsia"/>
                <w:sz w:val="24"/>
                <w:highlight w:val="none"/>
                <w:lang w:val="zh-CN"/>
              </w:rPr>
              <w:t>③</w:t>
            </w:r>
            <w:r>
              <w:rPr>
                <w:rFonts w:hint="eastAsia"/>
                <w:sz w:val="24"/>
                <w:highlight w:val="none"/>
              </w:rPr>
              <w:t>加强施工设备的维护保养，避免不正常高噪声排放。</w:t>
            </w:r>
          </w:p>
          <w:p w14:paraId="05CCB3A0">
            <w:pPr>
              <w:spacing w:line="360" w:lineRule="auto"/>
              <w:ind w:firstLine="480" w:firstLineChars="200"/>
              <w:rPr>
                <w:rFonts w:hint="eastAsia"/>
                <w:sz w:val="24"/>
                <w:highlight w:val="none"/>
              </w:rPr>
            </w:pPr>
            <w:r>
              <w:rPr>
                <w:rFonts w:hint="eastAsia" w:ascii="Times New Roman" w:hAnsi="Times New Roman" w:eastAsia="宋体" w:cs="Times New Roman"/>
                <w:sz w:val="24"/>
                <w:szCs w:val="32"/>
                <w:highlight w:val="none"/>
                <w:lang w:val="en-US" w:eastAsia="zh-CN"/>
              </w:rPr>
              <w:t>④</w:t>
            </w:r>
            <w:r>
              <w:rPr>
                <w:rFonts w:hint="eastAsia"/>
                <w:sz w:val="24"/>
                <w:highlight w:val="none"/>
              </w:rPr>
              <w:t>加强施工固废管理，及时交付有关单位回收利用</w:t>
            </w:r>
            <w:r>
              <w:rPr>
                <w:rFonts w:hint="eastAsia"/>
                <w:sz w:val="24"/>
                <w:highlight w:val="none"/>
                <w:lang w:eastAsia="zh-CN"/>
              </w:rPr>
              <w:t>，</w:t>
            </w:r>
            <w:r>
              <w:rPr>
                <w:rFonts w:hint="eastAsia"/>
                <w:sz w:val="24"/>
                <w:highlight w:val="none"/>
              </w:rPr>
              <w:t>施工垃圾</w:t>
            </w:r>
            <w:r>
              <w:rPr>
                <w:rFonts w:hint="eastAsia"/>
                <w:sz w:val="24"/>
                <w:highlight w:val="none"/>
                <w:lang w:eastAsia="zh-CN"/>
              </w:rPr>
              <w:t>应</w:t>
            </w:r>
            <w:r>
              <w:rPr>
                <w:rFonts w:hint="eastAsia"/>
                <w:sz w:val="24"/>
                <w:highlight w:val="none"/>
              </w:rPr>
              <w:t>及时收集</w:t>
            </w:r>
            <w:r>
              <w:rPr>
                <w:rFonts w:hint="eastAsia"/>
                <w:sz w:val="24"/>
                <w:highlight w:val="none"/>
                <w:lang w:eastAsia="zh-CN"/>
              </w:rPr>
              <w:t>并</w:t>
            </w:r>
            <w:r>
              <w:rPr>
                <w:rFonts w:hint="eastAsia"/>
                <w:sz w:val="24"/>
                <w:highlight w:val="none"/>
              </w:rPr>
              <w:t>妥善处置。</w:t>
            </w:r>
          </w:p>
          <w:p w14:paraId="7AA8FB81">
            <w:pPr>
              <w:spacing w:line="360" w:lineRule="auto"/>
              <w:ind w:firstLine="480" w:firstLineChars="200"/>
              <w:rPr>
                <w:rFonts w:hint="eastAsia"/>
                <w:sz w:val="24"/>
                <w:highlight w:val="none"/>
                <w:lang w:val="en-US" w:eastAsia="zh-CN"/>
              </w:rPr>
            </w:pPr>
            <w:r>
              <w:rPr>
                <w:rFonts w:hint="eastAsia"/>
                <w:sz w:val="24"/>
                <w:highlight w:val="none"/>
                <w:lang w:val="en-US" w:eastAsia="zh-CN"/>
              </w:rPr>
              <w:t>⑤植被保护与恢复</w:t>
            </w:r>
            <w:r>
              <w:rPr>
                <w:rFonts w:hint="default"/>
                <w:sz w:val="24"/>
                <w:highlight w:val="none"/>
                <w:lang w:val="en-US" w:eastAsia="zh-CN"/>
              </w:rPr>
              <w:t>：施工过程中如对</w:t>
            </w:r>
            <w:r>
              <w:rPr>
                <w:rFonts w:hint="eastAsia"/>
                <w:sz w:val="24"/>
                <w:highlight w:val="none"/>
                <w:lang w:val="en-US" w:eastAsia="zh-CN"/>
              </w:rPr>
              <w:t>草地</w:t>
            </w:r>
            <w:r>
              <w:rPr>
                <w:rFonts w:hint="default"/>
                <w:sz w:val="24"/>
                <w:highlight w:val="none"/>
                <w:lang w:val="en-US" w:eastAsia="zh-CN"/>
              </w:rPr>
              <w:t>造成局部损伤，应在施工结束后及时采取植被恢复措施，必要时进行草籽补播，促进植被自然恢复。</w:t>
            </w:r>
          </w:p>
          <w:p w14:paraId="7286D77C">
            <w:pPr>
              <w:spacing w:line="360" w:lineRule="auto"/>
              <w:ind w:firstLine="480" w:firstLineChars="200"/>
              <w:rPr>
                <w:rFonts w:hint="eastAsia"/>
                <w:sz w:val="24"/>
                <w:highlight w:val="none"/>
                <w:lang w:val="en-US" w:eastAsia="zh-CN"/>
              </w:rPr>
            </w:pPr>
            <w:r>
              <w:rPr>
                <w:rFonts w:hint="eastAsia"/>
                <w:sz w:val="24"/>
                <w:highlight w:val="none"/>
                <w:lang w:val="en-US" w:eastAsia="zh-CN"/>
              </w:rPr>
              <w:t>⑥</w:t>
            </w:r>
            <w:r>
              <w:rPr>
                <w:rFonts w:hint="default"/>
                <w:sz w:val="24"/>
                <w:highlight w:val="none"/>
                <w:lang w:val="en-US" w:eastAsia="zh-CN"/>
              </w:rPr>
              <w:t>野生动物保护：加强施工人员教育，规范施工行为，避免干扰周边野生动物栖息环境。施工期间设置警示标识，减少</w:t>
            </w:r>
            <w:r>
              <w:rPr>
                <w:rFonts w:hint="eastAsia"/>
                <w:sz w:val="24"/>
                <w:highlight w:val="none"/>
                <w:lang w:val="en-US" w:eastAsia="zh-CN"/>
              </w:rPr>
              <w:t>噪声</w:t>
            </w:r>
            <w:r>
              <w:rPr>
                <w:rFonts w:hint="default"/>
                <w:sz w:val="24"/>
                <w:highlight w:val="none"/>
                <w:lang w:val="en-US" w:eastAsia="zh-CN"/>
              </w:rPr>
              <w:t>、灯光等对野生动物的影响。</w:t>
            </w:r>
          </w:p>
          <w:p w14:paraId="549E4D5A">
            <w:pPr>
              <w:spacing w:line="360" w:lineRule="auto"/>
              <w:ind w:firstLine="480" w:firstLineChars="200"/>
              <w:rPr>
                <w:rFonts w:hint="default"/>
                <w:sz w:val="24"/>
                <w:highlight w:val="none"/>
                <w:lang w:val="en-US" w:eastAsia="zh-CN"/>
              </w:rPr>
            </w:pPr>
            <w:r>
              <w:rPr>
                <w:rFonts w:hint="eastAsia"/>
                <w:sz w:val="24"/>
                <w:highlight w:val="none"/>
                <w:lang w:val="en-US" w:eastAsia="zh-CN"/>
              </w:rPr>
              <w:t>⑦</w:t>
            </w:r>
            <w:r>
              <w:rPr>
                <w:rFonts w:hint="default"/>
                <w:sz w:val="24"/>
                <w:highlight w:val="none"/>
                <w:lang w:val="en-US" w:eastAsia="zh-CN"/>
              </w:rPr>
              <w:t>施工后场地清理：施工结束后及时清除各类建筑垃圾、废弃材料，恢复场地原貌，确保牧草地生态功能不受长期影响。</w:t>
            </w:r>
          </w:p>
        </w:tc>
      </w:tr>
      <w:tr w14:paraId="412FD9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7" w:hRule="atLeast"/>
          <w:jc w:val="center"/>
        </w:trPr>
        <w:tc>
          <w:tcPr>
            <w:tcW w:w="753" w:type="dxa"/>
            <w:noWrap w:val="0"/>
            <w:tcMar>
              <w:left w:w="28" w:type="dxa"/>
              <w:right w:w="28" w:type="dxa"/>
            </w:tcMar>
            <w:vAlign w:val="center"/>
          </w:tcPr>
          <w:p w14:paraId="733952C1">
            <w:pPr>
              <w:adjustRightInd w:val="0"/>
              <w:snapToGrid w:val="0"/>
              <w:jc w:val="center"/>
              <w:rPr>
                <w:rFonts w:ascii="宋体" w:hAnsi="宋体" w:cs="宋体"/>
                <w:bCs/>
                <w:spacing w:val="10"/>
                <w:szCs w:val="21"/>
                <w:highlight w:val="none"/>
              </w:rPr>
            </w:pPr>
            <w:r>
              <w:rPr>
                <w:rFonts w:hint="eastAsia" w:ascii="宋体" w:hAnsi="宋体" w:cs="宋体"/>
                <w:bCs/>
                <w:spacing w:val="10"/>
                <w:sz w:val="24"/>
                <w:highlight w:val="none"/>
              </w:rPr>
              <w:t>运营期生态环境保护措施</w:t>
            </w:r>
          </w:p>
        </w:tc>
        <w:tc>
          <w:tcPr>
            <w:tcW w:w="8032" w:type="dxa"/>
            <w:noWrap w:val="0"/>
            <w:vAlign w:val="center"/>
          </w:tcPr>
          <w:p w14:paraId="216FF7BA">
            <w:pPr>
              <w:spacing w:line="360" w:lineRule="auto"/>
              <w:ind w:firstLine="476" w:firstLineChars="200"/>
              <w:rPr>
                <w:rFonts w:hint="default" w:ascii="Times New Roman" w:hAnsi="Times New Roman" w:eastAsia="宋体" w:cs="Times New Roman"/>
                <w:color w:val="000000"/>
                <w:spacing w:val="-1"/>
                <w:sz w:val="24"/>
                <w:szCs w:val="24"/>
                <w:highlight w:val="none"/>
                <w:lang w:val="en-US" w:eastAsia="zh-CN"/>
              </w:rPr>
            </w:pPr>
            <w:r>
              <w:rPr>
                <w:rFonts w:hint="eastAsia" w:ascii="Times New Roman" w:hAnsi="Times New Roman" w:eastAsia="宋体" w:cs="Times New Roman"/>
                <w:color w:val="000000"/>
                <w:spacing w:val="-1"/>
                <w:sz w:val="24"/>
                <w:szCs w:val="24"/>
                <w:highlight w:val="none"/>
                <w:lang w:val="en-US" w:eastAsia="zh-CN"/>
              </w:rPr>
              <w:t>本项目运营期正常情况下不产生废气、固废，不对生态环境产生不利影响。</w:t>
            </w:r>
          </w:p>
          <w:p w14:paraId="76A36D69">
            <w:pPr>
              <w:pStyle w:val="13"/>
              <w:spacing w:after="0" w:line="360" w:lineRule="auto"/>
              <w:ind w:left="0" w:leftChars="0" w:firstLine="482" w:firstLineChars="200"/>
              <w:rPr>
                <w:rFonts w:hint="eastAsia" w:eastAsia="宋体"/>
                <w:b/>
                <w:bCs/>
                <w:sz w:val="24"/>
                <w:szCs w:val="32"/>
                <w:highlight w:val="none"/>
                <w:lang w:val="en-US" w:eastAsia="zh-CN"/>
              </w:rPr>
            </w:pPr>
            <w:r>
              <w:rPr>
                <w:rFonts w:hint="eastAsia"/>
                <w:b/>
                <w:bCs/>
                <w:sz w:val="24"/>
                <w:szCs w:val="32"/>
                <w:highlight w:val="none"/>
                <w:lang w:val="en-US" w:eastAsia="zh-CN"/>
              </w:rPr>
              <w:t>1.运营期水环境保护措施</w:t>
            </w:r>
          </w:p>
          <w:p w14:paraId="2F947009">
            <w:pPr>
              <w:spacing w:line="360" w:lineRule="auto"/>
              <w:ind w:firstLine="476" w:firstLineChars="200"/>
              <w:rPr>
                <w:rFonts w:hint="eastAsia"/>
                <w:color w:val="000000"/>
                <w:spacing w:val="-1"/>
                <w:sz w:val="24"/>
                <w:szCs w:val="24"/>
                <w:highlight w:val="none"/>
                <w:lang w:val="en-US" w:eastAsia="zh-CN"/>
              </w:rPr>
            </w:pPr>
            <w:r>
              <w:rPr>
                <w:color w:val="000000"/>
                <w:spacing w:val="-1"/>
                <w:sz w:val="24"/>
                <w:szCs w:val="24"/>
                <w:highlight w:val="none"/>
              </w:rPr>
              <w:t>本项目为</w:t>
            </w:r>
            <w:r>
              <w:rPr>
                <w:rFonts w:hint="eastAsia"/>
                <w:color w:val="000000"/>
                <w:spacing w:val="-1"/>
                <w:sz w:val="24"/>
                <w:szCs w:val="24"/>
                <w:highlight w:val="none"/>
                <w:lang w:val="en-US" w:eastAsia="zh-CN"/>
              </w:rPr>
              <w:t>架空管线</w:t>
            </w:r>
            <w:r>
              <w:rPr>
                <w:color w:val="000000"/>
                <w:spacing w:val="-1"/>
                <w:sz w:val="24"/>
                <w:szCs w:val="24"/>
                <w:highlight w:val="none"/>
              </w:rPr>
              <w:t>项目，</w:t>
            </w:r>
            <w:r>
              <w:rPr>
                <w:rFonts w:hint="eastAsia"/>
                <w:color w:val="000000"/>
                <w:spacing w:val="-1"/>
                <w:sz w:val="24"/>
                <w:szCs w:val="24"/>
                <w:highlight w:val="none"/>
                <w:lang w:val="en-US" w:eastAsia="zh-CN"/>
              </w:rPr>
              <w:t>架空管线工程本身主体结构不直接接触地下水，且本项目管线不涉及管线支架、塔基基础建设，均在原有基础上直接建设，本次建设内容均为空中管线，不涉及地面工程，管线支撑结构（如杆塔基础、支架底座）检修、维护均不属于本次评价内容，均依托现有工程。</w:t>
            </w:r>
          </w:p>
          <w:p w14:paraId="500EA557">
            <w:pPr>
              <w:spacing w:line="360" w:lineRule="auto"/>
              <w:ind w:firstLine="476" w:firstLineChars="200"/>
              <w:rPr>
                <w:rFonts w:hint="default"/>
                <w:color w:val="000000"/>
                <w:spacing w:val="-1"/>
                <w:sz w:val="24"/>
                <w:szCs w:val="24"/>
                <w:highlight w:val="none"/>
                <w:lang w:val="en-US" w:eastAsia="zh-CN"/>
              </w:rPr>
            </w:pPr>
            <w:r>
              <w:rPr>
                <w:rFonts w:hint="eastAsia"/>
                <w:color w:val="000000"/>
                <w:spacing w:val="-1"/>
                <w:sz w:val="24"/>
                <w:szCs w:val="24"/>
                <w:highlight w:val="none"/>
                <w:lang w:val="en-US" w:eastAsia="zh-CN"/>
              </w:rPr>
              <w:t>架空管线地下水污染防治以“预防为主”，通过严格源头控制减少泄漏风险，结合基础防渗和地面管理阻断迁移途径，重点依托现有下游监测井网络+定期监测+动态预警及时发现潜在污染，最终实现“早发现、早处置、少影响”的目标。本项目不开展地下水评价，不单独设置地下水监测计划。</w:t>
            </w:r>
          </w:p>
          <w:p w14:paraId="2A8C301C">
            <w:pPr>
              <w:pStyle w:val="13"/>
              <w:spacing w:after="0" w:line="360" w:lineRule="auto"/>
              <w:ind w:left="0" w:leftChars="0" w:firstLine="482" w:firstLineChars="200"/>
              <w:rPr>
                <w:rFonts w:hint="eastAsia" w:eastAsia="宋体"/>
                <w:b/>
                <w:bCs/>
                <w:sz w:val="24"/>
                <w:szCs w:val="32"/>
                <w:highlight w:val="none"/>
                <w:lang w:val="en-US" w:eastAsia="zh-CN"/>
              </w:rPr>
            </w:pPr>
            <w:r>
              <w:rPr>
                <w:rFonts w:hint="eastAsia"/>
                <w:b/>
                <w:bCs/>
                <w:sz w:val="24"/>
                <w:szCs w:val="32"/>
                <w:highlight w:val="none"/>
                <w:lang w:val="en-US" w:eastAsia="zh-CN"/>
              </w:rPr>
              <w:t>2.运营期声环境保护措施</w:t>
            </w:r>
          </w:p>
          <w:p w14:paraId="1E91D8FD">
            <w:pPr>
              <w:spacing w:line="360" w:lineRule="auto"/>
              <w:ind w:firstLine="480" w:firstLineChars="200"/>
              <w:rPr>
                <w:rFonts w:hint="default" w:ascii="Times New Roman" w:hAnsi="Times New Roman" w:eastAsia="宋体" w:cs="Times New Roman"/>
                <w:color w:val="000000"/>
                <w:sz w:val="24"/>
                <w:szCs w:val="24"/>
                <w:highlight w:val="none"/>
                <w:lang w:val="en-US"/>
              </w:rPr>
            </w:pPr>
            <w:r>
              <w:rPr>
                <w:rFonts w:hint="default" w:ascii="Times New Roman" w:hAnsi="Times New Roman" w:eastAsia="宋体" w:cs="Times New Roman"/>
                <w:color w:val="000000"/>
                <w:sz w:val="24"/>
                <w:szCs w:val="24"/>
                <w:highlight w:val="none"/>
              </w:rPr>
              <w:t>本项目运营期噪声</w:t>
            </w:r>
            <w:r>
              <w:rPr>
                <w:rFonts w:hint="eastAsia" w:ascii="Times New Roman" w:hAnsi="Times New Roman" w:cs="Times New Roman"/>
                <w:color w:val="000000"/>
                <w:sz w:val="24"/>
                <w:szCs w:val="24"/>
                <w:highlight w:val="none"/>
                <w:lang w:val="en-US" w:eastAsia="zh-CN"/>
              </w:rPr>
              <w:t>为新增压缩机</w:t>
            </w:r>
            <w:r>
              <w:rPr>
                <w:rFonts w:hint="eastAsia" w:cs="Times New Roman"/>
                <w:color w:val="000000"/>
                <w:sz w:val="24"/>
                <w:szCs w:val="24"/>
                <w:highlight w:val="none"/>
                <w:lang w:val="en-US" w:eastAsia="zh-CN"/>
              </w:rPr>
              <w:t>噪声</w:t>
            </w:r>
            <w:r>
              <w:rPr>
                <w:rFonts w:hint="default" w:ascii="Times New Roman" w:hAnsi="Times New Roman" w:eastAsia="宋体" w:cs="Times New Roman"/>
                <w:b w:val="0"/>
                <w:bCs w:val="0"/>
                <w:color w:val="000000"/>
                <w:kern w:val="0"/>
                <w:sz w:val="24"/>
                <w:szCs w:val="24"/>
                <w:highlight w:val="none"/>
                <w:lang w:val="en-US" w:eastAsia="zh-CN" w:bidi="ar-SA"/>
              </w:rPr>
              <w:t>。噪声防治措施包括：</w:t>
            </w:r>
          </w:p>
          <w:p w14:paraId="6D2E1EA2">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（1）本项目从厂区平面布置上合理减少噪声的影响。</w:t>
            </w:r>
          </w:p>
          <w:p w14:paraId="119E8A82">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（2）设备设置有减振基础</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采用室内布置。</w:t>
            </w:r>
          </w:p>
          <w:p w14:paraId="115D42E3">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（3）加强绿化。</w:t>
            </w:r>
          </w:p>
          <w:p w14:paraId="476D8083">
            <w:pPr>
              <w:keepNext w:val="0"/>
              <w:keepLines w:val="0"/>
              <w:pageBreakBefore w:val="0"/>
              <w:widowControl w:val="0"/>
              <w:kinsoku/>
              <w:wordWrap/>
              <w:overflowPunct/>
              <w:topLinePunct w:val="0"/>
              <w:autoSpaceDE/>
              <w:autoSpaceDN/>
              <w:bidi w:val="0"/>
              <w:adjustRightInd/>
              <w:snapToGrid/>
              <w:spacing w:line="360" w:lineRule="auto"/>
              <w:ind w:firstLine="532" w:firstLineChars="222"/>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采取以上措施后，</w:t>
            </w:r>
            <w:r>
              <w:rPr>
                <w:rFonts w:hint="eastAsia" w:ascii="Times New Roman" w:hAnsi="Times New Roman" w:cs="Times New Roman"/>
                <w:color w:val="000000"/>
                <w:sz w:val="24"/>
                <w:szCs w:val="24"/>
                <w:highlight w:val="none"/>
                <w:lang w:val="en-US" w:eastAsia="zh-CN"/>
              </w:rPr>
              <w:t>厂界噪声</w:t>
            </w:r>
            <w:r>
              <w:rPr>
                <w:rFonts w:hint="default" w:ascii="Times New Roman" w:hAnsi="Times New Roman" w:eastAsia="宋体" w:cs="Times New Roman"/>
                <w:color w:val="000000"/>
                <w:sz w:val="24"/>
                <w:szCs w:val="24"/>
                <w:highlight w:val="none"/>
                <w:lang w:val="en-US" w:eastAsia="zh-CN"/>
              </w:rPr>
              <w:t>可</w:t>
            </w:r>
            <w:r>
              <w:rPr>
                <w:rFonts w:hint="default" w:ascii="Times New Roman" w:hAnsi="Times New Roman" w:eastAsia="宋体" w:cs="Times New Roman"/>
                <w:color w:val="000000"/>
                <w:sz w:val="24"/>
                <w:szCs w:val="24"/>
                <w:highlight w:val="none"/>
              </w:rPr>
              <w:t>满足《工业企业厂界环境噪声排放标准》（GB12348-2008）中</w:t>
            </w:r>
            <w:r>
              <w:rPr>
                <w:rFonts w:hint="eastAsia" w:ascii="Times New Roman" w:hAnsi="Times New Roman"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rPr>
              <w:t>类标准要求</w:t>
            </w:r>
            <w:r>
              <w:rPr>
                <w:rFonts w:hint="default" w:ascii="Times New Roman" w:hAnsi="Times New Roman" w:eastAsia="宋体" w:cs="Times New Roman"/>
                <w:color w:val="000000"/>
                <w:sz w:val="24"/>
                <w:szCs w:val="24"/>
                <w:highlight w:val="none"/>
                <w:lang w:val="en-US" w:eastAsia="zh-CN"/>
              </w:rPr>
              <w:t>。</w:t>
            </w:r>
          </w:p>
          <w:p w14:paraId="39E5FA80">
            <w:pPr>
              <w:keepNext w:val="0"/>
              <w:keepLines w:val="0"/>
              <w:pageBreakBefore w:val="0"/>
              <w:widowControl w:val="0"/>
              <w:kinsoku/>
              <w:wordWrap/>
              <w:overflowPunct/>
              <w:topLinePunct w:val="0"/>
              <w:autoSpaceDE/>
              <w:autoSpaceDN/>
              <w:bidi w:val="0"/>
              <w:adjustRightInd/>
              <w:snapToGrid/>
              <w:spacing w:line="360" w:lineRule="auto"/>
              <w:ind w:firstLine="532" w:firstLineChars="222"/>
              <w:textAlignment w:val="auto"/>
              <w:rPr>
                <w:rFonts w:hint="eastAsia"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本项目厂外工程运营期不产生噪声影响，厂内工程不单独设置噪声监测计划</w:t>
            </w:r>
            <w:r>
              <w:rPr>
                <w:rFonts w:hint="eastAsia" w:cs="Times New Roman"/>
                <w:color w:val="000000"/>
                <w:sz w:val="24"/>
                <w:szCs w:val="24"/>
                <w:highlight w:val="none"/>
                <w:lang w:val="en-US" w:eastAsia="zh-CN"/>
              </w:rPr>
              <w:t>，纳入</w:t>
            </w:r>
            <w:r>
              <w:rPr>
                <w:rFonts w:hint="eastAsia" w:ascii="Times New Roman" w:hAnsi="Times New Roman" w:cs="Times New Roman"/>
                <w:color w:val="000000"/>
                <w:sz w:val="24"/>
                <w:szCs w:val="24"/>
                <w:highlight w:val="none"/>
                <w:lang w:val="en-US" w:eastAsia="zh-CN"/>
              </w:rPr>
              <w:t>现有声环境监测计划。</w:t>
            </w:r>
          </w:p>
          <w:p w14:paraId="08C1D45D">
            <w:pPr>
              <w:widowControl/>
              <w:adjustRightInd w:val="0"/>
              <w:snapToGrid w:val="0"/>
              <w:spacing w:line="360" w:lineRule="auto"/>
              <w:ind w:firstLine="0" w:firstLineChars="0"/>
              <w:jc w:val="center"/>
              <w:outlineLvl w:val="9"/>
              <w:rPr>
                <w:rFonts w:hint="eastAsia" w:ascii="Times New Roman" w:hAnsi="Times New Roman" w:eastAsia="宋体" w:cs="Times New Roman"/>
                <w:b/>
                <w:bCs/>
                <w:kern w:val="2"/>
                <w:sz w:val="21"/>
                <w:szCs w:val="21"/>
                <w:highlight w:val="none"/>
                <w:lang w:val="en-US" w:eastAsia="zh-CN"/>
              </w:rPr>
            </w:pPr>
            <w:r>
              <w:rPr>
                <w:rFonts w:hint="eastAsia" w:ascii="Times New Roman" w:hAnsi="Times New Roman" w:eastAsia="宋体" w:cs="Times New Roman"/>
                <w:b/>
                <w:bCs/>
                <w:kern w:val="2"/>
                <w:sz w:val="21"/>
                <w:szCs w:val="21"/>
                <w:highlight w:val="none"/>
                <w:lang w:val="en-US" w:eastAsia="zh-CN"/>
              </w:rPr>
              <w:t>表5-2   噪声监测计划一览表</w:t>
            </w:r>
          </w:p>
          <w:tbl>
            <w:tblPr>
              <w:tblStyle w:val="19"/>
              <w:tblW w:w="7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856"/>
              <w:gridCol w:w="1004"/>
              <w:gridCol w:w="782"/>
              <w:gridCol w:w="2308"/>
              <w:gridCol w:w="2080"/>
            </w:tblGrid>
            <w:tr w14:paraId="34AA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37" w:type="pct"/>
                  <w:noWrap w:val="0"/>
                  <w:vAlign w:val="center"/>
                </w:tcPr>
                <w:p w14:paraId="4CC69117">
                  <w:pPr>
                    <w:pStyle w:val="51"/>
                    <w:rPr>
                      <w:color w:val="000000"/>
                      <w:sz w:val="21"/>
                      <w:szCs w:val="21"/>
                      <w:highlight w:val="none"/>
                    </w:rPr>
                  </w:pPr>
                  <w:r>
                    <w:rPr>
                      <w:color w:val="000000"/>
                      <w:sz w:val="21"/>
                      <w:szCs w:val="21"/>
                      <w:highlight w:val="none"/>
                    </w:rPr>
                    <w:t>类别</w:t>
                  </w:r>
                </w:p>
              </w:tc>
              <w:tc>
                <w:tcPr>
                  <w:tcW w:w="543" w:type="pct"/>
                  <w:noWrap w:val="0"/>
                  <w:vAlign w:val="center"/>
                </w:tcPr>
                <w:p w14:paraId="04EB38D5">
                  <w:pPr>
                    <w:pStyle w:val="51"/>
                    <w:rPr>
                      <w:color w:val="000000"/>
                      <w:sz w:val="21"/>
                      <w:szCs w:val="21"/>
                      <w:highlight w:val="none"/>
                    </w:rPr>
                  </w:pPr>
                  <w:r>
                    <w:rPr>
                      <w:color w:val="000000"/>
                      <w:sz w:val="21"/>
                      <w:szCs w:val="21"/>
                      <w:highlight w:val="none"/>
                    </w:rPr>
                    <w:t>监测项目</w:t>
                  </w:r>
                </w:p>
              </w:tc>
              <w:tc>
                <w:tcPr>
                  <w:tcW w:w="637" w:type="pct"/>
                  <w:noWrap w:val="0"/>
                  <w:vAlign w:val="center"/>
                </w:tcPr>
                <w:p w14:paraId="7E0336AC">
                  <w:pPr>
                    <w:pStyle w:val="51"/>
                    <w:rPr>
                      <w:color w:val="000000"/>
                      <w:sz w:val="21"/>
                      <w:szCs w:val="21"/>
                      <w:highlight w:val="none"/>
                    </w:rPr>
                  </w:pPr>
                  <w:r>
                    <w:rPr>
                      <w:color w:val="000000"/>
                      <w:sz w:val="21"/>
                      <w:szCs w:val="21"/>
                      <w:highlight w:val="none"/>
                    </w:rPr>
                    <w:t>监测点位置</w:t>
                  </w:r>
                </w:p>
              </w:tc>
              <w:tc>
                <w:tcPr>
                  <w:tcW w:w="496" w:type="pct"/>
                  <w:noWrap w:val="0"/>
                  <w:vAlign w:val="center"/>
                </w:tcPr>
                <w:p w14:paraId="3C1F831E">
                  <w:pPr>
                    <w:pStyle w:val="51"/>
                    <w:rPr>
                      <w:color w:val="000000"/>
                      <w:sz w:val="21"/>
                      <w:szCs w:val="21"/>
                      <w:highlight w:val="none"/>
                    </w:rPr>
                  </w:pPr>
                  <w:r>
                    <w:rPr>
                      <w:color w:val="000000"/>
                      <w:sz w:val="21"/>
                      <w:szCs w:val="21"/>
                      <w:highlight w:val="none"/>
                    </w:rPr>
                    <w:t>监测频次</w:t>
                  </w:r>
                </w:p>
              </w:tc>
              <w:tc>
                <w:tcPr>
                  <w:tcW w:w="1465" w:type="pct"/>
                  <w:noWrap w:val="0"/>
                  <w:vAlign w:val="center"/>
                </w:tcPr>
                <w:p w14:paraId="3AF9B9A6">
                  <w:pPr>
                    <w:pStyle w:val="51"/>
                    <w:rPr>
                      <w:color w:val="000000"/>
                      <w:sz w:val="21"/>
                      <w:szCs w:val="21"/>
                      <w:highlight w:val="none"/>
                    </w:rPr>
                  </w:pPr>
                  <w:r>
                    <w:rPr>
                      <w:color w:val="000000"/>
                      <w:sz w:val="21"/>
                      <w:szCs w:val="21"/>
                      <w:highlight w:val="none"/>
                    </w:rPr>
                    <w:t>执行标准</w:t>
                  </w:r>
                </w:p>
              </w:tc>
              <w:tc>
                <w:tcPr>
                  <w:tcW w:w="1320" w:type="pct"/>
                  <w:noWrap w:val="0"/>
                  <w:vAlign w:val="center"/>
                </w:tcPr>
                <w:p w14:paraId="72E227E3">
                  <w:pPr>
                    <w:pStyle w:val="51"/>
                    <w:rPr>
                      <w:rFonts w:hint="eastAsia" w:eastAsia="宋体"/>
                      <w:color w:val="000000"/>
                      <w:sz w:val="21"/>
                      <w:szCs w:val="21"/>
                      <w:highlight w:val="none"/>
                      <w:lang w:val="en-US" w:eastAsia="zh-CN"/>
                    </w:rPr>
                  </w:pPr>
                  <w:r>
                    <w:rPr>
                      <w:rFonts w:hint="eastAsia"/>
                      <w:color w:val="000000"/>
                      <w:sz w:val="21"/>
                      <w:szCs w:val="21"/>
                      <w:highlight w:val="none"/>
                      <w:lang w:val="en-US" w:eastAsia="zh-CN"/>
                    </w:rPr>
                    <w:t>备注</w:t>
                  </w:r>
                </w:p>
              </w:tc>
            </w:tr>
            <w:tr w14:paraId="62CC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37" w:type="pct"/>
                  <w:noWrap w:val="0"/>
                  <w:vAlign w:val="center"/>
                </w:tcPr>
                <w:p w14:paraId="19807907">
                  <w:pPr>
                    <w:pStyle w:val="51"/>
                    <w:rPr>
                      <w:color w:val="000000"/>
                      <w:sz w:val="21"/>
                      <w:szCs w:val="21"/>
                      <w:highlight w:val="none"/>
                    </w:rPr>
                  </w:pPr>
                  <w:r>
                    <w:rPr>
                      <w:color w:val="000000"/>
                      <w:sz w:val="21"/>
                      <w:szCs w:val="21"/>
                      <w:highlight w:val="none"/>
                    </w:rPr>
                    <w:t>噪声</w:t>
                  </w:r>
                </w:p>
              </w:tc>
              <w:tc>
                <w:tcPr>
                  <w:tcW w:w="543" w:type="pct"/>
                  <w:noWrap w:val="0"/>
                  <w:vAlign w:val="center"/>
                </w:tcPr>
                <w:p w14:paraId="7022FD55">
                  <w:pPr>
                    <w:pStyle w:val="51"/>
                    <w:rPr>
                      <w:color w:val="000000"/>
                      <w:sz w:val="21"/>
                      <w:szCs w:val="21"/>
                      <w:highlight w:val="none"/>
                    </w:rPr>
                  </w:pPr>
                  <w:r>
                    <w:rPr>
                      <w:color w:val="000000"/>
                      <w:sz w:val="21"/>
                      <w:szCs w:val="21"/>
                      <w:highlight w:val="none"/>
                    </w:rPr>
                    <w:t>Leq（A）</w:t>
                  </w:r>
                </w:p>
              </w:tc>
              <w:tc>
                <w:tcPr>
                  <w:tcW w:w="637" w:type="pct"/>
                  <w:noWrap w:val="0"/>
                  <w:vAlign w:val="center"/>
                </w:tcPr>
                <w:p w14:paraId="66DE067D">
                  <w:pPr>
                    <w:pStyle w:val="51"/>
                    <w:rPr>
                      <w:color w:val="000000"/>
                      <w:sz w:val="21"/>
                      <w:szCs w:val="21"/>
                      <w:highlight w:val="none"/>
                    </w:rPr>
                  </w:pPr>
                  <w:r>
                    <w:rPr>
                      <w:color w:val="000000"/>
                      <w:sz w:val="21"/>
                      <w:szCs w:val="21"/>
                      <w:highlight w:val="none"/>
                    </w:rPr>
                    <w:t>厂界四周</w:t>
                  </w:r>
                </w:p>
              </w:tc>
              <w:tc>
                <w:tcPr>
                  <w:tcW w:w="496" w:type="pct"/>
                  <w:noWrap w:val="0"/>
                  <w:vAlign w:val="center"/>
                </w:tcPr>
                <w:p w14:paraId="33D769C6">
                  <w:pPr>
                    <w:pStyle w:val="51"/>
                    <w:rPr>
                      <w:rFonts w:hint="eastAsia"/>
                      <w:color w:val="000000"/>
                      <w:sz w:val="21"/>
                      <w:szCs w:val="21"/>
                      <w:highlight w:val="none"/>
                    </w:rPr>
                  </w:pPr>
                  <w:r>
                    <w:rPr>
                      <w:color w:val="000000"/>
                      <w:sz w:val="21"/>
                      <w:szCs w:val="21"/>
                      <w:highlight w:val="none"/>
                    </w:rPr>
                    <w:t>1次/</w:t>
                  </w:r>
                  <w:r>
                    <w:rPr>
                      <w:rFonts w:hint="eastAsia"/>
                      <w:color w:val="000000"/>
                      <w:sz w:val="21"/>
                      <w:szCs w:val="21"/>
                      <w:highlight w:val="none"/>
                    </w:rPr>
                    <w:t>季</w:t>
                  </w:r>
                </w:p>
              </w:tc>
              <w:tc>
                <w:tcPr>
                  <w:tcW w:w="1465" w:type="pct"/>
                  <w:noWrap w:val="0"/>
                  <w:vAlign w:val="center"/>
                </w:tcPr>
                <w:p w14:paraId="5A522AFF">
                  <w:pPr>
                    <w:pStyle w:val="51"/>
                    <w:rPr>
                      <w:rFonts w:hint="eastAsia" w:eastAsia="宋体"/>
                      <w:color w:val="000000"/>
                      <w:sz w:val="21"/>
                      <w:szCs w:val="21"/>
                      <w:highlight w:val="none"/>
                      <w:lang w:eastAsia="zh-CN"/>
                    </w:rPr>
                  </w:pPr>
                  <w:r>
                    <w:rPr>
                      <w:color w:val="000000"/>
                      <w:sz w:val="21"/>
                      <w:szCs w:val="21"/>
                      <w:highlight w:val="none"/>
                    </w:rPr>
                    <w:t>《工业企业厂界环境噪声排放标准》</w:t>
                  </w:r>
                  <w:r>
                    <w:rPr>
                      <w:rFonts w:hint="eastAsia"/>
                      <w:color w:val="000000"/>
                      <w:sz w:val="21"/>
                      <w:szCs w:val="21"/>
                      <w:highlight w:val="none"/>
                      <w:lang w:val="en-US" w:eastAsia="zh-CN"/>
                    </w:rPr>
                    <w:t>3</w:t>
                  </w:r>
                  <w:r>
                    <w:rPr>
                      <w:color w:val="000000"/>
                      <w:sz w:val="21"/>
                      <w:szCs w:val="21"/>
                      <w:highlight w:val="none"/>
                    </w:rPr>
                    <w:t>类标准</w:t>
                  </w:r>
                  <w:r>
                    <w:rPr>
                      <w:rFonts w:hint="eastAsia"/>
                      <w:color w:val="000000"/>
                      <w:sz w:val="21"/>
                      <w:szCs w:val="21"/>
                      <w:highlight w:val="none"/>
                      <w:lang w:eastAsia="zh-CN"/>
                    </w:rPr>
                    <w:t>。</w:t>
                  </w:r>
                </w:p>
              </w:tc>
              <w:tc>
                <w:tcPr>
                  <w:tcW w:w="1320" w:type="pct"/>
                  <w:noWrap w:val="0"/>
                  <w:vAlign w:val="center"/>
                </w:tcPr>
                <w:p w14:paraId="4B9F3CBF">
                  <w:pPr>
                    <w:pStyle w:val="51"/>
                    <w:rPr>
                      <w:rFonts w:hint="default" w:eastAsia="宋体"/>
                      <w:color w:val="000000"/>
                      <w:sz w:val="21"/>
                      <w:szCs w:val="21"/>
                      <w:highlight w:val="none"/>
                      <w:lang w:val="en-US" w:eastAsia="zh-CN"/>
                    </w:rPr>
                  </w:pPr>
                  <w:r>
                    <w:rPr>
                      <w:rFonts w:hint="eastAsia"/>
                      <w:color w:val="000000"/>
                      <w:sz w:val="21"/>
                      <w:szCs w:val="21"/>
                      <w:highlight w:val="none"/>
                      <w:lang w:val="en-US" w:eastAsia="zh-CN"/>
                    </w:rPr>
                    <w:t>纳入现有监测计划。</w:t>
                  </w:r>
                </w:p>
              </w:tc>
            </w:tr>
          </w:tbl>
          <w:p w14:paraId="55E9EC4C">
            <w:pPr>
              <w:pStyle w:val="13"/>
              <w:spacing w:after="0" w:line="360" w:lineRule="auto"/>
              <w:ind w:left="0" w:leftChars="0" w:firstLine="482" w:firstLineChars="200"/>
              <w:rPr>
                <w:rFonts w:hint="default" w:ascii="Times New Roman" w:hAnsi="Times New Roman" w:eastAsia="宋体" w:cs="Times New Roman"/>
                <w:b/>
                <w:bCs/>
                <w:sz w:val="24"/>
                <w:szCs w:val="32"/>
                <w:highlight w:val="none"/>
                <w:lang w:val="en-US" w:eastAsia="zh-CN"/>
              </w:rPr>
            </w:pPr>
            <w:r>
              <w:rPr>
                <w:rFonts w:hint="eastAsia" w:ascii="Times New Roman" w:hAnsi="Times New Roman" w:eastAsia="宋体" w:cs="Times New Roman"/>
                <w:b/>
                <w:bCs/>
                <w:sz w:val="24"/>
                <w:szCs w:val="32"/>
                <w:highlight w:val="none"/>
                <w:lang w:val="en-US" w:eastAsia="zh-CN"/>
              </w:rPr>
              <w:t>3</w:t>
            </w:r>
            <w:r>
              <w:rPr>
                <w:rFonts w:hint="eastAsia" w:cs="Times New Roman"/>
                <w:b/>
                <w:bCs/>
                <w:sz w:val="24"/>
                <w:szCs w:val="32"/>
                <w:highlight w:val="none"/>
                <w:lang w:val="en-US" w:eastAsia="zh-CN"/>
              </w:rPr>
              <w:t>.</w:t>
            </w:r>
            <w:r>
              <w:rPr>
                <w:rFonts w:hint="eastAsia" w:ascii="Times New Roman" w:hAnsi="Times New Roman" w:eastAsia="宋体" w:cs="Times New Roman"/>
                <w:b/>
                <w:bCs/>
                <w:sz w:val="24"/>
                <w:szCs w:val="32"/>
                <w:highlight w:val="none"/>
                <w:lang w:val="en-US" w:eastAsia="zh-CN"/>
              </w:rPr>
              <w:t>环境风险防范措施</w:t>
            </w:r>
          </w:p>
          <w:p w14:paraId="78760473">
            <w:pPr>
              <w:adjustRightInd w:val="0"/>
              <w:snapToGrid w:val="0"/>
              <w:spacing w:line="360" w:lineRule="auto"/>
              <w:ind w:firstLine="480" w:firstLineChars="200"/>
              <w:rPr>
                <w:rFonts w:hint="eastAsia"/>
                <w:sz w:val="24"/>
                <w:szCs w:val="32"/>
                <w:highlight w:val="none"/>
              </w:rPr>
            </w:pPr>
            <w:r>
              <w:rPr>
                <w:rFonts w:hint="eastAsia"/>
                <w:sz w:val="24"/>
                <w:szCs w:val="32"/>
                <w:highlight w:val="none"/>
              </w:rPr>
              <w:t>（1）本项目管道采用优质钢管材质，壁厚选取考虑腐蚀裕量，管外防腐采用特加强级处理，可有效防范管道破损泄漏污染地下水和土壤环境。</w:t>
            </w:r>
          </w:p>
          <w:p w14:paraId="3BD9B444">
            <w:pPr>
              <w:adjustRightInd w:val="0"/>
              <w:snapToGrid w:val="0"/>
              <w:spacing w:line="360" w:lineRule="auto"/>
              <w:ind w:firstLine="480" w:firstLineChars="200"/>
              <w:rPr>
                <w:rFonts w:hint="eastAsia"/>
                <w:sz w:val="24"/>
                <w:szCs w:val="32"/>
                <w:highlight w:val="none"/>
              </w:rPr>
            </w:pPr>
            <w:r>
              <w:rPr>
                <w:rFonts w:hint="eastAsia"/>
                <w:sz w:val="24"/>
                <w:szCs w:val="32"/>
                <w:highlight w:val="none"/>
              </w:rPr>
              <w:t>（2）环境风险防范与应急措施：</w:t>
            </w:r>
          </w:p>
          <w:p w14:paraId="61998706">
            <w:pPr>
              <w:snapToGrid w:val="0"/>
              <w:spacing w:line="360" w:lineRule="auto"/>
              <w:ind w:firstLine="480" w:firstLineChars="200"/>
              <w:rPr>
                <w:rFonts w:hint="eastAsia"/>
                <w:sz w:val="24"/>
                <w:szCs w:val="32"/>
                <w:highlight w:val="none"/>
              </w:rPr>
            </w:pPr>
            <w:r>
              <w:rPr>
                <w:rFonts w:hint="eastAsia"/>
                <w:sz w:val="24"/>
                <w:szCs w:val="32"/>
                <w:highlight w:val="none"/>
              </w:rPr>
              <w:t>①本项目具有潜在的风险物质泄漏危险性以及火灾危险性，因此，建设项目的管道设计、施工和运营等必须进行科学规划、合理布置、严格执行国家的安全设计规范，特别是管道防腐，应保证施工质量，避免或减少事故的发生。</w:t>
            </w:r>
          </w:p>
          <w:p w14:paraId="7077A90A">
            <w:pPr>
              <w:snapToGrid w:val="0"/>
              <w:spacing w:line="360" w:lineRule="auto"/>
              <w:ind w:firstLine="480" w:firstLineChars="200"/>
              <w:rPr>
                <w:rFonts w:hint="eastAsia"/>
                <w:sz w:val="24"/>
                <w:szCs w:val="32"/>
                <w:highlight w:val="none"/>
              </w:rPr>
            </w:pPr>
            <w:r>
              <w:rPr>
                <w:rFonts w:hint="eastAsia"/>
                <w:sz w:val="24"/>
                <w:szCs w:val="32"/>
                <w:highlight w:val="none"/>
              </w:rPr>
              <w:t>②在管道附近</w:t>
            </w:r>
            <w:r>
              <w:rPr>
                <w:rFonts w:hint="eastAsia"/>
                <w:sz w:val="24"/>
                <w:szCs w:val="32"/>
                <w:highlight w:val="none"/>
                <w:lang w:eastAsia="zh-CN"/>
              </w:rPr>
              <w:t>设置</w:t>
            </w:r>
            <w:r>
              <w:rPr>
                <w:rFonts w:hint="eastAsia"/>
                <w:sz w:val="24"/>
                <w:szCs w:val="32"/>
                <w:highlight w:val="none"/>
              </w:rPr>
              <w:t>安全标识，防止人为破坏等。</w:t>
            </w:r>
          </w:p>
          <w:p w14:paraId="31C44191">
            <w:pPr>
              <w:snapToGrid w:val="0"/>
              <w:spacing w:line="360" w:lineRule="auto"/>
              <w:ind w:firstLine="480" w:firstLineChars="200"/>
              <w:rPr>
                <w:rFonts w:hint="eastAsia"/>
                <w:sz w:val="24"/>
                <w:szCs w:val="32"/>
                <w:highlight w:val="none"/>
              </w:rPr>
            </w:pPr>
            <w:r>
              <w:rPr>
                <w:rFonts w:hint="eastAsia"/>
                <w:sz w:val="24"/>
                <w:szCs w:val="32"/>
                <w:highlight w:val="none"/>
              </w:rPr>
              <w:t>③运营期间及时对管道进行</w:t>
            </w:r>
            <w:r>
              <w:rPr>
                <w:rFonts w:hint="eastAsia"/>
                <w:sz w:val="24"/>
                <w:szCs w:val="32"/>
                <w:highlight w:val="none"/>
                <w:lang w:val="en-US" w:eastAsia="zh-CN"/>
              </w:rPr>
              <w:t>泄漏</w:t>
            </w:r>
            <w:r>
              <w:rPr>
                <w:rFonts w:hint="eastAsia"/>
                <w:sz w:val="24"/>
                <w:szCs w:val="32"/>
                <w:highlight w:val="none"/>
              </w:rPr>
              <w:t>性检查，若发现</w:t>
            </w:r>
            <w:r>
              <w:rPr>
                <w:rFonts w:hint="eastAsia"/>
                <w:sz w:val="24"/>
                <w:szCs w:val="32"/>
                <w:highlight w:val="none"/>
                <w:lang w:val="en-US" w:eastAsia="zh-CN"/>
              </w:rPr>
              <w:t>泄漏</w:t>
            </w:r>
            <w:r>
              <w:rPr>
                <w:rFonts w:hint="eastAsia"/>
                <w:sz w:val="24"/>
                <w:szCs w:val="32"/>
                <w:highlight w:val="none"/>
              </w:rPr>
              <w:t>及时修复，建立完善的泄漏检查制度。</w:t>
            </w:r>
          </w:p>
          <w:p w14:paraId="0604D75F">
            <w:pPr>
              <w:snapToGrid w:val="0"/>
              <w:spacing w:line="360" w:lineRule="auto"/>
              <w:ind w:firstLine="480" w:firstLineChars="200"/>
              <w:rPr>
                <w:rFonts w:hint="eastAsia"/>
                <w:sz w:val="24"/>
                <w:szCs w:val="32"/>
                <w:highlight w:val="none"/>
              </w:rPr>
            </w:pPr>
            <w:r>
              <w:rPr>
                <w:rFonts w:hint="eastAsia"/>
                <w:sz w:val="24"/>
                <w:szCs w:val="32"/>
                <w:highlight w:val="none"/>
              </w:rPr>
              <w:t>④如突发火灾，应迅速按应急预案紧急处理。</w:t>
            </w:r>
          </w:p>
          <w:p w14:paraId="22C4FF97">
            <w:pPr>
              <w:adjustRightInd w:val="0"/>
              <w:snapToGrid w:val="0"/>
              <w:spacing w:line="360" w:lineRule="auto"/>
              <w:ind w:firstLine="480" w:firstLineChars="200"/>
              <w:rPr>
                <w:rFonts w:hint="eastAsia"/>
                <w:sz w:val="24"/>
                <w:szCs w:val="32"/>
                <w:highlight w:val="none"/>
              </w:rPr>
            </w:pPr>
            <w:r>
              <w:rPr>
                <w:rFonts w:hint="eastAsia"/>
                <w:sz w:val="24"/>
                <w:szCs w:val="32"/>
                <w:highlight w:val="none"/>
              </w:rPr>
              <w:t>⑤制定严格的消防管理制度，在厂区内配备泡沫炮、灭火栓、干粉灭火器</w:t>
            </w:r>
            <w:r>
              <w:rPr>
                <w:rFonts w:hint="eastAsia"/>
                <w:sz w:val="24"/>
                <w:szCs w:val="32"/>
                <w:highlight w:val="none"/>
                <w:lang w:eastAsia="zh-CN"/>
              </w:rPr>
              <w:t>和</w:t>
            </w:r>
            <w:r>
              <w:rPr>
                <w:rFonts w:hint="eastAsia"/>
                <w:sz w:val="24"/>
                <w:szCs w:val="32"/>
                <w:highlight w:val="none"/>
              </w:rPr>
              <w:t>灭火沙箱等消防器材，定期组织消防演练。</w:t>
            </w:r>
          </w:p>
          <w:p w14:paraId="4934B907">
            <w:pPr>
              <w:adjustRightInd w:val="0"/>
              <w:snapToGrid w:val="0"/>
              <w:spacing w:line="360" w:lineRule="auto"/>
              <w:ind w:firstLine="480" w:firstLineChars="200"/>
              <w:rPr>
                <w:rFonts w:hint="eastAsia"/>
                <w:sz w:val="24"/>
                <w:szCs w:val="32"/>
                <w:highlight w:val="none"/>
              </w:rPr>
            </w:pPr>
            <w:r>
              <w:rPr>
                <w:rFonts w:hint="eastAsia"/>
                <w:sz w:val="24"/>
                <w:szCs w:val="32"/>
                <w:highlight w:val="none"/>
              </w:rPr>
              <w:t>（3）依托的风险防控措施</w:t>
            </w:r>
          </w:p>
          <w:p w14:paraId="6833A818">
            <w:pPr>
              <w:adjustRightInd w:val="0"/>
              <w:snapToGrid w:val="0"/>
              <w:spacing w:line="360" w:lineRule="auto"/>
              <w:ind w:firstLine="480" w:firstLineChars="200"/>
              <w:jc w:val="left"/>
              <w:rPr>
                <w:rFonts w:hint="eastAsia" w:ascii="Times New Roman" w:hAnsi="Times New Roman" w:eastAsia="宋体" w:cs="Times New Roman"/>
                <w:sz w:val="24"/>
                <w:szCs w:val="32"/>
                <w:highlight w:val="none"/>
                <w:lang w:val="en-US" w:eastAsia="zh-CN"/>
              </w:rPr>
            </w:pPr>
            <w:r>
              <w:rPr>
                <w:rFonts w:hint="eastAsia" w:cs="Times New Roman"/>
                <w:sz w:val="24"/>
                <w:szCs w:val="32"/>
                <w:highlight w:val="none"/>
                <w:lang w:val="en-US" w:eastAsia="zh-CN"/>
              </w:rPr>
              <w:t>设置了</w:t>
            </w:r>
            <w:r>
              <w:rPr>
                <w:rFonts w:hint="eastAsia" w:ascii="Times New Roman" w:hAnsi="Times New Roman" w:eastAsia="宋体" w:cs="Times New Roman"/>
                <w:sz w:val="24"/>
                <w:szCs w:val="32"/>
                <w:highlight w:val="none"/>
                <w:lang w:val="en-US" w:eastAsia="zh-CN"/>
              </w:rPr>
              <w:t>手动切断阀组。在物料输出端和接收端设置中控系统和紧急切断阀，阀门和仪表的控制信号接入伊泰化工公司DCS系统</w:t>
            </w:r>
            <w:r>
              <w:rPr>
                <w:rFonts w:hint="eastAsia" w:cs="Times New Roman"/>
                <w:sz w:val="24"/>
                <w:szCs w:val="32"/>
                <w:highlight w:val="none"/>
                <w:lang w:val="en-US" w:eastAsia="zh-CN"/>
              </w:rPr>
              <w:t>。</w:t>
            </w:r>
            <w:r>
              <w:rPr>
                <w:rFonts w:hint="eastAsia" w:ascii="Times New Roman" w:hAnsi="Times New Roman" w:eastAsia="宋体" w:cs="Times New Roman"/>
                <w:sz w:val="24"/>
                <w:szCs w:val="32"/>
                <w:highlight w:val="none"/>
                <w:lang w:val="en-US" w:eastAsia="zh-CN"/>
              </w:rPr>
              <w:t>项目所有阀门、法兰安装全部在装置区内，不涉及装置区以外占地。厂区外WRT甲烷气管道、清净废水管道安装完成后进行探伤检测。</w:t>
            </w:r>
          </w:p>
          <w:p w14:paraId="54B1278A">
            <w:pPr>
              <w:adjustRightInd w:val="0"/>
              <w:snapToGrid w:val="0"/>
              <w:spacing w:line="360" w:lineRule="auto"/>
              <w:ind w:firstLine="480" w:firstLineChars="200"/>
              <w:rPr>
                <w:rFonts w:hint="eastAsia"/>
                <w:sz w:val="24"/>
                <w:szCs w:val="32"/>
                <w:highlight w:val="none"/>
              </w:rPr>
            </w:pPr>
            <w:r>
              <w:rPr>
                <w:rFonts w:hint="eastAsia"/>
                <w:sz w:val="24"/>
                <w:szCs w:val="32"/>
                <w:highlight w:val="none"/>
                <w:lang w:val="en-US" w:eastAsia="zh-CN"/>
              </w:rPr>
              <w:t>完善内蒙古伊泰化工有限责任公司</w:t>
            </w:r>
            <w:r>
              <w:rPr>
                <w:rFonts w:hint="eastAsia"/>
                <w:sz w:val="24"/>
                <w:szCs w:val="32"/>
                <w:highlight w:val="none"/>
              </w:rPr>
              <w:t>已</w:t>
            </w:r>
            <w:r>
              <w:rPr>
                <w:rFonts w:hint="eastAsia"/>
                <w:sz w:val="24"/>
                <w:szCs w:val="32"/>
                <w:highlight w:val="none"/>
                <w:lang w:eastAsia="zh-CN"/>
              </w:rPr>
              <w:t>建立</w:t>
            </w:r>
            <w:r>
              <w:rPr>
                <w:rFonts w:hint="eastAsia"/>
                <w:sz w:val="24"/>
                <w:szCs w:val="32"/>
                <w:highlight w:val="none"/>
              </w:rPr>
              <w:t>的环境风险防控体系；制定完整的安全管理机构和严格的安全管理制度。装置和班组设有专职或兼职的安全员，负责日常的安全生产管理监督工作。</w:t>
            </w:r>
          </w:p>
          <w:p w14:paraId="35F281A1">
            <w:pPr>
              <w:adjustRightInd w:val="0"/>
              <w:snapToGrid w:val="0"/>
              <w:spacing w:line="360" w:lineRule="auto"/>
              <w:ind w:firstLine="480" w:firstLineChars="200"/>
              <w:rPr>
                <w:rFonts w:hint="eastAsia"/>
                <w:sz w:val="24"/>
                <w:szCs w:val="32"/>
                <w:highlight w:val="none"/>
              </w:rPr>
            </w:pPr>
            <w:r>
              <w:rPr>
                <w:rFonts w:hint="eastAsia"/>
                <w:sz w:val="24"/>
                <w:szCs w:val="32"/>
                <w:highlight w:val="none"/>
              </w:rPr>
              <w:t>依托</w:t>
            </w:r>
            <w:r>
              <w:rPr>
                <w:rFonts w:hint="eastAsia"/>
                <w:sz w:val="24"/>
                <w:szCs w:val="32"/>
                <w:highlight w:val="none"/>
                <w:lang w:val="en-US" w:eastAsia="zh-CN"/>
              </w:rPr>
              <w:t>内蒙古伊泰化工有限责任公司</w:t>
            </w:r>
            <w:r>
              <w:rPr>
                <w:rFonts w:hint="eastAsia"/>
                <w:sz w:val="24"/>
                <w:szCs w:val="32"/>
                <w:highlight w:val="none"/>
              </w:rPr>
              <w:t>配备的应急物资，同时与工业区及地方</w:t>
            </w:r>
            <w:r>
              <w:rPr>
                <w:rFonts w:hint="eastAsia"/>
                <w:sz w:val="24"/>
                <w:szCs w:val="32"/>
                <w:highlight w:val="none"/>
                <w:lang w:eastAsia="zh-CN"/>
              </w:rPr>
              <w:t>政府</w:t>
            </w:r>
            <w:r>
              <w:rPr>
                <w:rFonts w:hint="eastAsia"/>
                <w:sz w:val="24"/>
                <w:szCs w:val="32"/>
                <w:highlight w:val="none"/>
              </w:rPr>
              <w:t>成立突发环境事件应急预案指挥与协调领导小组。与邻近企业签订应急救援合作协议，建立定期交流机制，充分发挥信息互通、资源共享的区域联防优势，提高应急响应效率，有效控制环境事件的扩大。</w:t>
            </w:r>
          </w:p>
          <w:p w14:paraId="3B1CF5E9">
            <w:pPr>
              <w:adjustRightInd w:val="0"/>
              <w:snapToGrid w:val="0"/>
              <w:spacing w:line="360" w:lineRule="auto"/>
              <w:ind w:firstLine="480" w:firstLineChars="200"/>
              <w:rPr>
                <w:rFonts w:ascii="宋体" w:hAnsi="宋体" w:cs="宋体"/>
                <w:bCs/>
                <w:color w:val="0000FF"/>
                <w:spacing w:val="10"/>
                <w:szCs w:val="21"/>
                <w:highlight w:val="none"/>
              </w:rPr>
            </w:pPr>
            <w:r>
              <w:rPr>
                <w:rFonts w:hint="default" w:ascii="Times New Roman" w:hAnsi="Times New Roman" w:cs="Times New Roman"/>
                <w:color w:val="000000"/>
                <w:sz w:val="24"/>
                <w:highlight w:val="none"/>
              </w:rPr>
              <w:t>本项目不新建消防站，依托</w:t>
            </w:r>
            <w:r>
              <w:rPr>
                <w:rFonts w:hint="eastAsia" w:cs="Times New Roman"/>
                <w:color w:val="000000"/>
                <w:sz w:val="24"/>
                <w:highlight w:val="none"/>
                <w:lang w:eastAsia="zh-CN"/>
              </w:rPr>
              <w:t>“</w:t>
            </w:r>
            <w:r>
              <w:rPr>
                <w:rFonts w:hint="default" w:ascii="Times New Roman" w:hAnsi="Times New Roman" w:cs="Times New Roman"/>
                <w:color w:val="000000"/>
                <w:sz w:val="24"/>
                <w:highlight w:val="none"/>
              </w:rPr>
              <w:t>内蒙古伊泰化工有限责任公司120万吨/年精细化学品示范项目</w:t>
            </w:r>
            <w:r>
              <w:rPr>
                <w:rFonts w:hint="eastAsia" w:cs="Times New Roman"/>
                <w:color w:val="000000"/>
                <w:sz w:val="24"/>
                <w:highlight w:val="none"/>
                <w:lang w:eastAsia="zh-CN"/>
              </w:rPr>
              <w:t>”</w:t>
            </w:r>
            <w:r>
              <w:rPr>
                <w:rFonts w:hint="default" w:ascii="Times New Roman" w:hAnsi="Times New Roman" w:cs="Times New Roman"/>
                <w:color w:val="000000"/>
                <w:sz w:val="24"/>
                <w:highlight w:val="none"/>
              </w:rPr>
              <w:t>厂区内建设的一座消防站作为机动消防力量</w:t>
            </w:r>
            <w:r>
              <w:rPr>
                <w:rFonts w:hint="eastAsia"/>
                <w:color w:val="000000"/>
                <w:sz w:val="24"/>
                <w:highlight w:val="none"/>
              </w:rPr>
              <w:t>。</w:t>
            </w:r>
          </w:p>
        </w:tc>
      </w:tr>
      <w:tr w14:paraId="167A1D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noWrap w:val="0"/>
            <w:vAlign w:val="center"/>
          </w:tcPr>
          <w:p w14:paraId="21420D4A">
            <w:pPr>
              <w:adjustRightInd w:val="0"/>
              <w:snapToGrid w:val="0"/>
              <w:jc w:val="center"/>
              <w:rPr>
                <w:rFonts w:ascii="宋体" w:hAnsi="宋体" w:cs="宋体"/>
                <w:bCs/>
                <w:spacing w:val="10"/>
                <w:szCs w:val="21"/>
                <w:highlight w:val="none"/>
              </w:rPr>
            </w:pPr>
            <w:r>
              <w:rPr>
                <w:rFonts w:hint="eastAsia" w:ascii="宋体" w:hAnsi="宋体"/>
                <w:bCs/>
                <w:sz w:val="24"/>
                <w:highlight w:val="none"/>
              </w:rPr>
              <w:t>其他</w:t>
            </w:r>
          </w:p>
        </w:tc>
        <w:tc>
          <w:tcPr>
            <w:tcW w:w="8032" w:type="dxa"/>
            <w:noWrap w:val="0"/>
            <w:vAlign w:val="center"/>
          </w:tcPr>
          <w:p w14:paraId="37981325">
            <w:pPr>
              <w:adjustRightInd w:val="0"/>
              <w:snapToGrid w:val="0"/>
              <w:jc w:val="center"/>
              <w:rPr>
                <w:rFonts w:ascii="宋体" w:hAnsi="宋体" w:cs="宋体"/>
                <w:bCs/>
                <w:spacing w:val="10"/>
                <w:szCs w:val="21"/>
                <w:highlight w:val="none"/>
              </w:rPr>
            </w:pPr>
            <w:r>
              <w:rPr>
                <w:rFonts w:hint="eastAsia" w:cs="宋体"/>
                <w:sz w:val="24"/>
                <w:highlight w:val="none"/>
              </w:rPr>
              <w:t>无</w:t>
            </w:r>
            <w:r>
              <w:rPr>
                <w:rFonts w:hint="eastAsia" w:ascii="宋体" w:hAnsi="宋体" w:cs="宋体"/>
                <w:bCs/>
                <w:spacing w:val="10"/>
                <w:sz w:val="24"/>
                <w:highlight w:val="none"/>
              </w:rPr>
              <w:t>。</w:t>
            </w:r>
          </w:p>
        </w:tc>
      </w:tr>
      <w:tr w14:paraId="46FFE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53" w:type="dxa"/>
            <w:noWrap w:val="0"/>
            <w:vAlign w:val="center"/>
          </w:tcPr>
          <w:p w14:paraId="237A94EE">
            <w:pPr>
              <w:adjustRightInd w:val="0"/>
              <w:snapToGrid w:val="0"/>
              <w:jc w:val="center"/>
              <w:rPr>
                <w:rFonts w:ascii="宋体" w:hAnsi="宋体" w:cs="宋体"/>
                <w:bCs/>
                <w:spacing w:val="10"/>
                <w:szCs w:val="21"/>
                <w:highlight w:val="none"/>
              </w:rPr>
            </w:pPr>
            <w:r>
              <w:rPr>
                <w:rFonts w:hint="eastAsia" w:ascii="宋体" w:hAnsi="宋体"/>
                <w:bCs/>
                <w:sz w:val="24"/>
                <w:highlight w:val="none"/>
              </w:rPr>
              <w:t>环保投资</w:t>
            </w:r>
          </w:p>
        </w:tc>
        <w:tc>
          <w:tcPr>
            <w:tcW w:w="8032" w:type="dxa"/>
            <w:noWrap w:val="0"/>
            <w:vAlign w:val="center"/>
          </w:tcPr>
          <w:p w14:paraId="480E2066">
            <w:pPr>
              <w:widowControl/>
              <w:topLinePunct/>
              <w:snapToGrid w:val="0"/>
              <w:spacing w:line="360" w:lineRule="auto"/>
              <w:ind w:firstLine="480" w:firstLineChars="200"/>
              <w:rPr>
                <w:rFonts w:hint="eastAsia"/>
                <w:sz w:val="24"/>
                <w:szCs w:val="32"/>
                <w:highlight w:val="none"/>
              </w:rPr>
            </w:pPr>
            <w:r>
              <w:rPr>
                <w:rFonts w:hint="eastAsia"/>
                <w:sz w:val="24"/>
                <w:szCs w:val="32"/>
                <w:highlight w:val="none"/>
              </w:rPr>
              <w:t>本项目总投资概算</w:t>
            </w:r>
            <w:r>
              <w:rPr>
                <w:rFonts w:hint="eastAsia"/>
                <w:sz w:val="24"/>
                <w:szCs w:val="32"/>
                <w:highlight w:val="none"/>
                <w:lang w:val="en-US" w:eastAsia="zh-CN"/>
              </w:rPr>
              <w:t>4191.02</w:t>
            </w:r>
            <w:r>
              <w:rPr>
                <w:rFonts w:hint="eastAsia"/>
                <w:sz w:val="24"/>
                <w:szCs w:val="32"/>
                <w:highlight w:val="none"/>
              </w:rPr>
              <w:t>万元，其中环保投资</w:t>
            </w:r>
            <w:r>
              <w:rPr>
                <w:rFonts w:hint="eastAsia"/>
                <w:sz w:val="24"/>
                <w:szCs w:val="32"/>
                <w:highlight w:val="none"/>
                <w:lang w:val="en-US" w:eastAsia="zh-CN"/>
              </w:rPr>
              <w:t>50</w:t>
            </w:r>
            <w:r>
              <w:rPr>
                <w:rFonts w:hint="eastAsia"/>
                <w:sz w:val="24"/>
                <w:szCs w:val="32"/>
                <w:highlight w:val="none"/>
              </w:rPr>
              <w:t>万元，占总投资比例的</w:t>
            </w:r>
            <w:r>
              <w:rPr>
                <w:rFonts w:hint="eastAsia"/>
                <w:sz w:val="24"/>
                <w:szCs w:val="32"/>
                <w:highlight w:val="none"/>
                <w:lang w:val="en-US" w:eastAsia="zh-CN"/>
              </w:rPr>
              <w:t>1.19</w:t>
            </w:r>
            <w:r>
              <w:rPr>
                <w:rFonts w:hint="eastAsia"/>
                <w:sz w:val="24"/>
                <w:szCs w:val="32"/>
                <w:highlight w:val="none"/>
              </w:rPr>
              <w:t>%。环保投资分为施工期和运营期投资，环保投资情况见表5-</w:t>
            </w:r>
            <w:r>
              <w:rPr>
                <w:rFonts w:hint="eastAsia"/>
                <w:sz w:val="24"/>
                <w:szCs w:val="32"/>
                <w:highlight w:val="none"/>
                <w:lang w:val="en-US" w:eastAsia="zh-CN"/>
              </w:rPr>
              <w:t>3</w:t>
            </w:r>
            <w:r>
              <w:rPr>
                <w:rFonts w:hint="eastAsia"/>
                <w:sz w:val="24"/>
                <w:szCs w:val="32"/>
                <w:highlight w:val="none"/>
              </w:rPr>
              <w:t>。</w:t>
            </w:r>
          </w:p>
          <w:p w14:paraId="698B8619">
            <w:pPr>
              <w:adjustRightInd w:val="0"/>
              <w:spacing w:line="360" w:lineRule="auto"/>
              <w:jc w:val="center"/>
              <w:outlineLvl w:val="9"/>
              <w:rPr>
                <w:rFonts w:hint="eastAsia" w:ascii="Times New Roman" w:hAnsi="Times New Roman" w:eastAsia="宋体" w:cs="Times New Roman"/>
                <w:b/>
                <w:bCs/>
                <w:kern w:val="2"/>
                <w:sz w:val="21"/>
                <w:szCs w:val="21"/>
                <w:highlight w:val="none"/>
                <w:lang w:eastAsia="zh-CN"/>
              </w:rPr>
            </w:pPr>
            <w:r>
              <w:rPr>
                <w:rFonts w:hint="eastAsia" w:ascii="Times New Roman" w:hAnsi="Times New Roman" w:eastAsia="宋体" w:cs="Times New Roman"/>
                <w:b/>
                <w:bCs/>
                <w:kern w:val="2"/>
                <w:sz w:val="21"/>
                <w:szCs w:val="21"/>
                <w:highlight w:val="none"/>
              </w:rPr>
              <w:t>表5-</w:t>
            </w:r>
            <w:r>
              <w:rPr>
                <w:rFonts w:hint="eastAsia" w:cs="Times New Roman"/>
                <w:b/>
                <w:bCs/>
                <w:kern w:val="2"/>
                <w:sz w:val="21"/>
                <w:szCs w:val="21"/>
                <w:highlight w:val="none"/>
                <w:lang w:val="en-US" w:eastAsia="zh-CN"/>
              </w:rPr>
              <w:t>3</w:t>
            </w:r>
            <w:r>
              <w:rPr>
                <w:rFonts w:hint="eastAsia" w:ascii="Times New Roman" w:hAnsi="Times New Roman" w:eastAsia="宋体" w:cs="Times New Roman"/>
                <w:b/>
                <w:bCs/>
                <w:kern w:val="2"/>
                <w:sz w:val="21"/>
                <w:szCs w:val="21"/>
                <w:highlight w:val="none"/>
              </w:rPr>
              <w:t xml:space="preserve">   环保投资一览表   单位：</w:t>
            </w:r>
            <w:r>
              <w:rPr>
                <w:rFonts w:hint="eastAsia" w:cs="Times New Roman"/>
                <w:b/>
                <w:bCs/>
                <w:sz w:val="21"/>
                <w:szCs w:val="21"/>
                <w:highlight w:val="none"/>
                <w:lang w:eastAsia="zh-CN"/>
              </w:rPr>
              <w:t>（</w:t>
            </w:r>
            <w:r>
              <w:rPr>
                <w:rFonts w:hint="eastAsia" w:ascii="Times New Roman" w:hAnsi="Times New Roman" w:eastAsia="宋体" w:cs="Times New Roman"/>
                <w:b/>
                <w:bCs/>
                <w:sz w:val="21"/>
                <w:szCs w:val="21"/>
                <w:highlight w:val="none"/>
              </w:rPr>
              <w:t>万元</w:t>
            </w:r>
            <w:r>
              <w:rPr>
                <w:rFonts w:hint="eastAsia" w:cs="Times New Roman"/>
                <w:b/>
                <w:bCs/>
                <w:sz w:val="21"/>
                <w:szCs w:val="21"/>
                <w:highlight w:val="none"/>
                <w:lang w:eastAsia="zh-CN"/>
              </w:rPr>
              <w:t>）</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
              <w:gridCol w:w="616"/>
              <w:gridCol w:w="1018"/>
              <w:gridCol w:w="4736"/>
              <w:gridCol w:w="1093"/>
            </w:tblGrid>
            <w:tr w14:paraId="5FBD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2" w:type="pct"/>
                  <w:gridSpan w:val="2"/>
                  <w:noWrap w:val="0"/>
                  <w:vAlign w:val="center"/>
                </w:tcPr>
                <w:p w14:paraId="6D490958">
                  <w:pPr>
                    <w:pStyle w:val="11"/>
                    <w:spacing w:before="0" w:after="0" w:line="240" w:lineRule="auto"/>
                    <w:ind w:right="0"/>
                    <w:jc w:val="center"/>
                    <w:rPr>
                      <w:rFonts w:hint="default" w:ascii="Times New Roman" w:hAnsi="Times New Roman" w:cs="Times New Roman" w:eastAsiaTheme="minorEastAsia"/>
                      <w:b w:val="0"/>
                      <w:bCs w:val="0"/>
                      <w:sz w:val="21"/>
                      <w:szCs w:val="21"/>
                      <w:highlight w:val="none"/>
                    </w:rPr>
                  </w:pPr>
                  <w:r>
                    <w:rPr>
                      <w:rFonts w:hint="default" w:ascii="Times New Roman" w:hAnsi="Times New Roman" w:cs="Times New Roman" w:eastAsiaTheme="minorEastAsia"/>
                      <w:b w:val="0"/>
                      <w:bCs w:val="0"/>
                      <w:sz w:val="21"/>
                      <w:szCs w:val="21"/>
                      <w:highlight w:val="none"/>
                    </w:rPr>
                    <w:t>类别</w:t>
                  </w:r>
                </w:p>
              </w:tc>
              <w:tc>
                <w:tcPr>
                  <w:tcW w:w="651" w:type="pct"/>
                  <w:noWrap w:val="0"/>
                  <w:vAlign w:val="center"/>
                </w:tcPr>
                <w:p w14:paraId="325C9790">
                  <w:pPr>
                    <w:pStyle w:val="11"/>
                    <w:spacing w:before="0" w:after="0" w:line="240" w:lineRule="auto"/>
                    <w:ind w:right="0"/>
                    <w:jc w:val="center"/>
                    <w:rPr>
                      <w:rFonts w:hint="default" w:ascii="Times New Roman" w:hAnsi="Times New Roman" w:cs="Times New Roman" w:eastAsiaTheme="minorEastAsia"/>
                      <w:b w:val="0"/>
                      <w:bCs w:val="0"/>
                      <w:sz w:val="21"/>
                      <w:szCs w:val="21"/>
                      <w:highlight w:val="none"/>
                    </w:rPr>
                  </w:pPr>
                  <w:r>
                    <w:rPr>
                      <w:rFonts w:hint="default" w:ascii="Times New Roman" w:hAnsi="Times New Roman" w:cs="Times New Roman" w:eastAsiaTheme="minorEastAsia"/>
                      <w:b w:val="0"/>
                      <w:bCs w:val="0"/>
                      <w:sz w:val="21"/>
                      <w:szCs w:val="21"/>
                      <w:highlight w:val="none"/>
                    </w:rPr>
                    <w:t>污染源</w:t>
                  </w:r>
                </w:p>
              </w:tc>
              <w:tc>
                <w:tcPr>
                  <w:tcW w:w="3035" w:type="pct"/>
                  <w:noWrap w:val="0"/>
                  <w:vAlign w:val="center"/>
                </w:tcPr>
                <w:p w14:paraId="72E30D2A">
                  <w:pPr>
                    <w:pStyle w:val="11"/>
                    <w:spacing w:before="0" w:after="0" w:line="240" w:lineRule="auto"/>
                    <w:ind w:right="0"/>
                    <w:jc w:val="center"/>
                    <w:rPr>
                      <w:rFonts w:hint="default" w:ascii="Times New Roman" w:hAnsi="Times New Roman" w:cs="Times New Roman" w:eastAsiaTheme="minorEastAsia"/>
                      <w:b w:val="0"/>
                      <w:bCs w:val="0"/>
                      <w:sz w:val="21"/>
                      <w:szCs w:val="21"/>
                      <w:highlight w:val="none"/>
                    </w:rPr>
                  </w:pPr>
                  <w:r>
                    <w:rPr>
                      <w:rFonts w:hint="default" w:ascii="Times New Roman" w:hAnsi="Times New Roman" w:cs="Times New Roman" w:eastAsiaTheme="minorEastAsia"/>
                      <w:b w:val="0"/>
                      <w:bCs w:val="0"/>
                      <w:sz w:val="21"/>
                      <w:szCs w:val="21"/>
                      <w:highlight w:val="none"/>
                    </w:rPr>
                    <w:t>环保措施</w:t>
                  </w:r>
                </w:p>
              </w:tc>
              <w:tc>
                <w:tcPr>
                  <w:tcW w:w="699" w:type="pct"/>
                  <w:noWrap w:val="0"/>
                  <w:vAlign w:val="center"/>
                </w:tcPr>
                <w:p w14:paraId="7A11D3CA">
                  <w:pPr>
                    <w:pStyle w:val="11"/>
                    <w:spacing w:before="0" w:after="0" w:line="240" w:lineRule="auto"/>
                    <w:ind w:right="0"/>
                    <w:jc w:val="center"/>
                    <w:rPr>
                      <w:rFonts w:hint="default" w:ascii="Times New Roman" w:hAnsi="Times New Roman" w:cs="Times New Roman" w:eastAsiaTheme="minorEastAsia"/>
                      <w:b w:val="0"/>
                      <w:bCs w:val="0"/>
                      <w:sz w:val="21"/>
                      <w:szCs w:val="21"/>
                      <w:highlight w:val="none"/>
                    </w:rPr>
                  </w:pPr>
                  <w:r>
                    <w:rPr>
                      <w:rFonts w:hint="default" w:ascii="Times New Roman" w:hAnsi="Times New Roman" w:cs="Times New Roman" w:eastAsiaTheme="minorEastAsia"/>
                      <w:b w:val="0"/>
                      <w:bCs w:val="0"/>
                      <w:sz w:val="21"/>
                      <w:szCs w:val="21"/>
                      <w:highlight w:val="none"/>
                    </w:rPr>
                    <w:t>环保投资</w:t>
                  </w:r>
                </w:p>
              </w:tc>
            </w:tr>
            <w:tr w14:paraId="57DA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 w:type="pct"/>
                  <w:vMerge w:val="restart"/>
                  <w:noWrap w:val="0"/>
                  <w:vAlign w:val="center"/>
                </w:tcPr>
                <w:p w14:paraId="1558CB69">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施</w:t>
                  </w:r>
                </w:p>
                <w:p w14:paraId="4A61D4D2">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工</w:t>
                  </w:r>
                </w:p>
                <w:p w14:paraId="7CE1A27A">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期</w:t>
                  </w:r>
                </w:p>
              </w:tc>
              <w:tc>
                <w:tcPr>
                  <w:tcW w:w="395" w:type="pct"/>
                  <w:noWrap w:val="0"/>
                  <w:vAlign w:val="center"/>
                </w:tcPr>
                <w:p w14:paraId="53D91308">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废气</w:t>
                  </w:r>
                </w:p>
              </w:tc>
              <w:tc>
                <w:tcPr>
                  <w:tcW w:w="651" w:type="pct"/>
                  <w:noWrap w:val="0"/>
                  <w:vAlign w:val="center"/>
                </w:tcPr>
                <w:p w14:paraId="5A59AEDA">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施工扬尘</w:t>
                  </w:r>
                </w:p>
              </w:tc>
              <w:tc>
                <w:tcPr>
                  <w:tcW w:w="3035" w:type="pct"/>
                  <w:noWrap w:val="0"/>
                  <w:vAlign w:val="center"/>
                </w:tcPr>
                <w:p w14:paraId="124316F5">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lang w:val="en-US" w:eastAsia="zh-CN"/>
                    </w:rPr>
                    <w:t>依托厂区现有</w:t>
                  </w:r>
                  <w:r>
                    <w:rPr>
                      <w:rFonts w:hint="default" w:ascii="Times New Roman" w:hAnsi="Times New Roman" w:cs="Times New Roman" w:eastAsiaTheme="minorEastAsia"/>
                      <w:sz w:val="21"/>
                      <w:szCs w:val="21"/>
                      <w:highlight w:val="none"/>
                    </w:rPr>
                    <w:t>洒水</w:t>
                  </w:r>
                  <w:r>
                    <w:rPr>
                      <w:rFonts w:hint="eastAsia" w:ascii="Times New Roman" w:hAnsi="Times New Roman" w:cs="Times New Roman" w:eastAsiaTheme="minorEastAsia"/>
                      <w:sz w:val="21"/>
                      <w:szCs w:val="21"/>
                      <w:highlight w:val="none"/>
                      <w:lang w:val="en-US" w:eastAsia="zh-CN"/>
                    </w:rPr>
                    <w:t>车</w:t>
                  </w:r>
                  <w:r>
                    <w:rPr>
                      <w:rFonts w:hint="default" w:ascii="Times New Roman" w:hAnsi="Times New Roman" w:cs="Times New Roman" w:eastAsiaTheme="minorEastAsia"/>
                      <w:sz w:val="21"/>
                      <w:szCs w:val="21"/>
                      <w:highlight w:val="none"/>
                    </w:rPr>
                    <w:t>、车辆减速慢行。</w:t>
                  </w:r>
                </w:p>
              </w:tc>
              <w:tc>
                <w:tcPr>
                  <w:tcW w:w="699" w:type="pct"/>
                  <w:noWrap w:val="0"/>
                  <w:vAlign w:val="center"/>
                </w:tcPr>
                <w:p w14:paraId="7CC264C1">
                  <w:pPr>
                    <w:pStyle w:val="11"/>
                    <w:spacing w:before="0" w:after="0" w:line="240" w:lineRule="auto"/>
                    <w:ind w:right="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w:t>
                  </w:r>
                </w:p>
              </w:tc>
            </w:tr>
            <w:tr w14:paraId="7D07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17" w:type="pct"/>
                  <w:vMerge w:val="continue"/>
                  <w:noWrap w:val="0"/>
                  <w:vAlign w:val="center"/>
                </w:tcPr>
                <w:p w14:paraId="5E81F2D0">
                  <w:pPr>
                    <w:pStyle w:val="11"/>
                    <w:spacing w:before="0" w:after="0" w:line="240" w:lineRule="auto"/>
                    <w:ind w:right="0"/>
                    <w:jc w:val="center"/>
                    <w:rPr>
                      <w:rFonts w:hint="default" w:ascii="Times New Roman" w:hAnsi="Times New Roman" w:cs="Times New Roman" w:eastAsiaTheme="minorEastAsia"/>
                      <w:color w:val="1900FF"/>
                      <w:sz w:val="21"/>
                      <w:szCs w:val="21"/>
                      <w:highlight w:val="none"/>
                    </w:rPr>
                  </w:pPr>
                </w:p>
              </w:tc>
              <w:tc>
                <w:tcPr>
                  <w:tcW w:w="395" w:type="pct"/>
                  <w:vMerge w:val="restart"/>
                  <w:noWrap w:val="0"/>
                  <w:vAlign w:val="center"/>
                </w:tcPr>
                <w:p w14:paraId="414C7A14">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废水</w:t>
                  </w:r>
                </w:p>
              </w:tc>
              <w:tc>
                <w:tcPr>
                  <w:tcW w:w="651" w:type="pct"/>
                  <w:noWrap w:val="0"/>
                  <w:vAlign w:val="center"/>
                </w:tcPr>
                <w:p w14:paraId="5148D602">
                  <w:pPr>
                    <w:pStyle w:val="11"/>
                    <w:spacing w:before="0" w:after="0" w:line="240" w:lineRule="auto"/>
                    <w:ind w:right="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Change w:id="13" w:author="马马虎虎" w:date="2025-12-22T18:32:49Z">
                        <w:rPr>
                          <w:rFonts w:hint="eastAsia" w:ascii="Times New Roman" w:hAnsi="Times New Roman" w:cs="Times New Roman" w:eastAsiaTheme="minorEastAsia"/>
                          <w:sz w:val="21"/>
                          <w:szCs w:val="21"/>
                          <w:highlight w:val="none"/>
                          <w:lang w:val="en-US" w:eastAsia="zh-CN"/>
                        </w:rPr>
                      </w:rPrChange>
                    </w:rPr>
                    <w:t>试压</w:t>
                  </w:r>
                </w:p>
              </w:tc>
              <w:tc>
                <w:tcPr>
                  <w:tcW w:w="3035" w:type="pct"/>
                  <w:noWrap w:val="0"/>
                  <w:vAlign w:val="center"/>
                </w:tcPr>
                <w:p w14:paraId="0F26A67D">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kern w:val="2"/>
                      <w:sz w:val="21"/>
                      <w:szCs w:val="21"/>
                      <w:highlight w:val="none"/>
                      <w:lang w:val="en-US" w:eastAsia="zh-CN"/>
                    </w:rPr>
                    <w:t>试压</w:t>
                  </w:r>
                  <w:r>
                    <w:rPr>
                      <w:rFonts w:hint="default" w:ascii="Times New Roman" w:hAnsi="Times New Roman" w:cs="Times New Roman" w:eastAsiaTheme="minorEastAsia"/>
                      <w:kern w:val="2"/>
                      <w:sz w:val="21"/>
                      <w:szCs w:val="21"/>
                      <w:highlight w:val="none"/>
                    </w:rPr>
                    <w:t>废水</w:t>
                  </w:r>
                  <w:r>
                    <w:rPr>
                      <w:rFonts w:hint="default" w:ascii="Times New Roman" w:hAnsi="Times New Roman" w:cs="Times New Roman" w:eastAsiaTheme="minorEastAsia"/>
                      <w:kern w:val="2"/>
                      <w:sz w:val="21"/>
                      <w:szCs w:val="21"/>
                      <w:highlight w:val="none"/>
                      <w:lang w:val="en-US" w:eastAsia="zh-CN"/>
                    </w:rPr>
                    <w:t>产生后通过罐车运输至伊泰化工</w:t>
                  </w:r>
                  <w:r>
                    <w:rPr>
                      <w:rFonts w:hint="default" w:ascii="Times New Roman" w:hAnsi="Times New Roman" w:cs="Times New Roman" w:eastAsiaTheme="minorEastAsia"/>
                      <w:kern w:val="2"/>
                      <w:sz w:val="21"/>
                      <w:szCs w:val="21"/>
                      <w:highlight w:val="none"/>
                    </w:rPr>
                    <w:t>厂区内现有</w:t>
                  </w:r>
                  <w:r>
                    <w:rPr>
                      <w:rFonts w:hint="default" w:ascii="Times New Roman" w:hAnsi="Times New Roman" w:cs="Times New Roman" w:eastAsiaTheme="minorEastAsia"/>
                      <w:sz w:val="21"/>
                      <w:szCs w:val="21"/>
                      <w:highlight w:val="none"/>
                    </w:rPr>
                    <w:t>污水处理站废水处理及回用清净废水处理单元</w:t>
                  </w:r>
                  <w:r>
                    <w:rPr>
                      <w:rFonts w:hint="default" w:ascii="Times New Roman" w:hAnsi="Times New Roman" w:cs="Times New Roman" w:eastAsiaTheme="minorEastAsia"/>
                      <w:kern w:val="2"/>
                      <w:sz w:val="21"/>
                      <w:szCs w:val="21"/>
                      <w:highlight w:val="none"/>
                    </w:rPr>
                    <w:t>，处理后回用，不外排。</w:t>
                  </w:r>
                </w:p>
              </w:tc>
              <w:tc>
                <w:tcPr>
                  <w:tcW w:w="699" w:type="pct"/>
                  <w:noWrap w:val="0"/>
                  <w:vAlign w:val="center"/>
                </w:tcPr>
                <w:p w14:paraId="569C7269">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w:t>
                  </w:r>
                </w:p>
              </w:tc>
            </w:tr>
            <w:tr w14:paraId="2B0B8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 w:type="pct"/>
                  <w:vMerge w:val="continue"/>
                  <w:noWrap w:val="0"/>
                  <w:vAlign w:val="center"/>
                </w:tcPr>
                <w:p w14:paraId="27F05CA7">
                  <w:pPr>
                    <w:pStyle w:val="11"/>
                    <w:spacing w:before="0" w:after="0" w:line="240" w:lineRule="auto"/>
                    <w:ind w:right="0"/>
                    <w:jc w:val="center"/>
                    <w:rPr>
                      <w:rFonts w:hint="default" w:ascii="Times New Roman" w:hAnsi="Times New Roman" w:cs="Times New Roman" w:eastAsiaTheme="minorEastAsia"/>
                      <w:color w:val="1900FF"/>
                      <w:sz w:val="21"/>
                      <w:szCs w:val="21"/>
                      <w:highlight w:val="none"/>
                    </w:rPr>
                  </w:pPr>
                </w:p>
              </w:tc>
              <w:tc>
                <w:tcPr>
                  <w:tcW w:w="395" w:type="pct"/>
                  <w:vMerge w:val="continue"/>
                  <w:noWrap w:val="0"/>
                  <w:vAlign w:val="center"/>
                </w:tcPr>
                <w:p w14:paraId="208927CE">
                  <w:pPr>
                    <w:pStyle w:val="11"/>
                    <w:spacing w:before="0" w:after="0" w:line="240" w:lineRule="auto"/>
                    <w:ind w:right="0"/>
                    <w:jc w:val="center"/>
                    <w:rPr>
                      <w:rFonts w:hint="default" w:ascii="Times New Roman" w:hAnsi="Times New Roman" w:cs="Times New Roman" w:eastAsiaTheme="minorEastAsia"/>
                      <w:sz w:val="21"/>
                      <w:szCs w:val="21"/>
                      <w:highlight w:val="none"/>
                    </w:rPr>
                  </w:pPr>
                </w:p>
              </w:tc>
              <w:tc>
                <w:tcPr>
                  <w:tcW w:w="651" w:type="pct"/>
                  <w:noWrap w:val="0"/>
                  <w:vAlign w:val="center"/>
                </w:tcPr>
                <w:p w14:paraId="61C8F2AA">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生活污水</w:t>
                  </w:r>
                </w:p>
              </w:tc>
              <w:tc>
                <w:tcPr>
                  <w:tcW w:w="3035" w:type="pct"/>
                  <w:noWrap w:val="0"/>
                  <w:vAlign w:val="center"/>
                </w:tcPr>
                <w:p w14:paraId="6F628091">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依托现有生活污水处理设施处理。</w:t>
                  </w:r>
                </w:p>
              </w:tc>
              <w:tc>
                <w:tcPr>
                  <w:tcW w:w="699" w:type="pct"/>
                  <w:noWrap w:val="0"/>
                  <w:vAlign w:val="center"/>
                </w:tcPr>
                <w:p w14:paraId="3F23AD11">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w:t>
                  </w:r>
                </w:p>
              </w:tc>
            </w:tr>
            <w:tr w14:paraId="306A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 w:type="pct"/>
                  <w:vMerge w:val="continue"/>
                  <w:noWrap w:val="0"/>
                  <w:vAlign w:val="center"/>
                </w:tcPr>
                <w:p w14:paraId="6906133A">
                  <w:pPr>
                    <w:pStyle w:val="11"/>
                    <w:spacing w:before="0" w:after="0" w:line="240" w:lineRule="auto"/>
                    <w:ind w:right="0"/>
                    <w:jc w:val="center"/>
                    <w:rPr>
                      <w:rFonts w:hint="default" w:ascii="Times New Roman" w:hAnsi="Times New Roman" w:cs="Times New Roman" w:eastAsiaTheme="minorEastAsia"/>
                      <w:color w:val="1900FF"/>
                      <w:sz w:val="21"/>
                      <w:szCs w:val="21"/>
                      <w:highlight w:val="none"/>
                    </w:rPr>
                  </w:pPr>
                </w:p>
              </w:tc>
              <w:tc>
                <w:tcPr>
                  <w:tcW w:w="395" w:type="pct"/>
                  <w:noWrap w:val="0"/>
                  <w:vAlign w:val="center"/>
                </w:tcPr>
                <w:p w14:paraId="3D37FA37">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噪声</w:t>
                  </w:r>
                </w:p>
              </w:tc>
              <w:tc>
                <w:tcPr>
                  <w:tcW w:w="651" w:type="pct"/>
                  <w:noWrap w:val="0"/>
                  <w:vAlign w:val="center"/>
                </w:tcPr>
                <w:p w14:paraId="272E2136">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施工设备</w:t>
                  </w:r>
                </w:p>
              </w:tc>
              <w:tc>
                <w:tcPr>
                  <w:tcW w:w="3035" w:type="pct"/>
                  <w:noWrap w:val="0"/>
                  <w:vAlign w:val="center"/>
                </w:tcPr>
                <w:p w14:paraId="4DE64F01">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施工车辆减速慢行，加强施工设备的维护</w:t>
                  </w:r>
                  <w:r>
                    <w:rPr>
                      <w:rFonts w:hint="eastAsia" w:ascii="Times New Roman" w:hAnsi="Times New Roman" w:cs="Times New Roman" w:eastAsiaTheme="minorEastAsia"/>
                      <w:sz w:val="21"/>
                      <w:szCs w:val="21"/>
                      <w:highlight w:val="none"/>
                      <w:lang w:eastAsia="zh-CN"/>
                    </w:rPr>
                    <w:t>，</w:t>
                  </w:r>
                  <w:r>
                    <w:rPr>
                      <w:rFonts w:hint="default" w:ascii="Times New Roman" w:hAnsi="Times New Roman" w:cs="Times New Roman" w:eastAsiaTheme="minorEastAsia"/>
                      <w:sz w:val="21"/>
                      <w:szCs w:val="21"/>
                      <w:highlight w:val="none"/>
                    </w:rPr>
                    <w:t>避免异常噪声排放。</w:t>
                  </w:r>
                </w:p>
              </w:tc>
              <w:tc>
                <w:tcPr>
                  <w:tcW w:w="699" w:type="pct"/>
                  <w:noWrap w:val="0"/>
                  <w:vAlign w:val="center"/>
                </w:tcPr>
                <w:p w14:paraId="2D549617">
                  <w:pPr>
                    <w:pStyle w:val="11"/>
                    <w:spacing w:before="0" w:after="0" w:line="240" w:lineRule="auto"/>
                    <w:ind w:right="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r>
            <w:tr w14:paraId="23CF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 w:type="pct"/>
                  <w:vMerge w:val="continue"/>
                  <w:noWrap w:val="0"/>
                  <w:vAlign w:val="center"/>
                </w:tcPr>
                <w:p w14:paraId="1E4EB91E">
                  <w:pPr>
                    <w:pStyle w:val="11"/>
                    <w:spacing w:before="0" w:after="0" w:line="240" w:lineRule="auto"/>
                    <w:ind w:right="0"/>
                    <w:jc w:val="center"/>
                    <w:rPr>
                      <w:rFonts w:hint="default" w:ascii="Times New Roman" w:hAnsi="Times New Roman" w:cs="Times New Roman" w:eastAsiaTheme="minorEastAsia"/>
                      <w:color w:val="1900FF"/>
                      <w:sz w:val="21"/>
                      <w:szCs w:val="21"/>
                      <w:highlight w:val="none"/>
                    </w:rPr>
                  </w:pPr>
                </w:p>
              </w:tc>
              <w:tc>
                <w:tcPr>
                  <w:tcW w:w="395" w:type="pct"/>
                  <w:vMerge w:val="restart"/>
                  <w:noWrap w:val="0"/>
                  <w:vAlign w:val="center"/>
                </w:tcPr>
                <w:p w14:paraId="131CEC13">
                  <w:pPr>
                    <w:pStyle w:val="11"/>
                    <w:spacing w:before="0" w:after="0" w:line="240" w:lineRule="auto"/>
                    <w:ind w:right="0"/>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固废</w:t>
                  </w:r>
                </w:p>
              </w:tc>
              <w:tc>
                <w:tcPr>
                  <w:tcW w:w="651" w:type="pct"/>
                  <w:noWrap w:val="0"/>
                  <w:vAlign w:val="center"/>
                </w:tcPr>
                <w:p w14:paraId="0AEC5ED2">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建筑垃圾</w:t>
                  </w:r>
                </w:p>
              </w:tc>
              <w:tc>
                <w:tcPr>
                  <w:tcW w:w="3035" w:type="pct"/>
                  <w:noWrap w:val="0"/>
                  <w:vAlign w:val="center"/>
                </w:tcPr>
                <w:p w14:paraId="57D5F8F2">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交由附近建筑垃圾处理厂处置。</w:t>
                  </w:r>
                </w:p>
              </w:tc>
              <w:tc>
                <w:tcPr>
                  <w:tcW w:w="699" w:type="pct"/>
                  <w:noWrap w:val="0"/>
                  <w:vAlign w:val="center"/>
                </w:tcPr>
                <w:p w14:paraId="1C999889">
                  <w:pPr>
                    <w:pStyle w:val="11"/>
                    <w:spacing w:before="0" w:after="0" w:line="240" w:lineRule="auto"/>
                    <w:ind w:right="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w:t>
                  </w:r>
                </w:p>
              </w:tc>
            </w:tr>
            <w:tr w14:paraId="7BF7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 w:type="pct"/>
                  <w:vMerge w:val="continue"/>
                  <w:noWrap w:val="0"/>
                  <w:vAlign w:val="center"/>
                </w:tcPr>
                <w:p w14:paraId="360DC358">
                  <w:pPr>
                    <w:pStyle w:val="11"/>
                    <w:spacing w:before="0" w:after="0" w:line="240" w:lineRule="auto"/>
                    <w:ind w:right="0"/>
                    <w:jc w:val="center"/>
                    <w:rPr>
                      <w:rFonts w:hint="default" w:ascii="Times New Roman" w:hAnsi="Times New Roman" w:cs="Times New Roman" w:eastAsiaTheme="minorEastAsia"/>
                      <w:color w:val="1900FF"/>
                      <w:sz w:val="21"/>
                      <w:szCs w:val="21"/>
                      <w:highlight w:val="none"/>
                    </w:rPr>
                  </w:pPr>
                </w:p>
              </w:tc>
              <w:tc>
                <w:tcPr>
                  <w:tcW w:w="395" w:type="pct"/>
                  <w:vMerge w:val="continue"/>
                  <w:noWrap w:val="0"/>
                  <w:vAlign w:val="center"/>
                </w:tcPr>
                <w:p w14:paraId="5522ABC6">
                  <w:pPr>
                    <w:pStyle w:val="11"/>
                    <w:spacing w:before="0" w:after="0" w:line="240" w:lineRule="auto"/>
                    <w:ind w:right="0"/>
                    <w:jc w:val="center"/>
                    <w:rPr>
                      <w:rFonts w:hint="default" w:ascii="Times New Roman" w:hAnsi="Times New Roman" w:cs="Times New Roman" w:eastAsiaTheme="minorEastAsia"/>
                      <w:sz w:val="21"/>
                      <w:szCs w:val="21"/>
                      <w:highlight w:val="none"/>
                    </w:rPr>
                  </w:pPr>
                </w:p>
              </w:tc>
              <w:tc>
                <w:tcPr>
                  <w:tcW w:w="651" w:type="pct"/>
                  <w:noWrap w:val="0"/>
                  <w:vAlign w:val="center"/>
                </w:tcPr>
                <w:p w14:paraId="7B4C19F2">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废油漆桶</w:t>
                  </w:r>
                </w:p>
              </w:tc>
              <w:tc>
                <w:tcPr>
                  <w:tcW w:w="3035" w:type="pct"/>
                  <w:noWrap w:val="0"/>
                  <w:vAlign w:val="center"/>
                </w:tcPr>
                <w:p w14:paraId="3F7CFD0D">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lang w:val="en-US" w:eastAsia="zh-CN"/>
                    </w:rPr>
                    <w:t>依托伊泰化工现有</w:t>
                  </w:r>
                  <w:r>
                    <w:rPr>
                      <w:rFonts w:hint="default" w:ascii="Times New Roman" w:hAnsi="Times New Roman" w:cs="Times New Roman" w:eastAsiaTheme="minorEastAsia"/>
                      <w:sz w:val="21"/>
                      <w:szCs w:val="21"/>
                      <w:highlight w:val="none"/>
                    </w:rPr>
                    <w:t>暂存危废间，交由有资质的单位处理。</w:t>
                  </w:r>
                </w:p>
              </w:tc>
              <w:tc>
                <w:tcPr>
                  <w:tcW w:w="699" w:type="pct"/>
                  <w:noWrap w:val="0"/>
                  <w:vAlign w:val="center"/>
                </w:tcPr>
                <w:p w14:paraId="4D8D62D8">
                  <w:pPr>
                    <w:pStyle w:val="11"/>
                    <w:spacing w:before="0" w:after="0" w:line="240" w:lineRule="auto"/>
                    <w:ind w:right="0"/>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eastAsiaTheme="minorEastAsia"/>
                      <w:sz w:val="21"/>
                      <w:szCs w:val="21"/>
                      <w:highlight w:val="none"/>
                      <w:lang w:val="en-US" w:eastAsia="zh-CN"/>
                    </w:rPr>
                    <w:t>/</w:t>
                  </w:r>
                </w:p>
              </w:tc>
            </w:tr>
            <w:tr w14:paraId="1904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 w:type="pct"/>
                  <w:vMerge w:val="continue"/>
                  <w:noWrap w:val="0"/>
                  <w:vAlign w:val="center"/>
                </w:tcPr>
                <w:p w14:paraId="5464D92C">
                  <w:pPr>
                    <w:pStyle w:val="11"/>
                    <w:spacing w:before="0" w:after="0" w:line="240" w:lineRule="auto"/>
                    <w:ind w:right="0"/>
                    <w:jc w:val="center"/>
                    <w:rPr>
                      <w:rFonts w:hint="default" w:ascii="Times New Roman" w:hAnsi="Times New Roman" w:cs="Times New Roman" w:eastAsiaTheme="minorEastAsia"/>
                      <w:color w:val="1900FF"/>
                      <w:sz w:val="21"/>
                      <w:szCs w:val="21"/>
                      <w:highlight w:val="none"/>
                    </w:rPr>
                  </w:pPr>
                </w:p>
              </w:tc>
              <w:tc>
                <w:tcPr>
                  <w:tcW w:w="395" w:type="pct"/>
                  <w:vMerge w:val="continue"/>
                  <w:noWrap w:val="0"/>
                  <w:vAlign w:val="center"/>
                </w:tcPr>
                <w:p w14:paraId="308090F0">
                  <w:pPr>
                    <w:pStyle w:val="11"/>
                    <w:spacing w:before="0" w:after="0" w:line="240" w:lineRule="auto"/>
                    <w:ind w:right="0"/>
                    <w:jc w:val="center"/>
                    <w:rPr>
                      <w:rFonts w:hint="default" w:ascii="Times New Roman" w:hAnsi="Times New Roman" w:cs="Times New Roman" w:eastAsiaTheme="minorEastAsia"/>
                      <w:sz w:val="21"/>
                      <w:szCs w:val="21"/>
                      <w:highlight w:val="none"/>
                    </w:rPr>
                  </w:pPr>
                </w:p>
              </w:tc>
              <w:tc>
                <w:tcPr>
                  <w:tcW w:w="651" w:type="pct"/>
                  <w:noWrap w:val="0"/>
                  <w:vAlign w:val="center"/>
                </w:tcPr>
                <w:p w14:paraId="046BBCDB">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生活垃圾</w:t>
                  </w:r>
                </w:p>
              </w:tc>
              <w:tc>
                <w:tcPr>
                  <w:tcW w:w="3035" w:type="pct"/>
                  <w:noWrap w:val="0"/>
                  <w:vAlign w:val="center"/>
                </w:tcPr>
                <w:p w14:paraId="5C6F6910">
                  <w:pPr>
                    <w:pStyle w:val="11"/>
                    <w:spacing w:before="0" w:after="0" w:line="240" w:lineRule="auto"/>
                    <w:ind w:right="0"/>
                    <w:jc w:val="center"/>
                    <w:rPr>
                      <w:rFonts w:hint="eastAsia"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依托现有垃圾收集设施，交由环卫部门统一清运处理</w:t>
                  </w:r>
                  <w:r>
                    <w:rPr>
                      <w:rFonts w:hint="eastAsia" w:ascii="Times New Roman" w:hAnsi="Times New Roman" w:cs="Times New Roman" w:eastAsiaTheme="minorEastAsia"/>
                      <w:sz w:val="21"/>
                      <w:szCs w:val="21"/>
                      <w:highlight w:val="none"/>
                      <w:lang w:eastAsia="zh-CN"/>
                    </w:rPr>
                    <w:t>。</w:t>
                  </w:r>
                </w:p>
              </w:tc>
              <w:tc>
                <w:tcPr>
                  <w:tcW w:w="699" w:type="pct"/>
                  <w:noWrap w:val="0"/>
                  <w:vAlign w:val="center"/>
                </w:tcPr>
                <w:p w14:paraId="36466BB4">
                  <w:pPr>
                    <w:pStyle w:val="11"/>
                    <w:spacing w:before="0" w:after="0" w:line="240" w:lineRule="auto"/>
                    <w:ind w:right="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w:t>
                  </w:r>
                </w:p>
              </w:tc>
            </w:tr>
            <w:tr w14:paraId="0BA3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 w:type="pct"/>
                  <w:noWrap w:val="0"/>
                  <w:vAlign w:val="center"/>
                </w:tcPr>
                <w:p w14:paraId="147C4069">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运营期</w:t>
                  </w:r>
                </w:p>
              </w:tc>
              <w:tc>
                <w:tcPr>
                  <w:tcW w:w="1046" w:type="pct"/>
                  <w:gridSpan w:val="2"/>
                  <w:noWrap w:val="0"/>
                  <w:vAlign w:val="center"/>
                </w:tcPr>
                <w:p w14:paraId="5A45FE21">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环境风险</w:t>
                  </w:r>
                </w:p>
              </w:tc>
              <w:tc>
                <w:tcPr>
                  <w:tcW w:w="3035" w:type="pct"/>
                  <w:noWrap w:val="0"/>
                  <w:vAlign w:val="center"/>
                </w:tcPr>
                <w:p w14:paraId="6190615F">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管道附近</w:t>
                  </w:r>
                  <w:r>
                    <w:rPr>
                      <w:rFonts w:hint="eastAsia" w:ascii="Times New Roman" w:hAnsi="Times New Roman" w:cs="Times New Roman" w:eastAsiaTheme="minorEastAsia"/>
                      <w:sz w:val="21"/>
                      <w:szCs w:val="21"/>
                      <w:highlight w:val="none"/>
                      <w:lang w:eastAsia="zh-CN"/>
                    </w:rPr>
                    <w:t>设置</w:t>
                  </w:r>
                  <w:r>
                    <w:rPr>
                      <w:rFonts w:hint="default" w:ascii="Times New Roman" w:hAnsi="Times New Roman" w:cs="Times New Roman" w:eastAsiaTheme="minorEastAsia"/>
                      <w:sz w:val="21"/>
                      <w:szCs w:val="21"/>
                      <w:highlight w:val="none"/>
                    </w:rPr>
                    <w:t>安全标识，配置消防器材，接入中控系统。</w:t>
                  </w:r>
                </w:p>
              </w:tc>
              <w:tc>
                <w:tcPr>
                  <w:tcW w:w="699" w:type="pct"/>
                  <w:noWrap w:val="0"/>
                  <w:vAlign w:val="center"/>
                </w:tcPr>
                <w:p w14:paraId="63DB2ED3">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30</w:t>
                  </w:r>
                </w:p>
              </w:tc>
            </w:tr>
            <w:tr w14:paraId="32EC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0" w:type="pct"/>
                  <w:gridSpan w:val="4"/>
                  <w:noWrap w:val="0"/>
                  <w:vAlign w:val="center"/>
                </w:tcPr>
                <w:p w14:paraId="751997FA">
                  <w:pPr>
                    <w:pStyle w:val="11"/>
                    <w:spacing w:before="0" w:after="0" w:line="240" w:lineRule="auto"/>
                    <w:ind w:right="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合计</w:t>
                  </w:r>
                </w:p>
              </w:tc>
              <w:tc>
                <w:tcPr>
                  <w:tcW w:w="699" w:type="pct"/>
                  <w:noWrap w:val="0"/>
                  <w:vAlign w:val="center"/>
                </w:tcPr>
                <w:p w14:paraId="6E7BD1FF">
                  <w:pPr>
                    <w:pStyle w:val="11"/>
                    <w:spacing w:before="0" w:after="0" w:line="240" w:lineRule="auto"/>
                    <w:ind w:right="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w:t>
                  </w:r>
                </w:p>
              </w:tc>
            </w:tr>
          </w:tbl>
          <w:p w14:paraId="498B990F">
            <w:pPr>
              <w:adjustRightInd w:val="0"/>
              <w:snapToGrid w:val="0"/>
              <w:rPr>
                <w:rFonts w:hint="eastAsia" w:ascii="宋体" w:hAnsi="宋体" w:cs="宋体"/>
                <w:bCs/>
                <w:color w:val="0000FF"/>
                <w:spacing w:val="10"/>
                <w:szCs w:val="21"/>
                <w:highlight w:val="none"/>
              </w:rPr>
            </w:pPr>
          </w:p>
        </w:tc>
      </w:tr>
    </w:tbl>
    <w:p w14:paraId="1D611E99">
      <w:pPr>
        <w:rPr>
          <w:highlight w:val="none"/>
        </w:rPr>
        <w:sectPr>
          <w:pgSz w:w="11907" w:h="16840"/>
          <w:pgMar w:top="1701" w:right="1701" w:bottom="1701" w:left="1701" w:header="851" w:footer="1077" w:gutter="0"/>
          <w:pgNumType w:fmt="decimal"/>
          <w:cols w:space="720" w:num="1"/>
          <w:docGrid w:linePitch="312" w:charSpace="0"/>
        </w:sectPr>
      </w:pPr>
    </w:p>
    <w:p w14:paraId="3C5F2254">
      <w:pPr>
        <w:pStyle w:val="18"/>
        <w:jc w:val="center"/>
        <w:outlineLvl w:val="0"/>
        <w:rPr>
          <w:rFonts w:ascii="黑体" w:hAnsi="黑体" w:eastAsia="黑体"/>
          <w:snapToGrid w:val="0"/>
          <w:sz w:val="30"/>
          <w:szCs w:val="30"/>
          <w:highlight w:val="none"/>
        </w:rPr>
      </w:pPr>
      <w:r>
        <w:rPr>
          <w:rFonts w:hint="eastAsia" w:ascii="黑体" w:hAnsi="黑体" w:eastAsia="黑体"/>
          <w:snapToGrid w:val="0"/>
          <w:sz w:val="30"/>
          <w:szCs w:val="30"/>
          <w:highlight w:val="none"/>
        </w:rPr>
        <w:t>六、生态环境保护措施监督检查清单</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2039"/>
        <w:gridCol w:w="2040"/>
        <w:gridCol w:w="1665"/>
        <w:gridCol w:w="1472"/>
      </w:tblGrid>
      <w:tr w14:paraId="7FB672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62" w:type="pct"/>
            <w:vMerge w:val="restart"/>
            <w:tcBorders>
              <w:tl2br w:val="single" w:color="auto" w:sz="4" w:space="0"/>
            </w:tcBorders>
            <w:noWrap w:val="0"/>
            <w:vAlign w:val="center"/>
          </w:tcPr>
          <w:p w14:paraId="3D58340D">
            <w:pPr>
              <w:pStyle w:val="18"/>
              <w:adjustRightInd w:val="0"/>
              <w:snapToGrid w:val="0"/>
              <w:spacing w:before="93" w:beforeLines="30" w:beforeAutospacing="0" w:after="0" w:afterAutospacing="0"/>
              <w:jc w:val="right"/>
              <w:outlineLvl w:val="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内容</w:t>
            </w:r>
          </w:p>
          <w:p w14:paraId="7C77915E">
            <w:pPr>
              <w:pStyle w:val="18"/>
              <w:adjustRightInd w:val="0"/>
              <w:snapToGrid w:val="0"/>
              <w:spacing w:before="0" w:beforeAutospacing="0" w:after="0" w:afterAutospacing="0" w:line="14" w:lineRule="auto"/>
              <w:jc w:val="center"/>
              <w:outlineLvl w:val="0"/>
              <w:rPr>
                <w:rFonts w:hint="eastAsia" w:ascii="宋体" w:hAnsi="宋体" w:eastAsia="宋体" w:cs="宋体"/>
                <w:kern w:val="2"/>
                <w:sz w:val="21"/>
                <w:szCs w:val="21"/>
                <w:highlight w:val="none"/>
              </w:rPr>
            </w:pPr>
          </w:p>
          <w:p w14:paraId="331A79C1">
            <w:pPr>
              <w:pStyle w:val="18"/>
              <w:adjustRightInd w:val="0"/>
              <w:snapToGrid w:val="0"/>
              <w:spacing w:before="0" w:beforeAutospacing="0" w:after="0" w:afterAutospacing="0"/>
              <w:jc w:val="center"/>
              <w:outlineLvl w:val="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要素</w:t>
            </w:r>
          </w:p>
        </w:tc>
        <w:tc>
          <w:tcPr>
            <w:tcW w:w="2338" w:type="pct"/>
            <w:gridSpan w:val="2"/>
            <w:noWrap w:val="0"/>
            <w:vAlign w:val="center"/>
          </w:tcPr>
          <w:p w14:paraId="5C15DF80">
            <w:pPr>
              <w:pStyle w:val="18"/>
              <w:adjustRightInd w:val="0"/>
              <w:snapToGrid w:val="0"/>
              <w:spacing w:before="0" w:beforeAutospacing="0" w:after="0" w:afterAutospacing="0"/>
              <w:jc w:val="center"/>
              <w:outlineLvl w:val="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施工期</w:t>
            </w:r>
          </w:p>
        </w:tc>
        <w:tc>
          <w:tcPr>
            <w:tcW w:w="1798" w:type="pct"/>
            <w:gridSpan w:val="2"/>
            <w:noWrap w:val="0"/>
            <w:vAlign w:val="center"/>
          </w:tcPr>
          <w:p w14:paraId="60C553DD">
            <w:pPr>
              <w:pStyle w:val="18"/>
              <w:adjustRightInd w:val="0"/>
              <w:snapToGrid w:val="0"/>
              <w:spacing w:before="0" w:beforeAutospacing="0" w:after="0" w:afterAutospacing="0"/>
              <w:jc w:val="center"/>
              <w:outlineLvl w:val="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运营期</w:t>
            </w:r>
          </w:p>
        </w:tc>
      </w:tr>
      <w:tr w14:paraId="501AA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62" w:type="pct"/>
            <w:vMerge w:val="continue"/>
            <w:noWrap w:val="0"/>
            <w:vAlign w:val="center"/>
          </w:tcPr>
          <w:p w14:paraId="681AAE6F">
            <w:pPr>
              <w:pStyle w:val="18"/>
              <w:adjustRightInd w:val="0"/>
              <w:snapToGrid w:val="0"/>
              <w:spacing w:before="0" w:beforeAutospacing="0" w:after="0" w:afterAutospacing="0"/>
              <w:ind w:firstLine="840"/>
              <w:jc w:val="center"/>
              <w:outlineLvl w:val="0"/>
              <w:rPr>
                <w:rFonts w:hint="eastAsia" w:ascii="宋体" w:hAnsi="宋体" w:eastAsia="宋体" w:cs="宋体"/>
                <w:kern w:val="2"/>
                <w:sz w:val="21"/>
                <w:szCs w:val="21"/>
                <w:highlight w:val="none"/>
              </w:rPr>
            </w:pPr>
          </w:p>
        </w:tc>
        <w:tc>
          <w:tcPr>
            <w:tcW w:w="1169" w:type="pct"/>
            <w:noWrap w:val="0"/>
            <w:vAlign w:val="center"/>
          </w:tcPr>
          <w:p w14:paraId="71DE97EF">
            <w:pPr>
              <w:pStyle w:val="18"/>
              <w:adjustRightInd w:val="0"/>
              <w:snapToGrid w:val="0"/>
              <w:spacing w:before="0" w:beforeAutospacing="0" w:after="0" w:afterAutospacing="0"/>
              <w:jc w:val="center"/>
              <w:outlineLvl w:val="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环境保护措施</w:t>
            </w:r>
          </w:p>
        </w:tc>
        <w:tc>
          <w:tcPr>
            <w:tcW w:w="1169" w:type="pct"/>
            <w:noWrap w:val="0"/>
            <w:vAlign w:val="center"/>
          </w:tcPr>
          <w:p w14:paraId="5E70E4BE">
            <w:pPr>
              <w:pStyle w:val="18"/>
              <w:adjustRightInd w:val="0"/>
              <w:snapToGrid w:val="0"/>
              <w:spacing w:before="0" w:beforeAutospacing="0" w:after="0" w:afterAutospacing="0"/>
              <w:jc w:val="center"/>
              <w:outlineLvl w:val="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验收要求</w:t>
            </w:r>
          </w:p>
        </w:tc>
        <w:tc>
          <w:tcPr>
            <w:tcW w:w="954" w:type="pct"/>
            <w:noWrap w:val="0"/>
            <w:vAlign w:val="center"/>
          </w:tcPr>
          <w:p w14:paraId="0B4392F9">
            <w:pPr>
              <w:pStyle w:val="18"/>
              <w:adjustRightInd w:val="0"/>
              <w:snapToGrid w:val="0"/>
              <w:spacing w:before="0" w:beforeAutospacing="0" w:after="0" w:afterAutospacing="0"/>
              <w:jc w:val="center"/>
              <w:outlineLvl w:val="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环境保护措施</w:t>
            </w:r>
          </w:p>
        </w:tc>
        <w:tc>
          <w:tcPr>
            <w:tcW w:w="844" w:type="pct"/>
            <w:noWrap w:val="0"/>
            <w:vAlign w:val="center"/>
          </w:tcPr>
          <w:p w14:paraId="143A4802">
            <w:pPr>
              <w:pStyle w:val="18"/>
              <w:adjustRightInd w:val="0"/>
              <w:snapToGrid w:val="0"/>
              <w:spacing w:before="0" w:beforeAutospacing="0" w:after="0" w:afterAutospacing="0"/>
              <w:jc w:val="center"/>
              <w:outlineLvl w:val="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验收要求</w:t>
            </w:r>
          </w:p>
        </w:tc>
      </w:tr>
      <w:tr w14:paraId="057A4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pct"/>
            <w:noWrap w:val="0"/>
            <w:vAlign w:val="center"/>
          </w:tcPr>
          <w:p w14:paraId="024C114C">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陆生生态</w:t>
            </w:r>
          </w:p>
        </w:tc>
        <w:tc>
          <w:tcPr>
            <w:tcW w:w="1169" w:type="pct"/>
            <w:noWrap w:val="0"/>
            <w:vAlign w:val="center"/>
          </w:tcPr>
          <w:p w14:paraId="11D9BF6A">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①</w:t>
            </w:r>
            <w:r>
              <w:rPr>
                <w:rFonts w:hint="eastAsia" w:ascii="Times New Roman" w:hAnsi="Times New Roman" w:eastAsia="宋体" w:cs="Times New Roman"/>
                <w:sz w:val="21"/>
                <w:szCs w:val="21"/>
                <w:highlight w:val="none"/>
                <w:lang w:val="en-US" w:eastAsia="zh-CN"/>
              </w:rPr>
              <w:t>严格</w:t>
            </w:r>
            <w:r>
              <w:rPr>
                <w:rFonts w:hint="default" w:ascii="Times New Roman" w:hAnsi="Times New Roman" w:eastAsia="宋体" w:cs="Times New Roman"/>
                <w:sz w:val="21"/>
                <w:szCs w:val="21"/>
                <w:highlight w:val="none"/>
                <w:lang w:val="en-US" w:eastAsia="zh-CN"/>
              </w:rPr>
              <w:t>采取限制</w:t>
            </w:r>
            <w:r>
              <w:rPr>
                <w:rFonts w:hint="eastAsia" w:cs="Times New Roman"/>
                <w:sz w:val="21"/>
                <w:szCs w:val="21"/>
                <w:highlight w:val="none"/>
                <w:lang w:val="en-US" w:eastAsia="zh-CN"/>
              </w:rPr>
              <w:t>超载</w:t>
            </w:r>
            <w:r>
              <w:rPr>
                <w:rFonts w:hint="default" w:ascii="Times New Roman" w:hAnsi="Times New Roman" w:eastAsia="宋体" w:cs="Times New Roman"/>
                <w:sz w:val="21"/>
                <w:szCs w:val="21"/>
                <w:highlight w:val="none"/>
                <w:lang w:val="en-US" w:eastAsia="zh-CN"/>
              </w:rPr>
              <w:t>、限制超速</w:t>
            </w:r>
            <w:r>
              <w:rPr>
                <w:rFonts w:hint="eastAsia" w:cs="Times New Roman"/>
                <w:sz w:val="21"/>
                <w:szCs w:val="21"/>
                <w:highlight w:val="none"/>
                <w:lang w:val="en-US" w:eastAsia="zh-CN"/>
              </w:rPr>
              <w:t>措施</w:t>
            </w:r>
            <w:r>
              <w:rPr>
                <w:rFonts w:hint="default" w:ascii="Times New Roman" w:hAnsi="Times New Roman" w:eastAsia="宋体" w:cs="Times New Roman"/>
                <w:sz w:val="21"/>
                <w:szCs w:val="21"/>
                <w:highlight w:val="none"/>
              </w:rPr>
              <w:t>。②现场施工机械和人员活动范围严格限在作业带范围内，尽量减少施工破坏面，同时避免在大风天气下进行施工作业；</w:t>
            </w:r>
            <w:r>
              <w:rPr>
                <w:rFonts w:hint="eastAsia" w:ascii="Times New Roman" w:hAnsi="Times New Roman" w:eastAsia="宋体" w:cs="Times New Roman"/>
                <w:sz w:val="21"/>
                <w:szCs w:val="21"/>
                <w:highlight w:val="none"/>
              </w:rPr>
              <w:t>③</w:t>
            </w:r>
            <w:r>
              <w:rPr>
                <w:rFonts w:hint="default" w:ascii="Times New Roman" w:hAnsi="Times New Roman" w:eastAsia="宋体" w:cs="Times New Roman"/>
                <w:sz w:val="21"/>
                <w:szCs w:val="21"/>
                <w:highlight w:val="none"/>
              </w:rPr>
              <w:t>项目施工材料及设备尽量分拆改小</w:t>
            </w:r>
            <w:r>
              <w:rPr>
                <w:rFonts w:hint="eastAsia" w:ascii="Times New Roman" w:hAnsi="Times New Roman" w:eastAsia="宋体" w:cs="Times New Roman"/>
                <w:sz w:val="21"/>
                <w:szCs w:val="21"/>
                <w:highlight w:val="none"/>
                <w:lang w:val="en-US" w:eastAsia="zh-CN"/>
              </w:rPr>
              <w:t>以减少对周边环境的影响</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④</w:t>
            </w:r>
            <w:r>
              <w:rPr>
                <w:rFonts w:hint="default" w:ascii="Times New Roman" w:hAnsi="Times New Roman" w:eastAsia="宋体" w:cs="Times New Roman"/>
                <w:sz w:val="21"/>
                <w:szCs w:val="21"/>
                <w:highlight w:val="none"/>
              </w:rPr>
              <w:t>施工</w:t>
            </w:r>
            <w:r>
              <w:rPr>
                <w:rFonts w:hint="eastAsia" w:cs="Times New Roman"/>
                <w:sz w:val="21"/>
                <w:szCs w:val="21"/>
                <w:highlight w:val="none"/>
                <w:lang w:eastAsia="zh-CN"/>
              </w:rPr>
              <w:t>单位要</w:t>
            </w:r>
            <w:r>
              <w:rPr>
                <w:rFonts w:hint="eastAsia"/>
                <w:sz w:val="21"/>
                <w:szCs w:val="21"/>
                <w:highlight w:val="none"/>
              </w:rPr>
              <w:t>加强施工设备的维护保养</w:t>
            </w:r>
            <w:r>
              <w:rPr>
                <w:rFonts w:hint="eastAsia" w:ascii="Times New Roman" w:hAnsi="Times New Roman" w:eastAsia="宋体" w:cs="Times New Roman"/>
                <w:sz w:val="21"/>
                <w:szCs w:val="21"/>
                <w:highlight w:val="none"/>
                <w:lang w:eastAsia="zh-CN"/>
              </w:rPr>
              <w:t>。⑤</w:t>
            </w:r>
            <w:r>
              <w:rPr>
                <w:rFonts w:hint="default" w:ascii="Times New Roman" w:hAnsi="Times New Roman" w:eastAsia="宋体" w:cs="Times New Roman"/>
                <w:sz w:val="21"/>
                <w:szCs w:val="21"/>
                <w:highlight w:val="none"/>
                <w:lang w:val="en-US" w:eastAsia="zh-CN"/>
              </w:rPr>
              <w:t>施工过程中如对</w:t>
            </w:r>
            <w:r>
              <w:rPr>
                <w:rFonts w:hint="eastAsia" w:ascii="Times New Roman" w:hAnsi="Times New Roman" w:eastAsia="宋体" w:cs="Times New Roman"/>
                <w:sz w:val="21"/>
                <w:szCs w:val="21"/>
                <w:highlight w:val="none"/>
                <w:lang w:val="en-US" w:eastAsia="zh-CN"/>
              </w:rPr>
              <w:t>厂区外草地</w:t>
            </w:r>
            <w:r>
              <w:rPr>
                <w:rFonts w:hint="default" w:ascii="Times New Roman" w:hAnsi="Times New Roman" w:eastAsia="宋体" w:cs="Times New Roman"/>
                <w:sz w:val="21"/>
                <w:szCs w:val="21"/>
                <w:highlight w:val="none"/>
                <w:lang w:val="en-US" w:eastAsia="zh-CN"/>
              </w:rPr>
              <w:t>造成局部损伤，应在施工结束后及时采取植被恢复措施，必要时进行草籽补播，促进植被自然恢复</w:t>
            </w:r>
            <w:r>
              <w:rPr>
                <w:rFonts w:hint="eastAsia" w:ascii="Times New Roman" w:hAnsi="Times New Roman" w:eastAsia="宋体" w:cs="Times New Roman"/>
                <w:sz w:val="21"/>
                <w:szCs w:val="21"/>
                <w:highlight w:val="none"/>
                <w:lang w:val="en-US" w:eastAsia="zh-CN"/>
              </w:rPr>
              <w:t>。</w:t>
            </w:r>
          </w:p>
        </w:tc>
        <w:tc>
          <w:tcPr>
            <w:tcW w:w="1169" w:type="pct"/>
            <w:noWrap w:val="0"/>
            <w:vAlign w:val="center"/>
          </w:tcPr>
          <w:p w14:paraId="39CD4370">
            <w:pPr>
              <w:adjustRightInd w:val="0"/>
              <w:snapToGrid w:val="0"/>
              <w:jc w:val="center"/>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①</w:t>
            </w:r>
            <w:r>
              <w:rPr>
                <w:rFonts w:hint="eastAsia" w:ascii="Times New Roman" w:hAnsi="Times New Roman" w:eastAsia="宋体" w:cs="Times New Roman"/>
                <w:sz w:val="21"/>
                <w:szCs w:val="21"/>
                <w:highlight w:val="none"/>
                <w:lang w:val="en-US" w:eastAsia="zh-CN"/>
              </w:rPr>
              <w:t>严格</w:t>
            </w:r>
            <w:r>
              <w:rPr>
                <w:rFonts w:hint="default" w:ascii="Times New Roman" w:hAnsi="Times New Roman" w:eastAsia="宋体" w:cs="Times New Roman"/>
                <w:sz w:val="21"/>
                <w:szCs w:val="21"/>
                <w:highlight w:val="none"/>
                <w:lang w:val="en-US" w:eastAsia="zh-CN"/>
              </w:rPr>
              <w:t>采取限制</w:t>
            </w:r>
            <w:r>
              <w:rPr>
                <w:rFonts w:hint="eastAsia" w:cs="Times New Roman"/>
                <w:sz w:val="21"/>
                <w:szCs w:val="21"/>
                <w:highlight w:val="none"/>
                <w:lang w:val="en-US" w:eastAsia="zh-CN"/>
              </w:rPr>
              <w:t>超载</w:t>
            </w:r>
            <w:r>
              <w:rPr>
                <w:rFonts w:hint="default" w:ascii="Times New Roman" w:hAnsi="Times New Roman" w:eastAsia="宋体" w:cs="Times New Roman"/>
                <w:sz w:val="21"/>
                <w:szCs w:val="21"/>
                <w:highlight w:val="none"/>
                <w:lang w:val="en-US" w:eastAsia="zh-CN"/>
              </w:rPr>
              <w:t>、限制超速</w:t>
            </w:r>
            <w:r>
              <w:rPr>
                <w:rFonts w:hint="eastAsia" w:cs="Times New Roman"/>
                <w:sz w:val="21"/>
                <w:szCs w:val="21"/>
                <w:highlight w:val="none"/>
                <w:lang w:val="en-US" w:eastAsia="zh-CN"/>
              </w:rPr>
              <w:t>措施</w:t>
            </w:r>
            <w:r>
              <w:rPr>
                <w:rFonts w:hint="default" w:ascii="Times New Roman" w:hAnsi="Times New Roman" w:eastAsia="宋体" w:cs="Times New Roman"/>
                <w:sz w:val="21"/>
                <w:szCs w:val="21"/>
                <w:highlight w:val="none"/>
              </w:rPr>
              <w:t>。②现场施工机械和人员活动范围严格限在作业带范围内，尽量减少施工破坏面，同时避免在大风天气下进行施工作业；</w:t>
            </w:r>
            <w:r>
              <w:rPr>
                <w:rFonts w:hint="eastAsia" w:ascii="Times New Roman" w:hAnsi="Times New Roman" w:eastAsia="宋体" w:cs="Times New Roman"/>
                <w:sz w:val="21"/>
                <w:szCs w:val="21"/>
                <w:highlight w:val="none"/>
              </w:rPr>
              <w:t>③</w:t>
            </w:r>
            <w:r>
              <w:rPr>
                <w:rFonts w:hint="default" w:ascii="Times New Roman" w:hAnsi="Times New Roman" w:eastAsia="宋体" w:cs="Times New Roman"/>
                <w:sz w:val="21"/>
                <w:szCs w:val="21"/>
                <w:highlight w:val="none"/>
              </w:rPr>
              <w:t>项目施工材料及设备尽量分拆</w:t>
            </w:r>
            <w:r>
              <w:rPr>
                <w:rFonts w:hint="eastAsia" w:cs="Times New Roman"/>
                <w:sz w:val="21"/>
                <w:szCs w:val="21"/>
                <w:highlight w:val="none"/>
                <w:lang w:val="en-US" w:eastAsia="zh-CN"/>
              </w:rPr>
              <w:t>改小以</w:t>
            </w:r>
            <w:r>
              <w:rPr>
                <w:rFonts w:hint="eastAsia" w:ascii="Times New Roman" w:hAnsi="Times New Roman" w:eastAsia="宋体" w:cs="Times New Roman"/>
                <w:sz w:val="21"/>
                <w:szCs w:val="21"/>
                <w:highlight w:val="none"/>
                <w:lang w:val="en-US" w:eastAsia="zh-CN"/>
              </w:rPr>
              <w:t>减少对周边环境的影响</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④</w:t>
            </w:r>
            <w:r>
              <w:rPr>
                <w:rFonts w:hint="default" w:ascii="Times New Roman" w:hAnsi="Times New Roman" w:eastAsia="宋体" w:cs="Times New Roman"/>
                <w:sz w:val="21"/>
                <w:szCs w:val="21"/>
                <w:highlight w:val="none"/>
              </w:rPr>
              <w:t>施工</w:t>
            </w:r>
            <w:r>
              <w:rPr>
                <w:rFonts w:hint="eastAsia" w:cs="Times New Roman"/>
                <w:sz w:val="21"/>
                <w:szCs w:val="21"/>
                <w:highlight w:val="none"/>
                <w:lang w:eastAsia="zh-CN"/>
              </w:rPr>
              <w:t>单位要</w:t>
            </w:r>
            <w:r>
              <w:rPr>
                <w:rFonts w:hint="eastAsia"/>
                <w:sz w:val="21"/>
                <w:szCs w:val="21"/>
                <w:highlight w:val="none"/>
              </w:rPr>
              <w:t>加强施工设备的维护保养</w:t>
            </w:r>
            <w:r>
              <w:rPr>
                <w:rFonts w:hint="eastAsia" w:ascii="Times New Roman" w:hAnsi="Times New Roman" w:eastAsia="宋体" w:cs="Times New Roman"/>
                <w:sz w:val="21"/>
                <w:szCs w:val="21"/>
                <w:highlight w:val="none"/>
                <w:lang w:eastAsia="zh-CN"/>
              </w:rPr>
              <w:t>。⑤</w:t>
            </w:r>
            <w:r>
              <w:rPr>
                <w:rFonts w:hint="default" w:ascii="Times New Roman" w:hAnsi="Times New Roman" w:eastAsia="宋体" w:cs="Times New Roman"/>
                <w:sz w:val="21"/>
                <w:szCs w:val="21"/>
                <w:highlight w:val="none"/>
                <w:lang w:val="en-US" w:eastAsia="zh-CN"/>
              </w:rPr>
              <w:t>施工过程中如对</w:t>
            </w:r>
            <w:r>
              <w:rPr>
                <w:rFonts w:hint="eastAsia" w:ascii="Times New Roman" w:hAnsi="Times New Roman" w:eastAsia="宋体" w:cs="Times New Roman"/>
                <w:sz w:val="21"/>
                <w:szCs w:val="21"/>
                <w:highlight w:val="none"/>
                <w:lang w:val="en-US" w:eastAsia="zh-CN"/>
              </w:rPr>
              <w:t>厂区外草地</w:t>
            </w:r>
            <w:r>
              <w:rPr>
                <w:rFonts w:hint="default" w:ascii="Times New Roman" w:hAnsi="Times New Roman" w:eastAsia="宋体" w:cs="Times New Roman"/>
                <w:sz w:val="21"/>
                <w:szCs w:val="21"/>
                <w:highlight w:val="none"/>
                <w:lang w:val="en-US" w:eastAsia="zh-CN"/>
              </w:rPr>
              <w:t>造成局部损伤，应在施工结束后及时采取植被恢复措施，必要时进行草籽补播，促进植被自然恢复</w:t>
            </w:r>
            <w:r>
              <w:rPr>
                <w:rFonts w:hint="eastAsia" w:ascii="Times New Roman" w:hAnsi="Times New Roman" w:eastAsia="宋体" w:cs="Times New Roman"/>
                <w:sz w:val="21"/>
                <w:szCs w:val="21"/>
                <w:highlight w:val="none"/>
                <w:lang w:val="en-US" w:eastAsia="zh-CN"/>
              </w:rPr>
              <w:t>。</w:t>
            </w:r>
          </w:p>
        </w:tc>
        <w:tc>
          <w:tcPr>
            <w:tcW w:w="954" w:type="pct"/>
            <w:noWrap w:val="0"/>
            <w:vAlign w:val="center"/>
          </w:tcPr>
          <w:p w14:paraId="22CE1BF2">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844" w:type="pct"/>
            <w:noWrap w:val="0"/>
            <w:vAlign w:val="center"/>
          </w:tcPr>
          <w:p w14:paraId="44BE365E">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14:paraId="1B81F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pct"/>
            <w:noWrap w:val="0"/>
            <w:vAlign w:val="center"/>
          </w:tcPr>
          <w:p w14:paraId="1CAF82FA">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水生生态</w:t>
            </w:r>
          </w:p>
        </w:tc>
        <w:tc>
          <w:tcPr>
            <w:tcW w:w="1169" w:type="pct"/>
            <w:noWrap w:val="0"/>
            <w:vAlign w:val="center"/>
          </w:tcPr>
          <w:p w14:paraId="64DCE344">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1169" w:type="pct"/>
            <w:noWrap w:val="0"/>
            <w:vAlign w:val="center"/>
          </w:tcPr>
          <w:p w14:paraId="7A271564">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954" w:type="pct"/>
            <w:noWrap w:val="0"/>
            <w:vAlign w:val="center"/>
          </w:tcPr>
          <w:p w14:paraId="5DED5EE8">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844" w:type="pct"/>
            <w:noWrap w:val="0"/>
            <w:vAlign w:val="center"/>
          </w:tcPr>
          <w:p w14:paraId="0BBE6933">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14:paraId="33C173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pct"/>
            <w:noWrap w:val="0"/>
            <w:vAlign w:val="center"/>
          </w:tcPr>
          <w:p w14:paraId="280EDCBC">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地表水环境</w:t>
            </w:r>
          </w:p>
        </w:tc>
        <w:tc>
          <w:tcPr>
            <w:tcW w:w="1169" w:type="pct"/>
            <w:noWrap w:val="0"/>
            <w:vAlign w:val="center"/>
          </w:tcPr>
          <w:p w14:paraId="4E2F27C8">
            <w:pPr>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rPr>
              <w:t>施工期</w:t>
            </w:r>
            <w:r>
              <w:rPr>
                <w:rFonts w:hint="default" w:cs="Times New Roman"/>
                <w:kern w:val="2"/>
                <w:sz w:val="21"/>
                <w:szCs w:val="21"/>
                <w:highlight w:val="none"/>
                <w:lang w:val="en-US" w:eastAsia="zh-CN"/>
              </w:rPr>
              <w:t>试压</w:t>
            </w:r>
            <w:r>
              <w:rPr>
                <w:rFonts w:hint="default" w:ascii="Times New Roman" w:hAnsi="Times New Roman" w:eastAsia="宋体" w:cs="Times New Roman"/>
                <w:kern w:val="2"/>
                <w:sz w:val="21"/>
                <w:szCs w:val="21"/>
                <w:highlight w:val="none"/>
              </w:rPr>
              <w:t>废水</w:t>
            </w:r>
            <w:r>
              <w:rPr>
                <w:rFonts w:hint="default" w:cs="Times New Roman"/>
                <w:kern w:val="2"/>
                <w:sz w:val="21"/>
                <w:szCs w:val="21"/>
                <w:highlight w:val="none"/>
                <w:lang w:val="en-US" w:eastAsia="zh-CN"/>
              </w:rPr>
              <w:t>产生后通过罐车运输至伊泰化工</w:t>
            </w:r>
            <w:r>
              <w:rPr>
                <w:rFonts w:hint="default" w:ascii="Times New Roman" w:hAnsi="Times New Roman" w:eastAsia="宋体" w:cs="Times New Roman"/>
                <w:kern w:val="2"/>
                <w:sz w:val="21"/>
                <w:szCs w:val="21"/>
                <w:highlight w:val="none"/>
              </w:rPr>
              <w:t>厂区内现有</w:t>
            </w:r>
            <w:r>
              <w:rPr>
                <w:rFonts w:hint="default" w:cs="Times New Roman"/>
                <w:sz w:val="21"/>
                <w:szCs w:val="21"/>
                <w:highlight w:val="none"/>
              </w:rPr>
              <w:t>污水处理站废水处理及回用清净废水处理单元</w:t>
            </w:r>
            <w:r>
              <w:rPr>
                <w:rFonts w:hint="default" w:ascii="Times New Roman" w:hAnsi="Times New Roman" w:eastAsia="宋体" w:cs="Times New Roman"/>
                <w:kern w:val="2"/>
                <w:sz w:val="21"/>
                <w:szCs w:val="21"/>
                <w:highlight w:val="none"/>
              </w:rPr>
              <w:t>，处理后回用，不外排。</w:t>
            </w:r>
          </w:p>
        </w:tc>
        <w:tc>
          <w:tcPr>
            <w:tcW w:w="1169" w:type="pct"/>
            <w:noWrap w:val="0"/>
            <w:vAlign w:val="center"/>
          </w:tcPr>
          <w:p w14:paraId="61D5F0E4">
            <w:pPr>
              <w:adjustRightInd w:val="0"/>
              <w:snapToGrid w:val="0"/>
              <w:jc w:val="center"/>
              <w:rPr>
                <w:rFonts w:hint="default" w:ascii="Times New Roman" w:hAnsi="Times New Roman" w:cs="Times New Roman"/>
                <w:sz w:val="21"/>
                <w:szCs w:val="21"/>
                <w:highlight w:val="none"/>
                <w:lang w:val="en-US"/>
              </w:rPr>
            </w:pPr>
            <w:r>
              <w:rPr>
                <w:rFonts w:hint="default" w:ascii="Times New Roman" w:hAnsi="Times New Roman" w:eastAsia="宋体" w:cs="Times New Roman"/>
                <w:kern w:val="2"/>
                <w:sz w:val="21"/>
                <w:szCs w:val="21"/>
                <w:highlight w:val="none"/>
              </w:rPr>
              <w:t>施工期</w:t>
            </w:r>
            <w:r>
              <w:rPr>
                <w:rFonts w:hint="default" w:cs="Times New Roman"/>
                <w:kern w:val="2"/>
                <w:sz w:val="21"/>
                <w:szCs w:val="21"/>
                <w:highlight w:val="none"/>
                <w:lang w:val="en-US" w:eastAsia="zh-CN"/>
              </w:rPr>
              <w:t>试压</w:t>
            </w:r>
            <w:r>
              <w:rPr>
                <w:rFonts w:hint="default" w:ascii="Times New Roman" w:hAnsi="Times New Roman" w:eastAsia="宋体" w:cs="Times New Roman"/>
                <w:kern w:val="2"/>
                <w:sz w:val="21"/>
                <w:szCs w:val="21"/>
                <w:highlight w:val="none"/>
              </w:rPr>
              <w:t>废水</w:t>
            </w:r>
            <w:r>
              <w:rPr>
                <w:rFonts w:hint="default" w:cs="Times New Roman"/>
                <w:kern w:val="2"/>
                <w:sz w:val="21"/>
                <w:szCs w:val="21"/>
                <w:highlight w:val="none"/>
                <w:lang w:val="en-US" w:eastAsia="zh-CN"/>
              </w:rPr>
              <w:t>产生后通过罐车运输至伊泰化工</w:t>
            </w:r>
            <w:r>
              <w:rPr>
                <w:rFonts w:hint="default" w:ascii="Times New Roman" w:hAnsi="Times New Roman" w:eastAsia="宋体" w:cs="Times New Roman"/>
                <w:kern w:val="2"/>
                <w:sz w:val="21"/>
                <w:szCs w:val="21"/>
                <w:highlight w:val="none"/>
              </w:rPr>
              <w:t>厂区内现有</w:t>
            </w:r>
            <w:r>
              <w:rPr>
                <w:rFonts w:hint="default" w:cs="Times New Roman"/>
                <w:sz w:val="21"/>
                <w:szCs w:val="21"/>
                <w:highlight w:val="none"/>
              </w:rPr>
              <w:t>污水处理站废水处理及回用清净废水处理单元</w:t>
            </w:r>
            <w:r>
              <w:rPr>
                <w:rFonts w:hint="default" w:ascii="Times New Roman" w:hAnsi="Times New Roman" w:eastAsia="宋体" w:cs="Times New Roman"/>
                <w:kern w:val="2"/>
                <w:sz w:val="21"/>
                <w:szCs w:val="21"/>
                <w:highlight w:val="none"/>
              </w:rPr>
              <w:t>，处理后回用，不外排。</w:t>
            </w:r>
          </w:p>
        </w:tc>
        <w:tc>
          <w:tcPr>
            <w:tcW w:w="954" w:type="pct"/>
            <w:noWrap w:val="0"/>
            <w:vAlign w:val="center"/>
          </w:tcPr>
          <w:p w14:paraId="483B26EE">
            <w:pPr>
              <w:spacing w:line="240" w:lineRule="atLeast"/>
              <w:jc w:val="center"/>
              <w:textAlignment w:val="center"/>
              <w:rPr>
                <w:rFonts w:hint="default" w:ascii="Times New Roman" w:hAnsi="Times New Roman" w:cs="Times New Roman"/>
                <w:sz w:val="21"/>
                <w:szCs w:val="21"/>
                <w:highlight w:val="none"/>
              </w:rPr>
            </w:pPr>
            <w:r>
              <w:rPr>
                <w:rFonts w:hint="eastAsia" w:cs="Times New Roman"/>
                <w:sz w:val="21"/>
                <w:szCs w:val="21"/>
                <w:highlight w:val="none"/>
                <w:lang w:val="en-US" w:eastAsia="zh-CN"/>
              </w:rPr>
              <w:t>加强</w:t>
            </w:r>
            <w:r>
              <w:rPr>
                <w:rFonts w:hint="default" w:ascii="Times New Roman" w:hAnsi="Times New Roman" w:cs="Times New Roman"/>
                <w:sz w:val="21"/>
                <w:szCs w:val="21"/>
                <w:highlight w:val="none"/>
              </w:rPr>
              <w:t>管线巡检</w:t>
            </w:r>
          </w:p>
        </w:tc>
        <w:tc>
          <w:tcPr>
            <w:tcW w:w="844" w:type="pct"/>
            <w:noWrap w:val="0"/>
            <w:vAlign w:val="center"/>
          </w:tcPr>
          <w:p w14:paraId="3DB9B3EF">
            <w:pPr>
              <w:adjustRightInd w:val="0"/>
              <w:snapToGrid w:val="0"/>
              <w:jc w:val="center"/>
              <w:rPr>
                <w:rFonts w:hint="default" w:ascii="Times New Roman" w:hAnsi="Times New Roman" w:eastAsia="宋体" w:cs="Times New Roman"/>
                <w:color w:val="1900FF"/>
                <w:sz w:val="21"/>
                <w:szCs w:val="21"/>
                <w:highlight w:val="none"/>
                <w:lang w:val="en-US" w:eastAsia="zh-CN"/>
              </w:rPr>
            </w:pPr>
            <w:r>
              <w:rPr>
                <w:rFonts w:hint="default" w:ascii="Times New Roman" w:hAnsi="Times New Roman" w:cs="Times New Roman"/>
                <w:sz w:val="21"/>
                <w:szCs w:val="21"/>
                <w:highlight w:val="none"/>
              </w:rPr>
              <w:t>制定巡检制度，落实巡检</w:t>
            </w:r>
            <w:r>
              <w:rPr>
                <w:rFonts w:hint="eastAsia" w:cs="Times New Roman"/>
                <w:sz w:val="21"/>
                <w:szCs w:val="21"/>
                <w:highlight w:val="none"/>
                <w:lang w:eastAsia="zh-CN"/>
              </w:rPr>
              <w:t>、</w:t>
            </w:r>
            <w:r>
              <w:rPr>
                <w:rFonts w:hint="default" w:ascii="Times New Roman" w:hAnsi="Times New Roman" w:cs="Times New Roman"/>
                <w:sz w:val="21"/>
                <w:szCs w:val="21"/>
                <w:highlight w:val="none"/>
              </w:rPr>
              <w:t>记录台账</w:t>
            </w:r>
          </w:p>
        </w:tc>
      </w:tr>
      <w:tr w14:paraId="4CB1B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pct"/>
            <w:noWrap w:val="0"/>
            <w:vAlign w:val="center"/>
          </w:tcPr>
          <w:p w14:paraId="73866874">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地下水及土壤环境</w:t>
            </w:r>
          </w:p>
        </w:tc>
        <w:tc>
          <w:tcPr>
            <w:tcW w:w="1169" w:type="pct"/>
            <w:noWrap w:val="0"/>
            <w:vAlign w:val="center"/>
          </w:tcPr>
          <w:p w14:paraId="5EE057CC">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1169" w:type="pct"/>
            <w:noWrap w:val="0"/>
            <w:vAlign w:val="center"/>
          </w:tcPr>
          <w:p w14:paraId="69B35CF7">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954" w:type="pct"/>
            <w:noWrap w:val="0"/>
            <w:vAlign w:val="center"/>
          </w:tcPr>
          <w:p w14:paraId="2111F53E">
            <w:pPr>
              <w:spacing w:line="240" w:lineRule="atLeast"/>
              <w:jc w:val="center"/>
              <w:textAlignment w:val="center"/>
              <w:rPr>
                <w:rFonts w:hint="default" w:ascii="Times New Roman" w:hAnsi="Times New Roman" w:cs="Times New Roman"/>
                <w:sz w:val="21"/>
                <w:szCs w:val="21"/>
                <w:highlight w:val="none"/>
              </w:rPr>
            </w:pPr>
            <w:r>
              <w:rPr>
                <w:rFonts w:hint="eastAsia" w:cs="Times New Roman"/>
                <w:sz w:val="21"/>
                <w:szCs w:val="21"/>
                <w:highlight w:val="none"/>
                <w:lang w:val="en-US" w:eastAsia="zh-CN"/>
              </w:rPr>
              <w:t>加强</w:t>
            </w:r>
            <w:r>
              <w:rPr>
                <w:rFonts w:hint="default" w:ascii="Times New Roman" w:hAnsi="Times New Roman" w:cs="Times New Roman"/>
                <w:sz w:val="21"/>
                <w:szCs w:val="21"/>
                <w:highlight w:val="none"/>
              </w:rPr>
              <w:t>管线巡检</w:t>
            </w:r>
          </w:p>
        </w:tc>
        <w:tc>
          <w:tcPr>
            <w:tcW w:w="844" w:type="pct"/>
            <w:noWrap w:val="0"/>
            <w:vAlign w:val="center"/>
          </w:tcPr>
          <w:p w14:paraId="2ABDF7E9">
            <w:pPr>
              <w:spacing w:line="240" w:lineRule="atLeast"/>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制定巡检制度，落实巡检记录台账</w:t>
            </w:r>
          </w:p>
        </w:tc>
      </w:tr>
      <w:tr w14:paraId="3E582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pct"/>
            <w:noWrap w:val="0"/>
            <w:vAlign w:val="center"/>
          </w:tcPr>
          <w:p w14:paraId="5D3DB83C">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声环境</w:t>
            </w:r>
          </w:p>
        </w:tc>
        <w:tc>
          <w:tcPr>
            <w:tcW w:w="1169" w:type="pct"/>
            <w:noWrap w:val="0"/>
            <w:vAlign w:val="center"/>
          </w:tcPr>
          <w:p w14:paraId="75DFF9EF">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施工车辆减速慢行；加强施工设备的维护保养，避免不正常高噪声排放。</w:t>
            </w:r>
          </w:p>
        </w:tc>
        <w:tc>
          <w:tcPr>
            <w:tcW w:w="1169" w:type="pct"/>
            <w:noWrap w:val="0"/>
            <w:vAlign w:val="center"/>
          </w:tcPr>
          <w:p w14:paraId="485ABD97">
            <w:pPr>
              <w:adjustRightInd w:val="0"/>
              <w:snapToGrid w:val="0"/>
              <w:jc w:val="center"/>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施工期场界噪声符合《建筑施工场界环境噪声排放标准》（GB12523-2011）</w:t>
            </w:r>
            <w:r>
              <w:rPr>
                <w:rFonts w:hint="eastAsia" w:cs="Times New Roman"/>
                <w:sz w:val="21"/>
                <w:szCs w:val="21"/>
                <w:highlight w:val="none"/>
                <w:lang w:eastAsia="zh-CN"/>
              </w:rPr>
              <w:t>。</w:t>
            </w:r>
          </w:p>
        </w:tc>
        <w:tc>
          <w:tcPr>
            <w:tcW w:w="954" w:type="pct"/>
            <w:noWrap w:val="0"/>
            <w:vAlign w:val="center"/>
          </w:tcPr>
          <w:p w14:paraId="249B3ED2">
            <w:pPr>
              <w:spacing w:line="240" w:lineRule="atLeast"/>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选用低噪设备</w:t>
            </w:r>
            <w:r>
              <w:rPr>
                <w:rFonts w:hint="eastAsia" w:cs="Times New Roman"/>
                <w:sz w:val="21"/>
                <w:szCs w:val="21"/>
                <w:highlight w:val="none"/>
                <w:lang w:eastAsia="zh-CN"/>
              </w:rPr>
              <w:t>；设备设置有减振基础，采用室内布置；</w:t>
            </w:r>
          </w:p>
        </w:tc>
        <w:tc>
          <w:tcPr>
            <w:tcW w:w="844" w:type="pct"/>
            <w:noWrap w:val="0"/>
            <w:vAlign w:val="center"/>
          </w:tcPr>
          <w:p w14:paraId="71916B70">
            <w:pPr>
              <w:spacing w:line="240" w:lineRule="atLeast"/>
              <w:jc w:val="center"/>
              <w:textAlignment w:val="center"/>
              <w:rPr>
                <w:rFonts w:hint="eastAsia"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噪声满足《工业企业厂界环境噪声排放标准》</w:t>
            </w:r>
            <w:r>
              <w:rPr>
                <w:rFonts w:hint="eastAsia" w:cs="Times New Roman"/>
                <w:sz w:val="21"/>
                <w:szCs w:val="21"/>
                <w:highlight w:val="none"/>
                <w:lang w:eastAsia="zh-CN"/>
              </w:rPr>
              <w:t>（</w:t>
            </w:r>
            <w:r>
              <w:rPr>
                <w:rFonts w:hint="default" w:ascii="Times New Roman" w:hAnsi="Times New Roman" w:cs="Times New Roman"/>
                <w:sz w:val="21"/>
                <w:szCs w:val="21"/>
                <w:highlight w:val="none"/>
              </w:rPr>
              <w:t>GB12348-2008</w:t>
            </w:r>
            <w:r>
              <w:rPr>
                <w:rFonts w:hint="eastAsia" w:cs="Times New Roman"/>
                <w:sz w:val="21"/>
                <w:szCs w:val="21"/>
                <w:highlight w:val="none"/>
                <w:lang w:eastAsia="zh-CN"/>
              </w:rPr>
              <w:t>）</w:t>
            </w:r>
            <w:r>
              <w:rPr>
                <w:rFonts w:hint="default" w:ascii="Times New Roman" w:hAnsi="Times New Roman" w:cs="Times New Roman"/>
                <w:sz w:val="21"/>
                <w:szCs w:val="21"/>
                <w:highlight w:val="none"/>
              </w:rPr>
              <w:t>中的3类标准</w:t>
            </w:r>
            <w:r>
              <w:rPr>
                <w:rFonts w:hint="eastAsia" w:cs="Times New Roman"/>
                <w:sz w:val="21"/>
                <w:szCs w:val="21"/>
                <w:highlight w:val="none"/>
                <w:lang w:eastAsia="zh-CN"/>
              </w:rPr>
              <w:t>。</w:t>
            </w:r>
          </w:p>
        </w:tc>
      </w:tr>
      <w:tr w14:paraId="3879D1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2" w:type="pct"/>
            <w:noWrap w:val="0"/>
            <w:vAlign w:val="center"/>
          </w:tcPr>
          <w:p w14:paraId="0E4B6A65">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振动</w:t>
            </w:r>
          </w:p>
        </w:tc>
        <w:tc>
          <w:tcPr>
            <w:tcW w:w="1169" w:type="pct"/>
            <w:noWrap w:val="0"/>
            <w:vAlign w:val="center"/>
          </w:tcPr>
          <w:p w14:paraId="3DD88EAA">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1169" w:type="pct"/>
            <w:noWrap w:val="0"/>
            <w:vAlign w:val="center"/>
          </w:tcPr>
          <w:p w14:paraId="0F1C3BE8">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954" w:type="pct"/>
            <w:noWrap w:val="0"/>
            <w:vAlign w:val="center"/>
          </w:tcPr>
          <w:p w14:paraId="21F41B46">
            <w:pPr>
              <w:spacing w:line="240" w:lineRule="atLeast"/>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844" w:type="pct"/>
            <w:noWrap w:val="0"/>
            <w:vAlign w:val="center"/>
          </w:tcPr>
          <w:p w14:paraId="19B50FDD">
            <w:pPr>
              <w:spacing w:line="240" w:lineRule="atLeast"/>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14:paraId="792151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pct"/>
            <w:noWrap w:val="0"/>
            <w:vAlign w:val="center"/>
          </w:tcPr>
          <w:p w14:paraId="3D8606FE">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大气环境</w:t>
            </w:r>
          </w:p>
        </w:tc>
        <w:tc>
          <w:tcPr>
            <w:tcW w:w="1169" w:type="pct"/>
            <w:noWrap w:val="0"/>
            <w:vAlign w:val="center"/>
          </w:tcPr>
          <w:p w14:paraId="09060ACE">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避开易起尘天气施工；运输车辆低速行驶、路面及现场定期</w:t>
            </w:r>
            <w:r>
              <w:rPr>
                <w:rFonts w:hint="eastAsia" w:cs="Times New Roman"/>
                <w:sz w:val="21"/>
                <w:szCs w:val="21"/>
                <w:highlight w:val="none"/>
                <w:lang w:eastAsia="zh-CN"/>
              </w:rPr>
              <w:t>洒水</w:t>
            </w:r>
            <w:r>
              <w:rPr>
                <w:rFonts w:hint="default" w:ascii="Times New Roman" w:hAnsi="Times New Roman" w:cs="Times New Roman"/>
                <w:sz w:val="21"/>
                <w:szCs w:val="21"/>
                <w:highlight w:val="none"/>
              </w:rPr>
              <w:t>。</w:t>
            </w:r>
          </w:p>
        </w:tc>
        <w:tc>
          <w:tcPr>
            <w:tcW w:w="1169" w:type="pct"/>
            <w:noWrap w:val="0"/>
            <w:vAlign w:val="center"/>
          </w:tcPr>
          <w:p w14:paraId="78C04C29">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color w:val="000000"/>
                <w:kern w:val="0"/>
                <w:sz w:val="21"/>
                <w:szCs w:val="21"/>
                <w:highlight w:val="none"/>
              </w:rPr>
              <w:t>《大气污染物综合排放标准》（GB16297-1996）中表2标准限值</w:t>
            </w:r>
          </w:p>
        </w:tc>
        <w:tc>
          <w:tcPr>
            <w:tcW w:w="954" w:type="pct"/>
            <w:noWrap w:val="0"/>
            <w:vAlign w:val="center"/>
          </w:tcPr>
          <w:p w14:paraId="1A7E5C48">
            <w:pPr>
              <w:spacing w:line="240" w:lineRule="atLeast"/>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定期巡检和维护，避免</w:t>
            </w:r>
            <w:r>
              <w:rPr>
                <w:rFonts w:hint="eastAsia" w:cs="Times New Roman"/>
                <w:sz w:val="21"/>
                <w:szCs w:val="21"/>
                <w:highlight w:val="none"/>
                <w:lang w:eastAsia="zh-CN"/>
              </w:rPr>
              <w:t>管道泄漏</w:t>
            </w:r>
            <w:r>
              <w:rPr>
                <w:rFonts w:hint="default" w:ascii="Times New Roman" w:hAnsi="Times New Roman" w:cs="Times New Roman"/>
                <w:sz w:val="21"/>
                <w:szCs w:val="21"/>
                <w:highlight w:val="none"/>
              </w:rPr>
              <w:t>。</w:t>
            </w:r>
          </w:p>
        </w:tc>
        <w:tc>
          <w:tcPr>
            <w:tcW w:w="844" w:type="pct"/>
            <w:noWrap w:val="0"/>
            <w:vAlign w:val="center"/>
          </w:tcPr>
          <w:p w14:paraId="1C81AD1C">
            <w:pPr>
              <w:spacing w:line="240" w:lineRule="atLeast"/>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落实巡检和维护</w:t>
            </w:r>
            <w:r>
              <w:rPr>
                <w:rFonts w:hint="eastAsia" w:cs="Times New Roman"/>
                <w:sz w:val="21"/>
                <w:szCs w:val="21"/>
                <w:highlight w:val="none"/>
                <w:lang w:eastAsia="zh-CN"/>
              </w:rPr>
              <w:t>责任</w:t>
            </w:r>
            <w:r>
              <w:rPr>
                <w:rFonts w:hint="default" w:ascii="Times New Roman" w:hAnsi="Times New Roman" w:cs="Times New Roman"/>
                <w:sz w:val="21"/>
                <w:szCs w:val="21"/>
                <w:highlight w:val="none"/>
              </w:rPr>
              <w:t>。</w:t>
            </w:r>
          </w:p>
        </w:tc>
      </w:tr>
      <w:tr w14:paraId="009AF5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62" w:type="pct"/>
            <w:noWrap w:val="0"/>
            <w:vAlign w:val="center"/>
          </w:tcPr>
          <w:p w14:paraId="37A9AB41">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固体废物</w:t>
            </w:r>
          </w:p>
        </w:tc>
        <w:tc>
          <w:tcPr>
            <w:tcW w:w="1169" w:type="pct"/>
            <w:noWrap w:val="0"/>
            <w:vAlign w:val="center"/>
          </w:tcPr>
          <w:p w14:paraId="755DF861">
            <w:pPr>
              <w:adjustRightInd w:val="0"/>
              <w:snapToGrid w:val="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施工废料</w:t>
            </w:r>
            <w:r>
              <w:rPr>
                <w:rFonts w:hint="eastAsia" w:ascii="Times New Roman" w:hAnsi="Times New Roman" w:eastAsia="宋体" w:cs="Times New Roman"/>
                <w:sz w:val="21"/>
                <w:szCs w:val="21"/>
                <w:highlight w:val="none"/>
              </w:rPr>
              <w:t>可以进行回收利用</w:t>
            </w:r>
            <w:r>
              <w:rPr>
                <w:rFonts w:hint="eastAsia" w:ascii="Times New Roman" w:hAnsi="Times New Roman" w:eastAsia="宋体" w:cs="Times New Roman"/>
                <w:sz w:val="21"/>
                <w:szCs w:val="21"/>
                <w:highlight w:val="none"/>
                <w:lang w:eastAsia="zh-CN"/>
              </w:rPr>
              <w:t>，</w:t>
            </w:r>
            <w:r>
              <w:rPr>
                <w:rFonts w:hint="eastAsia" w:ascii="Times New Roman" w:hAnsi="Times New Roman" w:eastAsia="宋体" w:cs="Times New Roman"/>
                <w:sz w:val="21"/>
                <w:szCs w:val="21"/>
                <w:highlight w:val="none"/>
                <w:lang w:val="en-US" w:eastAsia="zh-CN"/>
              </w:rPr>
              <w:t>或者</w:t>
            </w:r>
            <w:r>
              <w:rPr>
                <w:rFonts w:hint="eastAsia" w:ascii="Times New Roman" w:hAnsi="Times New Roman" w:eastAsia="宋体" w:cs="Times New Roman"/>
                <w:sz w:val="21"/>
                <w:szCs w:val="21"/>
                <w:highlight w:val="none"/>
              </w:rPr>
              <w:t>外售综合利用，对不能回收利用的运送至就近的建筑垃圾处理厂统一处理</w:t>
            </w:r>
            <w:r>
              <w:rPr>
                <w:rFonts w:hint="default" w:ascii="Times New Roman" w:hAnsi="Times New Roman" w:eastAsia="宋体" w:cs="Times New Roman"/>
                <w:sz w:val="21"/>
                <w:szCs w:val="21"/>
                <w:highlight w:val="none"/>
              </w:rPr>
              <w:t>；</w:t>
            </w:r>
          </w:p>
          <w:p w14:paraId="0A30A5BB">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废油漆桶</w:t>
            </w:r>
            <w:r>
              <w:rPr>
                <w:rFonts w:hint="eastAsia" w:ascii="Times New Roman" w:hAnsi="Times New Roman" w:eastAsia="宋体" w:cs="Times New Roman"/>
                <w:sz w:val="21"/>
                <w:szCs w:val="21"/>
                <w:highlight w:val="none"/>
                <w:lang w:val="en-US" w:eastAsia="zh-CN"/>
              </w:rPr>
              <w:t>在伊泰化工的危废暂存间暂存，后委托有资质</w:t>
            </w:r>
            <w:r>
              <w:rPr>
                <w:rFonts w:hint="default" w:ascii="Times New Roman" w:hAnsi="Times New Roman" w:eastAsia="宋体" w:cs="Times New Roman"/>
                <w:sz w:val="21"/>
                <w:szCs w:val="21"/>
                <w:highlight w:val="none"/>
              </w:rPr>
              <w:t>单位处置；生活垃圾收集后交由当地环卫部门处置。</w:t>
            </w:r>
          </w:p>
        </w:tc>
        <w:tc>
          <w:tcPr>
            <w:tcW w:w="1169" w:type="pct"/>
            <w:noWrap w:val="0"/>
            <w:vAlign w:val="center"/>
          </w:tcPr>
          <w:p w14:paraId="0114DDE3">
            <w:pPr>
              <w:adjustRightInd w:val="0"/>
              <w:snapToGrid w:val="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施工废料</w:t>
            </w:r>
            <w:r>
              <w:rPr>
                <w:rFonts w:hint="eastAsia" w:ascii="Times New Roman" w:hAnsi="Times New Roman" w:eastAsia="宋体" w:cs="Times New Roman"/>
                <w:sz w:val="21"/>
                <w:szCs w:val="21"/>
                <w:highlight w:val="none"/>
              </w:rPr>
              <w:t>可以进行回收利用</w:t>
            </w:r>
            <w:r>
              <w:rPr>
                <w:rFonts w:hint="eastAsia" w:ascii="Times New Roman" w:hAnsi="Times New Roman" w:eastAsia="宋体" w:cs="Times New Roman"/>
                <w:sz w:val="21"/>
                <w:szCs w:val="21"/>
                <w:highlight w:val="none"/>
                <w:lang w:eastAsia="zh-CN"/>
              </w:rPr>
              <w:t>，</w:t>
            </w:r>
            <w:r>
              <w:rPr>
                <w:rFonts w:hint="eastAsia" w:ascii="Times New Roman" w:hAnsi="Times New Roman" w:eastAsia="宋体" w:cs="Times New Roman"/>
                <w:sz w:val="21"/>
                <w:szCs w:val="21"/>
                <w:highlight w:val="none"/>
                <w:lang w:val="en-US" w:eastAsia="zh-CN"/>
              </w:rPr>
              <w:t>或者</w:t>
            </w:r>
            <w:r>
              <w:rPr>
                <w:rFonts w:hint="eastAsia" w:ascii="Times New Roman" w:hAnsi="Times New Roman" w:eastAsia="宋体" w:cs="Times New Roman"/>
                <w:sz w:val="21"/>
                <w:szCs w:val="21"/>
                <w:highlight w:val="none"/>
              </w:rPr>
              <w:t>外售综合利用，对不能回收利用的运送至就近的建筑垃圾处理厂统一处理</w:t>
            </w:r>
            <w:r>
              <w:rPr>
                <w:rFonts w:hint="default" w:ascii="Times New Roman" w:hAnsi="Times New Roman" w:eastAsia="宋体" w:cs="Times New Roman"/>
                <w:sz w:val="21"/>
                <w:szCs w:val="21"/>
                <w:highlight w:val="none"/>
              </w:rPr>
              <w:t>；</w:t>
            </w:r>
          </w:p>
          <w:p w14:paraId="782E230C">
            <w:pPr>
              <w:adjustRightInd w:val="0"/>
              <w:snapToGrid w:val="0"/>
              <w:jc w:val="center"/>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废油漆桶</w:t>
            </w:r>
            <w:r>
              <w:rPr>
                <w:rFonts w:hint="eastAsia" w:ascii="Times New Roman" w:hAnsi="Times New Roman" w:eastAsia="宋体" w:cs="Times New Roman"/>
                <w:sz w:val="21"/>
                <w:szCs w:val="21"/>
                <w:highlight w:val="none"/>
                <w:lang w:val="en-US" w:eastAsia="zh-CN"/>
              </w:rPr>
              <w:t>在伊泰化工的危废暂存间暂存，后委托有资质</w:t>
            </w:r>
            <w:r>
              <w:rPr>
                <w:rFonts w:hint="default" w:ascii="Times New Roman" w:hAnsi="Times New Roman" w:eastAsia="宋体" w:cs="Times New Roman"/>
                <w:sz w:val="21"/>
                <w:szCs w:val="21"/>
                <w:highlight w:val="none"/>
              </w:rPr>
              <w:t>单位处置；生活垃圾收集后交由当地环卫部门处置。</w:t>
            </w:r>
          </w:p>
        </w:tc>
        <w:tc>
          <w:tcPr>
            <w:tcW w:w="954" w:type="pct"/>
            <w:noWrap w:val="0"/>
            <w:vAlign w:val="center"/>
          </w:tcPr>
          <w:p w14:paraId="43C72D1C">
            <w:pPr>
              <w:spacing w:line="240" w:lineRule="atLeast"/>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844" w:type="pct"/>
            <w:noWrap w:val="0"/>
            <w:vAlign w:val="center"/>
          </w:tcPr>
          <w:p w14:paraId="406AF612">
            <w:pPr>
              <w:spacing w:line="240" w:lineRule="atLeast"/>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14:paraId="259F13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62" w:type="pct"/>
            <w:noWrap w:val="0"/>
            <w:vAlign w:val="center"/>
          </w:tcPr>
          <w:p w14:paraId="5BA956C5">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电磁环境</w:t>
            </w:r>
          </w:p>
        </w:tc>
        <w:tc>
          <w:tcPr>
            <w:tcW w:w="1169" w:type="pct"/>
            <w:noWrap w:val="0"/>
            <w:vAlign w:val="center"/>
          </w:tcPr>
          <w:p w14:paraId="13AF4929">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1169" w:type="pct"/>
            <w:noWrap w:val="0"/>
            <w:vAlign w:val="center"/>
          </w:tcPr>
          <w:p w14:paraId="1949760B">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954" w:type="pct"/>
            <w:noWrap w:val="0"/>
            <w:vAlign w:val="center"/>
          </w:tcPr>
          <w:p w14:paraId="310FE34E">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844" w:type="pct"/>
            <w:noWrap w:val="0"/>
            <w:vAlign w:val="center"/>
          </w:tcPr>
          <w:p w14:paraId="22EBFE13">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14:paraId="7D098D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62" w:type="pct"/>
            <w:noWrap w:val="0"/>
            <w:vAlign w:val="center"/>
          </w:tcPr>
          <w:p w14:paraId="4452D371">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环境风险</w:t>
            </w:r>
          </w:p>
        </w:tc>
        <w:tc>
          <w:tcPr>
            <w:tcW w:w="1169" w:type="pct"/>
            <w:noWrap w:val="0"/>
            <w:vAlign w:val="center"/>
          </w:tcPr>
          <w:p w14:paraId="41C87FB5">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①建设项目的管道设计、施工和运营等必须进行科学规划、合理布置、严格执行国家的安全设计规范，特别是管道防腐，应保证施工质量，避免或减少事故的发生。</w:t>
            </w:r>
          </w:p>
          <w:p w14:paraId="0B33C2AB">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②在管道附近</w:t>
            </w:r>
            <w:r>
              <w:rPr>
                <w:rFonts w:hint="default" w:cs="Times New Roman"/>
                <w:sz w:val="21"/>
                <w:szCs w:val="21"/>
                <w:highlight w:val="none"/>
                <w:lang w:eastAsia="zh-CN"/>
              </w:rPr>
              <w:t>设置</w:t>
            </w:r>
            <w:r>
              <w:rPr>
                <w:rFonts w:hint="default" w:ascii="Times New Roman" w:hAnsi="Times New Roman" w:eastAsia="宋体" w:cs="Times New Roman"/>
                <w:sz w:val="21"/>
                <w:szCs w:val="21"/>
                <w:highlight w:val="none"/>
              </w:rPr>
              <w:t>安全标识，防止人为破坏等。</w:t>
            </w:r>
          </w:p>
          <w:p w14:paraId="51562E7E">
            <w:pPr>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③管线末端设置手动切断阀组。在物料输出端和接收端设置中控系统和紧急切断阀，阀门和仪表的控制信号接入伊泰化工公司DCS系统</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厂区外WRT甲烷气管道、清净废水管道安装完成后进行探伤检测。</w:t>
            </w:r>
          </w:p>
          <w:p w14:paraId="358EC621">
            <w:pPr>
              <w:adjustRightInd w:val="0"/>
              <w:snapToGrid w:val="0"/>
              <w:jc w:val="center"/>
              <w:rPr>
                <w:rFonts w:hint="default" w:ascii="Times New Roman" w:hAnsi="Times New Roman" w:eastAsia="宋体" w:cs="Times New Roman"/>
                <w:sz w:val="21"/>
                <w:szCs w:val="21"/>
                <w:highlight w:val="none"/>
              </w:rPr>
            </w:pPr>
          </w:p>
        </w:tc>
        <w:tc>
          <w:tcPr>
            <w:tcW w:w="1169" w:type="pct"/>
            <w:noWrap w:val="0"/>
            <w:vAlign w:val="center"/>
          </w:tcPr>
          <w:p w14:paraId="42A5DDD9">
            <w:pPr>
              <w:adjustRightInd w:val="0"/>
              <w:snapToGrid w:val="0"/>
              <w:jc w:val="center"/>
              <w:rPr>
                <w:rFonts w:hint="default" w:cs="Times New Roman"/>
                <w:sz w:val="21"/>
                <w:szCs w:val="21"/>
                <w:highlight w:val="none"/>
                <w:lang w:eastAsia="zh-CN"/>
              </w:rPr>
            </w:pPr>
            <w:r>
              <w:rPr>
                <w:rFonts w:hint="default" w:ascii="Times New Roman" w:hAnsi="Times New Roman" w:cs="Times New Roman"/>
                <w:sz w:val="21"/>
                <w:szCs w:val="21"/>
                <w:highlight w:val="none"/>
              </w:rPr>
              <w:t>施工相关手续完整，规范，工程竣工合格</w:t>
            </w:r>
            <w:r>
              <w:rPr>
                <w:rFonts w:hint="default" w:cs="Times New Roman"/>
                <w:sz w:val="21"/>
                <w:szCs w:val="21"/>
                <w:highlight w:val="none"/>
                <w:lang w:eastAsia="zh-CN"/>
              </w:rPr>
              <w:t>，</w:t>
            </w:r>
            <w:r>
              <w:rPr>
                <w:rFonts w:hint="default" w:ascii="Times New Roman" w:hAnsi="Times New Roman" w:cs="Times New Roman"/>
                <w:sz w:val="21"/>
                <w:szCs w:val="21"/>
                <w:highlight w:val="none"/>
              </w:rPr>
              <w:t>设置了警示标志</w:t>
            </w:r>
            <w:r>
              <w:rPr>
                <w:rFonts w:hint="default" w:cs="Times New Roman"/>
                <w:sz w:val="21"/>
                <w:szCs w:val="21"/>
                <w:highlight w:val="none"/>
                <w:lang w:eastAsia="zh-CN"/>
              </w:rPr>
              <w:t>。</w:t>
            </w:r>
          </w:p>
          <w:p w14:paraId="39AC33F1">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设置了</w:t>
            </w:r>
            <w:r>
              <w:rPr>
                <w:rFonts w:hint="default" w:ascii="Times New Roman" w:hAnsi="Times New Roman" w:eastAsia="宋体" w:cs="Times New Roman"/>
                <w:sz w:val="21"/>
                <w:szCs w:val="21"/>
                <w:highlight w:val="none"/>
                <w:lang w:val="en-US" w:eastAsia="zh-CN"/>
              </w:rPr>
              <w:t>手动切断阀组。在物料输出端和接收端设置中控系统和紧急切断阀，阀门和仪表的控制信号接入伊泰化工公司DCS系统</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厂区外WRT甲烷气管道、清净废水管道安装完成后进行探伤检测。</w:t>
            </w:r>
          </w:p>
          <w:p w14:paraId="47E3A9E4">
            <w:pPr>
              <w:adjustRightInd w:val="0"/>
              <w:snapToGrid w:val="0"/>
              <w:jc w:val="center"/>
              <w:rPr>
                <w:rFonts w:hint="default" w:ascii="Times New Roman" w:hAnsi="Times New Roman" w:eastAsia="宋体" w:cs="Times New Roman"/>
                <w:sz w:val="21"/>
                <w:szCs w:val="21"/>
                <w:highlight w:val="none"/>
                <w:lang w:eastAsia="zh-CN"/>
              </w:rPr>
            </w:pPr>
          </w:p>
        </w:tc>
        <w:tc>
          <w:tcPr>
            <w:tcW w:w="954" w:type="pct"/>
            <w:noWrap w:val="0"/>
            <w:vAlign w:val="center"/>
          </w:tcPr>
          <w:p w14:paraId="38711258">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①依托和完善</w:t>
            </w:r>
            <w:r>
              <w:rPr>
                <w:rFonts w:hint="default" w:ascii="Times New Roman" w:hAnsi="Times New Roman" w:cs="Times New Roman"/>
                <w:sz w:val="21"/>
                <w:szCs w:val="21"/>
                <w:highlight w:val="none"/>
                <w:lang w:val="en-US" w:eastAsia="zh-CN"/>
              </w:rPr>
              <w:t>内蒙古伊泰化工有限责任公司</w:t>
            </w:r>
            <w:r>
              <w:rPr>
                <w:rFonts w:hint="default" w:ascii="Times New Roman" w:hAnsi="Times New Roman" w:cs="Times New Roman"/>
                <w:sz w:val="21"/>
                <w:szCs w:val="21"/>
                <w:highlight w:val="none"/>
              </w:rPr>
              <w:t>已制定的风险防范执行制度，加强管线的日常巡检</w:t>
            </w:r>
            <w:r>
              <w:rPr>
                <w:rFonts w:hint="eastAsia" w:cs="Times New Roman"/>
                <w:sz w:val="21"/>
                <w:szCs w:val="21"/>
                <w:highlight w:val="none"/>
                <w:lang w:eastAsia="zh-CN"/>
              </w:rPr>
              <w:t>（</w:t>
            </w:r>
            <w:r>
              <w:rPr>
                <w:rFonts w:hint="default" w:ascii="Times New Roman" w:hAnsi="Times New Roman" w:cs="Times New Roman"/>
                <w:sz w:val="21"/>
                <w:szCs w:val="21"/>
                <w:highlight w:val="none"/>
              </w:rPr>
              <w:t>包括巡查巡视和探测</w:t>
            </w:r>
            <w:r>
              <w:rPr>
                <w:rFonts w:hint="eastAsia" w:cs="Times New Roman"/>
                <w:sz w:val="21"/>
                <w:szCs w:val="21"/>
                <w:highlight w:val="none"/>
                <w:lang w:eastAsia="zh-CN"/>
              </w:rPr>
              <w:t>）</w:t>
            </w:r>
            <w:r>
              <w:rPr>
                <w:rFonts w:hint="default" w:ascii="Times New Roman" w:hAnsi="Times New Roman" w:cs="Times New Roman"/>
                <w:sz w:val="21"/>
                <w:szCs w:val="21"/>
                <w:highlight w:val="none"/>
              </w:rPr>
              <w:t>，以及加强管线警示标志的维护管理；</w:t>
            </w:r>
            <w:r>
              <w:rPr>
                <w:rFonts w:hint="eastAsia" w:cs="Times New Roman"/>
                <w:sz w:val="21"/>
                <w:szCs w:val="21"/>
                <w:highlight w:val="none"/>
                <w:lang w:val="en-US" w:eastAsia="zh-CN"/>
              </w:rPr>
              <w:t xml:space="preserve">     </w:t>
            </w:r>
            <w:r>
              <w:rPr>
                <w:rFonts w:hint="default" w:ascii="Times New Roman" w:hAnsi="Times New Roman" w:cs="Times New Roman"/>
                <w:sz w:val="21"/>
                <w:szCs w:val="21"/>
                <w:highlight w:val="none"/>
              </w:rPr>
              <w:t>②</w:t>
            </w:r>
            <w:r>
              <w:rPr>
                <w:rFonts w:hint="default" w:ascii="Times New Roman" w:hAnsi="Times New Roman" w:cs="Times New Roman"/>
                <w:sz w:val="21"/>
                <w:szCs w:val="21"/>
                <w:highlight w:val="none"/>
                <w:lang w:val="en-US" w:eastAsia="zh-CN"/>
              </w:rPr>
              <w:t>定期检查</w:t>
            </w:r>
            <w:r>
              <w:rPr>
                <w:rFonts w:hint="eastAsia" w:ascii="Times New Roman" w:hAnsi="Times New Roman" w:cs="Times New Roman"/>
                <w:sz w:val="21"/>
                <w:szCs w:val="21"/>
                <w:highlight w:val="none"/>
                <w:lang w:val="en-US" w:eastAsia="zh-CN"/>
              </w:rPr>
              <w:t>伊泰化工公</w:t>
            </w:r>
            <w:r>
              <w:rPr>
                <w:rFonts w:hint="default" w:ascii="Times New Roman" w:hAnsi="Times New Roman" w:cs="Times New Roman"/>
                <w:sz w:val="21"/>
                <w:szCs w:val="21"/>
                <w:highlight w:val="none"/>
                <w:lang w:val="en-US" w:eastAsia="zh-CN"/>
              </w:rPr>
              <w:t>司</w:t>
            </w:r>
            <w:r>
              <w:rPr>
                <w:rFonts w:hint="eastAsia" w:ascii="Times New Roman" w:hAnsi="Times New Roman" w:cs="Times New Roman"/>
                <w:sz w:val="21"/>
                <w:szCs w:val="21"/>
                <w:highlight w:val="none"/>
                <w:lang w:val="en-US" w:eastAsia="zh-CN"/>
              </w:rPr>
              <w:t>的</w:t>
            </w:r>
            <w:r>
              <w:rPr>
                <w:rFonts w:hint="default" w:ascii="Times New Roman" w:hAnsi="Times New Roman" w:cs="Times New Roman"/>
                <w:sz w:val="21"/>
                <w:szCs w:val="21"/>
                <w:highlight w:val="none"/>
                <w:lang w:val="en-US" w:eastAsia="zh-CN"/>
              </w:rPr>
              <w:t>DCS系统</w:t>
            </w:r>
            <w:r>
              <w:rPr>
                <w:rFonts w:hint="eastAsia" w:cs="Times New Roman"/>
                <w:sz w:val="21"/>
                <w:szCs w:val="21"/>
                <w:highlight w:val="none"/>
                <w:lang w:val="en-US" w:eastAsia="zh-CN"/>
              </w:rPr>
              <w:t>。</w:t>
            </w:r>
          </w:p>
          <w:p w14:paraId="3C61F165">
            <w:pPr>
              <w:adjustRightInd w:val="0"/>
              <w:snapToGrid w:val="0"/>
              <w:jc w:val="center"/>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加强中控监视</w:t>
            </w:r>
            <w:r>
              <w:rPr>
                <w:rFonts w:hint="eastAsia" w:cs="Times New Roman"/>
                <w:sz w:val="21"/>
                <w:szCs w:val="21"/>
                <w:highlight w:val="none"/>
                <w:lang w:eastAsia="zh-CN"/>
              </w:rPr>
              <w:t>；</w:t>
            </w:r>
          </w:p>
          <w:p w14:paraId="6ECB3A7C">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③将本管道纳入</w:t>
            </w:r>
            <w:r>
              <w:rPr>
                <w:rFonts w:hint="default" w:ascii="Times New Roman" w:hAnsi="Times New Roman" w:cs="Times New Roman"/>
                <w:sz w:val="21"/>
                <w:szCs w:val="21"/>
                <w:highlight w:val="none"/>
                <w:lang w:val="en-US" w:eastAsia="zh-CN"/>
              </w:rPr>
              <w:t>内蒙古伊泰化工有限责任公司</w:t>
            </w:r>
            <w:r>
              <w:rPr>
                <w:rFonts w:hint="default" w:ascii="Times New Roman" w:hAnsi="Times New Roman" w:cs="Times New Roman"/>
                <w:sz w:val="21"/>
                <w:szCs w:val="21"/>
                <w:highlight w:val="none"/>
              </w:rPr>
              <w:t>编制的环境应急预案，开展应急演练；</w:t>
            </w:r>
          </w:p>
          <w:p w14:paraId="24D76A77">
            <w:pPr>
              <w:adjustRightInd w:val="0"/>
              <w:snapToGrid w:val="0"/>
              <w:jc w:val="center"/>
              <w:rPr>
                <w:rFonts w:hint="default" w:ascii="Times New Roman" w:hAnsi="Times New Roman" w:cs="Times New Roman"/>
                <w:sz w:val="21"/>
                <w:szCs w:val="21"/>
                <w:highlight w:val="none"/>
              </w:rPr>
            </w:pPr>
            <w:r>
              <w:rPr>
                <w:rFonts w:hint="eastAsia" w:ascii="Times New Roman" w:hAnsi="Times New Roman" w:eastAsia="宋体" w:cs="Times New Roman"/>
                <w:sz w:val="21"/>
                <w:szCs w:val="21"/>
                <w:highlight w:val="none"/>
              </w:rPr>
              <w:t>④</w:t>
            </w:r>
            <w:r>
              <w:rPr>
                <w:rFonts w:hint="default" w:ascii="Times New Roman" w:hAnsi="Times New Roman" w:cs="Times New Roman"/>
                <w:sz w:val="21"/>
                <w:szCs w:val="21"/>
                <w:highlight w:val="none"/>
              </w:rPr>
              <w:t>加强与周边企业联防联控。</w:t>
            </w:r>
          </w:p>
        </w:tc>
        <w:tc>
          <w:tcPr>
            <w:tcW w:w="844" w:type="pct"/>
            <w:noWrap w:val="0"/>
            <w:vAlign w:val="center"/>
          </w:tcPr>
          <w:p w14:paraId="1F1A7049">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管线巡检制度</w:t>
            </w:r>
            <w:r>
              <w:rPr>
                <w:rFonts w:hint="eastAsia" w:cs="Times New Roman"/>
                <w:sz w:val="21"/>
                <w:szCs w:val="21"/>
                <w:highlight w:val="none"/>
                <w:lang w:eastAsia="zh-CN"/>
              </w:rPr>
              <w:t>、</w:t>
            </w:r>
            <w:r>
              <w:rPr>
                <w:rFonts w:hint="eastAsia" w:cs="Times New Roman"/>
                <w:sz w:val="21"/>
                <w:szCs w:val="21"/>
                <w:highlight w:val="none"/>
                <w:lang w:val="en-US" w:eastAsia="zh-CN"/>
              </w:rPr>
              <w:t>风险防控制度</w:t>
            </w:r>
            <w:r>
              <w:rPr>
                <w:rFonts w:hint="default" w:ascii="Times New Roman" w:hAnsi="Times New Roman" w:cs="Times New Roman"/>
                <w:sz w:val="21"/>
                <w:szCs w:val="21"/>
                <w:highlight w:val="none"/>
              </w:rPr>
              <w:t>及台账记录完善；配备相应的应急物资</w:t>
            </w:r>
            <w:r>
              <w:rPr>
                <w:rFonts w:hint="eastAsia" w:cs="Times New Roman"/>
                <w:sz w:val="21"/>
                <w:szCs w:val="21"/>
                <w:highlight w:val="none"/>
                <w:lang w:eastAsia="zh-CN"/>
              </w:rPr>
              <w:t>；</w:t>
            </w:r>
            <w:r>
              <w:rPr>
                <w:rFonts w:hint="default" w:ascii="Times New Roman" w:hAnsi="Times New Roman" w:cs="Times New Roman"/>
                <w:sz w:val="21"/>
                <w:szCs w:val="21"/>
                <w:highlight w:val="none"/>
                <w:lang w:val="en-US" w:eastAsia="zh-CN"/>
              </w:rPr>
              <w:t>定期检查</w:t>
            </w:r>
            <w:r>
              <w:rPr>
                <w:rFonts w:hint="eastAsia" w:ascii="Times New Roman" w:hAnsi="Times New Roman" w:cs="Times New Roman"/>
                <w:sz w:val="21"/>
                <w:szCs w:val="21"/>
                <w:highlight w:val="none"/>
                <w:lang w:val="en-US" w:eastAsia="zh-CN"/>
              </w:rPr>
              <w:t>伊泰化工公</w:t>
            </w:r>
            <w:r>
              <w:rPr>
                <w:rFonts w:hint="default" w:ascii="Times New Roman" w:hAnsi="Times New Roman" w:cs="Times New Roman"/>
                <w:sz w:val="21"/>
                <w:szCs w:val="21"/>
                <w:highlight w:val="none"/>
                <w:lang w:val="en-US" w:eastAsia="zh-CN"/>
              </w:rPr>
              <w:t>司</w:t>
            </w:r>
            <w:r>
              <w:rPr>
                <w:rFonts w:hint="eastAsia" w:ascii="Times New Roman" w:hAnsi="Times New Roman" w:cs="Times New Roman"/>
                <w:sz w:val="21"/>
                <w:szCs w:val="21"/>
                <w:highlight w:val="none"/>
                <w:lang w:val="en-US" w:eastAsia="zh-CN"/>
              </w:rPr>
              <w:t>的</w:t>
            </w:r>
            <w:r>
              <w:rPr>
                <w:rFonts w:hint="default" w:ascii="Times New Roman" w:hAnsi="Times New Roman" w:cs="Times New Roman"/>
                <w:sz w:val="21"/>
                <w:szCs w:val="21"/>
                <w:highlight w:val="none"/>
                <w:lang w:val="en-US" w:eastAsia="zh-CN"/>
              </w:rPr>
              <w:t>DCS系统</w:t>
            </w:r>
            <w:r>
              <w:rPr>
                <w:rFonts w:hint="eastAsia" w:cs="Times New Roman"/>
                <w:sz w:val="21"/>
                <w:szCs w:val="21"/>
                <w:highlight w:val="none"/>
                <w:lang w:val="en-US" w:eastAsia="zh-CN"/>
              </w:rPr>
              <w:t>。</w:t>
            </w:r>
          </w:p>
          <w:p w14:paraId="06581200">
            <w:pPr>
              <w:adjustRightInd w:val="0"/>
              <w:snapToGrid w:val="0"/>
              <w:jc w:val="center"/>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加强中控监视</w:t>
            </w:r>
            <w:r>
              <w:rPr>
                <w:rFonts w:hint="eastAsia"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将本管道纳入</w:t>
            </w:r>
            <w:r>
              <w:rPr>
                <w:rFonts w:hint="default" w:ascii="Times New Roman" w:hAnsi="Times New Roman" w:cs="Times New Roman"/>
                <w:sz w:val="21"/>
                <w:szCs w:val="21"/>
                <w:highlight w:val="none"/>
                <w:lang w:val="en-US" w:eastAsia="zh-CN"/>
              </w:rPr>
              <w:t>内蒙古伊泰化工有限责任公司</w:t>
            </w:r>
            <w:r>
              <w:rPr>
                <w:rFonts w:hint="default" w:ascii="Times New Roman" w:hAnsi="Times New Roman" w:cs="Times New Roman"/>
                <w:sz w:val="21"/>
                <w:szCs w:val="21"/>
                <w:highlight w:val="none"/>
              </w:rPr>
              <w:t>编制的环境应急预案，开展应急演练</w:t>
            </w:r>
            <w:r>
              <w:rPr>
                <w:rFonts w:hint="eastAsia" w:cs="Times New Roman"/>
                <w:sz w:val="21"/>
                <w:szCs w:val="21"/>
                <w:highlight w:val="none"/>
                <w:lang w:eastAsia="zh-CN"/>
              </w:rPr>
              <w:t>。</w:t>
            </w:r>
          </w:p>
        </w:tc>
      </w:tr>
      <w:tr w14:paraId="37824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62" w:type="pct"/>
            <w:noWrap w:val="0"/>
            <w:vAlign w:val="center"/>
          </w:tcPr>
          <w:p w14:paraId="210445F5">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环境监测</w:t>
            </w:r>
          </w:p>
        </w:tc>
        <w:tc>
          <w:tcPr>
            <w:tcW w:w="1169" w:type="pct"/>
            <w:noWrap w:val="0"/>
            <w:vAlign w:val="center"/>
          </w:tcPr>
          <w:p w14:paraId="4941D3AB">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1169" w:type="pct"/>
            <w:noWrap w:val="0"/>
            <w:vAlign w:val="center"/>
          </w:tcPr>
          <w:p w14:paraId="0A0CD636">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954" w:type="pct"/>
            <w:noWrap w:val="0"/>
            <w:vAlign w:val="center"/>
          </w:tcPr>
          <w:p w14:paraId="47E99C86">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844" w:type="pct"/>
            <w:noWrap w:val="0"/>
            <w:vAlign w:val="center"/>
          </w:tcPr>
          <w:p w14:paraId="5653E80D">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14:paraId="240BCB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862" w:type="pct"/>
            <w:noWrap w:val="0"/>
            <w:vAlign w:val="center"/>
          </w:tcPr>
          <w:p w14:paraId="1BBF70CD">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其他</w:t>
            </w:r>
          </w:p>
        </w:tc>
        <w:tc>
          <w:tcPr>
            <w:tcW w:w="4137" w:type="pct"/>
            <w:gridSpan w:val="4"/>
            <w:noWrap w:val="0"/>
            <w:vAlign w:val="center"/>
          </w:tcPr>
          <w:p w14:paraId="6C6116FD">
            <w:pPr>
              <w:adjustRightInd w:val="0"/>
              <w:snapToGrid w:val="0"/>
              <w:jc w:val="center"/>
              <w:rPr>
                <w:rFonts w:hint="default" w:ascii="Times New Roman" w:hAnsi="Times New Roman" w:cs="Times New Roman"/>
                <w:sz w:val="21"/>
                <w:szCs w:val="21"/>
                <w:highlight w:val="none"/>
              </w:rPr>
            </w:pPr>
            <w:r>
              <w:rPr>
                <w:rFonts w:hint="default" w:ascii="Times New Roman" w:hAnsi="Times New Roman" w:eastAsia="宋体" w:cs="Times New Roman"/>
                <w:color w:val="000000"/>
                <w:kern w:val="2"/>
                <w:sz w:val="21"/>
                <w:szCs w:val="21"/>
                <w:highlight w:val="none"/>
              </w:rPr>
              <w:t>项目竣工后应按照《建设项目竣工环境保护验收暂行办法》的要求进行自主验收，验收合格后方可投入正式运营。</w:t>
            </w:r>
          </w:p>
        </w:tc>
      </w:tr>
    </w:tbl>
    <w:p w14:paraId="35514CAD">
      <w:pPr>
        <w:jc w:val="center"/>
        <w:rPr>
          <w:rFonts w:hint="eastAsia" w:ascii="黑体" w:hAnsi="黑体" w:eastAsia="黑体"/>
          <w:snapToGrid w:val="0"/>
          <w:sz w:val="30"/>
          <w:szCs w:val="30"/>
          <w:highlight w:val="none"/>
        </w:rPr>
        <w:sectPr>
          <w:pgSz w:w="11906" w:h="16838"/>
          <w:pgMar w:top="1701" w:right="1701" w:bottom="1701" w:left="1701" w:header="851" w:footer="992" w:gutter="0"/>
          <w:pgNumType w:fmt="decimal"/>
          <w:cols w:space="720" w:num="1"/>
          <w:docGrid w:type="lines" w:linePitch="312" w:charSpace="0"/>
        </w:sectPr>
      </w:pPr>
    </w:p>
    <w:p w14:paraId="0F0603EA">
      <w:pPr>
        <w:jc w:val="center"/>
        <w:rPr>
          <w:rFonts w:ascii="黑体" w:hAnsi="黑体" w:eastAsia="黑体"/>
          <w:snapToGrid w:val="0"/>
          <w:sz w:val="30"/>
          <w:szCs w:val="30"/>
          <w:highlight w:val="none"/>
        </w:rPr>
      </w:pPr>
      <w:r>
        <w:rPr>
          <w:rFonts w:hint="eastAsia" w:ascii="黑体" w:hAnsi="黑体" w:eastAsia="黑体"/>
          <w:snapToGrid w:val="0"/>
          <w:sz w:val="30"/>
          <w:szCs w:val="30"/>
          <w:highlight w:val="none"/>
        </w:rPr>
        <w:t>七、结论</w:t>
      </w:r>
    </w:p>
    <w:tbl>
      <w:tblPr>
        <w:tblStyle w:val="19"/>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70CB1F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noWrap w:val="0"/>
            <w:vAlign w:val="center"/>
          </w:tcPr>
          <w:p w14:paraId="68814B40">
            <w:pPr>
              <w:spacing w:line="360" w:lineRule="auto"/>
              <w:ind w:firstLine="480" w:firstLineChars="200"/>
              <w:rPr>
                <w:rFonts w:hint="eastAsia"/>
                <w:sz w:val="24"/>
                <w:highlight w:val="none"/>
              </w:rPr>
            </w:pPr>
            <w:r>
              <w:rPr>
                <w:rFonts w:hint="eastAsia"/>
                <w:sz w:val="24"/>
                <w:highlight w:val="none"/>
              </w:rPr>
              <w:t>本项目为</w:t>
            </w:r>
            <w:r>
              <w:rPr>
                <w:rFonts w:hint="eastAsia"/>
                <w:sz w:val="24"/>
                <w:highlight w:val="none"/>
                <w:lang w:val="en-US" w:eastAsia="zh-CN"/>
              </w:rPr>
              <w:t>鹏泰-伊泰化工物料输送管线及管廊建设</w:t>
            </w:r>
            <w:r>
              <w:rPr>
                <w:rFonts w:hint="eastAsia"/>
                <w:sz w:val="24"/>
                <w:highlight w:val="none"/>
              </w:rPr>
              <w:t>工程，</w:t>
            </w:r>
            <w:r>
              <w:rPr>
                <w:rFonts w:hint="eastAsia" w:ascii="Times New Roman" w:hAnsi="Times New Roman" w:eastAsia="宋体" w:cs="Times New Roman"/>
                <w:bCs/>
                <w:sz w:val="24"/>
                <w:highlight w:val="none"/>
                <w:lang w:val="en-US" w:eastAsia="zh-CN"/>
              </w:rPr>
              <w:t>在原有</w:t>
            </w:r>
            <w:r>
              <w:rPr>
                <w:rFonts w:hint="eastAsia" w:cs="Times New Roman"/>
                <w:bCs/>
                <w:sz w:val="24"/>
                <w:highlight w:val="none"/>
                <w:lang w:val="en-US" w:eastAsia="zh-CN"/>
              </w:rPr>
              <w:t>联博</w:t>
            </w:r>
            <w:r>
              <w:rPr>
                <w:rFonts w:hint="eastAsia" w:ascii="Times New Roman" w:hAnsi="Times New Roman" w:eastAsia="宋体" w:cs="Times New Roman"/>
                <w:bCs/>
                <w:sz w:val="24"/>
                <w:highlight w:val="none"/>
                <w:lang w:val="en-US" w:eastAsia="zh-CN"/>
              </w:rPr>
              <w:t>管廊基础上改造，</w:t>
            </w:r>
            <w:r>
              <w:rPr>
                <w:rFonts w:hint="eastAsia" w:cs="Times New Roman"/>
                <w:bCs/>
                <w:sz w:val="24"/>
                <w:highlight w:val="none"/>
                <w:lang w:val="en-US" w:eastAsia="zh-CN"/>
              </w:rPr>
              <w:t>并新建架空管线</w:t>
            </w:r>
            <w:r>
              <w:rPr>
                <w:rFonts w:hint="eastAsia" w:ascii="Times New Roman" w:hAnsi="Times New Roman" w:eastAsia="宋体" w:cs="Times New Roman"/>
                <w:bCs/>
                <w:sz w:val="24"/>
                <w:highlight w:val="none"/>
                <w:lang w:val="zh-CN" w:eastAsia="zh-CN"/>
              </w:rPr>
              <w:t>将物料输送至鹏泰生物装置界区。</w:t>
            </w:r>
            <w:r>
              <w:rPr>
                <w:rFonts w:hint="eastAsia"/>
                <w:sz w:val="24"/>
                <w:highlight w:val="none"/>
              </w:rPr>
              <w:t>输送介质包括</w:t>
            </w:r>
            <w:r>
              <w:rPr>
                <w:rFonts w:hint="eastAsia"/>
                <w:sz w:val="24"/>
                <w:highlight w:val="none"/>
                <w:lang w:val="en-US" w:eastAsia="zh-CN"/>
              </w:rPr>
              <w:t>合成脱碳尾</w:t>
            </w:r>
            <w:r>
              <w:rPr>
                <w:rFonts w:hint="default"/>
                <w:sz w:val="24"/>
                <w:highlight w:val="none"/>
                <w:lang w:val="en-US" w:eastAsia="zh-CN"/>
              </w:rPr>
              <w:t>气</w:t>
            </w:r>
            <w:r>
              <w:rPr>
                <w:rFonts w:hint="eastAsia"/>
                <w:sz w:val="24"/>
                <w:highlight w:val="none"/>
              </w:rPr>
              <w:t>、</w:t>
            </w:r>
            <w:r>
              <w:rPr>
                <w:rFonts w:hint="eastAsia"/>
                <w:sz w:val="24"/>
                <w:highlight w:val="none"/>
                <w:lang w:val="en-US" w:eastAsia="zh-CN"/>
              </w:rPr>
              <w:t>未变换净化</w:t>
            </w:r>
            <w:r>
              <w:rPr>
                <w:rFonts w:hint="default"/>
                <w:sz w:val="24"/>
                <w:highlight w:val="none"/>
                <w:lang w:val="en-US" w:eastAsia="zh-CN"/>
              </w:rPr>
              <w:t>气</w:t>
            </w:r>
            <w:r>
              <w:rPr>
                <w:rFonts w:hint="eastAsia"/>
                <w:sz w:val="24"/>
                <w:highlight w:val="none"/>
              </w:rPr>
              <w:t>、</w:t>
            </w:r>
            <w:r>
              <w:rPr>
                <w:rFonts w:hint="eastAsia"/>
                <w:sz w:val="24"/>
                <w:highlight w:val="none"/>
                <w:lang w:val="en-US" w:eastAsia="zh-CN"/>
              </w:rPr>
              <w:t>尾气</w:t>
            </w:r>
            <w:r>
              <w:rPr>
                <w:rFonts w:hint="eastAsia"/>
                <w:sz w:val="24"/>
                <w:highlight w:val="none"/>
              </w:rPr>
              <w:t>、</w:t>
            </w:r>
            <w:r>
              <w:rPr>
                <w:rFonts w:hint="eastAsia"/>
                <w:sz w:val="24"/>
                <w:highlight w:val="none"/>
                <w:lang w:val="en-US" w:eastAsia="zh-CN"/>
              </w:rPr>
              <w:t>WRT甲烷气、甲烷、低压含烃火炬气、酸湿火炬、中压蒸汽、凝结水、仪表风、工厂风、氮气、黄河水、回用水、污水1、污水2、清净废水、富甲烷气、冷冻水来、冷冻水回、酸性气、真空泵尾气、CO</w:t>
            </w:r>
            <w:r>
              <w:rPr>
                <w:rFonts w:hint="eastAsia"/>
                <w:sz w:val="24"/>
                <w:highlight w:val="none"/>
                <w:vertAlign w:val="subscript"/>
                <w:lang w:val="en-US" w:eastAsia="zh-CN"/>
              </w:rPr>
              <w:t>2</w:t>
            </w:r>
            <w:r>
              <w:rPr>
                <w:rFonts w:hint="eastAsia"/>
                <w:sz w:val="24"/>
                <w:highlight w:val="none"/>
              </w:rPr>
              <w:t>。</w:t>
            </w:r>
            <w:r>
              <w:rPr>
                <w:rFonts w:hint="eastAsia" w:cs="Times New Roman"/>
                <w:sz w:val="24"/>
                <w:highlight w:val="none"/>
                <w:lang w:val="en-US" w:eastAsia="zh-CN"/>
              </w:rPr>
              <w:t>厂区内</w:t>
            </w:r>
            <w:r>
              <w:rPr>
                <w:rFonts w:hint="eastAsia" w:ascii="Times New Roman" w:hAnsi="Times New Roman" w:eastAsia="宋体" w:cs="Times New Roman"/>
                <w:sz w:val="24"/>
                <w:highlight w:val="none"/>
                <w:lang w:val="en-US" w:eastAsia="zh-CN"/>
              </w:rPr>
              <w:t>用地性质为工业用地</w:t>
            </w:r>
            <w:r>
              <w:rPr>
                <w:rFonts w:hint="eastAsia" w:cs="Times New Roman"/>
                <w:sz w:val="24"/>
                <w:highlight w:val="none"/>
                <w:lang w:val="en-US" w:eastAsia="zh-CN"/>
              </w:rPr>
              <w:t>，厂区外部分用地性质为天然牧草地</w:t>
            </w:r>
            <w:r>
              <w:rPr>
                <w:rFonts w:hint="eastAsia" w:ascii="Times New Roman" w:hAnsi="Times New Roman" w:eastAsia="宋体" w:cs="Times New Roman"/>
                <w:sz w:val="24"/>
                <w:highlight w:val="none"/>
                <w:lang w:val="en-US" w:eastAsia="zh-CN"/>
              </w:rPr>
              <w:t>。</w:t>
            </w:r>
            <w:r>
              <w:rPr>
                <w:rFonts w:hint="eastAsia" w:cs="Times New Roman"/>
                <w:bCs/>
                <w:sz w:val="24"/>
                <w:highlight w:val="none"/>
                <w:lang w:val="en-US" w:eastAsia="zh-CN"/>
              </w:rPr>
              <w:t>项目黄河水管道厂区外取水点已经预留接口，本项目建设直接接入接口，不涉及土方工程。本项目建设</w:t>
            </w:r>
            <w:r>
              <w:rPr>
                <w:rFonts w:hint="eastAsia" w:ascii="Times New Roman" w:hAnsi="Times New Roman" w:eastAsia="宋体" w:cs="Times New Roman"/>
                <w:bCs/>
                <w:sz w:val="24"/>
                <w:highlight w:val="none"/>
                <w:lang w:val="zh-CN" w:eastAsia="zh-CN"/>
              </w:rPr>
              <w:t>未涉及占用基本农田、生态公益林等保护目标，项目厂区内现状为</w:t>
            </w:r>
            <w:r>
              <w:rPr>
                <w:rFonts w:hint="eastAsia" w:cs="Times New Roman"/>
                <w:bCs/>
                <w:sz w:val="24"/>
                <w:highlight w:val="none"/>
                <w:lang w:val="en-US" w:eastAsia="zh-CN"/>
              </w:rPr>
              <w:t>碎石地面、硬化道路</w:t>
            </w:r>
            <w:r>
              <w:rPr>
                <w:rFonts w:hint="eastAsia" w:ascii="Times New Roman" w:hAnsi="Times New Roman" w:eastAsia="宋体" w:cs="Times New Roman"/>
                <w:bCs/>
                <w:sz w:val="24"/>
                <w:highlight w:val="none"/>
                <w:lang w:val="zh-CN" w:eastAsia="zh-CN"/>
              </w:rPr>
              <w:t>、空地、厂区外为裸露土壤，无保护植被等</w:t>
            </w:r>
            <w:r>
              <w:rPr>
                <w:rFonts w:hint="eastAsia" w:cs="Times New Roman"/>
                <w:bCs/>
                <w:sz w:val="24"/>
                <w:highlight w:val="none"/>
                <w:lang w:val="zh-CN" w:eastAsia="zh-CN"/>
              </w:rPr>
              <w:t>。</w:t>
            </w:r>
            <w:r>
              <w:rPr>
                <w:rFonts w:hint="eastAsia" w:cs="Times New Roman"/>
                <w:sz w:val="24"/>
                <w:highlight w:val="none"/>
                <w:lang w:val="en-US" w:eastAsia="zh-CN"/>
              </w:rPr>
              <w:t>本项目WRT甲烷气、清净废水管道位于厂区外，管道采取架空敷设，跨越厂区之间的天然牧草地，</w:t>
            </w:r>
            <w:r>
              <w:rPr>
                <w:rFonts w:ascii="Segoe UI" w:hAnsi="Segoe UI" w:eastAsia="Segoe UI" w:cs="Segoe UI"/>
                <w:i w:val="0"/>
                <w:iCs w:val="0"/>
                <w:caps w:val="0"/>
                <w:color w:val="0F1115"/>
                <w:spacing w:val="0"/>
                <w:sz w:val="24"/>
                <w:szCs w:val="24"/>
                <w:highlight w:val="none"/>
                <w:shd w:val="clear" w:fill="FFFFFF"/>
              </w:rPr>
              <w:t>施工过程中如对牧草造成局部损伤，应在施工结束后及时采取植被恢复措施</w:t>
            </w:r>
            <w:r>
              <w:rPr>
                <w:rFonts w:hint="eastAsia" w:ascii="Segoe UI" w:hAnsi="Segoe UI" w:eastAsia="宋体" w:cs="Segoe UI"/>
                <w:i w:val="0"/>
                <w:iCs w:val="0"/>
                <w:caps w:val="0"/>
                <w:color w:val="0F1115"/>
                <w:spacing w:val="0"/>
                <w:sz w:val="24"/>
                <w:szCs w:val="24"/>
                <w:highlight w:val="none"/>
                <w:shd w:val="clear" w:fill="FFFFFF"/>
                <w:lang w:eastAsia="zh-CN"/>
              </w:rPr>
              <w:t>，</w:t>
            </w:r>
            <w:r>
              <w:rPr>
                <w:rFonts w:hint="eastAsia" w:cs="Times New Roman"/>
                <w:sz w:val="24"/>
                <w:highlight w:val="none"/>
                <w:lang w:val="en-US" w:eastAsia="zh-CN"/>
              </w:rPr>
              <w:t>均采取架空铺设，以减少对地表植被和土壤结构的直接破坏</w:t>
            </w:r>
            <w:r>
              <w:rPr>
                <w:rFonts w:hint="eastAsia" w:ascii="Times New Roman" w:hAnsi="Times New Roman" w:eastAsia="宋体" w:cs="Times New Roman"/>
                <w:sz w:val="24"/>
                <w:highlight w:val="none"/>
                <w:lang w:val="en-US" w:eastAsia="zh-CN"/>
              </w:rPr>
              <w:t>。</w:t>
            </w:r>
          </w:p>
          <w:p w14:paraId="1BE8FA03">
            <w:pPr>
              <w:adjustRightInd w:val="0"/>
              <w:snapToGrid w:val="0"/>
              <w:spacing w:line="360" w:lineRule="auto"/>
              <w:ind w:firstLine="480" w:firstLineChars="200"/>
              <w:rPr>
                <w:highlight w:val="none"/>
              </w:rPr>
            </w:pPr>
            <w:r>
              <w:rPr>
                <w:rFonts w:hint="eastAsia"/>
                <w:sz w:val="24"/>
                <w:highlight w:val="none"/>
                <w:lang w:val="en-US" w:eastAsia="zh-CN"/>
              </w:rPr>
              <w:t>综上所述：</w:t>
            </w:r>
            <w:r>
              <w:rPr>
                <w:rFonts w:hint="eastAsia"/>
                <w:sz w:val="24"/>
                <w:highlight w:val="none"/>
              </w:rPr>
              <w:t>项目管道选址选线合理、符合区域生态功能区划，符合区域大气、水和声环境功能区划要求；项目与周边环境相容，正常运行过程中，无</w:t>
            </w:r>
            <w:r>
              <w:rPr>
                <w:rFonts w:hint="eastAsia"/>
                <w:sz w:val="24"/>
                <w:highlight w:val="none"/>
                <w:lang w:val="en-US" w:eastAsia="zh-CN"/>
              </w:rPr>
              <w:t>废气、</w:t>
            </w:r>
            <w:r>
              <w:rPr>
                <w:rFonts w:hint="eastAsia"/>
                <w:sz w:val="24"/>
                <w:highlight w:val="none"/>
              </w:rPr>
              <w:t>废水</w:t>
            </w:r>
            <w:r>
              <w:rPr>
                <w:rFonts w:hint="eastAsia"/>
                <w:sz w:val="24"/>
                <w:highlight w:val="none"/>
                <w:lang w:eastAsia="zh-CN"/>
              </w:rPr>
              <w:t>、</w:t>
            </w:r>
            <w:r>
              <w:rPr>
                <w:rFonts w:hint="eastAsia"/>
                <w:sz w:val="24"/>
                <w:highlight w:val="none"/>
                <w:lang w:val="en-US" w:eastAsia="zh-CN"/>
              </w:rPr>
              <w:t>固废</w:t>
            </w:r>
            <w:r>
              <w:rPr>
                <w:rFonts w:hint="eastAsia"/>
                <w:sz w:val="24"/>
                <w:highlight w:val="none"/>
              </w:rPr>
              <w:t>产生。项目环境影响主要为环境风险，在</w:t>
            </w:r>
            <w:r>
              <w:rPr>
                <w:rFonts w:hint="eastAsia"/>
                <w:sz w:val="24"/>
                <w:highlight w:val="none"/>
                <w:lang w:val="en-US" w:eastAsia="zh-CN"/>
              </w:rPr>
              <w:t>落实报告提出的环境风险防范措施</w:t>
            </w:r>
            <w:r>
              <w:rPr>
                <w:rFonts w:hint="eastAsia"/>
                <w:sz w:val="24"/>
                <w:highlight w:val="none"/>
              </w:rPr>
              <w:t>后，本项目环境风险可防可控。</w:t>
            </w:r>
          </w:p>
          <w:p w14:paraId="29394A29">
            <w:pPr>
              <w:adjustRightInd w:val="0"/>
              <w:snapToGrid w:val="0"/>
              <w:spacing w:line="360" w:lineRule="auto"/>
              <w:ind w:firstLine="480" w:firstLineChars="200"/>
              <w:rPr>
                <w:rFonts w:hint="eastAsia"/>
                <w:sz w:val="24"/>
                <w:highlight w:val="none"/>
              </w:rPr>
            </w:pPr>
            <w:r>
              <w:rPr>
                <w:rFonts w:hint="eastAsia"/>
                <w:sz w:val="24"/>
                <w:highlight w:val="none"/>
              </w:rPr>
              <w:t>建设单位在落实报告表提出的各项污染防治措施、生态恢复措施和环境风险防控措施的前提下，</w:t>
            </w:r>
            <w:r>
              <w:rPr>
                <w:rFonts w:hint="eastAsia"/>
                <w:sz w:val="24"/>
                <w:highlight w:val="none"/>
                <w:lang w:val="en-US" w:eastAsia="zh-CN"/>
              </w:rPr>
              <w:t>项目产生的环境影响可接受</w:t>
            </w:r>
            <w:r>
              <w:rPr>
                <w:rFonts w:hint="eastAsia"/>
                <w:sz w:val="24"/>
                <w:highlight w:val="none"/>
              </w:rPr>
              <w:t>。</w:t>
            </w:r>
          </w:p>
          <w:p w14:paraId="7C452B9D">
            <w:pPr>
              <w:adjustRightInd w:val="0"/>
              <w:snapToGrid w:val="0"/>
              <w:spacing w:line="360" w:lineRule="auto"/>
              <w:ind w:firstLine="420" w:firstLineChars="200"/>
              <w:rPr>
                <w:rFonts w:ascii="宋体" w:hAnsi="宋体" w:cs="宋体"/>
                <w:color w:val="0000FF"/>
                <w:szCs w:val="21"/>
                <w:highlight w:val="none"/>
              </w:rPr>
            </w:pPr>
          </w:p>
        </w:tc>
      </w:tr>
    </w:tbl>
    <w:p w14:paraId="7E7B2CCF">
      <w:pPr>
        <w:rPr>
          <w:rFonts w:ascii="宋体"/>
          <w:highlight w:val="none"/>
        </w:rPr>
      </w:pPr>
    </w:p>
    <w:p w14:paraId="05E28D51">
      <w:pPr>
        <w:rPr>
          <w:rFonts w:hint="eastAsia"/>
          <w:highlight w:val="none"/>
        </w:rPr>
      </w:pPr>
    </w:p>
    <w:p w14:paraId="7F0E38E1">
      <w:pPr>
        <w:rPr>
          <w:rFonts w:hint="eastAsia"/>
          <w:highlight w:val="none"/>
        </w:rPr>
      </w:pPr>
    </w:p>
    <w:p w14:paraId="47F653DC">
      <w:pPr>
        <w:rPr>
          <w:rFonts w:hint="eastAsia"/>
          <w:highlight w:val="none"/>
        </w:rPr>
      </w:pPr>
    </w:p>
    <w:p w14:paraId="0B612423">
      <w:pPr>
        <w:pStyle w:val="13"/>
        <w:rPr>
          <w:rFonts w:hint="eastAsia"/>
          <w:highlight w:val="none"/>
          <w:lang w:val="en-US"/>
        </w:rPr>
      </w:pPr>
    </w:p>
    <w:p w14:paraId="021C2A7B">
      <w:pPr>
        <w:rPr>
          <w:rFonts w:hint="eastAsia"/>
          <w:highlight w:val="none"/>
        </w:rPr>
      </w:pPr>
    </w:p>
    <w:p w14:paraId="3E1C3F73">
      <w:pPr>
        <w:pStyle w:val="13"/>
        <w:rPr>
          <w:rFonts w:hint="eastAsia"/>
          <w:highlight w:val="none"/>
          <w:lang w:val="en-US"/>
        </w:rPr>
      </w:pPr>
    </w:p>
    <w:p w14:paraId="05C8204F">
      <w:pPr>
        <w:keepNext/>
        <w:keepLines/>
        <w:spacing w:before="340" w:after="330" w:line="576" w:lineRule="auto"/>
        <w:jc w:val="center"/>
        <w:outlineLvl w:val="0"/>
        <w:rPr>
          <w:rFonts w:hint="eastAsia"/>
          <w:b/>
          <w:sz w:val="48"/>
          <w:szCs w:val="48"/>
          <w:highlight w:val="none"/>
        </w:rPr>
      </w:pPr>
      <w:r>
        <w:rPr>
          <w:rFonts w:hint="eastAsia"/>
          <w:b/>
          <w:sz w:val="48"/>
          <w:szCs w:val="48"/>
          <w:highlight w:val="none"/>
          <w:lang w:val="en-US" w:eastAsia="zh-CN"/>
        </w:rPr>
        <w:t>鹏泰-伊泰化工物料输送管线及管廊建设项目</w:t>
      </w:r>
      <w:r>
        <w:rPr>
          <w:rFonts w:hint="eastAsia"/>
          <w:b/>
          <w:sz w:val="48"/>
          <w:szCs w:val="48"/>
          <w:highlight w:val="none"/>
        </w:rPr>
        <w:t>环境风险专项评价</w:t>
      </w:r>
    </w:p>
    <w:p w14:paraId="31F6A4B3">
      <w:pPr>
        <w:rPr>
          <w:rFonts w:hint="eastAsia"/>
          <w:sz w:val="24"/>
          <w:highlight w:val="none"/>
        </w:rPr>
      </w:pPr>
    </w:p>
    <w:p w14:paraId="40566989">
      <w:pPr>
        <w:rPr>
          <w:rFonts w:hint="eastAsia"/>
          <w:sz w:val="24"/>
          <w:highlight w:val="none"/>
        </w:rPr>
      </w:pPr>
    </w:p>
    <w:p w14:paraId="362859D3">
      <w:pPr>
        <w:rPr>
          <w:rFonts w:hint="eastAsia"/>
          <w:sz w:val="24"/>
          <w:highlight w:val="none"/>
        </w:rPr>
      </w:pPr>
    </w:p>
    <w:p w14:paraId="46461287">
      <w:pPr>
        <w:rPr>
          <w:rFonts w:hint="eastAsia"/>
          <w:sz w:val="24"/>
          <w:highlight w:val="none"/>
        </w:rPr>
      </w:pPr>
    </w:p>
    <w:p w14:paraId="31513BE3">
      <w:pPr>
        <w:rPr>
          <w:rFonts w:hint="eastAsia"/>
          <w:sz w:val="24"/>
          <w:highlight w:val="none"/>
        </w:rPr>
      </w:pPr>
    </w:p>
    <w:p w14:paraId="6BB94DE2">
      <w:pPr>
        <w:rPr>
          <w:rFonts w:hint="eastAsia"/>
          <w:sz w:val="24"/>
          <w:highlight w:val="none"/>
        </w:rPr>
      </w:pPr>
    </w:p>
    <w:p w14:paraId="1861E128">
      <w:pPr>
        <w:rPr>
          <w:rFonts w:hint="eastAsia"/>
          <w:sz w:val="24"/>
          <w:highlight w:val="none"/>
        </w:rPr>
      </w:pPr>
    </w:p>
    <w:p w14:paraId="4AC7BB44">
      <w:pPr>
        <w:rPr>
          <w:rFonts w:hint="eastAsia"/>
          <w:sz w:val="24"/>
          <w:highlight w:val="none"/>
        </w:rPr>
      </w:pPr>
    </w:p>
    <w:p w14:paraId="1F93053C">
      <w:pPr>
        <w:rPr>
          <w:rFonts w:hint="eastAsia"/>
          <w:sz w:val="24"/>
          <w:highlight w:val="none"/>
        </w:rPr>
      </w:pPr>
    </w:p>
    <w:p w14:paraId="2282150E">
      <w:pPr>
        <w:rPr>
          <w:rFonts w:hint="eastAsia"/>
          <w:sz w:val="24"/>
          <w:highlight w:val="none"/>
        </w:rPr>
      </w:pPr>
    </w:p>
    <w:p w14:paraId="29A92971">
      <w:pPr>
        <w:rPr>
          <w:rFonts w:hint="eastAsia"/>
          <w:sz w:val="24"/>
          <w:highlight w:val="none"/>
        </w:rPr>
      </w:pPr>
    </w:p>
    <w:p w14:paraId="61E7E9ED">
      <w:pPr>
        <w:rPr>
          <w:rFonts w:hint="eastAsia"/>
          <w:sz w:val="24"/>
          <w:highlight w:val="none"/>
        </w:rPr>
      </w:pPr>
    </w:p>
    <w:p w14:paraId="519840BE">
      <w:pPr>
        <w:rPr>
          <w:rFonts w:hint="eastAsia"/>
          <w:sz w:val="24"/>
          <w:highlight w:val="none"/>
        </w:rPr>
      </w:pPr>
    </w:p>
    <w:p w14:paraId="7DD2CA1A">
      <w:pPr>
        <w:rPr>
          <w:rFonts w:hint="eastAsia"/>
          <w:sz w:val="24"/>
          <w:highlight w:val="none"/>
        </w:rPr>
      </w:pPr>
    </w:p>
    <w:p w14:paraId="15D477B4">
      <w:pPr>
        <w:rPr>
          <w:rFonts w:hint="eastAsia"/>
          <w:sz w:val="24"/>
          <w:highlight w:val="none"/>
        </w:rPr>
      </w:pPr>
    </w:p>
    <w:p w14:paraId="4A3A7B1C">
      <w:pPr>
        <w:rPr>
          <w:rFonts w:hint="eastAsia"/>
          <w:sz w:val="24"/>
          <w:highlight w:val="none"/>
        </w:rPr>
      </w:pPr>
    </w:p>
    <w:p w14:paraId="72BFB3F1">
      <w:pPr>
        <w:rPr>
          <w:rFonts w:hint="eastAsia"/>
          <w:sz w:val="24"/>
          <w:highlight w:val="none"/>
        </w:rPr>
      </w:pPr>
    </w:p>
    <w:p w14:paraId="1CD172F5">
      <w:pPr>
        <w:rPr>
          <w:rFonts w:hint="eastAsia"/>
          <w:sz w:val="24"/>
          <w:highlight w:val="none"/>
        </w:rPr>
      </w:pPr>
    </w:p>
    <w:p w14:paraId="639496BE">
      <w:pPr>
        <w:rPr>
          <w:rFonts w:hint="eastAsia"/>
          <w:sz w:val="24"/>
          <w:highlight w:val="none"/>
        </w:rPr>
      </w:pPr>
    </w:p>
    <w:p w14:paraId="0959B6FF">
      <w:pPr>
        <w:rPr>
          <w:rFonts w:hint="eastAsia"/>
          <w:sz w:val="24"/>
          <w:highlight w:val="none"/>
        </w:rPr>
      </w:pPr>
    </w:p>
    <w:p w14:paraId="393B0C09">
      <w:pPr>
        <w:spacing w:line="360" w:lineRule="auto"/>
        <w:jc w:val="center"/>
        <w:rPr>
          <w:rFonts w:hint="default" w:eastAsia="宋体"/>
          <w:b/>
          <w:bCs/>
          <w:sz w:val="24"/>
          <w:szCs w:val="32"/>
          <w:highlight w:val="none"/>
          <w:lang w:val="en-US" w:eastAsia="zh-CN"/>
        </w:rPr>
      </w:pPr>
      <w:r>
        <w:rPr>
          <w:rFonts w:hint="eastAsia"/>
          <w:b/>
          <w:sz w:val="30"/>
          <w:szCs w:val="30"/>
          <w:highlight w:val="none"/>
          <w:lang w:val="en-US" w:eastAsia="zh-CN"/>
        </w:rPr>
        <w:t>建设</w:t>
      </w:r>
      <w:r>
        <w:rPr>
          <w:rFonts w:hint="eastAsia"/>
          <w:b/>
          <w:sz w:val="30"/>
          <w:szCs w:val="30"/>
          <w:highlight w:val="none"/>
        </w:rPr>
        <w:t>单位：</w:t>
      </w:r>
      <w:r>
        <w:rPr>
          <w:rFonts w:hint="eastAsia"/>
          <w:b/>
          <w:sz w:val="30"/>
          <w:szCs w:val="30"/>
          <w:highlight w:val="none"/>
          <w:lang w:val="en-US" w:eastAsia="zh-CN"/>
        </w:rPr>
        <w:t>内蒙古伊泰化工有限责任公司</w:t>
      </w:r>
    </w:p>
    <w:p w14:paraId="7B1DEC1F">
      <w:pPr>
        <w:spacing w:line="360" w:lineRule="auto"/>
        <w:jc w:val="center"/>
        <w:rPr>
          <w:b/>
          <w:sz w:val="30"/>
          <w:szCs w:val="30"/>
          <w:highlight w:val="none"/>
        </w:rPr>
      </w:pPr>
      <w:r>
        <w:rPr>
          <w:rFonts w:hint="eastAsia"/>
          <w:b/>
          <w:sz w:val="30"/>
          <w:szCs w:val="30"/>
          <w:highlight w:val="none"/>
        </w:rPr>
        <w:t>编制单位：内蒙古尚清环保科技有限公司</w:t>
      </w:r>
    </w:p>
    <w:p w14:paraId="3A3B839A">
      <w:pPr>
        <w:spacing w:line="360" w:lineRule="auto"/>
        <w:jc w:val="center"/>
        <w:rPr>
          <w:rFonts w:hint="eastAsia"/>
          <w:b/>
          <w:sz w:val="30"/>
          <w:szCs w:val="30"/>
          <w:highlight w:val="none"/>
        </w:rPr>
        <w:sectPr>
          <w:pgSz w:w="11906" w:h="16838"/>
          <w:pgMar w:top="1701" w:right="1701" w:bottom="1701" w:left="1701" w:header="851" w:footer="992" w:gutter="0"/>
          <w:pgNumType w:fmt="decimal"/>
          <w:cols w:space="720" w:num="1"/>
          <w:docGrid w:type="lines" w:linePitch="312" w:charSpace="0"/>
        </w:sectPr>
      </w:pPr>
      <w:r>
        <w:rPr>
          <w:rFonts w:hint="eastAsia"/>
          <w:b/>
          <w:sz w:val="30"/>
          <w:szCs w:val="30"/>
          <w:highlight w:val="none"/>
        </w:rPr>
        <w:t>编制日期：</w:t>
      </w:r>
      <w:r>
        <w:rPr>
          <w:b/>
          <w:sz w:val="30"/>
          <w:szCs w:val="30"/>
          <w:highlight w:val="none"/>
        </w:rPr>
        <w:t>202</w:t>
      </w:r>
      <w:r>
        <w:rPr>
          <w:rFonts w:hint="eastAsia"/>
          <w:b/>
          <w:sz w:val="30"/>
          <w:szCs w:val="30"/>
          <w:highlight w:val="none"/>
          <w:lang w:val="en-US" w:eastAsia="zh-CN"/>
        </w:rPr>
        <w:t>5</w:t>
      </w:r>
      <w:r>
        <w:rPr>
          <w:rFonts w:hint="eastAsia"/>
          <w:b/>
          <w:sz w:val="30"/>
          <w:szCs w:val="30"/>
          <w:highlight w:val="none"/>
        </w:rPr>
        <w:t>年</w:t>
      </w:r>
      <w:r>
        <w:rPr>
          <w:rFonts w:hint="eastAsia"/>
          <w:b/>
          <w:sz w:val="30"/>
          <w:szCs w:val="30"/>
          <w:highlight w:val="none"/>
          <w:lang w:val="en-US" w:eastAsia="zh-CN"/>
        </w:rPr>
        <w:t>12</w:t>
      </w:r>
      <w:r>
        <w:rPr>
          <w:rFonts w:hint="eastAsia"/>
          <w:b/>
          <w:sz w:val="30"/>
          <w:szCs w:val="30"/>
          <w:highlight w:val="none"/>
        </w:rPr>
        <w:t>月</w:t>
      </w:r>
    </w:p>
    <w:p w14:paraId="1C71F0EF">
      <w:pPr>
        <w:keepNext/>
        <w:keepLines/>
        <w:spacing w:before="240" w:beforeLines="100" w:line="360" w:lineRule="auto"/>
        <w:outlineLvl w:val="0"/>
        <w:rPr>
          <w:rFonts w:hint="eastAsia" w:ascii="Times New Roman" w:hAnsi="Times New Roman" w:eastAsia="宋体" w:cs="Times New Roman"/>
          <w:b/>
          <w:bCs/>
          <w:kern w:val="44"/>
          <w:sz w:val="32"/>
          <w:szCs w:val="32"/>
          <w:highlight w:val="none"/>
          <w:lang w:val="en-US" w:eastAsia="zh-CN"/>
        </w:rPr>
      </w:pPr>
      <w:bookmarkStart w:id="47" w:name="_Toc27773"/>
      <w:bookmarkStart w:id="48" w:name="_Toc14236_WPSOffice_Level1"/>
      <w:r>
        <w:rPr>
          <w:rFonts w:hint="eastAsia" w:ascii="Times New Roman" w:hAnsi="Times New Roman" w:eastAsia="宋体" w:cs="Times New Roman"/>
          <w:b/>
          <w:bCs/>
          <w:kern w:val="44"/>
          <w:sz w:val="32"/>
          <w:szCs w:val="32"/>
          <w:highlight w:val="none"/>
          <w:lang w:val="en-US" w:eastAsia="zh-CN"/>
        </w:rPr>
        <w:t>1</w:t>
      </w:r>
      <w:r>
        <w:rPr>
          <w:rFonts w:hint="eastAsia" w:cs="Times New Roman"/>
          <w:b/>
          <w:bCs/>
          <w:kern w:val="44"/>
          <w:sz w:val="32"/>
          <w:szCs w:val="32"/>
          <w:highlight w:val="none"/>
          <w:lang w:val="en-US" w:eastAsia="zh-CN"/>
        </w:rPr>
        <w:t>.</w:t>
      </w:r>
      <w:r>
        <w:rPr>
          <w:rFonts w:hint="eastAsia" w:ascii="Times New Roman" w:hAnsi="Times New Roman" w:eastAsia="宋体" w:cs="Times New Roman"/>
          <w:b/>
          <w:bCs/>
          <w:kern w:val="44"/>
          <w:sz w:val="32"/>
          <w:szCs w:val="32"/>
          <w:highlight w:val="none"/>
          <w:lang w:val="en-US" w:eastAsia="zh-CN"/>
        </w:rPr>
        <w:t>评价目的及重点</w:t>
      </w:r>
      <w:bookmarkEnd w:id="47"/>
      <w:bookmarkStart w:id="49" w:name="_Toc15334"/>
    </w:p>
    <w:p w14:paraId="03A5ED55">
      <w:pPr>
        <w:keepNext/>
        <w:keepLines/>
        <w:spacing w:line="360" w:lineRule="auto"/>
        <w:outlineLvl w:val="1"/>
        <w:rPr>
          <w:rFonts w:hint="eastAsia" w:ascii="Times New Roman" w:hAnsi="Times New Roman" w:eastAsia="宋体" w:cs="Times New Roman"/>
          <w:b/>
          <w:bCs/>
          <w:sz w:val="28"/>
          <w:szCs w:val="28"/>
          <w:highlight w:val="none"/>
        </w:rPr>
      </w:pPr>
      <w:r>
        <w:rPr>
          <w:rFonts w:hint="eastAsia" w:ascii="Times New Roman" w:hAnsi="Times New Roman" w:eastAsia="宋体" w:cs="Times New Roman"/>
          <w:b/>
          <w:bCs/>
          <w:sz w:val="28"/>
          <w:szCs w:val="28"/>
          <w:highlight w:val="none"/>
          <w:lang w:val="en-US" w:eastAsia="zh-CN"/>
        </w:rPr>
        <w:t>1.1评价目的</w:t>
      </w:r>
      <w:bookmarkEnd w:id="49"/>
    </w:p>
    <w:p w14:paraId="0C3F2B15">
      <w:pPr>
        <w:adjustRightInd w:val="0"/>
        <w:snapToGrid w:val="0"/>
        <w:spacing w:line="360" w:lineRule="auto"/>
        <w:ind w:firstLine="480" w:firstLineChars="200"/>
        <w:rPr>
          <w:rFonts w:hint="eastAsia" w:ascii="Times New Roman" w:hAnsi="Times New Roman" w:eastAsia="宋体" w:cs="Times New Roman"/>
          <w:sz w:val="24"/>
          <w:highlight w:val="none"/>
          <w:lang w:val="zh-CN"/>
        </w:rPr>
      </w:pPr>
      <w:r>
        <w:rPr>
          <w:rFonts w:hint="eastAsia" w:ascii="Times New Roman" w:hAnsi="Times New Roman" w:eastAsia="宋体" w:cs="Times New Roman"/>
          <w:sz w:val="24"/>
          <w:highlight w:val="none"/>
          <w:lang w:val="zh-CN"/>
        </w:rPr>
        <w:t>环境风险是指突发性事故造成的重大</w:t>
      </w:r>
      <w:r>
        <w:rPr>
          <w:rFonts w:hint="eastAsia" w:cs="Times New Roman"/>
          <w:sz w:val="24"/>
          <w:highlight w:val="none"/>
          <w:lang w:val="zh-CN"/>
        </w:rPr>
        <w:t>环境污染</w:t>
      </w:r>
      <w:r>
        <w:rPr>
          <w:rFonts w:hint="eastAsia" w:ascii="Times New Roman" w:hAnsi="Times New Roman" w:eastAsia="宋体" w:cs="Times New Roman"/>
          <w:sz w:val="24"/>
          <w:highlight w:val="none"/>
          <w:lang w:val="zh-CN"/>
        </w:rPr>
        <w:t>事件，其特点是危害大、影响范围广、发生概率具有很大的不确定性。环境风险评价的目的是分析和预测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w:t>
      </w:r>
      <w:r>
        <w:rPr>
          <w:rFonts w:hint="eastAsia" w:cs="Times New Roman"/>
          <w:sz w:val="24"/>
          <w:highlight w:val="none"/>
          <w:lang w:val="zh-CN"/>
        </w:rPr>
        <w:t>率</w:t>
      </w:r>
      <w:r>
        <w:rPr>
          <w:rFonts w:hint="eastAsia" w:ascii="Times New Roman" w:hAnsi="Times New Roman" w:eastAsia="宋体" w:cs="Times New Roman"/>
          <w:sz w:val="24"/>
          <w:highlight w:val="none"/>
          <w:lang w:val="zh-CN"/>
        </w:rPr>
        <w:t>和环境影响</w:t>
      </w:r>
      <w:r>
        <w:rPr>
          <w:rFonts w:hint="eastAsia" w:cs="Times New Roman"/>
          <w:sz w:val="24"/>
          <w:highlight w:val="none"/>
          <w:lang w:val="zh-CN"/>
        </w:rPr>
        <w:t>均</w:t>
      </w:r>
      <w:r>
        <w:rPr>
          <w:rFonts w:hint="eastAsia" w:ascii="Times New Roman" w:hAnsi="Times New Roman" w:eastAsia="宋体" w:cs="Times New Roman"/>
          <w:sz w:val="24"/>
          <w:highlight w:val="none"/>
          <w:lang w:val="zh-CN"/>
        </w:rPr>
        <w:t>达到可接受水平。</w:t>
      </w:r>
    </w:p>
    <w:p w14:paraId="0BC6FBDE">
      <w:pPr>
        <w:adjustRightInd w:val="0"/>
        <w:snapToGrid w:val="0"/>
        <w:spacing w:line="360" w:lineRule="auto"/>
        <w:ind w:firstLine="480" w:firstLineChars="200"/>
        <w:rPr>
          <w:rFonts w:hint="eastAsia" w:ascii="Times New Roman" w:hAnsi="Times New Roman" w:eastAsia="宋体" w:cs="Times New Roman"/>
          <w:sz w:val="24"/>
          <w:highlight w:val="none"/>
          <w:lang w:val="zh-CN" w:eastAsia="zh-CN"/>
        </w:rPr>
      </w:pPr>
      <w:r>
        <w:rPr>
          <w:rFonts w:hint="eastAsia" w:ascii="Times New Roman" w:hAnsi="Times New Roman" w:eastAsia="宋体" w:cs="Times New Roman"/>
          <w:sz w:val="24"/>
          <w:highlight w:val="none"/>
          <w:lang w:val="zh-CN"/>
        </w:rPr>
        <w:t>本次评价以《建设项目环境风险评价技术导则》（HJ169-2018）为指导，结合《关于进一步加强环境影响评价管理防范环境风险的通知》（环发〔2012〕77号），通过对拟建项目进行风险识别和分析，并进行风险预测和评价，提出减缓风险的风险防范措施和应急要求，为环境管理提供资料和依据，达到降低危险、减少危害的目的</w:t>
      </w:r>
      <w:r>
        <w:rPr>
          <w:rFonts w:hint="eastAsia" w:ascii="Times New Roman" w:hAnsi="Times New Roman" w:eastAsia="宋体" w:cs="Times New Roman"/>
          <w:sz w:val="24"/>
          <w:highlight w:val="none"/>
          <w:lang w:val="zh-CN" w:eastAsia="zh-CN"/>
        </w:rPr>
        <w:t>。</w:t>
      </w:r>
    </w:p>
    <w:p w14:paraId="7FDFB283">
      <w:pPr>
        <w:keepNext/>
        <w:keepLines/>
        <w:spacing w:line="360" w:lineRule="auto"/>
        <w:outlineLvl w:val="1"/>
        <w:rPr>
          <w:rFonts w:hint="eastAsia" w:ascii="Times New Roman" w:hAnsi="Times New Roman" w:eastAsia="宋体" w:cs="Times New Roman"/>
          <w:b/>
          <w:bCs/>
          <w:sz w:val="28"/>
          <w:szCs w:val="28"/>
          <w:highlight w:val="none"/>
          <w:lang w:val="en-US" w:eastAsia="zh-CN"/>
        </w:rPr>
      </w:pPr>
      <w:bookmarkStart w:id="50" w:name="_Toc29588"/>
      <w:r>
        <w:rPr>
          <w:rFonts w:hint="eastAsia" w:ascii="Times New Roman" w:hAnsi="Times New Roman" w:eastAsia="宋体" w:cs="Times New Roman"/>
          <w:b/>
          <w:bCs/>
          <w:sz w:val="28"/>
          <w:szCs w:val="28"/>
          <w:highlight w:val="none"/>
          <w:lang w:val="en-US" w:eastAsia="zh-CN"/>
        </w:rPr>
        <w:t>1.2评价重点</w:t>
      </w:r>
      <w:bookmarkEnd w:id="50"/>
    </w:p>
    <w:p w14:paraId="581A6AF6">
      <w:pPr>
        <w:adjustRightInd w:val="0"/>
        <w:snapToGrid w:val="0"/>
        <w:spacing w:line="360" w:lineRule="auto"/>
        <w:ind w:firstLine="480" w:firstLineChars="200"/>
        <w:rPr>
          <w:rFonts w:hint="eastAsia"/>
          <w:sz w:val="24"/>
          <w:highlight w:val="none"/>
          <w:lang w:val="zh-CN"/>
        </w:rPr>
      </w:pPr>
      <w:r>
        <w:rPr>
          <w:rFonts w:hint="eastAsia"/>
          <w:sz w:val="24"/>
          <w:highlight w:val="none"/>
          <w:lang w:val="zh-CN"/>
        </w:rPr>
        <w:t>分析、预测和评估该项目发生事故时对项目周围区域可能造成的影响程度和范围，并提出预防事故发生的措施。</w:t>
      </w:r>
    </w:p>
    <w:p w14:paraId="2CE9AE6D">
      <w:pPr>
        <w:keepNext/>
        <w:keepLines/>
        <w:spacing w:line="360" w:lineRule="auto"/>
        <w:outlineLvl w:val="1"/>
        <w:rPr>
          <w:rFonts w:hint="eastAsia" w:ascii="Times New Roman" w:hAnsi="Times New Roman" w:eastAsia="宋体" w:cs="Times New Roman"/>
          <w:b/>
          <w:bCs/>
          <w:sz w:val="28"/>
          <w:szCs w:val="28"/>
          <w:highlight w:val="none"/>
          <w:lang w:val="en-US" w:eastAsia="zh-CN"/>
        </w:rPr>
      </w:pPr>
      <w:bookmarkStart w:id="51" w:name="_Toc21437"/>
      <w:r>
        <w:rPr>
          <w:rFonts w:hint="eastAsia" w:ascii="Times New Roman" w:hAnsi="Times New Roman" w:eastAsia="宋体" w:cs="Times New Roman"/>
          <w:b/>
          <w:bCs/>
          <w:sz w:val="28"/>
          <w:szCs w:val="28"/>
          <w:highlight w:val="none"/>
          <w:lang w:val="en-US" w:eastAsia="zh-CN"/>
        </w:rPr>
        <w:t>1.3评价内容</w:t>
      </w:r>
      <w:bookmarkEnd w:id="51"/>
    </w:p>
    <w:p w14:paraId="326E69A3">
      <w:pPr>
        <w:adjustRightInd w:val="0"/>
        <w:snapToGrid w:val="0"/>
        <w:spacing w:line="360" w:lineRule="auto"/>
        <w:ind w:firstLine="480" w:firstLineChars="200"/>
        <w:rPr>
          <w:rFonts w:hint="eastAsia"/>
          <w:sz w:val="24"/>
          <w:highlight w:val="none"/>
          <w:lang w:val="zh-CN"/>
        </w:rPr>
      </w:pPr>
      <w:r>
        <w:rPr>
          <w:rFonts w:hint="eastAsia"/>
          <w:sz w:val="24"/>
          <w:highlight w:val="none"/>
          <w:lang w:val="zh-CN"/>
        </w:rPr>
        <w:t>本项目位于内蒙古鄂尔多斯市杭锦旗经济开发区独贵塔拉产业园内蒙古伊泰化工有限责任公司，根据项目实际工程情况及当地自然地理环境条件，确定本项目风险评价的重点为风险物质泄漏、遇明火引发火灾等风险事故情形下，造成地下水、土壤污染、</w:t>
      </w:r>
      <w:r>
        <w:rPr>
          <w:rFonts w:hint="eastAsia"/>
          <w:sz w:val="24"/>
          <w:highlight w:val="none"/>
          <w:lang w:val="en-US" w:eastAsia="zh-CN"/>
        </w:rPr>
        <w:t>大气环境污染</w:t>
      </w:r>
      <w:r>
        <w:rPr>
          <w:rFonts w:hint="eastAsia"/>
          <w:sz w:val="24"/>
          <w:highlight w:val="none"/>
          <w:lang w:val="zh-CN"/>
        </w:rPr>
        <w:t>。</w:t>
      </w:r>
    </w:p>
    <w:p w14:paraId="09CA694B">
      <w:pPr>
        <w:keepNext/>
        <w:keepLines/>
        <w:spacing w:line="360" w:lineRule="auto"/>
        <w:outlineLvl w:val="1"/>
        <w:rPr>
          <w:rFonts w:hint="eastAsia" w:ascii="Times New Roman" w:hAnsi="Times New Roman" w:eastAsia="宋体" w:cs="Times New Roman"/>
          <w:b/>
          <w:bCs/>
          <w:sz w:val="28"/>
          <w:szCs w:val="28"/>
          <w:highlight w:val="none"/>
          <w:lang w:val="en-US" w:eastAsia="zh-CN"/>
        </w:rPr>
      </w:pPr>
      <w:bookmarkStart w:id="52" w:name="_Toc29400"/>
      <w:r>
        <w:rPr>
          <w:rFonts w:hint="eastAsia" w:ascii="Times New Roman" w:hAnsi="Times New Roman" w:eastAsia="宋体" w:cs="Times New Roman"/>
          <w:b/>
          <w:bCs/>
          <w:sz w:val="28"/>
          <w:szCs w:val="28"/>
          <w:highlight w:val="none"/>
          <w:lang w:val="en-US" w:eastAsia="zh-CN"/>
        </w:rPr>
        <w:t>1.4评价工作程序</w:t>
      </w:r>
      <w:bookmarkEnd w:id="52"/>
    </w:p>
    <w:p w14:paraId="06AD3962">
      <w:pPr>
        <w:adjustRightInd w:val="0"/>
        <w:snapToGrid w:val="0"/>
        <w:spacing w:line="360" w:lineRule="auto"/>
        <w:ind w:firstLine="480" w:firstLineChars="200"/>
        <w:rPr>
          <w:rFonts w:hint="eastAsia" w:ascii="Times New Roman" w:hAnsi="Times New Roman" w:eastAsia="宋体"/>
          <w:sz w:val="24"/>
          <w:highlight w:val="none"/>
          <w:lang w:val="zh-CN"/>
        </w:rPr>
      </w:pPr>
      <w:r>
        <w:rPr>
          <w:rFonts w:hint="eastAsia" w:ascii="Times New Roman" w:hAnsi="Times New Roman" w:eastAsia="宋体"/>
          <w:sz w:val="24"/>
          <w:highlight w:val="none"/>
          <w:lang w:val="zh-CN"/>
        </w:rPr>
        <w:t>项目环境风险评价工作程序如下图</w:t>
      </w:r>
      <w:r>
        <w:rPr>
          <w:rFonts w:hint="eastAsia" w:ascii="Times New Roman" w:hAnsi="Times New Roman" w:eastAsia="宋体"/>
          <w:sz w:val="24"/>
          <w:highlight w:val="none"/>
          <w:lang w:val="en-US" w:eastAsia="zh-CN"/>
        </w:rPr>
        <w:t>1.4-1</w:t>
      </w:r>
      <w:r>
        <w:rPr>
          <w:rFonts w:hint="eastAsia" w:ascii="Times New Roman" w:hAnsi="Times New Roman" w:eastAsia="宋体"/>
          <w:sz w:val="24"/>
          <w:highlight w:val="none"/>
          <w:lang w:val="zh-CN"/>
        </w:rPr>
        <w:t>所示：</w:t>
      </w:r>
    </w:p>
    <w:p w14:paraId="101EDF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position w:val="-170"/>
          <w:highlight w:val="none"/>
        </w:rPr>
      </w:pPr>
      <w:r>
        <w:rPr>
          <w:position w:val="-170"/>
          <w:highlight w:val="none"/>
        </w:rPr>
        <w:drawing>
          <wp:inline distT="0" distB="0" distL="0" distR="0">
            <wp:extent cx="5295900" cy="5643245"/>
            <wp:effectExtent l="0" t="0" r="0" b="14605"/>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30"/>
                    <a:stretch>
                      <a:fillRect/>
                    </a:stretch>
                  </pic:blipFill>
                  <pic:spPr>
                    <a:xfrm>
                      <a:off x="0" y="0"/>
                      <a:ext cx="5295900" cy="5643245"/>
                    </a:xfrm>
                    <a:prstGeom prst="rect">
                      <a:avLst/>
                    </a:prstGeom>
                  </pic:spPr>
                </pic:pic>
              </a:graphicData>
            </a:graphic>
          </wp:inline>
        </w:drawing>
      </w:r>
    </w:p>
    <w:p w14:paraId="042ABB18">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Times New Roman" w:hAnsi="Times New Roman" w:eastAsia="宋体" w:cs="Times New Roman"/>
          <w:b/>
          <w:bCs/>
          <w:spacing w:val="-6"/>
          <w:sz w:val="21"/>
          <w:szCs w:val="21"/>
          <w:highlight w:val="none"/>
          <w:lang w:val="en-US" w:eastAsia="zh-CN"/>
        </w:rPr>
      </w:pPr>
      <w:r>
        <w:rPr>
          <w:rFonts w:hint="eastAsia" w:ascii="Times New Roman" w:hAnsi="Times New Roman" w:eastAsia="宋体" w:cs="Times New Roman"/>
          <w:b/>
          <w:bCs/>
          <w:spacing w:val="-6"/>
          <w:sz w:val="21"/>
          <w:szCs w:val="21"/>
          <w:highlight w:val="none"/>
          <w:lang w:val="en-US" w:eastAsia="zh-CN"/>
        </w:rPr>
        <w:t>图1.4-1   评价工作程序图</w:t>
      </w:r>
    </w:p>
    <w:p w14:paraId="60376C85">
      <w:pPr>
        <w:keepNext/>
        <w:keepLines/>
        <w:spacing w:line="360" w:lineRule="auto"/>
        <w:outlineLvl w:val="1"/>
        <w:rPr>
          <w:rFonts w:hint="eastAsia" w:ascii="Times New Roman" w:hAnsi="Times New Roman" w:eastAsia="宋体" w:cs="Times New Roman"/>
          <w:b/>
          <w:bCs/>
          <w:sz w:val="28"/>
          <w:szCs w:val="28"/>
          <w:highlight w:val="none"/>
          <w:lang w:val="en-US" w:eastAsia="zh-CN"/>
        </w:rPr>
      </w:pPr>
      <w:bookmarkStart w:id="53" w:name="_Toc5943"/>
      <w:r>
        <w:rPr>
          <w:rFonts w:hint="eastAsia" w:ascii="Times New Roman" w:hAnsi="Times New Roman" w:eastAsia="宋体" w:cs="Times New Roman"/>
          <w:b/>
          <w:bCs/>
          <w:sz w:val="28"/>
          <w:szCs w:val="28"/>
          <w:highlight w:val="none"/>
          <w:lang w:val="en-US" w:eastAsia="zh-CN"/>
        </w:rPr>
        <w:t>1.5现有工程环境风险回顾性分析</w:t>
      </w:r>
      <w:bookmarkEnd w:id="53"/>
    </w:p>
    <w:p w14:paraId="696948D5">
      <w:pPr>
        <w:spacing w:line="360" w:lineRule="auto"/>
        <w:ind w:firstLine="480" w:firstLineChars="200"/>
        <w:rPr>
          <w:rFonts w:hint="eastAsia"/>
          <w:sz w:val="24"/>
          <w:highlight w:val="none"/>
          <w:lang w:val="en-US" w:eastAsia="zh-CN"/>
        </w:rPr>
      </w:pPr>
      <w:r>
        <w:rPr>
          <w:rFonts w:hint="eastAsia" w:ascii="Times New Roman" w:hAnsi="Times New Roman" w:eastAsia="宋体"/>
          <w:bCs/>
          <w:sz w:val="24"/>
          <w:highlight w:val="none"/>
        </w:rPr>
        <w:t>根据现场调查，现有厂区采取了完善的风险防范措施，并根据现有厂区实际生产、使用危险化学品的品种及生产装置和贮罐区的分布情况，将各种可能出现的易燃</w:t>
      </w:r>
      <w:r>
        <w:rPr>
          <w:rFonts w:hint="eastAsia"/>
          <w:bCs/>
          <w:sz w:val="24"/>
          <w:highlight w:val="none"/>
          <w:lang w:eastAsia="zh-CN"/>
        </w:rPr>
        <w:t>、</w:t>
      </w:r>
      <w:r>
        <w:rPr>
          <w:rFonts w:hint="eastAsia" w:ascii="Times New Roman" w:hAnsi="Times New Roman" w:eastAsia="宋体"/>
          <w:bCs/>
          <w:sz w:val="24"/>
          <w:highlight w:val="none"/>
        </w:rPr>
        <w:t>易爆、易泄漏、易中毒等情况编制了现场处置方案</w:t>
      </w:r>
      <w:bookmarkStart w:id="54" w:name="_Toc9146"/>
      <w:r>
        <w:rPr>
          <w:rFonts w:hint="eastAsia" w:ascii="Times New Roman" w:hAnsi="Times New Roman" w:eastAsia="宋体"/>
          <w:bCs/>
          <w:sz w:val="24"/>
          <w:highlight w:val="none"/>
          <w:lang w:eastAsia="zh-CN"/>
        </w:rPr>
        <w:t>。</w:t>
      </w:r>
      <w:r>
        <w:rPr>
          <w:rFonts w:hint="eastAsia"/>
          <w:sz w:val="24"/>
          <w:highlight w:val="none"/>
          <w:lang w:val="en-US" w:eastAsia="zh-CN"/>
        </w:rPr>
        <w:t>内蒙古伊泰化工有限责任公司已编制突发环境事件应急预案，并且在鄂尔多斯市生态环境局杭锦旗分局进行备案，备案编号为150625-2024-18-L。</w:t>
      </w:r>
    </w:p>
    <w:bookmarkEnd w:id="54"/>
    <w:p w14:paraId="15C07D67">
      <w:pPr>
        <w:keepNext/>
        <w:keepLines/>
        <w:spacing w:line="360" w:lineRule="auto"/>
        <w:outlineLvl w:val="1"/>
        <w:rPr>
          <w:rFonts w:hint="eastAsia" w:ascii="Times New Roman" w:hAnsi="Times New Roman" w:eastAsia="宋体" w:cs="Times New Roman"/>
          <w:b/>
          <w:bCs/>
          <w:sz w:val="28"/>
          <w:szCs w:val="28"/>
          <w:highlight w:val="none"/>
          <w:lang w:val="en-US" w:eastAsia="zh-CN"/>
        </w:rPr>
      </w:pPr>
      <w:bookmarkStart w:id="55" w:name="_Toc21824"/>
      <w:r>
        <w:rPr>
          <w:rFonts w:hint="eastAsia" w:ascii="Times New Roman" w:hAnsi="Times New Roman" w:eastAsia="宋体" w:cs="Times New Roman"/>
          <w:b/>
          <w:bCs/>
          <w:sz w:val="28"/>
          <w:szCs w:val="28"/>
          <w:highlight w:val="none"/>
          <w:lang w:val="en-US" w:eastAsia="zh-CN"/>
        </w:rPr>
        <w:t>1.6现有工程环境风险防范措施</w:t>
      </w:r>
      <w:bookmarkEnd w:id="55"/>
    </w:p>
    <w:p w14:paraId="36FCEA34">
      <w:pPr>
        <w:pStyle w:val="43"/>
        <w:numPr>
          <w:ilvl w:val="0"/>
          <w:numId w:val="0"/>
        </w:numPr>
        <w:rPr>
          <w:rFonts w:hint="default" w:ascii="Times New Roman" w:hAnsi="Times New Roman" w:eastAsia="宋体" w:cs="Times New Roman"/>
          <w:b/>
          <w:bCs/>
          <w:sz w:val="24"/>
          <w:szCs w:val="24"/>
          <w:highlight w:val="none"/>
          <w:lang w:val="en-US" w:eastAsia="zh-CN"/>
        </w:rPr>
      </w:pPr>
      <w:bookmarkStart w:id="56" w:name="_Toc12207"/>
      <w:r>
        <w:rPr>
          <w:rFonts w:hint="eastAsia" w:ascii="Times New Roman" w:hAnsi="Times New Roman" w:eastAsia="宋体" w:cs="Times New Roman"/>
          <w:b/>
          <w:bCs/>
          <w:sz w:val="24"/>
          <w:szCs w:val="24"/>
          <w:highlight w:val="none"/>
          <w:lang w:val="en-US" w:eastAsia="zh-CN"/>
        </w:rPr>
        <w:t>1.6.1应急物资准备</w:t>
      </w:r>
      <w:bookmarkEnd w:id="56"/>
    </w:p>
    <w:p w14:paraId="3B8EA5DA">
      <w:pPr>
        <w:spacing w:line="360" w:lineRule="auto"/>
        <w:ind w:firstLine="480" w:firstLineChars="200"/>
        <w:rPr>
          <w:rFonts w:hint="eastAsia" w:ascii="Times New Roman" w:hAnsi="Times New Roman" w:eastAsia="宋体" w:cs="Times New Roman"/>
          <w:bCs/>
          <w:sz w:val="24"/>
          <w:highlight w:val="none"/>
        </w:rPr>
      </w:pPr>
      <w:r>
        <w:rPr>
          <w:rFonts w:hint="eastAsia" w:ascii="Times New Roman" w:hAnsi="Times New Roman" w:eastAsia="宋体" w:cs="Times New Roman"/>
          <w:bCs/>
          <w:sz w:val="24"/>
          <w:highlight w:val="none"/>
          <w:lang w:val="en-US" w:eastAsia="zh-CN"/>
        </w:rPr>
        <w:t>（</w:t>
      </w:r>
      <w:r>
        <w:rPr>
          <w:rFonts w:hint="default" w:ascii="Times New Roman" w:hAnsi="Times New Roman" w:eastAsia="宋体" w:cs="Times New Roman"/>
          <w:bCs/>
          <w:sz w:val="24"/>
          <w:highlight w:val="none"/>
          <w:lang w:val="en-US" w:eastAsia="zh-CN"/>
        </w:rPr>
        <w:t>1</w:t>
      </w:r>
      <w:r>
        <w:rPr>
          <w:rFonts w:hint="eastAsia" w:ascii="Times New Roman" w:hAnsi="Times New Roman" w:eastAsia="宋体" w:cs="Times New Roman"/>
          <w:bCs/>
          <w:sz w:val="24"/>
          <w:highlight w:val="none"/>
          <w:lang w:val="en-US" w:eastAsia="zh-CN"/>
        </w:rPr>
        <w:t>）全厂的总图布置</w:t>
      </w:r>
      <w:r>
        <w:rPr>
          <w:rFonts w:hint="eastAsia" w:cs="Times New Roman"/>
          <w:bCs/>
          <w:sz w:val="24"/>
          <w:highlight w:val="none"/>
          <w:lang w:val="en-US" w:eastAsia="zh-CN"/>
        </w:rPr>
        <w:t>应</w:t>
      </w:r>
      <w:r>
        <w:rPr>
          <w:rFonts w:hint="eastAsia" w:ascii="Times New Roman" w:hAnsi="Times New Roman" w:eastAsia="宋体" w:cs="Times New Roman"/>
          <w:bCs/>
          <w:sz w:val="24"/>
          <w:highlight w:val="none"/>
          <w:lang w:val="en-US" w:eastAsia="zh-CN"/>
        </w:rPr>
        <w:t>执行</w:t>
      </w:r>
      <w:r>
        <w:rPr>
          <w:rFonts w:hint="eastAsia"/>
          <w:sz w:val="24"/>
          <w:highlight w:val="none"/>
          <w:lang w:val="en-US" w:eastAsia="zh-CN"/>
        </w:rPr>
        <w:t>《建筑设计防火规范》（</w:t>
      </w:r>
      <w:r>
        <w:rPr>
          <w:rFonts w:hint="default"/>
          <w:sz w:val="24"/>
          <w:highlight w:val="none"/>
          <w:lang w:val="en-US" w:eastAsia="zh-CN"/>
        </w:rPr>
        <w:t>GB50016-20</w:t>
      </w:r>
      <w:r>
        <w:rPr>
          <w:rFonts w:hint="eastAsia"/>
          <w:sz w:val="24"/>
          <w:highlight w:val="none"/>
          <w:lang w:val="en-US" w:eastAsia="zh-CN"/>
        </w:rPr>
        <w:t>14）</w:t>
      </w:r>
      <w:r>
        <w:rPr>
          <w:rFonts w:hint="default"/>
          <w:sz w:val="24"/>
          <w:highlight w:val="none"/>
          <w:lang w:val="en-US" w:eastAsia="zh-CN"/>
        </w:rPr>
        <w:t>（2018年版）</w:t>
      </w:r>
      <w:r>
        <w:rPr>
          <w:rFonts w:hint="eastAsia" w:ascii="Times New Roman" w:hAnsi="Times New Roman" w:eastAsia="宋体" w:cs="Times New Roman"/>
          <w:bCs/>
          <w:sz w:val="24"/>
          <w:highlight w:val="none"/>
          <w:lang w:val="en-US" w:eastAsia="zh-CN"/>
        </w:rPr>
        <w:t>和其他安全卫生规范的规定，并充分考虑风向因素</w:t>
      </w: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安全防护距离</w:t>
      </w: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消防和疏散通道以及人货分流等要求，以利于安全生产；</w:t>
      </w:r>
    </w:p>
    <w:p w14:paraId="3B7B0ABC">
      <w:pPr>
        <w:spacing w:line="360" w:lineRule="auto"/>
        <w:ind w:firstLine="480" w:firstLineChars="200"/>
        <w:rPr>
          <w:rFonts w:hint="eastAsia" w:ascii="Times New Roman" w:hAnsi="Times New Roman" w:eastAsia="宋体" w:cs="Times New Roman"/>
          <w:bCs/>
          <w:sz w:val="24"/>
          <w:highlight w:val="none"/>
        </w:rPr>
      </w:pPr>
      <w:r>
        <w:rPr>
          <w:rFonts w:hint="eastAsia" w:ascii="Times New Roman" w:hAnsi="Times New Roman" w:eastAsia="宋体" w:cs="Times New Roman"/>
          <w:bCs/>
          <w:sz w:val="24"/>
          <w:highlight w:val="none"/>
          <w:lang w:val="en-US" w:eastAsia="zh-CN"/>
        </w:rPr>
        <w:t>（2）在生产过程中，对各密封点进行经常检查，防止有毒有害物质的</w:t>
      </w:r>
      <w:r>
        <w:rPr>
          <w:rFonts w:hint="eastAsia" w:cs="Times New Roman"/>
          <w:bCs/>
          <w:sz w:val="24"/>
          <w:highlight w:val="none"/>
          <w:lang w:val="en-US" w:eastAsia="zh-CN"/>
        </w:rPr>
        <w:t>泄漏</w:t>
      </w:r>
      <w:r>
        <w:rPr>
          <w:rFonts w:hint="eastAsia" w:ascii="Times New Roman" w:hAnsi="Times New Roman" w:eastAsia="宋体" w:cs="Times New Roman"/>
          <w:bCs/>
          <w:sz w:val="24"/>
          <w:highlight w:val="none"/>
          <w:lang w:val="en-US" w:eastAsia="zh-CN"/>
        </w:rPr>
        <w:t>；</w:t>
      </w:r>
    </w:p>
    <w:p w14:paraId="475CC4BA">
      <w:pPr>
        <w:spacing w:line="360" w:lineRule="auto"/>
        <w:ind w:firstLine="480" w:firstLineChars="200"/>
        <w:rPr>
          <w:rFonts w:hint="eastAsia" w:ascii="Times New Roman" w:hAnsi="Times New Roman" w:eastAsia="宋体" w:cs="Times New Roman"/>
          <w:bCs/>
          <w:sz w:val="24"/>
          <w:highlight w:val="none"/>
        </w:rPr>
      </w:pPr>
      <w:r>
        <w:rPr>
          <w:rFonts w:hint="eastAsia" w:ascii="Times New Roman" w:hAnsi="Times New Roman" w:eastAsia="宋体" w:cs="Times New Roman"/>
          <w:bCs/>
          <w:sz w:val="24"/>
          <w:highlight w:val="none"/>
          <w:lang w:val="en-US" w:eastAsia="zh-CN"/>
        </w:rPr>
        <w:t>（3）保证污水处理设施运行正常，防止在处理突发环境事件过程中产生的高浓度消防废水、废液直接排入水体；</w:t>
      </w:r>
    </w:p>
    <w:p w14:paraId="492D44BF">
      <w:pPr>
        <w:spacing w:line="360" w:lineRule="auto"/>
        <w:ind w:firstLine="480" w:firstLineChars="200"/>
        <w:rPr>
          <w:rFonts w:hint="eastAsia" w:ascii="Times New Roman" w:hAnsi="Times New Roman" w:eastAsia="宋体" w:cs="Times New Roman"/>
          <w:bCs/>
          <w:sz w:val="24"/>
          <w:highlight w:val="none"/>
        </w:rPr>
      </w:pPr>
      <w:r>
        <w:rPr>
          <w:rFonts w:hint="eastAsia" w:ascii="Times New Roman" w:hAnsi="Times New Roman" w:eastAsia="宋体" w:cs="Times New Roman"/>
          <w:bCs/>
          <w:sz w:val="24"/>
          <w:highlight w:val="none"/>
          <w:lang w:val="en-US" w:eastAsia="zh-CN"/>
        </w:rPr>
        <w:t>（4）对泄漏的有毒有害物质实行集中收集，进入除害系统进行吸收、中</w:t>
      </w:r>
      <w:r>
        <w:rPr>
          <w:rFonts w:hint="eastAsia" w:cs="Times New Roman"/>
          <w:bCs/>
          <w:sz w:val="24"/>
          <w:highlight w:val="none"/>
          <w:lang w:val="en-US" w:eastAsia="zh-CN"/>
        </w:rPr>
        <w:t>和</w:t>
      </w:r>
      <w:r>
        <w:rPr>
          <w:rFonts w:hint="eastAsia" w:ascii="Times New Roman" w:hAnsi="Times New Roman" w:eastAsia="宋体" w:cs="Times New Roman"/>
          <w:bCs/>
          <w:sz w:val="24"/>
          <w:highlight w:val="none"/>
          <w:lang w:val="en-US" w:eastAsia="zh-CN"/>
        </w:rPr>
        <w:t>无害化处理；</w:t>
      </w:r>
    </w:p>
    <w:p w14:paraId="7943EB26">
      <w:pPr>
        <w:spacing w:line="360" w:lineRule="auto"/>
        <w:ind w:firstLine="480" w:firstLineChars="200"/>
        <w:rPr>
          <w:rFonts w:hint="eastAsia" w:ascii="Times New Roman" w:hAnsi="Times New Roman" w:eastAsia="宋体" w:cs="Times New Roman"/>
          <w:bCs/>
          <w:sz w:val="24"/>
          <w:highlight w:val="none"/>
        </w:rPr>
      </w:pPr>
      <w:r>
        <w:rPr>
          <w:rFonts w:hint="eastAsia" w:ascii="Times New Roman" w:hAnsi="Times New Roman" w:eastAsia="宋体" w:cs="Times New Roman"/>
          <w:bCs/>
          <w:sz w:val="24"/>
          <w:highlight w:val="none"/>
          <w:lang w:val="en-US" w:eastAsia="zh-CN"/>
        </w:rPr>
        <w:t>（5）消防事故水池</w:t>
      </w:r>
      <w:r>
        <w:rPr>
          <w:rFonts w:hint="default" w:ascii="Times New Roman" w:hAnsi="Times New Roman" w:eastAsia="宋体" w:cs="Times New Roman"/>
          <w:bCs/>
          <w:sz w:val="24"/>
          <w:highlight w:val="none"/>
          <w:lang w:val="en-US" w:eastAsia="zh-CN"/>
        </w:rPr>
        <w:t>30000m</w:t>
      </w:r>
      <w:r>
        <w:rPr>
          <w:rFonts w:hint="eastAsia" w:ascii="Times New Roman" w:hAnsi="Times New Roman" w:eastAsia="宋体" w:cs="Times New Roman"/>
          <w:bCs/>
          <w:sz w:val="24"/>
          <w:highlight w:val="none"/>
          <w:vertAlign w:val="superscript"/>
          <w:lang w:val="en-US" w:eastAsia="zh-CN"/>
        </w:rPr>
        <w:t>3</w:t>
      </w:r>
      <w:r>
        <w:rPr>
          <w:rFonts w:hint="eastAsia" w:ascii="Times New Roman" w:hAnsi="Times New Roman" w:eastAsia="宋体" w:cs="Times New Roman"/>
          <w:bCs/>
          <w:sz w:val="24"/>
          <w:highlight w:val="none"/>
          <w:lang w:val="en-US" w:eastAsia="zh-CN"/>
        </w:rPr>
        <w:t>，其位置位于伊泰厂区东北角；</w:t>
      </w:r>
    </w:p>
    <w:p w14:paraId="4B435CAD">
      <w:pPr>
        <w:spacing w:line="360" w:lineRule="auto"/>
        <w:ind w:firstLine="480" w:firstLineChars="200"/>
        <w:rPr>
          <w:rFonts w:hint="eastAsia" w:ascii="Times New Roman" w:hAnsi="Times New Roman" w:eastAsia="宋体" w:cs="Times New Roman"/>
          <w:bCs/>
          <w:sz w:val="24"/>
          <w:highlight w:val="none"/>
        </w:rPr>
      </w:pPr>
      <w:r>
        <w:rPr>
          <w:rFonts w:hint="eastAsia" w:ascii="Times New Roman" w:hAnsi="Times New Roman" w:eastAsia="宋体" w:cs="Times New Roman"/>
          <w:bCs/>
          <w:sz w:val="24"/>
          <w:highlight w:val="none"/>
          <w:lang w:val="en-US" w:eastAsia="zh-CN"/>
        </w:rPr>
        <w:t>（6）建立全厂应急呼叫系统，确保紧急情况</w:t>
      </w:r>
      <w:r>
        <w:rPr>
          <w:rFonts w:hint="eastAsia" w:cs="Times New Roman"/>
          <w:bCs/>
          <w:sz w:val="24"/>
          <w:highlight w:val="none"/>
          <w:lang w:val="en-US" w:eastAsia="zh-CN"/>
        </w:rPr>
        <w:t>下</w:t>
      </w:r>
      <w:r>
        <w:rPr>
          <w:rFonts w:hint="eastAsia" w:ascii="Times New Roman" w:hAnsi="Times New Roman" w:eastAsia="宋体" w:cs="Times New Roman"/>
          <w:bCs/>
          <w:sz w:val="24"/>
          <w:highlight w:val="none"/>
          <w:lang w:val="en-US" w:eastAsia="zh-CN"/>
        </w:rPr>
        <w:t>应急信息通报的有效性；</w:t>
      </w:r>
    </w:p>
    <w:p w14:paraId="1EA60254">
      <w:pPr>
        <w:spacing w:line="360" w:lineRule="auto"/>
        <w:ind w:firstLine="480" w:firstLineChars="200"/>
        <w:rPr>
          <w:rFonts w:hint="eastAsia" w:ascii="Times New Roman" w:hAnsi="Times New Roman" w:eastAsia="宋体" w:cs="Times New Roman"/>
          <w:bCs/>
          <w:sz w:val="24"/>
          <w:highlight w:val="none"/>
        </w:rPr>
      </w:pPr>
      <w:r>
        <w:rPr>
          <w:rFonts w:hint="eastAsia" w:ascii="Times New Roman" w:hAnsi="Times New Roman" w:eastAsia="宋体" w:cs="Times New Roman"/>
          <w:bCs/>
          <w:sz w:val="24"/>
          <w:highlight w:val="none"/>
          <w:lang w:val="en-US" w:eastAsia="zh-CN"/>
        </w:rPr>
        <w:t>（7）增加应急处置、快速机动和自身防护装备、物资的储备。</w:t>
      </w:r>
    </w:p>
    <w:p w14:paraId="7C3A65E0">
      <w:pPr>
        <w:pStyle w:val="43"/>
        <w:numPr>
          <w:ilvl w:val="0"/>
          <w:numId w:val="0"/>
        </w:numPr>
        <w:rPr>
          <w:rFonts w:hint="eastAsia" w:ascii="Times New Roman" w:hAnsi="Times New Roman" w:eastAsia="宋体" w:cs="Times New Roman"/>
          <w:b/>
          <w:bCs/>
          <w:sz w:val="24"/>
          <w:szCs w:val="24"/>
          <w:highlight w:val="none"/>
          <w:lang w:val="en-US" w:eastAsia="zh-CN"/>
        </w:rPr>
      </w:pPr>
      <w:bookmarkStart w:id="57" w:name="_Toc14027"/>
      <w:r>
        <w:rPr>
          <w:rFonts w:hint="eastAsia" w:ascii="Times New Roman" w:hAnsi="Times New Roman" w:eastAsia="宋体" w:cs="Times New Roman"/>
          <w:b/>
          <w:bCs/>
          <w:sz w:val="24"/>
          <w:szCs w:val="24"/>
          <w:highlight w:val="none"/>
          <w:lang w:val="en-US" w:eastAsia="zh-CN"/>
        </w:rPr>
        <w:t>1.6.2预防措施准备</w:t>
      </w:r>
      <w:bookmarkEnd w:id="57"/>
    </w:p>
    <w:p w14:paraId="50E7F15D">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w:t>
      </w:r>
      <w:r>
        <w:rPr>
          <w:rFonts w:hint="default" w:ascii="Times New Roman" w:hAnsi="Times New Roman" w:eastAsia="宋体" w:cs="Times New Roman"/>
          <w:bCs/>
          <w:sz w:val="24"/>
          <w:highlight w:val="none"/>
          <w:lang w:val="en-US" w:eastAsia="zh-CN"/>
        </w:rPr>
        <w:t>1</w:t>
      </w:r>
      <w:r>
        <w:rPr>
          <w:rFonts w:hint="eastAsia" w:ascii="Times New Roman" w:hAnsi="Times New Roman" w:eastAsia="宋体" w:cs="Times New Roman"/>
          <w:bCs/>
          <w:sz w:val="24"/>
          <w:highlight w:val="none"/>
          <w:lang w:val="en-US" w:eastAsia="zh-CN"/>
        </w:rPr>
        <w:t>）环境应急相关部门及单位要充分发挥职能作用，在积极发挥现有检验、鉴定、监测力量的基础上，根据工作需要和职责要求，加强危险化学品检验、鉴定和监测设备建设，不断提高应急监测、动态监控的能力，保证在发生突发环境事件时能有效、及时掌握对环境的污染和影响；</w:t>
      </w:r>
    </w:p>
    <w:p w14:paraId="315A33A5">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w:t>
      </w:r>
      <w:r>
        <w:rPr>
          <w:rFonts w:hint="default" w:ascii="Times New Roman" w:hAnsi="Times New Roman" w:eastAsia="宋体" w:cs="Times New Roman"/>
          <w:bCs/>
          <w:sz w:val="24"/>
          <w:highlight w:val="none"/>
          <w:lang w:val="en-US" w:eastAsia="zh-CN"/>
        </w:rPr>
        <w:t>2</w:t>
      </w:r>
      <w:r>
        <w:rPr>
          <w:rFonts w:hint="eastAsia" w:ascii="Times New Roman" w:hAnsi="Times New Roman" w:eastAsia="宋体" w:cs="Times New Roman"/>
          <w:bCs/>
          <w:sz w:val="24"/>
          <w:highlight w:val="none"/>
          <w:lang w:val="en-US" w:eastAsia="zh-CN"/>
        </w:rPr>
        <w:t>）建立健全各专业环境应急队伍环境应急相关主管部门要按各自职责建立突发环境事件应急救援队伍，形成由环境应急主管部门和相关车间、相对固定人员组成的环境应急网络；加强各级环境应急队伍的建设，提高应对突发事件的素质和能力；加强各级环境应急队伍的环境应急知识培训，充分掌握各类突发环境事件的处置措施，保证在突发事件发生后，能迅速参与并完成抢救、排险、消毒、监测等现场处置工作；</w:t>
      </w:r>
    </w:p>
    <w:p w14:paraId="43D391F6">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w:t>
      </w:r>
      <w:r>
        <w:rPr>
          <w:rFonts w:hint="default" w:ascii="Times New Roman" w:hAnsi="Times New Roman" w:eastAsia="宋体" w:cs="Times New Roman"/>
          <w:bCs/>
          <w:sz w:val="24"/>
          <w:highlight w:val="none"/>
          <w:lang w:val="en-US" w:eastAsia="zh-CN"/>
        </w:rPr>
        <w:t>3</w:t>
      </w:r>
      <w:r>
        <w:rPr>
          <w:rFonts w:hint="eastAsia" w:ascii="Times New Roman" w:hAnsi="Times New Roman" w:eastAsia="宋体" w:cs="Times New Roman"/>
          <w:bCs/>
          <w:sz w:val="24"/>
          <w:highlight w:val="none"/>
          <w:lang w:val="en-US" w:eastAsia="zh-CN"/>
        </w:rPr>
        <w:t>）各级环境应急相关成员单位根据突发环境事件应急需要</w:t>
      </w: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提出项目支出预算</w:t>
      </w:r>
      <w:r>
        <w:rPr>
          <w:rFonts w:hint="eastAsia" w:cs="Times New Roman"/>
          <w:bCs/>
          <w:sz w:val="24"/>
          <w:highlight w:val="none"/>
          <w:lang w:val="en-US" w:eastAsia="zh-CN"/>
        </w:rPr>
        <w:t>并</w:t>
      </w:r>
      <w:r>
        <w:rPr>
          <w:rFonts w:hint="eastAsia" w:ascii="Times New Roman" w:hAnsi="Times New Roman" w:eastAsia="宋体" w:cs="Times New Roman"/>
          <w:bCs/>
          <w:sz w:val="24"/>
          <w:highlight w:val="none"/>
          <w:lang w:val="en-US" w:eastAsia="zh-CN"/>
        </w:rPr>
        <w:t>报公司审批后执行；</w:t>
      </w:r>
    </w:p>
    <w:p w14:paraId="1DA68072">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w:t>
      </w:r>
      <w:r>
        <w:rPr>
          <w:rFonts w:hint="default" w:ascii="Times New Roman" w:hAnsi="Times New Roman" w:eastAsia="宋体" w:cs="Times New Roman"/>
          <w:bCs/>
          <w:sz w:val="24"/>
          <w:highlight w:val="none"/>
          <w:lang w:val="en-US" w:eastAsia="zh-CN"/>
        </w:rPr>
        <w:t>4</w:t>
      </w:r>
      <w:r>
        <w:rPr>
          <w:rFonts w:hint="eastAsia" w:ascii="Times New Roman" w:hAnsi="Times New Roman" w:eastAsia="宋体" w:cs="Times New Roman"/>
          <w:bCs/>
          <w:sz w:val="24"/>
          <w:highlight w:val="none"/>
          <w:lang w:val="en-US" w:eastAsia="zh-CN"/>
        </w:rPr>
        <w:t>）建立环境安全预警系统，公示报警电话，组建环境应急专家组，确保事件发生后相关环境专家能迅速到位，为指挥决策提供服务；建立环境应急数据库。</w:t>
      </w:r>
    </w:p>
    <w:p w14:paraId="624A936F">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w:t>
      </w:r>
      <w:r>
        <w:rPr>
          <w:rFonts w:hint="default" w:ascii="Times New Roman" w:hAnsi="Times New Roman" w:eastAsia="宋体" w:cs="Times New Roman"/>
          <w:bCs/>
          <w:sz w:val="24"/>
          <w:highlight w:val="none"/>
          <w:lang w:val="en-US" w:eastAsia="zh-CN"/>
        </w:rPr>
        <w:t>5</w:t>
      </w:r>
      <w:r>
        <w:rPr>
          <w:rFonts w:hint="eastAsia" w:ascii="Times New Roman" w:hAnsi="Times New Roman" w:eastAsia="宋体" w:cs="Times New Roman"/>
          <w:bCs/>
          <w:sz w:val="24"/>
          <w:highlight w:val="none"/>
          <w:lang w:val="en-US" w:eastAsia="zh-CN"/>
        </w:rPr>
        <w:t>）应急指令的下达与接收采取无线通信、有线通信与</w:t>
      </w:r>
      <w:r>
        <w:rPr>
          <w:rFonts w:hint="eastAsia" w:cs="Times New Roman"/>
          <w:bCs/>
          <w:sz w:val="24"/>
          <w:highlight w:val="none"/>
          <w:lang w:val="en-US" w:eastAsia="zh-CN"/>
        </w:rPr>
        <w:t>移动</w:t>
      </w:r>
      <w:r>
        <w:rPr>
          <w:rFonts w:hint="eastAsia" w:ascii="Times New Roman" w:hAnsi="Times New Roman" w:eastAsia="宋体" w:cs="Times New Roman"/>
          <w:bCs/>
          <w:sz w:val="24"/>
          <w:highlight w:val="none"/>
          <w:lang w:val="en-US" w:eastAsia="zh-CN"/>
        </w:rPr>
        <w:t>通信相结合的方式，以无线通信为主，实现应急信息快速传输。在外应急人员的联络以移动电话等无线通信为主，确保应急指令快速下达。监测小组在应急过程中，</w:t>
      </w:r>
      <w:r>
        <w:rPr>
          <w:rFonts w:hint="eastAsia" w:cs="Times New Roman"/>
          <w:bCs/>
          <w:sz w:val="24"/>
          <w:highlight w:val="none"/>
          <w:lang w:val="en-US" w:eastAsia="zh-CN"/>
        </w:rPr>
        <w:t>主要</w:t>
      </w:r>
      <w:r>
        <w:rPr>
          <w:rFonts w:hint="eastAsia" w:ascii="Times New Roman" w:hAnsi="Times New Roman" w:eastAsia="宋体" w:cs="Times New Roman"/>
          <w:bCs/>
          <w:sz w:val="24"/>
          <w:highlight w:val="none"/>
          <w:lang w:val="en-US" w:eastAsia="zh-CN"/>
        </w:rPr>
        <w:t>利用对讲机</w:t>
      </w: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移动电话</w:t>
      </w:r>
      <w:r>
        <w:rPr>
          <w:rFonts w:hint="eastAsia" w:cs="Times New Roman"/>
          <w:bCs/>
          <w:sz w:val="24"/>
          <w:highlight w:val="none"/>
          <w:lang w:val="en-US" w:eastAsia="zh-CN"/>
        </w:rPr>
        <w:t>等</w:t>
      </w:r>
      <w:r>
        <w:rPr>
          <w:rFonts w:hint="eastAsia" w:ascii="Times New Roman" w:hAnsi="Times New Roman" w:eastAsia="宋体" w:cs="Times New Roman"/>
          <w:bCs/>
          <w:sz w:val="24"/>
          <w:highlight w:val="none"/>
          <w:lang w:val="en-US" w:eastAsia="zh-CN"/>
        </w:rPr>
        <w:t>，辅以</w:t>
      </w:r>
      <w:r>
        <w:rPr>
          <w:rFonts w:hint="eastAsia" w:cs="Times New Roman"/>
          <w:bCs/>
          <w:sz w:val="24"/>
          <w:highlight w:val="none"/>
          <w:lang w:val="en-US" w:eastAsia="zh-CN"/>
        </w:rPr>
        <w:t>移动</w:t>
      </w:r>
      <w:r>
        <w:rPr>
          <w:rFonts w:hint="eastAsia" w:ascii="Times New Roman" w:hAnsi="Times New Roman" w:eastAsia="宋体" w:cs="Times New Roman"/>
          <w:bCs/>
          <w:sz w:val="24"/>
          <w:highlight w:val="none"/>
          <w:lang w:val="en-US" w:eastAsia="zh-CN"/>
        </w:rPr>
        <w:t>通信，实现信息双向交流；</w:t>
      </w:r>
    </w:p>
    <w:p w14:paraId="6A5853A2">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w:t>
      </w:r>
      <w:r>
        <w:rPr>
          <w:rFonts w:hint="default" w:ascii="Times New Roman" w:hAnsi="Times New Roman" w:eastAsia="宋体" w:cs="Times New Roman"/>
          <w:bCs/>
          <w:sz w:val="24"/>
          <w:highlight w:val="none"/>
          <w:lang w:val="en-US" w:eastAsia="zh-CN"/>
        </w:rPr>
        <w:t>6</w:t>
      </w:r>
      <w:r>
        <w:rPr>
          <w:rFonts w:hint="eastAsia" w:ascii="Times New Roman" w:hAnsi="Times New Roman" w:eastAsia="宋体" w:cs="Times New Roman"/>
          <w:bCs/>
          <w:sz w:val="24"/>
          <w:highlight w:val="none"/>
          <w:lang w:val="en-US" w:eastAsia="zh-CN"/>
        </w:rPr>
        <w:t>）应急状态下人员及物资运转的确认和调度，由公司应急指挥部授权现场应急指挥部组织实施。平时各应急车辆须保证</w:t>
      </w:r>
      <w:r>
        <w:rPr>
          <w:rFonts w:hint="default" w:ascii="Times New Roman" w:hAnsi="Times New Roman" w:eastAsia="宋体" w:cs="Times New Roman"/>
          <w:bCs/>
          <w:sz w:val="24"/>
          <w:highlight w:val="none"/>
          <w:lang w:val="en-US" w:eastAsia="zh-CN"/>
        </w:rPr>
        <w:t>300</w:t>
      </w:r>
      <w:r>
        <w:rPr>
          <w:rFonts w:hint="eastAsia" w:ascii="Times New Roman" w:hAnsi="Times New Roman" w:eastAsia="宋体" w:cs="Times New Roman"/>
          <w:bCs/>
          <w:sz w:val="24"/>
          <w:highlight w:val="none"/>
          <w:lang w:val="en-US" w:eastAsia="zh-CN"/>
        </w:rPr>
        <w:t>公里以上的行车用油；</w:t>
      </w:r>
    </w:p>
    <w:p w14:paraId="26446C99">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w:t>
      </w:r>
      <w:r>
        <w:rPr>
          <w:rFonts w:hint="default" w:ascii="Times New Roman" w:hAnsi="Times New Roman" w:eastAsia="宋体" w:cs="Times New Roman"/>
          <w:bCs/>
          <w:sz w:val="24"/>
          <w:highlight w:val="none"/>
          <w:lang w:val="en-US" w:eastAsia="zh-CN"/>
        </w:rPr>
        <w:t>7</w:t>
      </w:r>
      <w:r>
        <w:rPr>
          <w:rFonts w:hint="eastAsia" w:ascii="Times New Roman" w:hAnsi="Times New Roman" w:eastAsia="宋体" w:cs="Times New Roman"/>
          <w:bCs/>
          <w:sz w:val="24"/>
          <w:highlight w:val="none"/>
          <w:lang w:val="en-US" w:eastAsia="zh-CN"/>
        </w:rPr>
        <w:t>）应急过程中如出现人员中毒或受伤，可就近组织现场救治或送至公司医务室救治，或及时与相关医疗单位联系，也可送至现场指挥所指定的医院、医疗单位救治，应急状态终止后根据实际情况组织转院或继续治疗；</w:t>
      </w:r>
    </w:p>
    <w:p w14:paraId="16B73480">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w:t>
      </w:r>
      <w:r>
        <w:rPr>
          <w:rFonts w:hint="default" w:ascii="Times New Roman" w:hAnsi="Times New Roman" w:eastAsia="宋体" w:cs="Times New Roman"/>
          <w:bCs/>
          <w:sz w:val="24"/>
          <w:highlight w:val="none"/>
          <w:lang w:val="en-US" w:eastAsia="zh-CN"/>
        </w:rPr>
        <w:t>8</w:t>
      </w:r>
      <w:r>
        <w:rPr>
          <w:rFonts w:hint="eastAsia" w:ascii="Times New Roman" w:hAnsi="Times New Roman" w:eastAsia="宋体" w:cs="Times New Roman"/>
          <w:bCs/>
          <w:sz w:val="24"/>
          <w:highlight w:val="none"/>
          <w:lang w:val="en-US" w:eastAsia="zh-CN"/>
        </w:rPr>
        <w:t>）建立安全管理、危险源监测制度，规范对危险源的管理；</w:t>
      </w:r>
    </w:p>
    <w:p w14:paraId="209FFC4A">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w:t>
      </w:r>
      <w:r>
        <w:rPr>
          <w:rFonts w:hint="default" w:ascii="Times New Roman" w:hAnsi="Times New Roman" w:eastAsia="宋体" w:cs="Times New Roman"/>
          <w:bCs/>
          <w:sz w:val="24"/>
          <w:highlight w:val="none"/>
          <w:lang w:val="en-US" w:eastAsia="zh-CN"/>
        </w:rPr>
        <w:t>9</w:t>
      </w:r>
      <w:r>
        <w:rPr>
          <w:rFonts w:hint="eastAsia" w:ascii="Times New Roman" w:hAnsi="Times New Roman" w:eastAsia="宋体" w:cs="Times New Roman"/>
          <w:bCs/>
          <w:sz w:val="24"/>
          <w:highlight w:val="none"/>
          <w:lang w:val="en-US" w:eastAsia="zh-CN"/>
        </w:rPr>
        <w:t>）关键岗位</w:t>
      </w:r>
      <w:r>
        <w:rPr>
          <w:rFonts w:hint="eastAsia" w:cs="Times New Roman"/>
          <w:bCs/>
          <w:sz w:val="24"/>
          <w:highlight w:val="none"/>
          <w:lang w:val="en-US" w:eastAsia="zh-CN"/>
        </w:rPr>
        <w:t>应</w:t>
      </w:r>
      <w:r>
        <w:rPr>
          <w:rFonts w:hint="eastAsia" w:ascii="Times New Roman" w:hAnsi="Times New Roman" w:eastAsia="宋体" w:cs="Times New Roman"/>
          <w:bCs/>
          <w:sz w:val="24"/>
          <w:highlight w:val="none"/>
          <w:lang w:val="en-US" w:eastAsia="zh-CN"/>
        </w:rPr>
        <w:t>配备一定数量的巡检人员，依据巡检制度</w:t>
      </w:r>
      <w:r>
        <w:rPr>
          <w:rFonts w:hint="eastAsia" w:cs="Times New Roman"/>
          <w:bCs/>
          <w:sz w:val="24"/>
          <w:highlight w:val="none"/>
          <w:lang w:val="en-US" w:eastAsia="zh-CN"/>
        </w:rPr>
        <w:t>进行</w:t>
      </w:r>
      <w:r>
        <w:rPr>
          <w:rFonts w:hint="eastAsia" w:ascii="Times New Roman" w:hAnsi="Times New Roman" w:eastAsia="宋体" w:cs="Times New Roman"/>
          <w:bCs/>
          <w:sz w:val="24"/>
          <w:highlight w:val="none"/>
          <w:lang w:val="en-US" w:eastAsia="zh-CN"/>
        </w:rPr>
        <w:t>巡回检查。</w:t>
      </w:r>
    </w:p>
    <w:p w14:paraId="6D68BFC5">
      <w:pPr>
        <w:pStyle w:val="43"/>
        <w:numPr>
          <w:ilvl w:val="0"/>
          <w:numId w:val="0"/>
        </w:numPr>
        <w:rPr>
          <w:rFonts w:hint="eastAsia" w:ascii="Times New Roman" w:hAnsi="Times New Roman" w:eastAsia="宋体" w:cs="Times New Roman"/>
          <w:b/>
          <w:bCs/>
          <w:sz w:val="24"/>
          <w:szCs w:val="24"/>
          <w:highlight w:val="none"/>
          <w:lang w:val="en-US" w:eastAsia="zh-CN"/>
        </w:rPr>
      </w:pPr>
      <w:bookmarkStart w:id="58" w:name="_Toc17442"/>
      <w:r>
        <w:rPr>
          <w:rFonts w:hint="eastAsia" w:ascii="Times New Roman" w:hAnsi="Times New Roman" w:eastAsia="宋体" w:cs="Times New Roman"/>
          <w:b/>
          <w:bCs/>
          <w:sz w:val="24"/>
          <w:szCs w:val="24"/>
          <w:highlight w:val="none"/>
          <w:lang w:val="en-US" w:eastAsia="zh-CN"/>
        </w:rPr>
        <w:t>1.6.3预警措施</w:t>
      </w:r>
      <w:bookmarkEnd w:id="58"/>
    </w:p>
    <w:p w14:paraId="17909E74">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（1）现场操作员工在发现突发环境事件或紧急情况下，应立即向当班领导人报告。报告内容应包括：</w:t>
      </w:r>
    </w:p>
    <w:p w14:paraId="16DF7159">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①发生事件的具体地点；</w:t>
      </w:r>
    </w:p>
    <w:p w14:paraId="3C2BD59E">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②事件类型（火灾、爆炸、中毒等）；</w:t>
      </w:r>
    </w:p>
    <w:p w14:paraId="209142DF">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③有无人员伤亡；</w:t>
      </w:r>
    </w:p>
    <w:p w14:paraId="6827AB7A">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④事件严重程度。</w:t>
      </w:r>
    </w:p>
    <w:p w14:paraId="4A07A587">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（2）当班领导人接到报警后，立即通知公司环境应急指挥部（办公室），由应急指挥部确定启动相应级别的应急救援预案，并同时上报上级主管部门。</w:t>
      </w:r>
    </w:p>
    <w:p w14:paraId="766006F6">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3）公司应急指挥部通过预警系统立即通知各应急救援组和相关人员，通报公司内发生的事件或紧急情况，动员应急人员立即采取行动；并提醒其他无关人员进行安全避险，及时疏散到安全地点或撤离企业等防护行动。</w:t>
      </w:r>
    </w:p>
    <w:p w14:paraId="579CFDD5">
      <w:pPr>
        <w:spacing w:line="360" w:lineRule="auto"/>
        <w:ind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（4）通信组立即投入工作，保持公司应急指挥部与各应急救援组织的通讯联络畅通</w:t>
      </w:r>
      <w:r>
        <w:rPr>
          <w:rFonts w:hint="eastAsia" w:cs="Times New Roman"/>
          <w:bCs/>
          <w:sz w:val="24"/>
          <w:highlight w:val="none"/>
          <w:lang w:val="en-US" w:eastAsia="zh-CN"/>
        </w:rPr>
        <w:t>；</w:t>
      </w:r>
      <w:r>
        <w:rPr>
          <w:rFonts w:hint="eastAsia" w:ascii="Times New Roman" w:hAnsi="Times New Roman" w:eastAsia="宋体" w:cs="Times New Roman"/>
          <w:bCs/>
          <w:sz w:val="24"/>
          <w:highlight w:val="none"/>
          <w:lang w:val="en-US" w:eastAsia="zh-CN"/>
        </w:rPr>
        <w:t>同时，要保持与外部相关机构的联络畅通。</w:t>
      </w:r>
    </w:p>
    <w:p w14:paraId="32348F62">
      <w:pPr>
        <w:spacing w:line="360" w:lineRule="auto"/>
        <w:ind w:firstLine="480" w:firstLineChars="200"/>
        <w:rPr>
          <w:rFonts w:hint="eastAsia"/>
          <w:sz w:val="24"/>
          <w:highlight w:val="none"/>
        </w:rPr>
      </w:pPr>
      <w:r>
        <w:rPr>
          <w:rFonts w:hint="eastAsia" w:ascii="Times New Roman" w:hAnsi="Times New Roman" w:eastAsia="宋体" w:cs="Times New Roman"/>
          <w:bCs/>
          <w:sz w:val="24"/>
          <w:highlight w:val="none"/>
          <w:lang w:val="en-US" w:eastAsia="zh-CN"/>
        </w:rPr>
        <w:t>（5）公司应急指挥部根据事件性质做好公众防护行动的准备工作，并在紧急情况下为相关政府部门提供建议。</w:t>
      </w:r>
      <w:bookmarkEnd w:id="48"/>
    </w:p>
    <w:p w14:paraId="4D8DBE1C">
      <w:pPr>
        <w:keepNext/>
        <w:keepLines/>
        <w:spacing w:before="240" w:beforeLines="100" w:line="360" w:lineRule="auto"/>
        <w:outlineLvl w:val="0"/>
        <w:rPr>
          <w:rFonts w:hint="eastAsia"/>
          <w:b/>
          <w:bCs/>
          <w:kern w:val="44"/>
          <w:sz w:val="32"/>
          <w:szCs w:val="32"/>
          <w:highlight w:val="none"/>
        </w:rPr>
      </w:pPr>
      <w:bookmarkStart w:id="59" w:name="_Toc3137_WPSOffice_Level1"/>
      <w:r>
        <w:rPr>
          <w:rFonts w:hint="eastAsia"/>
          <w:b/>
          <w:bCs/>
          <w:kern w:val="44"/>
          <w:sz w:val="32"/>
          <w:szCs w:val="32"/>
          <w:highlight w:val="none"/>
          <w:lang w:val="en-US" w:eastAsia="zh-CN"/>
        </w:rPr>
        <w:t>2.本项目环境</w:t>
      </w:r>
      <w:r>
        <w:rPr>
          <w:rFonts w:hint="eastAsia"/>
          <w:b/>
          <w:bCs/>
          <w:kern w:val="44"/>
          <w:sz w:val="32"/>
          <w:szCs w:val="32"/>
          <w:highlight w:val="none"/>
        </w:rPr>
        <w:t>风险调查</w:t>
      </w:r>
    </w:p>
    <w:p w14:paraId="6A919298">
      <w:pPr>
        <w:keepNext/>
        <w:keepLines/>
        <w:spacing w:line="360" w:lineRule="auto"/>
        <w:outlineLvl w:val="1"/>
        <w:rPr>
          <w:rFonts w:hint="eastAsia" w:eastAsia="宋体"/>
          <w:b/>
          <w:bCs/>
          <w:sz w:val="28"/>
          <w:szCs w:val="28"/>
          <w:highlight w:val="none"/>
          <w:lang w:eastAsia="zh-CN"/>
        </w:rPr>
      </w:pPr>
      <w:bookmarkStart w:id="60" w:name="_Toc5881_WPSOffice_Level1"/>
      <w:r>
        <w:rPr>
          <w:rFonts w:hint="eastAsia"/>
          <w:b/>
          <w:bCs/>
          <w:sz w:val="28"/>
          <w:szCs w:val="28"/>
          <w:highlight w:val="none"/>
          <w:lang w:val="en-US" w:eastAsia="zh-CN"/>
        </w:rPr>
        <w:t>2</w:t>
      </w:r>
      <w:r>
        <w:rPr>
          <w:rFonts w:hint="eastAsia"/>
          <w:b/>
          <w:bCs/>
          <w:sz w:val="28"/>
          <w:szCs w:val="28"/>
          <w:highlight w:val="none"/>
        </w:rPr>
        <w:t>.1</w:t>
      </w:r>
      <w:bookmarkEnd w:id="60"/>
      <w:r>
        <w:rPr>
          <w:rFonts w:hint="eastAsia" w:ascii="Times New Roman" w:hAnsi="Times New Roman" w:eastAsia="宋体" w:cs="Times New Roman"/>
          <w:b/>
          <w:bCs/>
          <w:sz w:val="28"/>
          <w:szCs w:val="28"/>
          <w:highlight w:val="none"/>
          <w:lang w:val="en-US" w:eastAsia="zh-CN"/>
        </w:rPr>
        <w:t>风险源</w:t>
      </w:r>
    </w:p>
    <w:p w14:paraId="6CEDBA07">
      <w:pPr>
        <w:spacing w:line="360" w:lineRule="auto"/>
        <w:ind w:firstLine="480" w:firstLineChars="200"/>
        <w:rPr>
          <w:sz w:val="24"/>
          <w:highlight w:val="none"/>
        </w:rPr>
      </w:pPr>
      <w:r>
        <w:rPr>
          <w:rFonts w:hint="eastAsia"/>
          <w:sz w:val="24"/>
          <w:highlight w:val="none"/>
        </w:rPr>
        <w:t>本项目</w:t>
      </w:r>
      <w:r>
        <w:rPr>
          <w:rFonts w:hint="eastAsia" w:ascii="宋体" w:hAnsi="宋体" w:cs="宋体"/>
          <w:sz w:val="24"/>
          <w:highlight w:val="none"/>
          <w:lang w:val="en-US" w:eastAsia="zh-CN"/>
        </w:rPr>
        <w:t>鹏泰-伊泰化工物料输送管线及管廊建设</w:t>
      </w:r>
      <w:r>
        <w:rPr>
          <w:rFonts w:hint="eastAsia"/>
          <w:sz w:val="24"/>
          <w:highlight w:val="none"/>
        </w:rPr>
        <w:t>工程，输送介质为</w:t>
      </w:r>
      <w:r>
        <w:rPr>
          <w:rFonts w:hint="eastAsia"/>
          <w:sz w:val="24"/>
          <w:highlight w:val="none"/>
          <w:lang w:val="en-US" w:eastAsia="zh-CN"/>
        </w:rPr>
        <w:t>合成脱碳尾</w:t>
      </w:r>
      <w:r>
        <w:rPr>
          <w:rFonts w:hint="default"/>
          <w:sz w:val="24"/>
          <w:highlight w:val="none"/>
          <w:lang w:val="en-US" w:eastAsia="zh-CN"/>
        </w:rPr>
        <w:t>气</w:t>
      </w:r>
      <w:r>
        <w:rPr>
          <w:rFonts w:hint="eastAsia"/>
          <w:sz w:val="24"/>
          <w:highlight w:val="none"/>
        </w:rPr>
        <w:t>、</w:t>
      </w:r>
      <w:r>
        <w:rPr>
          <w:rFonts w:hint="eastAsia"/>
          <w:sz w:val="24"/>
          <w:highlight w:val="none"/>
          <w:lang w:val="en-US" w:eastAsia="zh-CN"/>
        </w:rPr>
        <w:t>未变换净化</w:t>
      </w:r>
      <w:r>
        <w:rPr>
          <w:rFonts w:hint="default"/>
          <w:sz w:val="24"/>
          <w:highlight w:val="none"/>
          <w:lang w:val="en-US" w:eastAsia="zh-CN"/>
        </w:rPr>
        <w:t>气</w:t>
      </w:r>
      <w:r>
        <w:rPr>
          <w:rFonts w:hint="eastAsia"/>
          <w:sz w:val="24"/>
          <w:highlight w:val="none"/>
        </w:rPr>
        <w:t>、</w:t>
      </w:r>
      <w:r>
        <w:rPr>
          <w:rFonts w:hint="eastAsia"/>
          <w:sz w:val="24"/>
          <w:highlight w:val="none"/>
          <w:lang w:val="en-US" w:eastAsia="zh-CN"/>
        </w:rPr>
        <w:t>尾气</w:t>
      </w:r>
      <w:r>
        <w:rPr>
          <w:rFonts w:hint="eastAsia"/>
          <w:sz w:val="24"/>
          <w:highlight w:val="none"/>
        </w:rPr>
        <w:t>、</w:t>
      </w:r>
      <w:r>
        <w:rPr>
          <w:rFonts w:hint="eastAsia"/>
          <w:sz w:val="24"/>
          <w:highlight w:val="none"/>
          <w:lang w:val="en-US" w:eastAsia="zh-CN"/>
        </w:rPr>
        <w:t>WRT甲烷气、甲烷、低压含烃火炬气、酸湿火炬、中压蒸汽、凝结水、仪表风、工厂风、氮气、黄河水、回用水、污水1、污水2、清净废水、富甲烷气、冷冻水来、冷冻水回、酸性气、真空泵尾气、CO</w:t>
      </w:r>
      <w:r>
        <w:rPr>
          <w:rFonts w:hint="eastAsia"/>
          <w:sz w:val="24"/>
          <w:highlight w:val="none"/>
          <w:vertAlign w:val="subscript"/>
          <w:lang w:val="en-US" w:eastAsia="zh-CN"/>
        </w:rPr>
        <w:t>2</w:t>
      </w:r>
      <w:r>
        <w:rPr>
          <w:rFonts w:hint="eastAsia"/>
          <w:sz w:val="24"/>
          <w:highlight w:val="none"/>
        </w:rPr>
        <w:t>。《建设项目环境风险评价技术导则》（HJ169-2018）附录B中规定的重点关注的危险物质及临界量表中涉及的物质</w:t>
      </w:r>
      <w:r>
        <w:rPr>
          <w:rFonts w:hint="eastAsia"/>
          <w:sz w:val="24"/>
          <w:highlight w:val="none"/>
          <w:lang w:eastAsia="zh-CN"/>
        </w:rPr>
        <w:t>，</w:t>
      </w:r>
      <w:r>
        <w:rPr>
          <w:rFonts w:hint="eastAsia"/>
          <w:sz w:val="24"/>
          <w:highlight w:val="none"/>
          <w:lang w:val="en-US" w:eastAsia="zh-CN"/>
        </w:rPr>
        <w:t>结合本项目工程分析可知，本项目涉及的风险物质为一氧化碳、甲烷、乙烷、硫化氢、丁醇、乙酸乙酯、甲醇、异丙醇、乙酸、乙醛、氨气等</w:t>
      </w:r>
      <w:r>
        <w:rPr>
          <w:rFonts w:hint="eastAsia"/>
          <w:sz w:val="24"/>
          <w:highlight w:val="none"/>
        </w:rPr>
        <w:t>。</w:t>
      </w:r>
    </w:p>
    <w:p w14:paraId="48C3120A">
      <w:pPr>
        <w:keepNext/>
        <w:keepLines/>
        <w:spacing w:line="360" w:lineRule="auto"/>
        <w:outlineLvl w:val="1"/>
        <w:rPr>
          <w:rFonts w:hint="eastAsia"/>
          <w:b/>
          <w:bCs/>
          <w:sz w:val="28"/>
          <w:szCs w:val="28"/>
          <w:highlight w:val="none"/>
        </w:rPr>
      </w:pPr>
      <w:bookmarkStart w:id="61" w:name="_Toc565_WPSOffice_Level1"/>
      <w:r>
        <w:rPr>
          <w:rFonts w:hint="eastAsia"/>
          <w:b/>
          <w:bCs/>
          <w:sz w:val="28"/>
          <w:szCs w:val="28"/>
          <w:highlight w:val="none"/>
          <w:lang w:val="en-US" w:eastAsia="zh-CN"/>
        </w:rPr>
        <w:t>2.2</w:t>
      </w:r>
      <w:r>
        <w:rPr>
          <w:rFonts w:hint="eastAsia"/>
          <w:b/>
          <w:bCs/>
          <w:sz w:val="28"/>
          <w:szCs w:val="28"/>
          <w:highlight w:val="none"/>
        </w:rPr>
        <w:t>产品工艺特点</w:t>
      </w:r>
      <w:bookmarkEnd w:id="61"/>
    </w:p>
    <w:p w14:paraId="328ADCC9">
      <w:pPr>
        <w:spacing w:line="360" w:lineRule="auto"/>
        <w:ind w:firstLine="480" w:firstLineChars="200"/>
        <w:rPr>
          <w:rFonts w:hint="eastAsia"/>
          <w:sz w:val="24"/>
          <w:highlight w:val="none"/>
        </w:rPr>
      </w:pPr>
      <w:r>
        <w:rPr>
          <w:rFonts w:hint="eastAsia"/>
          <w:sz w:val="24"/>
          <w:highlight w:val="none"/>
        </w:rPr>
        <w:t>本项目不涉及产品的生产加工，仅涉及《建设项目环境风险评价技术导则》</w:t>
      </w:r>
      <w:r>
        <w:rPr>
          <w:rFonts w:hint="eastAsia"/>
          <w:sz w:val="24"/>
          <w:highlight w:val="none"/>
          <w:lang w:eastAsia="zh-CN"/>
        </w:rPr>
        <w:t>（</w:t>
      </w:r>
      <w:r>
        <w:rPr>
          <w:rFonts w:hint="eastAsia"/>
          <w:sz w:val="24"/>
          <w:highlight w:val="none"/>
        </w:rPr>
        <w:t>HJ169-2018</w:t>
      </w:r>
      <w:r>
        <w:rPr>
          <w:rFonts w:hint="eastAsia"/>
          <w:sz w:val="24"/>
          <w:highlight w:val="none"/>
          <w:lang w:eastAsia="zh-CN"/>
        </w:rPr>
        <w:t>）</w:t>
      </w:r>
      <w:r>
        <w:rPr>
          <w:rFonts w:hint="eastAsia"/>
          <w:sz w:val="24"/>
          <w:highlight w:val="none"/>
        </w:rPr>
        <w:t>物质</w:t>
      </w:r>
      <w:r>
        <w:rPr>
          <w:rFonts w:hint="eastAsia"/>
          <w:sz w:val="24"/>
          <w:highlight w:val="none"/>
          <w:lang w:val="en-US" w:eastAsia="zh-CN"/>
        </w:rPr>
        <w:t>运输</w:t>
      </w:r>
      <w:r>
        <w:rPr>
          <w:rFonts w:hint="eastAsia"/>
          <w:sz w:val="24"/>
          <w:highlight w:val="none"/>
        </w:rPr>
        <w:t>管道</w:t>
      </w:r>
      <w:r>
        <w:rPr>
          <w:rFonts w:hint="eastAsia"/>
          <w:sz w:val="24"/>
          <w:highlight w:val="none"/>
          <w:lang w:val="en-US" w:eastAsia="zh-CN"/>
        </w:rPr>
        <w:t>及压缩机的建设</w:t>
      </w:r>
      <w:r>
        <w:rPr>
          <w:rFonts w:hint="eastAsia"/>
          <w:sz w:val="24"/>
          <w:highlight w:val="none"/>
        </w:rPr>
        <w:t>。此外，本项目物料输送管线两端接驳处均纳入两端企业厂内的风险管控系统进行管理，两端接驳处发生的风险事故分别纳入厂内的应急处置。由物料输出端设置紧急切断阀，发生事故情形时由输出端切断物料输出。</w:t>
      </w:r>
    </w:p>
    <w:p w14:paraId="1B02C81C">
      <w:pPr>
        <w:keepNext/>
        <w:keepLines/>
        <w:spacing w:line="360" w:lineRule="auto"/>
        <w:outlineLvl w:val="1"/>
        <w:rPr>
          <w:rFonts w:hint="eastAsia" w:ascii="Times New Roman" w:hAnsi="Times New Roman" w:eastAsia="宋体" w:cs="Times New Roman"/>
          <w:b/>
          <w:bCs/>
          <w:sz w:val="28"/>
          <w:szCs w:val="28"/>
          <w:highlight w:val="none"/>
          <w:lang w:val="en-US" w:eastAsia="zh-CN"/>
        </w:rPr>
      </w:pPr>
      <w:r>
        <w:rPr>
          <w:rFonts w:hint="eastAsia" w:ascii="Times New Roman" w:hAnsi="Times New Roman" w:eastAsia="宋体" w:cs="Times New Roman"/>
          <w:b/>
          <w:bCs/>
          <w:sz w:val="28"/>
          <w:szCs w:val="28"/>
          <w:highlight w:val="none"/>
          <w:lang w:val="en-US" w:eastAsia="zh-CN"/>
        </w:rPr>
        <w:t>2.3风险潜势初判及评价等级判定</w:t>
      </w:r>
      <w:bookmarkEnd w:id="59"/>
    </w:p>
    <w:p w14:paraId="5C31926F">
      <w:pPr>
        <w:spacing w:line="360" w:lineRule="auto"/>
        <w:ind w:firstLine="480" w:firstLineChars="200"/>
        <w:rPr>
          <w:rFonts w:hint="eastAsia"/>
          <w:b/>
          <w:bCs/>
          <w:sz w:val="24"/>
          <w:szCs w:val="24"/>
          <w:highlight w:val="none"/>
        </w:rPr>
      </w:pPr>
      <w:bookmarkStart w:id="62" w:name="_Toc12337_WPSOffice_Level1"/>
      <w:r>
        <w:rPr>
          <w:color w:val="000000"/>
          <w:sz w:val="24"/>
          <w:highlight w:val="none"/>
        </w:rPr>
        <w:t>项目生产、使用、储存过程中涉及的有毒有害、易燃易爆物质，按照《建设项目环境风险评价技术导则》（HJ169-2018）附录B确定危险物质临界量。定量分析危险物质数量与临界量的比值（Q）和所属行业及生产工艺特点（M），按导则附录C对危险物质及工艺系统危险性（P）等级进行判断。</w:t>
      </w:r>
    </w:p>
    <w:p w14:paraId="4D7A27CF">
      <w:pPr>
        <w:pStyle w:val="43"/>
        <w:numPr>
          <w:ilvl w:val="0"/>
          <w:numId w:val="0"/>
        </w:numPr>
        <w:rPr>
          <w:rFonts w:hint="eastAsia"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2.3.1项目涉及危险物质数量与临界量的比值（Q</w:t>
      </w:r>
      <w:bookmarkEnd w:id="62"/>
      <w:r>
        <w:rPr>
          <w:rFonts w:hint="eastAsia" w:ascii="Times New Roman" w:hAnsi="Times New Roman" w:eastAsia="宋体" w:cs="Times New Roman"/>
          <w:b/>
          <w:bCs/>
          <w:sz w:val="24"/>
          <w:szCs w:val="24"/>
          <w:highlight w:val="none"/>
          <w:lang w:val="en-US" w:eastAsia="zh-CN"/>
        </w:rPr>
        <w:t>）</w:t>
      </w:r>
    </w:p>
    <w:p w14:paraId="2541DDCA">
      <w:pPr>
        <w:spacing w:line="360" w:lineRule="auto"/>
        <w:ind w:firstLine="480" w:firstLineChars="200"/>
        <w:rPr>
          <w:rFonts w:hint="eastAsia" w:eastAsia="宋体"/>
          <w:sz w:val="24"/>
          <w:highlight w:val="none"/>
          <w:lang w:eastAsia="zh-CN"/>
        </w:rPr>
      </w:pPr>
      <w:r>
        <w:rPr>
          <w:rFonts w:hint="eastAsia"/>
          <w:sz w:val="24"/>
          <w:highlight w:val="none"/>
        </w:rPr>
        <w:t>计算所涉及的每种危险物质在厂界内的最大存在总量与其在《建设项目环境风险评价技术导则》</w:t>
      </w:r>
      <w:r>
        <w:rPr>
          <w:rFonts w:hint="eastAsia"/>
          <w:sz w:val="24"/>
          <w:highlight w:val="none"/>
          <w:lang w:eastAsia="zh-CN"/>
        </w:rPr>
        <w:t>（</w:t>
      </w:r>
      <w:r>
        <w:rPr>
          <w:rFonts w:hint="eastAsia"/>
          <w:sz w:val="24"/>
          <w:highlight w:val="none"/>
        </w:rPr>
        <w:t>HJ169-2018</w:t>
      </w:r>
      <w:r>
        <w:rPr>
          <w:rFonts w:hint="eastAsia"/>
          <w:sz w:val="24"/>
          <w:highlight w:val="none"/>
          <w:lang w:eastAsia="zh-CN"/>
        </w:rPr>
        <w:t>）</w:t>
      </w:r>
      <w:r>
        <w:rPr>
          <w:rFonts w:hint="eastAsia"/>
          <w:sz w:val="24"/>
          <w:highlight w:val="none"/>
        </w:rPr>
        <w:t>附录B中对应临界量的比值Q。在不同厂区的同一种物质，按其在厂界内的最大存在总量计算。对于长输管道项目，按照两个截断阀室之间管道危险物质最大存在总量计算</w:t>
      </w:r>
      <w:r>
        <w:rPr>
          <w:rFonts w:hint="eastAsia"/>
          <w:sz w:val="24"/>
          <w:highlight w:val="none"/>
          <w:lang w:eastAsia="zh-CN"/>
        </w:rPr>
        <w:t>：</w:t>
      </w:r>
    </w:p>
    <w:p w14:paraId="24C69AE1">
      <w:pPr>
        <w:spacing w:line="360" w:lineRule="auto"/>
        <w:ind w:firstLine="480" w:firstLineChars="200"/>
        <w:rPr>
          <w:rFonts w:hint="eastAsia"/>
          <w:sz w:val="24"/>
          <w:highlight w:val="none"/>
        </w:rPr>
      </w:pPr>
      <w:r>
        <w:rPr>
          <w:rFonts w:hint="eastAsia"/>
          <w:sz w:val="24"/>
          <w:highlight w:val="none"/>
        </w:rPr>
        <w:t>当只涉及一种风险物质时，计算该物质的数量与其临界量的比值，即为Q。当存在多种化学物质时，则按下式计算物质总量与其临界量</w:t>
      </w:r>
      <w:r>
        <w:rPr>
          <w:rFonts w:hint="eastAsia"/>
          <w:sz w:val="24"/>
          <w:highlight w:val="none"/>
          <w:lang w:eastAsia="zh-CN"/>
        </w:rPr>
        <w:t>的</w:t>
      </w:r>
      <w:r>
        <w:rPr>
          <w:rFonts w:hint="eastAsia"/>
          <w:sz w:val="24"/>
          <w:highlight w:val="none"/>
        </w:rPr>
        <w:t>比值</w:t>
      </w:r>
      <w:r>
        <w:rPr>
          <w:rFonts w:hint="eastAsia"/>
          <w:sz w:val="24"/>
          <w:highlight w:val="none"/>
          <w:lang w:eastAsia="zh-CN"/>
        </w:rPr>
        <w:t>（</w:t>
      </w:r>
      <w:r>
        <w:rPr>
          <w:rFonts w:hint="eastAsia"/>
          <w:sz w:val="24"/>
          <w:highlight w:val="none"/>
        </w:rPr>
        <w:t>Q</w:t>
      </w:r>
      <w:r>
        <w:rPr>
          <w:rFonts w:hint="eastAsia"/>
          <w:sz w:val="24"/>
          <w:highlight w:val="none"/>
          <w:lang w:eastAsia="zh-CN"/>
        </w:rPr>
        <w:t>）</w:t>
      </w:r>
      <w:r>
        <w:rPr>
          <w:rFonts w:hint="eastAsia"/>
          <w:sz w:val="24"/>
          <w:highlight w:val="none"/>
        </w:rPr>
        <w:t>:</w:t>
      </w:r>
    </w:p>
    <w:p w14:paraId="34F8C672">
      <w:pPr>
        <w:spacing w:line="360" w:lineRule="auto"/>
        <w:jc w:val="center"/>
        <w:rPr>
          <w:rFonts w:hint="eastAsia"/>
          <w:sz w:val="24"/>
          <w:highlight w:val="none"/>
        </w:rPr>
      </w:pPr>
      <w:r>
        <w:rPr>
          <w:rFonts w:hint="eastAsia"/>
          <w:sz w:val="24"/>
          <w:highlight w:val="none"/>
        </w:rPr>
        <w:t>Q=q</w:t>
      </w:r>
      <w:r>
        <w:rPr>
          <w:rFonts w:hint="eastAsia"/>
          <w:sz w:val="24"/>
          <w:highlight w:val="none"/>
          <w:vertAlign w:val="subscript"/>
        </w:rPr>
        <w:t>1</w:t>
      </w:r>
      <w:r>
        <w:rPr>
          <w:rFonts w:hint="eastAsia"/>
          <w:sz w:val="24"/>
          <w:highlight w:val="none"/>
        </w:rPr>
        <w:t>/Q</w:t>
      </w:r>
      <w:r>
        <w:rPr>
          <w:rFonts w:hint="eastAsia"/>
          <w:sz w:val="24"/>
          <w:highlight w:val="none"/>
          <w:vertAlign w:val="subscript"/>
        </w:rPr>
        <w:t>1</w:t>
      </w:r>
      <w:r>
        <w:rPr>
          <w:rFonts w:hint="eastAsia"/>
          <w:sz w:val="24"/>
          <w:highlight w:val="none"/>
        </w:rPr>
        <w:t>+q</w:t>
      </w:r>
      <w:r>
        <w:rPr>
          <w:rFonts w:hint="eastAsia"/>
          <w:sz w:val="24"/>
          <w:highlight w:val="none"/>
          <w:vertAlign w:val="subscript"/>
        </w:rPr>
        <w:t>2</w:t>
      </w:r>
      <w:r>
        <w:rPr>
          <w:rFonts w:hint="eastAsia"/>
          <w:sz w:val="24"/>
          <w:highlight w:val="none"/>
        </w:rPr>
        <w:t>/Q</w:t>
      </w:r>
      <w:r>
        <w:rPr>
          <w:rFonts w:hint="eastAsia"/>
          <w:sz w:val="24"/>
          <w:highlight w:val="none"/>
          <w:vertAlign w:val="subscript"/>
        </w:rPr>
        <w:t>2</w:t>
      </w:r>
      <w:r>
        <w:rPr>
          <w:rFonts w:hint="eastAsia"/>
          <w:sz w:val="24"/>
          <w:highlight w:val="none"/>
        </w:rPr>
        <w:t>+.......+q</w:t>
      </w:r>
      <w:r>
        <w:rPr>
          <w:rFonts w:hint="eastAsia"/>
          <w:sz w:val="24"/>
          <w:highlight w:val="none"/>
          <w:vertAlign w:val="subscript"/>
        </w:rPr>
        <w:t>n</w:t>
      </w:r>
      <w:r>
        <w:rPr>
          <w:rFonts w:hint="eastAsia"/>
          <w:sz w:val="24"/>
          <w:highlight w:val="none"/>
        </w:rPr>
        <w:t>/Q</w:t>
      </w:r>
      <w:r>
        <w:rPr>
          <w:rFonts w:hint="eastAsia"/>
          <w:sz w:val="24"/>
          <w:highlight w:val="none"/>
          <w:vertAlign w:val="subscript"/>
        </w:rPr>
        <w:t>n</w:t>
      </w:r>
    </w:p>
    <w:p w14:paraId="0F496AB8">
      <w:pPr>
        <w:spacing w:line="360" w:lineRule="auto"/>
        <w:rPr>
          <w:sz w:val="24"/>
          <w:highlight w:val="none"/>
        </w:rPr>
      </w:pPr>
      <w:r>
        <w:rPr>
          <w:rFonts w:hint="eastAsia"/>
          <w:sz w:val="24"/>
          <w:highlight w:val="none"/>
        </w:rPr>
        <w:t>式中：q</w:t>
      </w:r>
      <w:r>
        <w:rPr>
          <w:rFonts w:hint="eastAsia"/>
          <w:sz w:val="24"/>
          <w:highlight w:val="none"/>
          <w:vertAlign w:val="subscript"/>
        </w:rPr>
        <w:t>1</w:t>
      </w:r>
      <w:r>
        <w:rPr>
          <w:rFonts w:hint="eastAsia"/>
          <w:sz w:val="24"/>
          <w:highlight w:val="none"/>
        </w:rPr>
        <w:t>，q</w:t>
      </w:r>
      <w:r>
        <w:rPr>
          <w:rFonts w:hint="eastAsia"/>
          <w:sz w:val="24"/>
          <w:highlight w:val="none"/>
          <w:vertAlign w:val="subscript"/>
        </w:rPr>
        <w:t>2</w:t>
      </w:r>
      <w:r>
        <w:rPr>
          <w:rFonts w:hint="eastAsia"/>
          <w:sz w:val="24"/>
          <w:highlight w:val="none"/>
        </w:rPr>
        <w:t>，...，q</w:t>
      </w:r>
      <w:r>
        <w:rPr>
          <w:rFonts w:hint="eastAsia"/>
          <w:sz w:val="24"/>
          <w:highlight w:val="none"/>
          <w:vertAlign w:val="subscript"/>
        </w:rPr>
        <w:t>n</w:t>
      </w:r>
      <w:r>
        <w:rPr>
          <w:rFonts w:hint="eastAsia"/>
          <w:sz w:val="24"/>
          <w:highlight w:val="none"/>
        </w:rPr>
        <w:t>——每种风险物质的存在量，t；</w:t>
      </w:r>
    </w:p>
    <w:p w14:paraId="541E417D">
      <w:pPr>
        <w:spacing w:line="360" w:lineRule="auto"/>
        <w:ind w:firstLine="720" w:firstLineChars="300"/>
        <w:rPr>
          <w:sz w:val="24"/>
          <w:highlight w:val="none"/>
        </w:rPr>
      </w:pPr>
      <w:r>
        <w:rPr>
          <w:rFonts w:hint="eastAsia"/>
          <w:sz w:val="24"/>
          <w:highlight w:val="none"/>
        </w:rPr>
        <w:t>Q</w:t>
      </w:r>
      <w:r>
        <w:rPr>
          <w:rFonts w:hint="eastAsia"/>
          <w:sz w:val="24"/>
          <w:highlight w:val="none"/>
          <w:vertAlign w:val="subscript"/>
        </w:rPr>
        <w:t>1</w:t>
      </w:r>
      <w:r>
        <w:rPr>
          <w:rFonts w:hint="eastAsia"/>
          <w:sz w:val="24"/>
          <w:highlight w:val="none"/>
        </w:rPr>
        <w:t>，Q</w:t>
      </w:r>
      <w:r>
        <w:rPr>
          <w:rFonts w:hint="eastAsia"/>
          <w:sz w:val="24"/>
          <w:highlight w:val="none"/>
          <w:vertAlign w:val="subscript"/>
        </w:rPr>
        <w:t>2</w:t>
      </w:r>
      <w:r>
        <w:rPr>
          <w:rFonts w:hint="eastAsia"/>
          <w:sz w:val="24"/>
          <w:highlight w:val="none"/>
        </w:rPr>
        <w:t>，...，Q</w:t>
      </w:r>
      <w:r>
        <w:rPr>
          <w:rFonts w:hint="eastAsia"/>
          <w:sz w:val="24"/>
          <w:highlight w:val="none"/>
          <w:vertAlign w:val="subscript"/>
        </w:rPr>
        <w:t>n</w:t>
      </w:r>
      <w:r>
        <w:rPr>
          <w:rFonts w:hint="eastAsia"/>
          <w:sz w:val="24"/>
          <w:highlight w:val="none"/>
        </w:rPr>
        <w:t>——每种风险物质的临界量，t。</w:t>
      </w:r>
    </w:p>
    <w:p w14:paraId="37E90A8F">
      <w:pPr>
        <w:spacing w:line="360" w:lineRule="auto"/>
        <w:ind w:firstLine="480" w:firstLineChars="200"/>
        <w:rPr>
          <w:rFonts w:hint="eastAsia"/>
          <w:sz w:val="24"/>
          <w:highlight w:val="none"/>
        </w:rPr>
      </w:pPr>
      <w:r>
        <w:rPr>
          <w:rFonts w:hint="eastAsia"/>
          <w:sz w:val="24"/>
          <w:highlight w:val="none"/>
        </w:rPr>
        <w:t>当Q&lt;1时，该项目环境风险潜势为I。</w:t>
      </w:r>
    </w:p>
    <w:p w14:paraId="36164A28">
      <w:pPr>
        <w:spacing w:line="360" w:lineRule="auto"/>
        <w:ind w:firstLine="480" w:firstLineChars="200"/>
        <w:rPr>
          <w:rFonts w:hint="eastAsia"/>
          <w:sz w:val="24"/>
          <w:highlight w:val="none"/>
        </w:rPr>
      </w:pPr>
      <w:r>
        <w:rPr>
          <w:rFonts w:hint="eastAsia"/>
          <w:sz w:val="24"/>
          <w:highlight w:val="none"/>
        </w:rPr>
        <w:t>当Q≥1时，将Q值划分为：</w:t>
      </w:r>
      <w:r>
        <w:rPr>
          <w:rFonts w:hint="eastAsia"/>
          <w:sz w:val="24"/>
          <w:highlight w:val="none"/>
          <w:lang w:eastAsia="zh-CN"/>
        </w:rPr>
        <w:t>（</w:t>
      </w:r>
      <w:r>
        <w:rPr>
          <w:rFonts w:hint="eastAsia"/>
          <w:sz w:val="24"/>
          <w:highlight w:val="none"/>
        </w:rPr>
        <w:t>1</w:t>
      </w:r>
      <w:r>
        <w:rPr>
          <w:rFonts w:hint="eastAsia"/>
          <w:sz w:val="24"/>
          <w:highlight w:val="none"/>
          <w:lang w:eastAsia="zh-CN"/>
        </w:rPr>
        <w:t>）</w:t>
      </w:r>
      <w:r>
        <w:rPr>
          <w:rFonts w:hint="eastAsia"/>
          <w:sz w:val="24"/>
          <w:highlight w:val="none"/>
        </w:rPr>
        <w:t>1≤Q&lt;10；</w:t>
      </w:r>
      <w:r>
        <w:rPr>
          <w:rFonts w:hint="eastAsia"/>
          <w:sz w:val="24"/>
          <w:highlight w:val="none"/>
          <w:lang w:eastAsia="zh-CN"/>
        </w:rPr>
        <w:t>（</w:t>
      </w:r>
      <w:r>
        <w:rPr>
          <w:rFonts w:hint="eastAsia"/>
          <w:sz w:val="24"/>
          <w:highlight w:val="none"/>
        </w:rPr>
        <w:t>2</w:t>
      </w:r>
      <w:r>
        <w:rPr>
          <w:rFonts w:hint="eastAsia"/>
          <w:sz w:val="24"/>
          <w:highlight w:val="none"/>
          <w:lang w:eastAsia="zh-CN"/>
        </w:rPr>
        <w:t>）</w:t>
      </w:r>
      <w:r>
        <w:rPr>
          <w:rFonts w:hint="eastAsia"/>
          <w:sz w:val="24"/>
          <w:highlight w:val="none"/>
        </w:rPr>
        <w:t>10&lt;Q&lt;100；</w:t>
      </w:r>
      <w:r>
        <w:rPr>
          <w:rFonts w:hint="eastAsia"/>
          <w:sz w:val="24"/>
          <w:highlight w:val="none"/>
          <w:lang w:eastAsia="zh-CN"/>
        </w:rPr>
        <w:t>（</w:t>
      </w:r>
      <w:r>
        <w:rPr>
          <w:rFonts w:hint="eastAsia"/>
          <w:sz w:val="24"/>
          <w:highlight w:val="none"/>
        </w:rPr>
        <w:t>3</w:t>
      </w:r>
      <w:r>
        <w:rPr>
          <w:rFonts w:hint="eastAsia"/>
          <w:sz w:val="24"/>
          <w:highlight w:val="none"/>
          <w:lang w:eastAsia="zh-CN"/>
        </w:rPr>
        <w:t>）</w:t>
      </w:r>
      <w:r>
        <w:rPr>
          <w:rFonts w:hint="eastAsia"/>
          <w:sz w:val="24"/>
          <w:highlight w:val="none"/>
        </w:rPr>
        <w:t>Q&gt;100。</w:t>
      </w:r>
    </w:p>
    <w:p w14:paraId="1E819F8B">
      <w:pPr>
        <w:spacing w:line="360" w:lineRule="auto"/>
        <w:ind w:firstLine="480" w:firstLineChars="200"/>
        <w:rPr>
          <w:rFonts w:hint="eastAsia"/>
          <w:sz w:val="24"/>
          <w:highlight w:val="none"/>
        </w:rPr>
      </w:pPr>
      <w:r>
        <w:rPr>
          <w:rFonts w:hint="eastAsia"/>
          <w:sz w:val="24"/>
          <w:highlight w:val="none"/>
        </w:rPr>
        <w:t>根据风险调查，对照《建设项目环境风险评价技术导则》</w:t>
      </w:r>
      <w:r>
        <w:rPr>
          <w:rFonts w:hint="eastAsia"/>
          <w:sz w:val="24"/>
          <w:highlight w:val="none"/>
          <w:lang w:eastAsia="zh-CN"/>
        </w:rPr>
        <w:t>（</w:t>
      </w:r>
      <w:r>
        <w:rPr>
          <w:rFonts w:hint="eastAsia"/>
          <w:sz w:val="24"/>
          <w:highlight w:val="none"/>
        </w:rPr>
        <w:t>HJ169-2018</w:t>
      </w:r>
      <w:r>
        <w:rPr>
          <w:rFonts w:hint="eastAsia"/>
          <w:sz w:val="24"/>
          <w:highlight w:val="none"/>
          <w:lang w:eastAsia="zh-CN"/>
        </w:rPr>
        <w:t>）</w:t>
      </w:r>
      <w:r>
        <w:rPr>
          <w:rFonts w:hint="eastAsia"/>
          <w:sz w:val="24"/>
          <w:highlight w:val="none"/>
        </w:rPr>
        <w:t>的附录B可知，本项目涉及的危险物质为</w:t>
      </w:r>
      <w:r>
        <w:rPr>
          <w:rFonts w:hint="eastAsia"/>
          <w:sz w:val="24"/>
          <w:highlight w:val="none"/>
          <w:lang w:val="en-US" w:eastAsia="zh-CN"/>
        </w:rPr>
        <w:t>一氧化碳、甲烷、乙烷、硫化氢、丁醇、乙酸乙酯、甲醇、异丙醇、乙酸、乙醛、氨气等</w:t>
      </w:r>
      <w:r>
        <w:rPr>
          <w:rFonts w:hint="eastAsia"/>
          <w:sz w:val="24"/>
          <w:highlight w:val="none"/>
        </w:rPr>
        <w:t>，根据附录B中危险物质的临界量，通过公式</w:t>
      </w:r>
      <w:r>
        <w:rPr>
          <w:rFonts w:hint="eastAsia"/>
          <w:sz w:val="24"/>
          <w:highlight w:val="none"/>
          <w:lang w:eastAsia="zh-CN"/>
        </w:rPr>
        <w:t>（</w:t>
      </w:r>
      <w:r>
        <w:rPr>
          <w:rFonts w:hint="eastAsia"/>
          <w:sz w:val="24"/>
          <w:highlight w:val="none"/>
        </w:rPr>
        <w:t>1</w:t>
      </w:r>
      <w:r>
        <w:rPr>
          <w:rFonts w:hint="eastAsia"/>
          <w:sz w:val="24"/>
          <w:highlight w:val="none"/>
          <w:lang w:eastAsia="zh-CN"/>
        </w:rPr>
        <w:t>）</w:t>
      </w:r>
      <w:r>
        <w:rPr>
          <w:rFonts w:hint="eastAsia"/>
          <w:sz w:val="24"/>
          <w:highlight w:val="none"/>
        </w:rPr>
        <w:t>计算。根据HJ169-2018的规定，本项目危险物质数量与临界量</w:t>
      </w:r>
      <w:r>
        <w:rPr>
          <w:rFonts w:hint="eastAsia"/>
          <w:sz w:val="24"/>
          <w:highlight w:val="none"/>
          <w:lang w:eastAsia="zh-CN"/>
        </w:rPr>
        <w:t>的</w:t>
      </w:r>
      <w:r>
        <w:rPr>
          <w:rFonts w:hint="eastAsia"/>
          <w:sz w:val="24"/>
          <w:highlight w:val="none"/>
        </w:rPr>
        <w:t>比值如下表。</w:t>
      </w:r>
    </w:p>
    <w:p w14:paraId="0E4ECB59">
      <w:pPr>
        <w:widowControl/>
        <w:spacing w:line="360" w:lineRule="auto"/>
        <w:ind w:firstLine="0" w:firstLineChars="0"/>
        <w:jc w:val="center"/>
        <w:rPr>
          <w:highlight w:val="none"/>
        </w:rPr>
      </w:pPr>
      <w:r>
        <w:rPr>
          <w:rFonts w:hint="default" w:ascii="Times New Roman" w:hAnsi="Times New Roman" w:eastAsia="宋体" w:cs="Times New Roman"/>
          <w:b/>
          <w:bCs/>
          <w:sz w:val="21"/>
          <w:szCs w:val="21"/>
          <w:highlight w:val="none"/>
        </w:rPr>
        <w:t>表</w:t>
      </w:r>
      <w:r>
        <w:rPr>
          <w:rFonts w:hint="eastAsia" w:cs="Times New Roman"/>
          <w:b/>
          <w:bCs/>
          <w:sz w:val="21"/>
          <w:szCs w:val="21"/>
          <w:highlight w:val="none"/>
          <w:lang w:val="en-US" w:eastAsia="zh-CN"/>
        </w:rPr>
        <w:t>2.3-1</w:t>
      </w:r>
      <w:r>
        <w:rPr>
          <w:rFonts w:hint="default" w:ascii="Times New Roman" w:hAnsi="Times New Roman" w:eastAsia="宋体" w:cs="Times New Roman"/>
          <w:b/>
          <w:bCs/>
          <w:sz w:val="21"/>
          <w:szCs w:val="21"/>
          <w:highlight w:val="none"/>
        </w:rPr>
        <w:t xml:space="preserve">   建设项目Q值确定表</w:t>
      </w:r>
    </w:p>
    <w:tbl>
      <w:tblPr>
        <w:tblStyle w:val="19"/>
        <w:tblW w:w="8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946"/>
        <w:gridCol w:w="1171"/>
        <w:gridCol w:w="1319"/>
        <w:gridCol w:w="1515"/>
        <w:gridCol w:w="1515"/>
      </w:tblGrid>
      <w:tr w14:paraId="72C6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2946" w:type="dxa"/>
            <w:shd w:val="clear" w:color="auto" w:fill="auto"/>
            <w:noWrap/>
            <w:vAlign w:val="center"/>
          </w:tcPr>
          <w:p w14:paraId="516EE4A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管道</w:t>
            </w:r>
          </w:p>
        </w:tc>
        <w:tc>
          <w:tcPr>
            <w:tcW w:w="1171" w:type="dxa"/>
            <w:shd w:val="clear" w:color="auto" w:fill="auto"/>
            <w:vAlign w:val="center"/>
          </w:tcPr>
          <w:p w14:paraId="416671F1">
            <w:pPr>
              <w:jc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lang w:val="en-US" w:eastAsia="zh-CN"/>
              </w:rPr>
              <w:t>风险物质</w:t>
            </w:r>
          </w:p>
        </w:tc>
        <w:tc>
          <w:tcPr>
            <w:tcW w:w="1319" w:type="dxa"/>
            <w:shd w:val="clear" w:color="auto" w:fill="auto"/>
            <w:vAlign w:val="center"/>
          </w:tcPr>
          <w:p w14:paraId="0E09F881">
            <w:pPr>
              <w:jc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t</w:t>
            </w:r>
          </w:p>
        </w:tc>
        <w:tc>
          <w:tcPr>
            <w:tcW w:w="1515" w:type="dxa"/>
            <w:shd w:val="clear" w:color="auto" w:fill="auto"/>
            <w:noWrap/>
            <w:vAlign w:val="center"/>
          </w:tcPr>
          <w:p w14:paraId="6A727BA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临界量</w:t>
            </w:r>
            <w:r>
              <w:rPr>
                <w:rFonts w:hint="default" w:ascii="Times New Roman" w:hAnsi="Times New Roman" w:eastAsia="宋体" w:cs="Times New Roman"/>
                <w:i w:val="0"/>
                <w:iCs w:val="0"/>
                <w:color w:val="000000"/>
                <w:kern w:val="0"/>
                <w:sz w:val="21"/>
                <w:szCs w:val="21"/>
                <w:highlight w:val="none"/>
                <w:u w:val="none"/>
                <w:lang w:val="en-US" w:eastAsia="zh-CN" w:bidi="ar"/>
              </w:rPr>
              <w:t>Q</w:t>
            </w:r>
            <w:r>
              <w:rPr>
                <w:rFonts w:hint="eastAsia"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t</w:t>
            </w:r>
            <w:r>
              <w:rPr>
                <w:rFonts w:hint="eastAsia" w:cs="Times New Roman"/>
                <w:i w:val="0"/>
                <w:iCs w:val="0"/>
                <w:color w:val="000000"/>
                <w:kern w:val="0"/>
                <w:sz w:val="21"/>
                <w:szCs w:val="21"/>
                <w:highlight w:val="none"/>
                <w:u w:val="none"/>
                <w:lang w:val="en-US" w:eastAsia="zh-CN" w:bidi="ar"/>
              </w:rPr>
              <w:t>）</w:t>
            </w:r>
          </w:p>
        </w:tc>
        <w:tc>
          <w:tcPr>
            <w:tcW w:w="1515" w:type="dxa"/>
            <w:shd w:val="clear" w:color="auto" w:fill="auto"/>
            <w:noWrap/>
            <w:vAlign w:val="center"/>
          </w:tcPr>
          <w:p w14:paraId="7835BE7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q/Q</w:t>
            </w:r>
          </w:p>
        </w:tc>
      </w:tr>
      <w:tr w14:paraId="4871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Merge w:val="restart"/>
            <w:shd w:val="clear" w:color="auto" w:fill="auto"/>
            <w:noWrap/>
            <w:vAlign w:val="center"/>
          </w:tcPr>
          <w:p w14:paraId="633F689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合成脱碳尾气</w:t>
            </w:r>
          </w:p>
        </w:tc>
        <w:tc>
          <w:tcPr>
            <w:tcW w:w="1171" w:type="dxa"/>
            <w:shd w:val="clear" w:color="auto" w:fill="auto"/>
            <w:vAlign w:val="center"/>
          </w:tcPr>
          <w:p w14:paraId="273B66B2">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CO</w:t>
            </w:r>
          </w:p>
        </w:tc>
        <w:tc>
          <w:tcPr>
            <w:tcW w:w="0" w:type="auto"/>
            <w:shd w:val="clear" w:color="auto" w:fill="auto"/>
            <w:noWrap/>
            <w:vAlign w:val="center"/>
          </w:tcPr>
          <w:p w14:paraId="3E6742C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0.033</w:t>
            </w:r>
          </w:p>
        </w:tc>
        <w:tc>
          <w:tcPr>
            <w:tcW w:w="0" w:type="auto"/>
            <w:shd w:val="clear" w:color="auto" w:fill="auto"/>
            <w:noWrap/>
            <w:vAlign w:val="center"/>
          </w:tcPr>
          <w:p w14:paraId="439BAED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7.5</w:t>
            </w:r>
          </w:p>
        </w:tc>
        <w:tc>
          <w:tcPr>
            <w:tcW w:w="1515" w:type="dxa"/>
            <w:shd w:val="clear" w:color="auto" w:fill="auto"/>
            <w:noWrap/>
            <w:vAlign w:val="center"/>
          </w:tcPr>
          <w:p w14:paraId="3A91F1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0.0044</w:t>
            </w:r>
          </w:p>
        </w:tc>
      </w:tr>
      <w:tr w14:paraId="2AE5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vMerge w:val="continue"/>
            <w:shd w:val="clear" w:color="auto" w:fill="auto"/>
            <w:noWrap/>
            <w:vAlign w:val="center"/>
          </w:tcPr>
          <w:p w14:paraId="531DC950">
            <w:pPr>
              <w:jc w:val="center"/>
              <w:rPr>
                <w:rFonts w:hint="eastAsia" w:ascii="宋体" w:hAnsi="宋体" w:eastAsia="宋体" w:cs="宋体"/>
                <w:i w:val="0"/>
                <w:iCs w:val="0"/>
                <w:color w:val="000000"/>
                <w:sz w:val="21"/>
                <w:szCs w:val="21"/>
                <w:highlight w:val="none"/>
                <w:u w:val="none"/>
              </w:rPr>
            </w:pPr>
          </w:p>
        </w:tc>
        <w:tc>
          <w:tcPr>
            <w:tcW w:w="1171" w:type="dxa"/>
            <w:shd w:val="clear" w:color="auto" w:fill="auto"/>
            <w:vAlign w:val="center"/>
          </w:tcPr>
          <w:p w14:paraId="62DB80BE">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4</w:t>
            </w:r>
          </w:p>
        </w:tc>
        <w:tc>
          <w:tcPr>
            <w:tcW w:w="0" w:type="auto"/>
            <w:shd w:val="clear" w:color="auto" w:fill="auto"/>
            <w:noWrap/>
            <w:vAlign w:val="center"/>
          </w:tcPr>
          <w:p w14:paraId="0B0FD11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0.021</w:t>
            </w:r>
          </w:p>
        </w:tc>
        <w:tc>
          <w:tcPr>
            <w:tcW w:w="0" w:type="auto"/>
            <w:shd w:val="clear" w:color="auto" w:fill="auto"/>
            <w:noWrap/>
            <w:vAlign w:val="center"/>
          </w:tcPr>
          <w:p w14:paraId="33E4008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01422EF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0.0021</w:t>
            </w:r>
          </w:p>
        </w:tc>
      </w:tr>
      <w:tr w14:paraId="3EC5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vMerge w:val="continue"/>
            <w:shd w:val="clear" w:color="auto" w:fill="auto"/>
            <w:noWrap/>
            <w:vAlign w:val="center"/>
          </w:tcPr>
          <w:p w14:paraId="4E6076BC">
            <w:pPr>
              <w:jc w:val="center"/>
              <w:rPr>
                <w:rFonts w:hint="eastAsia" w:ascii="宋体" w:hAnsi="宋体" w:eastAsia="宋体" w:cs="宋体"/>
                <w:i w:val="0"/>
                <w:iCs w:val="0"/>
                <w:color w:val="000000"/>
                <w:sz w:val="21"/>
                <w:szCs w:val="21"/>
                <w:highlight w:val="none"/>
                <w:u w:val="none"/>
              </w:rPr>
            </w:pPr>
          </w:p>
        </w:tc>
        <w:tc>
          <w:tcPr>
            <w:tcW w:w="1171" w:type="dxa"/>
            <w:shd w:val="clear" w:color="auto" w:fill="auto"/>
            <w:vAlign w:val="center"/>
          </w:tcPr>
          <w:p w14:paraId="25495DCB">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000000"/>
                <w:kern w:val="0"/>
                <w:sz w:val="21"/>
                <w:szCs w:val="21"/>
                <w:highlight w:val="none"/>
                <w:u w:val="none"/>
                <w:lang w:val="en-US" w:eastAsia="zh-CN" w:bidi="ar"/>
              </w:rPr>
              <w:t>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6</w:t>
            </w:r>
          </w:p>
        </w:tc>
        <w:tc>
          <w:tcPr>
            <w:tcW w:w="0" w:type="auto"/>
            <w:shd w:val="clear" w:color="auto" w:fill="auto"/>
            <w:noWrap/>
            <w:vAlign w:val="center"/>
          </w:tcPr>
          <w:p w14:paraId="580674A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0.023</w:t>
            </w:r>
          </w:p>
        </w:tc>
        <w:tc>
          <w:tcPr>
            <w:tcW w:w="0" w:type="auto"/>
            <w:shd w:val="clear" w:color="auto" w:fill="auto"/>
            <w:noWrap/>
            <w:vAlign w:val="center"/>
          </w:tcPr>
          <w:p w14:paraId="2C1EC8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520DAEF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0.0023</w:t>
            </w:r>
          </w:p>
        </w:tc>
      </w:tr>
      <w:tr w14:paraId="3982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Merge w:val="restart"/>
            <w:shd w:val="clear" w:color="auto" w:fill="auto"/>
            <w:noWrap/>
            <w:vAlign w:val="center"/>
          </w:tcPr>
          <w:p w14:paraId="1EBCE220">
            <w:pPr>
              <w:keepNext w:val="0"/>
              <w:keepLines w:val="0"/>
              <w:widowControl/>
              <w:suppressLineNumbers w:val="0"/>
              <w:jc w:val="center"/>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未变换净化气</w:t>
            </w:r>
          </w:p>
        </w:tc>
        <w:tc>
          <w:tcPr>
            <w:tcW w:w="0" w:type="auto"/>
            <w:shd w:val="clear" w:color="auto" w:fill="auto"/>
            <w:noWrap/>
            <w:vAlign w:val="center"/>
          </w:tcPr>
          <w:p w14:paraId="735AA22D">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CO</w:t>
            </w:r>
          </w:p>
        </w:tc>
        <w:tc>
          <w:tcPr>
            <w:tcW w:w="0" w:type="auto"/>
            <w:shd w:val="clear" w:color="auto" w:fill="auto"/>
            <w:noWrap/>
            <w:vAlign w:val="center"/>
          </w:tcPr>
          <w:p w14:paraId="15385AA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0.472</w:t>
            </w:r>
          </w:p>
        </w:tc>
        <w:tc>
          <w:tcPr>
            <w:tcW w:w="0" w:type="auto"/>
            <w:shd w:val="clear" w:color="auto" w:fill="auto"/>
            <w:noWrap/>
            <w:vAlign w:val="center"/>
          </w:tcPr>
          <w:p w14:paraId="7DFB1CC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7.5</w:t>
            </w:r>
          </w:p>
        </w:tc>
        <w:tc>
          <w:tcPr>
            <w:tcW w:w="1515" w:type="dxa"/>
            <w:shd w:val="clear" w:color="auto" w:fill="auto"/>
            <w:noWrap/>
            <w:vAlign w:val="center"/>
          </w:tcPr>
          <w:p w14:paraId="15E0E15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0.062933333</w:t>
            </w:r>
          </w:p>
        </w:tc>
      </w:tr>
      <w:tr w14:paraId="6A3A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vMerge w:val="continue"/>
            <w:shd w:val="clear" w:color="auto" w:fill="auto"/>
            <w:noWrap/>
            <w:vAlign w:val="center"/>
          </w:tcPr>
          <w:p w14:paraId="59526803">
            <w:pPr>
              <w:jc w:val="center"/>
              <w:rPr>
                <w:rFonts w:hint="eastAsia" w:ascii="宋体" w:hAnsi="宋体" w:eastAsia="宋体" w:cs="宋体"/>
                <w:i w:val="0"/>
                <w:iCs w:val="0"/>
                <w:color w:val="000000"/>
                <w:sz w:val="21"/>
                <w:szCs w:val="21"/>
                <w:highlight w:val="none"/>
                <w:u w:val="none"/>
              </w:rPr>
            </w:pPr>
          </w:p>
        </w:tc>
        <w:tc>
          <w:tcPr>
            <w:tcW w:w="0" w:type="auto"/>
            <w:shd w:val="clear" w:color="auto" w:fill="auto"/>
            <w:noWrap/>
            <w:vAlign w:val="center"/>
          </w:tcPr>
          <w:p w14:paraId="45460412">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4</w:t>
            </w:r>
          </w:p>
        </w:tc>
        <w:tc>
          <w:tcPr>
            <w:tcW w:w="0" w:type="auto"/>
            <w:shd w:val="clear" w:color="auto" w:fill="auto"/>
            <w:noWrap/>
            <w:vAlign w:val="center"/>
          </w:tcPr>
          <w:p w14:paraId="3C5120D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0.0002</w:t>
            </w:r>
          </w:p>
        </w:tc>
        <w:tc>
          <w:tcPr>
            <w:tcW w:w="0" w:type="auto"/>
            <w:shd w:val="clear" w:color="auto" w:fill="auto"/>
            <w:noWrap/>
            <w:vAlign w:val="center"/>
          </w:tcPr>
          <w:p w14:paraId="64DFB2D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1725BDC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0.00002</w:t>
            </w:r>
          </w:p>
        </w:tc>
      </w:tr>
      <w:tr w14:paraId="1C28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Merge w:val="restart"/>
            <w:shd w:val="clear" w:color="auto" w:fill="auto"/>
            <w:noWrap/>
            <w:vAlign w:val="center"/>
          </w:tcPr>
          <w:p w14:paraId="4E3DB95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WRT</w:t>
            </w:r>
            <w:r>
              <w:rPr>
                <w:rFonts w:hint="eastAsia" w:ascii="宋体" w:hAnsi="宋体" w:eastAsia="宋体" w:cs="宋体"/>
                <w:i w:val="0"/>
                <w:iCs w:val="0"/>
                <w:color w:val="000000"/>
                <w:kern w:val="0"/>
                <w:sz w:val="21"/>
                <w:szCs w:val="21"/>
                <w:highlight w:val="none"/>
                <w:u w:val="none"/>
                <w:lang w:val="en-US" w:eastAsia="zh-CN" w:bidi="ar"/>
              </w:rPr>
              <w:t>甲烷气</w:t>
            </w:r>
          </w:p>
        </w:tc>
        <w:tc>
          <w:tcPr>
            <w:tcW w:w="0" w:type="auto"/>
            <w:shd w:val="clear" w:color="auto" w:fill="auto"/>
            <w:noWrap/>
            <w:vAlign w:val="center"/>
          </w:tcPr>
          <w:p w14:paraId="25473D8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甲烷</w:t>
            </w:r>
          </w:p>
        </w:tc>
        <w:tc>
          <w:tcPr>
            <w:tcW w:w="0" w:type="auto"/>
            <w:shd w:val="clear" w:color="auto" w:fill="auto"/>
            <w:noWrap/>
            <w:vAlign w:val="center"/>
          </w:tcPr>
          <w:p w14:paraId="42BAF6F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0.03</w:t>
            </w:r>
          </w:p>
        </w:tc>
        <w:tc>
          <w:tcPr>
            <w:tcW w:w="0" w:type="auto"/>
            <w:shd w:val="clear" w:color="auto" w:fill="auto"/>
            <w:noWrap/>
            <w:vAlign w:val="center"/>
          </w:tcPr>
          <w:p w14:paraId="143CAC1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631AA4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0.003</w:t>
            </w:r>
          </w:p>
        </w:tc>
      </w:tr>
      <w:tr w14:paraId="4E11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Merge w:val="continue"/>
            <w:shd w:val="clear" w:color="auto" w:fill="auto"/>
            <w:noWrap/>
            <w:vAlign w:val="center"/>
          </w:tcPr>
          <w:p w14:paraId="2BC4475D">
            <w:pPr>
              <w:jc w:val="center"/>
              <w:rPr>
                <w:rFonts w:hint="default" w:ascii="Times New Roman" w:hAnsi="Times New Roman" w:eastAsia="宋体" w:cs="Times New Roman"/>
                <w:i w:val="0"/>
                <w:iCs w:val="0"/>
                <w:color w:val="000000"/>
                <w:sz w:val="21"/>
                <w:szCs w:val="21"/>
                <w:highlight w:val="none"/>
                <w:u w:val="none"/>
              </w:rPr>
            </w:pPr>
          </w:p>
        </w:tc>
        <w:tc>
          <w:tcPr>
            <w:tcW w:w="0" w:type="auto"/>
            <w:shd w:val="clear" w:color="auto" w:fill="auto"/>
            <w:noWrap/>
            <w:vAlign w:val="center"/>
          </w:tcPr>
          <w:p w14:paraId="0F1D600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硫化氢</w:t>
            </w:r>
          </w:p>
        </w:tc>
        <w:tc>
          <w:tcPr>
            <w:tcW w:w="0" w:type="auto"/>
            <w:shd w:val="clear" w:color="auto" w:fill="auto"/>
            <w:noWrap/>
            <w:vAlign w:val="center"/>
          </w:tcPr>
          <w:p w14:paraId="0C918C7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eastAsia="zh-CN"/>
              </w:rPr>
            </w:pPr>
            <w:r>
              <w:rPr>
                <w:rFonts w:hint="eastAsia" w:cs="Times New Roman"/>
                <w:i w:val="0"/>
                <w:iCs w:val="0"/>
                <w:color w:val="000000"/>
                <w:sz w:val="21"/>
                <w:szCs w:val="21"/>
                <w:highlight w:val="none"/>
                <w:u w:val="none"/>
                <w:lang w:val="en-US" w:eastAsia="zh-CN"/>
              </w:rPr>
              <w:t>0.0000002</w:t>
            </w:r>
          </w:p>
        </w:tc>
        <w:tc>
          <w:tcPr>
            <w:tcW w:w="0" w:type="auto"/>
            <w:shd w:val="clear" w:color="auto" w:fill="auto"/>
            <w:noWrap/>
            <w:vAlign w:val="center"/>
          </w:tcPr>
          <w:p w14:paraId="7CEA03F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2.5</w:t>
            </w:r>
          </w:p>
        </w:tc>
        <w:tc>
          <w:tcPr>
            <w:tcW w:w="1515" w:type="dxa"/>
            <w:shd w:val="clear" w:color="auto" w:fill="auto"/>
            <w:noWrap/>
            <w:vAlign w:val="center"/>
          </w:tcPr>
          <w:p w14:paraId="4C5C69A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0.00000008</w:t>
            </w:r>
          </w:p>
        </w:tc>
      </w:tr>
      <w:tr w14:paraId="7234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vMerge w:val="restart"/>
            <w:shd w:val="clear" w:color="auto" w:fill="auto"/>
            <w:noWrap/>
            <w:vAlign w:val="center"/>
          </w:tcPr>
          <w:p w14:paraId="0B1B572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厌氧沼气</w:t>
            </w:r>
          </w:p>
        </w:tc>
        <w:tc>
          <w:tcPr>
            <w:tcW w:w="0" w:type="auto"/>
            <w:shd w:val="clear" w:color="auto" w:fill="auto"/>
            <w:noWrap/>
            <w:vAlign w:val="center"/>
          </w:tcPr>
          <w:p w14:paraId="7B1C2325">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4</w:t>
            </w:r>
            <w:r>
              <w:rPr>
                <w:rFonts w:hint="eastAsia"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eastAsia" w:cs="Times New Roman"/>
                <w:i w:val="0"/>
                <w:iCs w:val="0"/>
                <w:color w:val="000000"/>
                <w:kern w:val="0"/>
                <w:sz w:val="21"/>
                <w:szCs w:val="21"/>
                <w:highlight w:val="none"/>
                <w:u w:val="none"/>
                <w:lang w:val="en-US" w:eastAsia="zh-CN" w:bidi="ar"/>
              </w:rPr>
              <w:t>）</w:t>
            </w:r>
          </w:p>
        </w:tc>
        <w:tc>
          <w:tcPr>
            <w:tcW w:w="0" w:type="auto"/>
            <w:shd w:val="clear" w:color="auto" w:fill="auto"/>
            <w:noWrap/>
            <w:vAlign w:val="center"/>
          </w:tcPr>
          <w:p w14:paraId="3196FAC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0.06</w:t>
            </w:r>
          </w:p>
        </w:tc>
        <w:tc>
          <w:tcPr>
            <w:tcW w:w="0" w:type="auto"/>
            <w:shd w:val="clear" w:color="auto" w:fill="auto"/>
            <w:noWrap/>
            <w:vAlign w:val="center"/>
          </w:tcPr>
          <w:p w14:paraId="06C7F5B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4329B9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0.006</w:t>
            </w:r>
          </w:p>
        </w:tc>
      </w:tr>
      <w:tr w14:paraId="1BB1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vMerge w:val="continue"/>
            <w:shd w:val="clear" w:color="auto" w:fill="auto"/>
            <w:noWrap/>
            <w:vAlign w:val="center"/>
          </w:tcPr>
          <w:p w14:paraId="0C411F17">
            <w:pPr>
              <w:jc w:val="center"/>
              <w:rPr>
                <w:rFonts w:hint="eastAsia" w:ascii="宋体" w:hAnsi="宋体" w:eastAsia="宋体" w:cs="宋体"/>
                <w:i w:val="0"/>
                <w:iCs w:val="0"/>
                <w:color w:val="000000"/>
                <w:sz w:val="21"/>
                <w:szCs w:val="21"/>
                <w:highlight w:val="none"/>
                <w:u w:val="none"/>
              </w:rPr>
            </w:pPr>
          </w:p>
        </w:tc>
        <w:tc>
          <w:tcPr>
            <w:tcW w:w="0" w:type="auto"/>
            <w:shd w:val="clear" w:color="auto" w:fill="auto"/>
            <w:noWrap/>
            <w:vAlign w:val="center"/>
          </w:tcPr>
          <w:p w14:paraId="47DC24DE">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000000"/>
                <w:kern w:val="0"/>
                <w:sz w:val="21"/>
                <w:szCs w:val="21"/>
                <w:highlight w:val="none"/>
                <w:u w:val="none"/>
                <w:lang w:val="en-US" w:eastAsia="zh-CN" w:bidi="ar"/>
              </w:rPr>
              <w:t>S</w:t>
            </w:r>
            <w:r>
              <w:rPr>
                <w:rFonts w:hint="eastAsia"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eastAsia" w:cs="Times New Roman"/>
                <w:i w:val="0"/>
                <w:iCs w:val="0"/>
                <w:color w:val="000000"/>
                <w:kern w:val="0"/>
                <w:sz w:val="21"/>
                <w:szCs w:val="21"/>
                <w:highlight w:val="none"/>
                <w:u w:val="none"/>
                <w:lang w:val="en-US" w:eastAsia="zh-CN" w:bidi="ar"/>
              </w:rPr>
              <w:t>）</w:t>
            </w:r>
          </w:p>
        </w:tc>
        <w:tc>
          <w:tcPr>
            <w:tcW w:w="0" w:type="auto"/>
            <w:shd w:val="clear" w:color="auto" w:fill="auto"/>
            <w:noWrap/>
            <w:vAlign w:val="center"/>
          </w:tcPr>
          <w:p w14:paraId="5750F8C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0.0004</w:t>
            </w:r>
          </w:p>
        </w:tc>
        <w:tc>
          <w:tcPr>
            <w:tcW w:w="0" w:type="auto"/>
            <w:shd w:val="clear" w:color="auto" w:fill="auto"/>
            <w:noWrap/>
            <w:vAlign w:val="center"/>
          </w:tcPr>
          <w:p w14:paraId="44692AD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2.5</w:t>
            </w:r>
          </w:p>
        </w:tc>
        <w:tc>
          <w:tcPr>
            <w:tcW w:w="1515" w:type="dxa"/>
            <w:shd w:val="clear" w:color="auto" w:fill="auto"/>
            <w:noWrap/>
            <w:vAlign w:val="center"/>
          </w:tcPr>
          <w:p w14:paraId="461E46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0.00016</w:t>
            </w:r>
          </w:p>
        </w:tc>
      </w:tr>
      <w:tr w14:paraId="72A2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Merge w:val="restart"/>
            <w:shd w:val="clear" w:color="auto" w:fill="auto"/>
            <w:noWrap/>
            <w:vAlign w:val="center"/>
          </w:tcPr>
          <w:p w14:paraId="711CFA4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低压含烃火炬气工况</w:t>
            </w: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0" w:type="auto"/>
            <w:shd w:val="clear" w:color="auto" w:fill="auto"/>
            <w:noWrap/>
            <w:vAlign w:val="center"/>
          </w:tcPr>
          <w:p w14:paraId="00E381C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丁醇</w:t>
            </w:r>
          </w:p>
        </w:tc>
        <w:tc>
          <w:tcPr>
            <w:tcW w:w="0" w:type="auto"/>
            <w:shd w:val="clear" w:color="auto" w:fill="auto"/>
            <w:noWrap/>
            <w:vAlign w:val="center"/>
          </w:tcPr>
          <w:p w14:paraId="3B48D3B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0.003</w:t>
            </w:r>
          </w:p>
        </w:tc>
        <w:tc>
          <w:tcPr>
            <w:tcW w:w="0" w:type="auto"/>
            <w:shd w:val="clear" w:color="auto" w:fill="auto"/>
            <w:noWrap/>
            <w:vAlign w:val="center"/>
          </w:tcPr>
          <w:p w14:paraId="082F96B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24BA89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0.0003</w:t>
            </w:r>
          </w:p>
        </w:tc>
      </w:tr>
      <w:tr w14:paraId="7236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Merge w:val="continue"/>
            <w:shd w:val="clear" w:color="auto" w:fill="auto"/>
            <w:noWrap/>
            <w:vAlign w:val="center"/>
          </w:tcPr>
          <w:p w14:paraId="4653CCC5">
            <w:pPr>
              <w:jc w:val="center"/>
              <w:rPr>
                <w:rFonts w:hint="eastAsia" w:ascii="宋体" w:hAnsi="宋体" w:eastAsia="宋体" w:cs="宋体"/>
                <w:i w:val="0"/>
                <w:iCs w:val="0"/>
                <w:color w:val="000000"/>
                <w:sz w:val="21"/>
                <w:szCs w:val="21"/>
                <w:highlight w:val="none"/>
                <w:u w:val="none"/>
              </w:rPr>
            </w:pPr>
          </w:p>
        </w:tc>
        <w:tc>
          <w:tcPr>
            <w:tcW w:w="0" w:type="auto"/>
            <w:shd w:val="clear" w:color="auto" w:fill="auto"/>
            <w:noWrap/>
            <w:vAlign w:val="center"/>
          </w:tcPr>
          <w:p w14:paraId="0905753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乙酸乙酯</w:t>
            </w:r>
          </w:p>
        </w:tc>
        <w:tc>
          <w:tcPr>
            <w:tcW w:w="0" w:type="auto"/>
            <w:shd w:val="clear" w:color="auto" w:fill="auto"/>
            <w:noWrap/>
            <w:vAlign w:val="center"/>
          </w:tcPr>
          <w:p w14:paraId="179F14B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0.033</w:t>
            </w:r>
          </w:p>
        </w:tc>
        <w:tc>
          <w:tcPr>
            <w:tcW w:w="0" w:type="auto"/>
            <w:shd w:val="clear" w:color="auto" w:fill="auto"/>
            <w:noWrap/>
            <w:vAlign w:val="center"/>
          </w:tcPr>
          <w:p w14:paraId="04A8124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165EFA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0.0033</w:t>
            </w:r>
          </w:p>
        </w:tc>
      </w:tr>
      <w:tr w14:paraId="00DF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14:paraId="552DC1F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低压含烃火炬气工况</w:t>
            </w:r>
            <w:r>
              <w:rPr>
                <w:rFonts w:hint="default" w:ascii="Times New Roman" w:hAnsi="Times New Roman" w:eastAsia="宋体" w:cs="Times New Roman"/>
                <w:i w:val="0"/>
                <w:iCs w:val="0"/>
                <w:color w:val="000000"/>
                <w:kern w:val="0"/>
                <w:sz w:val="21"/>
                <w:szCs w:val="21"/>
                <w:highlight w:val="none"/>
                <w:u w:val="none"/>
                <w:lang w:val="en-US" w:eastAsia="zh-CN" w:bidi="ar"/>
              </w:rPr>
              <w:t>4</w:t>
            </w:r>
          </w:p>
        </w:tc>
        <w:tc>
          <w:tcPr>
            <w:tcW w:w="0" w:type="auto"/>
            <w:shd w:val="clear" w:color="auto" w:fill="auto"/>
            <w:noWrap/>
            <w:vAlign w:val="center"/>
          </w:tcPr>
          <w:p w14:paraId="200A114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甲醇</w:t>
            </w:r>
          </w:p>
        </w:tc>
        <w:tc>
          <w:tcPr>
            <w:tcW w:w="0" w:type="auto"/>
            <w:shd w:val="clear" w:color="auto" w:fill="auto"/>
            <w:noWrap/>
            <w:vAlign w:val="center"/>
          </w:tcPr>
          <w:p w14:paraId="5FB88ED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0.0013</w:t>
            </w:r>
          </w:p>
        </w:tc>
        <w:tc>
          <w:tcPr>
            <w:tcW w:w="0" w:type="auto"/>
            <w:shd w:val="clear" w:color="auto" w:fill="auto"/>
            <w:noWrap/>
            <w:vAlign w:val="center"/>
          </w:tcPr>
          <w:p w14:paraId="287AB37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47CF0A8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0.00013</w:t>
            </w:r>
          </w:p>
        </w:tc>
      </w:tr>
      <w:tr w14:paraId="7916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Merge w:val="restart"/>
            <w:shd w:val="clear" w:color="auto" w:fill="auto"/>
            <w:noWrap/>
            <w:vAlign w:val="center"/>
          </w:tcPr>
          <w:p w14:paraId="1432A7C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湿酸火炬气</w:t>
            </w: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0" w:type="auto"/>
            <w:shd w:val="clear" w:color="auto" w:fill="auto"/>
            <w:noWrap/>
            <w:vAlign w:val="center"/>
          </w:tcPr>
          <w:p w14:paraId="66F0448C">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CO</w:t>
            </w:r>
          </w:p>
        </w:tc>
        <w:tc>
          <w:tcPr>
            <w:tcW w:w="0" w:type="auto"/>
            <w:shd w:val="clear" w:color="auto" w:fill="auto"/>
            <w:noWrap/>
            <w:vAlign w:val="center"/>
          </w:tcPr>
          <w:p w14:paraId="464FB7E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0.2711</w:t>
            </w:r>
          </w:p>
        </w:tc>
        <w:tc>
          <w:tcPr>
            <w:tcW w:w="0" w:type="auto"/>
            <w:shd w:val="clear" w:color="auto" w:fill="auto"/>
            <w:noWrap/>
            <w:vAlign w:val="center"/>
          </w:tcPr>
          <w:p w14:paraId="5539964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7.5</w:t>
            </w:r>
          </w:p>
        </w:tc>
        <w:tc>
          <w:tcPr>
            <w:tcW w:w="1515" w:type="dxa"/>
            <w:shd w:val="clear" w:color="auto" w:fill="auto"/>
            <w:noWrap/>
            <w:vAlign w:val="center"/>
          </w:tcPr>
          <w:p w14:paraId="60BDCC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0.036146667</w:t>
            </w:r>
          </w:p>
        </w:tc>
      </w:tr>
      <w:tr w14:paraId="05C8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vMerge w:val="continue"/>
            <w:shd w:val="clear" w:color="auto" w:fill="auto"/>
            <w:noWrap/>
            <w:vAlign w:val="center"/>
          </w:tcPr>
          <w:p w14:paraId="645B9A9E">
            <w:pPr>
              <w:jc w:val="center"/>
              <w:rPr>
                <w:rFonts w:hint="eastAsia" w:ascii="宋体" w:hAnsi="宋体" w:eastAsia="宋体" w:cs="宋体"/>
                <w:i w:val="0"/>
                <w:iCs w:val="0"/>
                <w:color w:val="000000"/>
                <w:sz w:val="21"/>
                <w:szCs w:val="21"/>
                <w:highlight w:val="none"/>
                <w:u w:val="none"/>
              </w:rPr>
            </w:pPr>
          </w:p>
        </w:tc>
        <w:tc>
          <w:tcPr>
            <w:tcW w:w="0" w:type="auto"/>
            <w:shd w:val="clear" w:color="auto" w:fill="auto"/>
            <w:noWrap/>
            <w:vAlign w:val="center"/>
          </w:tcPr>
          <w:p w14:paraId="0CD140E7">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4</w:t>
            </w:r>
          </w:p>
        </w:tc>
        <w:tc>
          <w:tcPr>
            <w:tcW w:w="0" w:type="auto"/>
            <w:shd w:val="clear" w:color="auto" w:fill="auto"/>
            <w:noWrap/>
            <w:vAlign w:val="center"/>
          </w:tcPr>
          <w:p w14:paraId="2D09722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0.0001</w:t>
            </w:r>
          </w:p>
        </w:tc>
        <w:tc>
          <w:tcPr>
            <w:tcW w:w="0" w:type="auto"/>
            <w:shd w:val="clear" w:color="auto" w:fill="auto"/>
            <w:noWrap/>
            <w:vAlign w:val="center"/>
          </w:tcPr>
          <w:p w14:paraId="2A037FB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4FD4F1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0.00001</w:t>
            </w:r>
          </w:p>
        </w:tc>
      </w:tr>
      <w:tr w14:paraId="5835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0" w:type="auto"/>
            <w:vMerge w:val="continue"/>
            <w:shd w:val="clear" w:color="auto" w:fill="auto"/>
            <w:noWrap/>
            <w:vAlign w:val="center"/>
          </w:tcPr>
          <w:p w14:paraId="6D6489F4">
            <w:pPr>
              <w:jc w:val="center"/>
              <w:rPr>
                <w:rFonts w:hint="eastAsia" w:ascii="宋体" w:hAnsi="宋体" w:eastAsia="宋体" w:cs="宋体"/>
                <w:i w:val="0"/>
                <w:iCs w:val="0"/>
                <w:color w:val="000000"/>
                <w:sz w:val="21"/>
                <w:szCs w:val="21"/>
                <w:highlight w:val="none"/>
                <w:u w:val="none"/>
              </w:rPr>
            </w:pPr>
          </w:p>
        </w:tc>
        <w:tc>
          <w:tcPr>
            <w:tcW w:w="0" w:type="auto"/>
            <w:shd w:val="clear" w:color="auto" w:fill="auto"/>
            <w:noWrap/>
            <w:vAlign w:val="center"/>
          </w:tcPr>
          <w:p w14:paraId="08057CFC">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000000"/>
                <w:kern w:val="0"/>
                <w:sz w:val="21"/>
                <w:szCs w:val="21"/>
                <w:highlight w:val="none"/>
                <w:u w:val="none"/>
                <w:lang w:val="en-US" w:eastAsia="zh-CN" w:bidi="ar"/>
              </w:rPr>
              <w:t>S</w:t>
            </w:r>
          </w:p>
        </w:tc>
        <w:tc>
          <w:tcPr>
            <w:tcW w:w="0" w:type="auto"/>
            <w:shd w:val="clear" w:color="auto" w:fill="auto"/>
            <w:noWrap/>
            <w:vAlign w:val="center"/>
          </w:tcPr>
          <w:p w14:paraId="56963F8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0.0000071</w:t>
            </w:r>
          </w:p>
        </w:tc>
        <w:tc>
          <w:tcPr>
            <w:tcW w:w="0" w:type="auto"/>
            <w:shd w:val="clear" w:color="auto" w:fill="auto"/>
            <w:noWrap/>
            <w:vAlign w:val="center"/>
          </w:tcPr>
          <w:p w14:paraId="031A689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2.5</w:t>
            </w:r>
          </w:p>
        </w:tc>
        <w:tc>
          <w:tcPr>
            <w:tcW w:w="1515" w:type="dxa"/>
            <w:shd w:val="clear" w:color="auto" w:fill="auto"/>
            <w:noWrap/>
            <w:vAlign w:val="center"/>
          </w:tcPr>
          <w:p w14:paraId="64C177F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0.00000284</w:t>
            </w:r>
          </w:p>
        </w:tc>
      </w:tr>
      <w:tr w14:paraId="7224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vMerge w:val="restart"/>
            <w:shd w:val="clear" w:color="auto" w:fill="auto"/>
            <w:noWrap/>
            <w:vAlign w:val="center"/>
          </w:tcPr>
          <w:p w14:paraId="1C6927F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酸性气（脱硫脱碳再生气体）</w:t>
            </w:r>
          </w:p>
        </w:tc>
        <w:tc>
          <w:tcPr>
            <w:tcW w:w="0" w:type="auto"/>
            <w:shd w:val="clear" w:color="auto" w:fill="auto"/>
            <w:noWrap/>
            <w:vAlign w:val="center"/>
          </w:tcPr>
          <w:p w14:paraId="51A6DC0B">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000000"/>
                <w:kern w:val="0"/>
                <w:sz w:val="21"/>
                <w:szCs w:val="21"/>
                <w:highlight w:val="none"/>
                <w:u w:val="none"/>
                <w:lang w:val="en-US" w:eastAsia="zh-CN" w:bidi="ar"/>
              </w:rPr>
              <w:t>S</w:t>
            </w:r>
          </w:p>
        </w:tc>
        <w:tc>
          <w:tcPr>
            <w:tcW w:w="0" w:type="auto"/>
            <w:shd w:val="clear" w:color="auto" w:fill="auto"/>
            <w:noWrap/>
            <w:vAlign w:val="center"/>
          </w:tcPr>
          <w:p w14:paraId="5E837EF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0.0005</w:t>
            </w:r>
          </w:p>
        </w:tc>
        <w:tc>
          <w:tcPr>
            <w:tcW w:w="0" w:type="auto"/>
            <w:shd w:val="clear" w:color="auto" w:fill="auto"/>
            <w:noWrap/>
            <w:vAlign w:val="center"/>
          </w:tcPr>
          <w:p w14:paraId="154DF98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2.5</w:t>
            </w:r>
          </w:p>
        </w:tc>
        <w:tc>
          <w:tcPr>
            <w:tcW w:w="1515" w:type="dxa"/>
            <w:shd w:val="clear" w:color="auto" w:fill="auto"/>
            <w:noWrap/>
            <w:vAlign w:val="center"/>
          </w:tcPr>
          <w:p w14:paraId="34178E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0.0002</w:t>
            </w:r>
          </w:p>
        </w:tc>
      </w:tr>
      <w:tr w14:paraId="7C72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0" w:type="auto"/>
            <w:vMerge w:val="continue"/>
            <w:shd w:val="clear" w:color="auto" w:fill="auto"/>
            <w:noWrap/>
            <w:vAlign w:val="center"/>
          </w:tcPr>
          <w:p w14:paraId="180FA8FB">
            <w:pPr>
              <w:jc w:val="center"/>
              <w:rPr>
                <w:rFonts w:hint="eastAsia" w:ascii="宋体" w:hAnsi="宋体" w:eastAsia="宋体" w:cs="宋体"/>
                <w:i w:val="0"/>
                <w:iCs w:val="0"/>
                <w:color w:val="000000"/>
                <w:sz w:val="21"/>
                <w:szCs w:val="21"/>
                <w:highlight w:val="none"/>
                <w:u w:val="none"/>
              </w:rPr>
            </w:pPr>
          </w:p>
        </w:tc>
        <w:tc>
          <w:tcPr>
            <w:tcW w:w="0" w:type="auto"/>
            <w:shd w:val="clear" w:color="auto" w:fill="auto"/>
            <w:noWrap/>
            <w:vAlign w:val="center"/>
          </w:tcPr>
          <w:p w14:paraId="1B609B09">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4</w:t>
            </w:r>
          </w:p>
        </w:tc>
        <w:tc>
          <w:tcPr>
            <w:tcW w:w="0" w:type="auto"/>
            <w:shd w:val="clear" w:color="auto" w:fill="auto"/>
            <w:noWrap/>
            <w:vAlign w:val="center"/>
          </w:tcPr>
          <w:p w14:paraId="6F5C8A8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0.000016</w:t>
            </w:r>
          </w:p>
        </w:tc>
        <w:tc>
          <w:tcPr>
            <w:tcW w:w="0" w:type="auto"/>
            <w:shd w:val="clear" w:color="auto" w:fill="auto"/>
            <w:noWrap/>
            <w:vAlign w:val="center"/>
          </w:tcPr>
          <w:p w14:paraId="235AE1A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1CFA34F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0.0000016</w:t>
            </w:r>
          </w:p>
        </w:tc>
      </w:tr>
      <w:tr w14:paraId="32C1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shd w:val="clear" w:color="auto" w:fill="auto"/>
            <w:noWrap/>
            <w:vAlign w:val="center"/>
          </w:tcPr>
          <w:p w14:paraId="692DDF4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尾气</w:t>
            </w:r>
          </w:p>
        </w:tc>
        <w:tc>
          <w:tcPr>
            <w:tcW w:w="0" w:type="auto"/>
            <w:shd w:val="clear" w:color="auto" w:fill="auto"/>
            <w:noWrap/>
            <w:vAlign w:val="center"/>
          </w:tcPr>
          <w:p w14:paraId="37F5119C">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4</w:t>
            </w:r>
          </w:p>
        </w:tc>
        <w:tc>
          <w:tcPr>
            <w:tcW w:w="0" w:type="auto"/>
            <w:shd w:val="clear" w:color="auto" w:fill="auto"/>
            <w:noWrap/>
            <w:vAlign w:val="center"/>
          </w:tcPr>
          <w:p w14:paraId="3F8E003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0.0153</w:t>
            </w:r>
          </w:p>
        </w:tc>
        <w:tc>
          <w:tcPr>
            <w:tcW w:w="0" w:type="auto"/>
            <w:shd w:val="clear" w:color="auto" w:fill="auto"/>
            <w:noWrap/>
            <w:vAlign w:val="center"/>
          </w:tcPr>
          <w:p w14:paraId="63E4EE4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2841CE5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0.00153</w:t>
            </w:r>
          </w:p>
        </w:tc>
      </w:tr>
      <w:tr w14:paraId="4EE4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vMerge w:val="restart"/>
            <w:shd w:val="clear" w:color="auto" w:fill="auto"/>
            <w:noWrap/>
            <w:vAlign w:val="center"/>
          </w:tcPr>
          <w:p w14:paraId="256E0A19">
            <w:pPr>
              <w:keepNext w:val="0"/>
              <w:keepLines w:val="0"/>
              <w:widowControl/>
              <w:suppressLineNumbers w:val="0"/>
              <w:jc w:val="center"/>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富甲烷气</w:t>
            </w:r>
          </w:p>
        </w:tc>
        <w:tc>
          <w:tcPr>
            <w:tcW w:w="0" w:type="auto"/>
            <w:shd w:val="clear" w:color="auto" w:fill="auto"/>
            <w:noWrap/>
            <w:vAlign w:val="center"/>
          </w:tcPr>
          <w:p w14:paraId="5E6C4B8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4</w:t>
            </w:r>
          </w:p>
        </w:tc>
        <w:tc>
          <w:tcPr>
            <w:tcW w:w="0" w:type="auto"/>
            <w:shd w:val="clear" w:color="auto" w:fill="auto"/>
            <w:noWrap/>
            <w:vAlign w:val="center"/>
          </w:tcPr>
          <w:p w14:paraId="3FB0D7D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0.0005</w:t>
            </w:r>
          </w:p>
        </w:tc>
        <w:tc>
          <w:tcPr>
            <w:tcW w:w="0" w:type="auto"/>
            <w:shd w:val="clear" w:color="auto" w:fill="auto"/>
            <w:noWrap/>
            <w:vAlign w:val="center"/>
          </w:tcPr>
          <w:p w14:paraId="4B05866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377D71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0.00005</w:t>
            </w:r>
          </w:p>
        </w:tc>
      </w:tr>
      <w:tr w14:paraId="3ACB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vMerge w:val="continue"/>
            <w:shd w:val="clear" w:color="auto" w:fill="auto"/>
            <w:noWrap/>
            <w:vAlign w:val="center"/>
          </w:tcPr>
          <w:p w14:paraId="3A7E38EB">
            <w:pPr>
              <w:jc w:val="center"/>
              <w:rPr>
                <w:rFonts w:hint="eastAsia" w:ascii="宋体" w:hAnsi="宋体" w:eastAsia="宋体" w:cs="宋体"/>
                <w:i w:val="0"/>
                <w:iCs w:val="0"/>
                <w:color w:val="000000"/>
                <w:sz w:val="21"/>
                <w:szCs w:val="21"/>
                <w:highlight w:val="none"/>
                <w:u w:val="none"/>
              </w:rPr>
            </w:pPr>
          </w:p>
        </w:tc>
        <w:tc>
          <w:tcPr>
            <w:tcW w:w="0" w:type="auto"/>
            <w:shd w:val="clear" w:color="auto" w:fill="auto"/>
            <w:noWrap/>
            <w:vAlign w:val="center"/>
          </w:tcPr>
          <w:p w14:paraId="450B03B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000000"/>
                <w:kern w:val="0"/>
                <w:sz w:val="21"/>
                <w:szCs w:val="21"/>
                <w:highlight w:val="none"/>
                <w:u w:val="none"/>
                <w:lang w:val="en-US" w:eastAsia="zh-CN" w:bidi="ar"/>
              </w:rPr>
              <w:t>S</w:t>
            </w:r>
          </w:p>
        </w:tc>
        <w:tc>
          <w:tcPr>
            <w:tcW w:w="0" w:type="auto"/>
            <w:shd w:val="clear" w:color="auto" w:fill="auto"/>
            <w:noWrap/>
            <w:vAlign w:val="center"/>
          </w:tcPr>
          <w:p w14:paraId="52D63AF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0.0002</w:t>
            </w:r>
          </w:p>
        </w:tc>
        <w:tc>
          <w:tcPr>
            <w:tcW w:w="0" w:type="auto"/>
            <w:shd w:val="clear" w:color="auto" w:fill="auto"/>
            <w:noWrap/>
            <w:vAlign w:val="center"/>
          </w:tcPr>
          <w:p w14:paraId="3F4F742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2.5</w:t>
            </w:r>
          </w:p>
        </w:tc>
        <w:tc>
          <w:tcPr>
            <w:tcW w:w="1515" w:type="dxa"/>
            <w:shd w:val="clear" w:color="auto" w:fill="auto"/>
            <w:noWrap/>
            <w:vAlign w:val="center"/>
          </w:tcPr>
          <w:p w14:paraId="48D9A21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0.00008</w:t>
            </w:r>
          </w:p>
        </w:tc>
      </w:tr>
      <w:tr w14:paraId="2396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Merge w:val="restart"/>
            <w:shd w:val="clear" w:color="auto" w:fill="auto"/>
            <w:noWrap/>
            <w:vAlign w:val="center"/>
          </w:tcPr>
          <w:p w14:paraId="752B817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真空尾气</w:t>
            </w:r>
          </w:p>
        </w:tc>
        <w:tc>
          <w:tcPr>
            <w:tcW w:w="0" w:type="auto"/>
            <w:shd w:val="clear" w:color="auto" w:fill="auto"/>
            <w:noWrap/>
            <w:vAlign w:val="center"/>
          </w:tcPr>
          <w:p w14:paraId="593677B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丁醇</w:t>
            </w:r>
          </w:p>
        </w:tc>
        <w:tc>
          <w:tcPr>
            <w:tcW w:w="0" w:type="auto"/>
            <w:shd w:val="clear" w:color="auto" w:fill="auto"/>
            <w:noWrap/>
            <w:vAlign w:val="center"/>
          </w:tcPr>
          <w:p w14:paraId="323C672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0.0000047</w:t>
            </w:r>
          </w:p>
        </w:tc>
        <w:tc>
          <w:tcPr>
            <w:tcW w:w="0" w:type="auto"/>
            <w:shd w:val="clear" w:color="auto" w:fill="auto"/>
            <w:noWrap/>
            <w:vAlign w:val="center"/>
          </w:tcPr>
          <w:p w14:paraId="53CC300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355EFDF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0.00000047</w:t>
            </w:r>
          </w:p>
        </w:tc>
      </w:tr>
      <w:tr w14:paraId="7DD8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Merge w:val="continue"/>
            <w:shd w:val="clear" w:color="auto" w:fill="auto"/>
            <w:noWrap/>
            <w:vAlign w:val="center"/>
          </w:tcPr>
          <w:p w14:paraId="35AA1B27">
            <w:pPr>
              <w:jc w:val="center"/>
              <w:rPr>
                <w:rFonts w:hint="eastAsia" w:ascii="宋体" w:hAnsi="宋体" w:eastAsia="宋体" w:cs="宋体"/>
                <w:i w:val="0"/>
                <w:iCs w:val="0"/>
                <w:color w:val="000000"/>
                <w:sz w:val="21"/>
                <w:szCs w:val="21"/>
                <w:highlight w:val="none"/>
                <w:u w:val="none"/>
              </w:rPr>
            </w:pPr>
          </w:p>
        </w:tc>
        <w:tc>
          <w:tcPr>
            <w:tcW w:w="0" w:type="auto"/>
            <w:shd w:val="clear" w:color="auto" w:fill="auto"/>
            <w:noWrap/>
            <w:vAlign w:val="center"/>
          </w:tcPr>
          <w:p w14:paraId="0A46388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甲醇</w:t>
            </w:r>
          </w:p>
        </w:tc>
        <w:tc>
          <w:tcPr>
            <w:tcW w:w="0" w:type="auto"/>
            <w:shd w:val="clear" w:color="auto" w:fill="auto"/>
            <w:noWrap/>
            <w:vAlign w:val="center"/>
          </w:tcPr>
          <w:p w14:paraId="7F15124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0.0000003</w:t>
            </w:r>
          </w:p>
        </w:tc>
        <w:tc>
          <w:tcPr>
            <w:tcW w:w="0" w:type="auto"/>
            <w:shd w:val="clear" w:color="auto" w:fill="auto"/>
            <w:noWrap/>
            <w:vAlign w:val="center"/>
          </w:tcPr>
          <w:p w14:paraId="41DC5EC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68FFA95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0.00000003</w:t>
            </w:r>
          </w:p>
        </w:tc>
      </w:tr>
      <w:tr w14:paraId="1BDA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Merge w:val="continue"/>
            <w:shd w:val="clear" w:color="auto" w:fill="auto"/>
            <w:noWrap/>
            <w:vAlign w:val="center"/>
          </w:tcPr>
          <w:p w14:paraId="239A2C44">
            <w:pPr>
              <w:jc w:val="center"/>
              <w:rPr>
                <w:rFonts w:hint="eastAsia" w:ascii="宋体" w:hAnsi="宋体" w:eastAsia="宋体" w:cs="宋体"/>
                <w:i w:val="0"/>
                <w:iCs w:val="0"/>
                <w:color w:val="000000"/>
                <w:sz w:val="21"/>
                <w:szCs w:val="21"/>
                <w:highlight w:val="none"/>
                <w:u w:val="none"/>
              </w:rPr>
            </w:pPr>
          </w:p>
        </w:tc>
        <w:tc>
          <w:tcPr>
            <w:tcW w:w="0" w:type="auto"/>
            <w:shd w:val="clear" w:color="auto" w:fill="auto"/>
            <w:noWrap/>
            <w:vAlign w:val="center"/>
          </w:tcPr>
          <w:p w14:paraId="5235302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正丙醇</w:t>
            </w:r>
          </w:p>
        </w:tc>
        <w:tc>
          <w:tcPr>
            <w:tcW w:w="0" w:type="auto"/>
            <w:shd w:val="clear" w:color="auto" w:fill="auto"/>
            <w:noWrap/>
            <w:vAlign w:val="center"/>
          </w:tcPr>
          <w:p w14:paraId="1A876DD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0.000000062</w:t>
            </w:r>
          </w:p>
        </w:tc>
        <w:tc>
          <w:tcPr>
            <w:tcW w:w="0" w:type="auto"/>
            <w:shd w:val="clear" w:color="auto" w:fill="auto"/>
            <w:noWrap/>
            <w:vAlign w:val="center"/>
          </w:tcPr>
          <w:p w14:paraId="53ECA8A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71918A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0.0000000062</w:t>
            </w:r>
          </w:p>
        </w:tc>
      </w:tr>
      <w:tr w14:paraId="6CF8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Merge w:val="continue"/>
            <w:shd w:val="clear" w:color="auto" w:fill="auto"/>
            <w:noWrap/>
            <w:vAlign w:val="center"/>
          </w:tcPr>
          <w:p w14:paraId="2F8A739A">
            <w:pPr>
              <w:jc w:val="center"/>
              <w:rPr>
                <w:rFonts w:hint="eastAsia" w:ascii="宋体" w:hAnsi="宋体" w:eastAsia="宋体" w:cs="宋体"/>
                <w:i w:val="0"/>
                <w:iCs w:val="0"/>
                <w:color w:val="000000"/>
                <w:sz w:val="21"/>
                <w:szCs w:val="21"/>
                <w:highlight w:val="none"/>
                <w:u w:val="none"/>
              </w:rPr>
            </w:pPr>
          </w:p>
        </w:tc>
        <w:tc>
          <w:tcPr>
            <w:tcW w:w="0" w:type="auto"/>
            <w:shd w:val="clear" w:color="auto" w:fill="auto"/>
            <w:noWrap/>
            <w:vAlign w:val="center"/>
          </w:tcPr>
          <w:p w14:paraId="109FEE3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异丙醇</w:t>
            </w:r>
          </w:p>
        </w:tc>
        <w:tc>
          <w:tcPr>
            <w:tcW w:w="0" w:type="auto"/>
            <w:shd w:val="clear" w:color="auto" w:fill="auto"/>
            <w:noWrap/>
            <w:vAlign w:val="center"/>
          </w:tcPr>
          <w:p w14:paraId="3E213A6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0.0000005</w:t>
            </w:r>
          </w:p>
        </w:tc>
        <w:tc>
          <w:tcPr>
            <w:tcW w:w="0" w:type="auto"/>
            <w:shd w:val="clear" w:color="auto" w:fill="auto"/>
            <w:noWrap/>
            <w:vAlign w:val="center"/>
          </w:tcPr>
          <w:p w14:paraId="3E9894C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14BA352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0.00000005</w:t>
            </w:r>
          </w:p>
        </w:tc>
      </w:tr>
      <w:tr w14:paraId="63EC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Merge w:val="continue"/>
            <w:shd w:val="clear" w:color="auto" w:fill="auto"/>
            <w:noWrap/>
            <w:vAlign w:val="center"/>
          </w:tcPr>
          <w:p w14:paraId="1EF0FE98">
            <w:pPr>
              <w:jc w:val="center"/>
              <w:rPr>
                <w:rFonts w:hint="eastAsia" w:ascii="宋体" w:hAnsi="宋体" w:eastAsia="宋体" w:cs="宋体"/>
                <w:i w:val="0"/>
                <w:iCs w:val="0"/>
                <w:color w:val="000000"/>
                <w:sz w:val="21"/>
                <w:szCs w:val="21"/>
                <w:highlight w:val="none"/>
                <w:u w:val="none"/>
              </w:rPr>
            </w:pPr>
          </w:p>
        </w:tc>
        <w:tc>
          <w:tcPr>
            <w:tcW w:w="0" w:type="auto"/>
            <w:shd w:val="clear" w:color="auto" w:fill="auto"/>
            <w:noWrap/>
            <w:vAlign w:val="center"/>
          </w:tcPr>
          <w:p w14:paraId="6EFE283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乙酸</w:t>
            </w:r>
          </w:p>
        </w:tc>
        <w:tc>
          <w:tcPr>
            <w:tcW w:w="0" w:type="auto"/>
            <w:shd w:val="clear" w:color="auto" w:fill="auto"/>
            <w:noWrap/>
            <w:vAlign w:val="center"/>
          </w:tcPr>
          <w:p w14:paraId="11CB783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0.0000003</w:t>
            </w:r>
            <w:r>
              <w:rPr>
                <w:rFonts w:hint="eastAsia" w:cs="Times New Roman"/>
                <w:i w:val="0"/>
                <w:iCs w:val="0"/>
                <w:color w:val="000000"/>
                <w:kern w:val="0"/>
                <w:sz w:val="21"/>
                <w:szCs w:val="21"/>
                <w:highlight w:val="none"/>
                <w:u w:val="none"/>
                <w:lang w:val="en-US" w:eastAsia="zh-CN" w:bidi="ar"/>
              </w:rPr>
              <w:t>1</w:t>
            </w:r>
          </w:p>
        </w:tc>
        <w:tc>
          <w:tcPr>
            <w:tcW w:w="0" w:type="auto"/>
            <w:shd w:val="clear" w:color="auto" w:fill="auto"/>
            <w:noWrap/>
            <w:vAlign w:val="center"/>
          </w:tcPr>
          <w:p w14:paraId="5A5D18D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5B13AEA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0.000000031</w:t>
            </w:r>
          </w:p>
        </w:tc>
      </w:tr>
      <w:tr w14:paraId="6DFF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Merge w:val="continue"/>
            <w:shd w:val="clear" w:color="auto" w:fill="auto"/>
            <w:noWrap/>
            <w:vAlign w:val="center"/>
          </w:tcPr>
          <w:p w14:paraId="71B9DF23">
            <w:pPr>
              <w:jc w:val="center"/>
              <w:rPr>
                <w:rFonts w:hint="eastAsia" w:ascii="宋体" w:hAnsi="宋体" w:eastAsia="宋体" w:cs="宋体"/>
                <w:i w:val="0"/>
                <w:iCs w:val="0"/>
                <w:color w:val="000000"/>
                <w:sz w:val="21"/>
                <w:szCs w:val="21"/>
                <w:highlight w:val="none"/>
                <w:u w:val="none"/>
              </w:rPr>
            </w:pPr>
          </w:p>
        </w:tc>
        <w:tc>
          <w:tcPr>
            <w:tcW w:w="0" w:type="auto"/>
            <w:shd w:val="clear" w:color="auto" w:fill="auto"/>
            <w:noWrap/>
            <w:vAlign w:val="center"/>
          </w:tcPr>
          <w:p w14:paraId="3E121FF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乙酸乙酯</w:t>
            </w:r>
          </w:p>
        </w:tc>
        <w:tc>
          <w:tcPr>
            <w:tcW w:w="0" w:type="auto"/>
            <w:shd w:val="clear" w:color="auto" w:fill="auto"/>
            <w:noWrap/>
            <w:vAlign w:val="center"/>
          </w:tcPr>
          <w:p w14:paraId="3A889B9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0.0076</w:t>
            </w:r>
          </w:p>
        </w:tc>
        <w:tc>
          <w:tcPr>
            <w:tcW w:w="0" w:type="auto"/>
            <w:shd w:val="clear" w:color="auto" w:fill="auto"/>
            <w:noWrap/>
            <w:vAlign w:val="center"/>
          </w:tcPr>
          <w:p w14:paraId="539172A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141CF74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w:t>
            </w:r>
            <w:r>
              <w:rPr>
                <w:rFonts w:hint="eastAsia" w:cs="Times New Roman"/>
                <w:i w:val="0"/>
                <w:iCs w:val="0"/>
                <w:color w:val="000000"/>
                <w:kern w:val="0"/>
                <w:sz w:val="21"/>
                <w:szCs w:val="21"/>
                <w:highlight w:val="none"/>
                <w:u w:val="none"/>
                <w:lang w:val="en-US" w:eastAsia="zh-CN" w:bidi="ar"/>
              </w:rPr>
              <w:t>0</w:t>
            </w:r>
            <w:r>
              <w:rPr>
                <w:rFonts w:hint="default" w:ascii="Times New Roman" w:hAnsi="Times New Roman" w:eastAsia="宋体" w:cs="Times New Roman"/>
                <w:i w:val="0"/>
                <w:iCs w:val="0"/>
                <w:color w:val="000000"/>
                <w:kern w:val="0"/>
                <w:sz w:val="21"/>
                <w:szCs w:val="21"/>
                <w:highlight w:val="none"/>
                <w:u w:val="none"/>
                <w:lang w:val="en-US" w:eastAsia="zh-CN" w:bidi="ar"/>
              </w:rPr>
              <w:t>76</w:t>
            </w:r>
          </w:p>
        </w:tc>
      </w:tr>
      <w:tr w14:paraId="5901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Merge w:val="continue"/>
            <w:shd w:val="clear" w:color="auto" w:fill="auto"/>
            <w:noWrap/>
            <w:vAlign w:val="center"/>
          </w:tcPr>
          <w:p w14:paraId="153114F3">
            <w:pPr>
              <w:jc w:val="center"/>
              <w:rPr>
                <w:rFonts w:hint="eastAsia" w:ascii="宋体" w:hAnsi="宋体" w:eastAsia="宋体" w:cs="宋体"/>
                <w:i w:val="0"/>
                <w:iCs w:val="0"/>
                <w:color w:val="000000"/>
                <w:sz w:val="21"/>
                <w:szCs w:val="21"/>
                <w:highlight w:val="none"/>
                <w:u w:val="none"/>
              </w:rPr>
            </w:pPr>
          </w:p>
        </w:tc>
        <w:tc>
          <w:tcPr>
            <w:tcW w:w="0" w:type="auto"/>
            <w:shd w:val="clear" w:color="auto" w:fill="auto"/>
            <w:noWrap/>
            <w:vAlign w:val="center"/>
          </w:tcPr>
          <w:p w14:paraId="567C64F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乙醛</w:t>
            </w:r>
          </w:p>
        </w:tc>
        <w:tc>
          <w:tcPr>
            <w:tcW w:w="0" w:type="auto"/>
            <w:shd w:val="clear" w:color="auto" w:fill="auto"/>
            <w:noWrap/>
            <w:vAlign w:val="center"/>
          </w:tcPr>
          <w:p w14:paraId="787474E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0.000084</w:t>
            </w:r>
          </w:p>
        </w:tc>
        <w:tc>
          <w:tcPr>
            <w:tcW w:w="0" w:type="auto"/>
            <w:shd w:val="clear" w:color="auto" w:fill="auto"/>
            <w:noWrap/>
            <w:vAlign w:val="center"/>
          </w:tcPr>
          <w:p w14:paraId="2944A27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3D2A2BF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0.0000084</w:t>
            </w:r>
          </w:p>
        </w:tc>
      </w:tr>
      <w:tr w14:paraId="30DD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0" w:type="auto"/>
            <w:vMerge w:val="continue"/>
            <w:shd w:val="clear" w:color="auto" w:fill="auto"/>
            <w:noWrap/>
            <w:vAlign w:val="center"/>
          </w:tcPr>
          <w:p w14:paraId="2E4807CA">
            <w:pPr>
              <w:jc w:val="center"/>
              <w:rPr>
                <w:rFonts w:hint="eastAsia" w:ascii="宋体" w:hAnsi="宋体" w:eastAsia="宋体" w:cs="宋体"/>
                <w:i w:val="0"/>
                <w:iCs w:val="0"/>
                <w:color w:val="000000"/>
                <w:sz w:val="21"/>
                <w:szCs w:val="21"/>
                <w:highlight w:val="none"/>
                <w:u w:val="none"/>
              </w:rPr>
            </w:pPr>
          </w:p>
        </w:tc>
        <w:tc>
          <w:tcPr>
            <w:tcW w:w="0" w:type="auto"/>
            <w:shd w:val="clear" w:color="auto" w:fill="auto"/>
            <w:noWrap/>
            <w:vAlign w:val="center"/>
          </w:tcPr>
          <w:p w14:paraId="539DA60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4</w:t>
            </w:r>
          </w:p>
        </w:tc>
        <w:tc>
          <w:tcPr>
            <w:tcW w:w="0" w:type="auto"/>
            <w:shd w:val="clear" w:color="auto" w:fill="auto"/>
            <w:noWrap/>
            <w:vAlign w:val="center"/>
          </w:tcPr>
          <w:p w14:paraId="08063C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0.000035</w:t>
            </w:r>
          </w:p>
        </w:tc>
        <w:tc>
          <w:tcPr>
            <w:tcW w:w="0" w:type="auto"/>
            <w:shd w:val="clear" w:color="auto" w:fill="auto"/>
            <w:noWrap/>
            <w:vAlign w:val="center"/>
          </w:tcPr>
          <w:p w14:paraId="2B3E0CB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515" w:type="dxa"/>
            <w:shd w:val="clear" w:color="auto" w:fill="auto"/>
            <w:noWrap/>
            <w:vAlign w:val="center"/>
          </w:tcPr>
          <w:p w14:paraId="096D01B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0.0000035</w:t>
            </w:r>
          </w:p>
        </w:tc>
      </w:tr>
      <w:tr w14:paraId="684E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vMerge w:val="continue"/>
            <w:shd w:val="clear" w:color="auto" w:fill="auto"/>
            <w:noWrap/>
            <w:vAlign w:val="center"/>
          </w:tcPr>
          <w:p w14:paraId="14D0C5A9">
            <w:pPr>
              <w:jc w:val="center"/>
              <w:rPr>
                <w:rFonts w:hint="eastAsia" w:ascii="宋体" w:hAnsi="宋体" w:eastAsia="宋体" w:cs="宋体"/>
                <w:i w:val="0"/>
                <w:iCs w:val="0"/>
                <w:color w:val="000000"/>
                <w:sz w:val="21"/>
                <w:szCs w:val="21"/>
                <w:highlight w:val="none"/>
                <w:u w:val="none"/>
              </w:rPr>
            </w:pPr>
          </w:p>
        </w:tc>
        <w:tc>
          <w:tcPr>
            <w:tcW w:w="0" w:type="auto"/>
            <w:shd w:val="clear" w:color="auto" w:fill="auto"/>
            <w:noWrap/>
            <w:vAlign w:val="center"/>
          </w:tcPr>
          <w:p w14:paraId="0836AF4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000000"/>
                <w:kern w:val="0"/>
                <w:sz w:val="21"/>
                <w:szCs w:val="21"/>
                <w:highlight w:val="none"/>
                <w:u w:val="none"/>
                <w:lang w:val="en-US" w:eastAsia="zh-CN" w:bidi="ar"/>
              </w:rPr>
              <w:t>S</w:t>
            </w:r>
          </w:p>
        </w:tc>
        <w:tc>
          <w:tcPr>
            <w:tcW w:w="0" w:type="auto"/>
            <w:shd w:val="clear" w:color="auto" w:fill="auto"/>
            <w:noWrap/>
            <w:vAlign w:val="center"/>
          </w:tcPr>
          <w:p w14:paraId="44C2091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0.0004</w:t>
            </w:r>
          </w:p>
        </w:tc>
        <w:tc>
          <w:tcPr>
            <w:tcW w:w="0" w:type="auto"/>
            <w:shd w:val="clear" w:color="auto" w:fill="auto"/>
            <w:noWrap/>
            <w:vAlign w:val="center"/>
          </w:tcPr>
          <w:p w14:paraId="26DD19A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2.5</w:t>
            </w:r>
          </w:p>
        </w:tc>
        <w:tc>
          <w:tcPr>
            <w:tcW w:w="1515" w:type="dxa"/>
            <w:shd w:val="clear" w:color="auto" w:fill="auto"/>
            <w:noWrap/>
            <w:vAlign w:val="center"/>
          </w:tcPr>
          <w:p w14:paraId="40FD5D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0.00016</w:t>
            </w:r>
          </w:p>
        </w:tc>
      </w:tr>
      <w:tr w14:paraId="5BF6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vMerge w:val="continue"/>
            <w:shd w:val="clear" w:color="auto" w:fill="auto"/>
            <w:noWrap/>
            <w:vAlign w:val="center"/>
          </w:tcPr>
          <w:p w14:paraId="1881D0AF">
            <w:pPr>
              <w:jc w:val="center"/>
              <w:rPr>
                <w:rFonts w:hint="eastAsia" w:ascii="宋体" w:hAnsi="宋体" w:eastAsia="宋体" w:cs="宋体"/>
                <w:i w:val="0"/>
                <w:iCs w:val="0"/>
                <w:color w:val="000000"/>
                <w:sz w:val="21"/>
                <w:szCs w:val="21"/>
                <w:highlight w:val="none"/>
                <w:u w:val="none"/>
              </w:rPr>
            </w:pPr>
          </w:p>
        </w:tc>
        <w:tc>
          <w:tcPr>
            <w:tcW w:w="0" w:type="auto"/>
            <w:shd w:val="clear" w:color="auto" w:fill="auto"/>
            <w:noWrap/>
            <w:vAlign w:val="center"/>
          </w:tcPr>
          <w:p w14:paraId="5BBEE80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NH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3</w:t>
            </w:r>
          </w:p>
        </w:tc>
        <w:tc>
          <w:tcPr>
            <w:tcW w:w="0" w:type="auto"/>
            <w:shd w:val="clear" w:color="auto" w:fill="auto"/>
            <w:noWrap/>
            <w:vAlign w:val="center"/>
          </w:tcPr>
          <w:p w14:paraId="31BCCA3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cs="Times New Roman"/>
                <w:i w:val="0"/>
                <w:iCs w:val="0"/>
                <w:color w:val="000000"/>
                <w:kern w:val="0"/>
                <w:sz w:val="21"/>
                <w:szCs w:val="21"/>
                <w:highlight w:val="none"/>
                <w:u w:val="none"/>
                <w:lang w:val="en-US" w:eastAsia="zh-CN" w:bidi="ar"/>
              </w:rPr>
              <w:t>0.000049</w:t>
            </w:r>
          </w:p>
        </w:tc>
        <w:tc>
          <w:tcPr>
            <w:tcW w:w="0" w:type="auto"/>
            <w:shd w:val="clear" w:color="auto" w:fill="auto"/>
            <w:noWrap/>
            <w:vAlign w:val="center"/>
          </w:tcPr>
          <w:p w14:paraId="7253B47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5</w:t>
            </w:r>
          </w:p>
        </w:tc>
        <w:tc>
          <w:tcPr>
            <w:tcW w:w="1515" w:type="dxa"/>
            <w:shd w:val="clear" w:color="auto" w:fill="auto"/>
            <w:noWrap/>
            <w:vAlign w:val="center"/>
          </w:tcPr>
          <w:p w14:paraId="5A413B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0.0000098</w:t>
            </w:r>
          </w:p>
        </w:tc>
      </w:tr>
      <w:tr w14:paraId="1062B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951" w:type="dxa"/>
            <w:gridSpan w:val="4"/>
            <w:shd w:val="clear" w:color="auto" w:fill="auto"/>
            <w:vAlign w:val="center"/>
          </w:tcPr>
          <w:p w14:paraId="6923735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合计</w:t>
            </w:r>
          </w:p>
        </w:tc>
        <w:tc>
          <w:tcPr>
            <w:tcW w:w="1515" w:type="dxa"/>
            <w:shd w:val="clear" w:color="auto" w:fill="auto"/>
            <w:noWrap/>
            <w:vAlign w:val="center"/>
          </w:tcPr>
          <w:p w14:paraId="259D0C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0.123606807</w:t>
            </w:r>
          </w:p>
        </w:tc>
      </w:tr>
    </w:tbl>
    <w:p w14:paraId="54C5C72F">
      <w:pPr>
        <w:widowControl/>
        <w:spacing w:line="360" w:lineRule="auto"/>
        <w:ind w:firstLine="0" w:firstLineChars="0"/>
        <w:jc w:val="center"/>
        <w:rPr>
          <w:rFonts w:hint="default"/>
          <w:highlight w:val="none"/>
        </w:rPr>
      </w:pPr>
    </w:p>
    <w:p w14:paraId="7EE72942">
      <w:pPr>
        <w:spacing w:line="360" w:lineRule="auto"/>
        <w:ind w:firstLine="480" w:firstLineChars="200"/>
        <w:rPr>
          <w:rFonts w:hint="eastAsia"/>
          <w:color w:val="0000FF"/>
          <w:sz w:val="24"/>
          <w:highlight w:val="none"/>
        </w:rPr>
      </w:pPr>
      <w:r>
        <w:rPr>
          <w:rFonts w:hint="eastAsia"/>
          <w:sz w:val="24"/>
          <w:highlight w:val="none"/>
        </w:rPr>
        <w:t>根据上表计算结果，本项目危险物质数量与临界量比值最终取值为</w:t>
      </w:r>
      <w:r>
        <w:rPr>
          <w:rFonts w:hint="eastAsia"/>
          <w:sz w:val="24"/>
          <w:highlight w:val="none"/>
          <w:lang w:val="en-US" w:eastAsia="zh-CN"/>
        </w:rPr>
        <w:t>0.124</w:t>
      </w:r>
      <w:r>
        <w:rPr>
          <w:rFonts w:hint="eastAsia"/>
          <w:sz w:val="24"/>
          <w:highlight w:val="none"/>
        </w:rPr>
        <w:t>，Q值划分为</w:t>
      </w:r>
      <w:r>
        <w:rPr>
          <w:rFonts w:hint="eastAsia"/>
          <w:sz w:val="24"/>
          <w:highlight w:val="none"/>
          <w:lang w:eastAsia="zh-CN"/>
        </w:rPr>
        <w:t>（</w:t>
      </w:r>
      <w:r>
        <w:rPr>
          <w:rFonts w:hint="eastAsia"/>
          <w:sz w:val="24"/>
          <w:highlight w:val="none"/>
        </w:rPr>
        <w:t>1</w:t>
      </w:r>
      <w:r>
        <w:rPr>
          <w:rFonts w:hint="eastAsia"/>
          <w:sz w:val="24"/>
          <w:highlight w:val="none"/>
          <w:lang w:eastAsia="zh-CN"/>
        </w:rPr>
        <w:t>）</w:t>
      </w:r>
      <w:r>
        <w:rPr>
          <w:rFonts w:hint="eastAsia"/>
          <w:sz w:val="24"/>
          <w:highlight w:val="none"/>
        </w:rPr>
        <w:t>1&lt;Q</w:t>
      </w:r>
      <w:r>
        <w:rPr>
          <w:rFonts w:hint="eastAsia"/>
          <w:sz w:val="24"/>
          <w:highlight w:val="none"/>
          <w:lang w:eastAsia="zh-CN"/>
        </w:rPr>
        <w:t>，</w:t>
      </w:r>
      <w:r>
        <w:rPr>
          <w:rFonts w:hint="eastAsia"/>
          <w:sz w:val="24"/>
          <w:highlight w:val="none"/>
          <w:lang w:val="en-US" w:eastAsia="zh-CN"/>
        </w:rPr>
        <w:t>项目环境风险为I</w:t>
      </w:r>
      <w:r>
        <w:rPr>
          <w:rFonts w:hint="eastAsia"/>
          <w:color w:val="0000FF"/>
          <w:sz w:val="24"/>
          <w:highlight w:val="none"/>
        </w:rPr>
        <w:t>。</w:t>
      </w:r>
    </w:p>
    <w:p w14:paraId="6D227852">
      <w:pPr>
        <w:pStyle w:val="43"/>
        <w:numPr>
          <w:ilvl w:val="0"/>
          <w:numId w:val="0"/>
        </w:numPr>
        <w:rPr>
          <w:rFonts w:hint="default" w:ascii="Times New Roman" w:hAnsi="Times New Roman" w:eastAsia="宋体" w:cs="Times New Roman"/>
          <w:b/>
          <w:bCs/>
          <w:sz w:val="24"/>
          <w:szCs w:val="24"/>
          <w:highlight w:val="none"/>
          <w:lang w:val="en-US" w:eastAsia="zh-CN"/>
        </w:rPr>
      </w:pPr>
      <w:bookmarkStart w:id="63" w:name="_Toc2985_WPSOffice_Level1"/>
      <w:r>
        <w:rPr>
          <w:rFonts w:hint="default" w:ascii="Times New Roman" w:hAnsi="Times New Roman" w:eastAsia="宋体" w:cs="Times New Roman"/>
          <w:b/>
          <w:bCs/>
          <w:sz w:val="24"/>
          <w:szCs w:val="24"/>
          <w:highlight w:val="none"/>
          <w:lang w:val="en-US" w:eastAsia="zh-CN"/>
        </w:rPr>
        <w:t>2.3.2</w:t>
      </w:r>
      <w:bookmarkEnd w:id="63"/>
      <w:r>
        <w:rPr>
          <w:rFonts w:hint="default" w:ascii="Times New Roman" w:hAnsi="Times New Roman" w:eastAsia="宋体" w:cs="Times New Roman"/>
          <w:b/>
          <w:bCs/>
          <w:sz w:val="24"/>
          <w:szCs w:val="24"/>
          <w:highlight w:val="none"/>
          <w:lang w:val="en-US" w:eastAsia="zh-CN"/>
        </w:rPr>
        <w:t>风险等级</w:t>
      </w:r>
    </w:p>
    <w:p w14:paraId="52FBAF07">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根据《建设项目环境风险评价技术导则》（HJ169-2018），本项目</w:t>
      </w:r>
      <w:r>
        <w:rPr>
          <w:rFonts w:hint="eastAsia" w:cs="Times New Roman"/>
          <w:sz w:val="24"/>
          <w:highlight w:val="none"/>
          <w:lang w:eastAsia="zh-CN"/>
        </w:rPr>
        <w:t>的</w:t>
      </w:r>
      <w:r>
        <w:rPr>
          <w:rFonts w:hint="default" w:ascii="Times New Roman" w:hAnsi="Times New Roman" w:eastAsia="宋体" w:cs="Times New Roman"/>
          <w:sz w:val="24"/>
          <w:highlight w:val="none"/>
        </w:rPr>
        <w:t>危险物质数量与临界量比值Q&lt;1，</w:t>
      </w:r>
      <w:r>
        <w:rPr>
          <w:rFonts w:hint="eastAsia" w:cs="Times New Roman"/>
          <w:sz w:val="24"/>
          <w:highlight w:val="none"/>
          <w:lang w:eastAsia="zh-CN"/>
        </w:rPr>
        <w:t>因此</w:t>
      </w:r>
      <w:r>
        <w:rPr>
          <w:rFonts w:hint="default" w:ascii="Times New Roman" w:hAnsi="Times New Roman" w:eastAsia="宋体" w:cs="Times New Roman"/>
          <w:sz w:val="24"/>
          <w:highlight w:val="none"/>
        </w:rPr>
        <w:t>该项目</w:t>
      </w:r>
      <w:r>
        <w:rPr>
          <w:rFonts w:hint="eastAsia" w:cs="Times New Roman"/>
          <w:sz w:val="24"/>
          <w:highlight w:val="none"/>
          <w:lang w:eastAsia="zh-CN"/>
        </w:rPr>
        <w:t>的</w:t>
      </w:r>
      <w:r>
        <w:rPr>
          <w:rFonts w:hint="default" w:ascii="Times New Roman" w:hAnsi="Times New Roman" w:eastAsia="宋体" w:cs="Times New Roman"/>
          <w:sz w:val="24"/>
          <w:highlight w:val="none"/>
        </w:rPr>
        <w:t>环境风险潜势为Ⅰ</w:t>
      </w:r>
      <w:r>
        <w:rPr>
          <w:rFonts w:hint="eastAsia" w:cs="Times New Roman"/>
          <w:sz w:val="24"/>
          <w:highlight w:val="none"/>
          <w:lang w:eastAsia="zh-CN"/>
        </w:rPr>
        <w:t>，</w:t>
      </w:r>
      <w:r>
        <w:rPr>
          <w:rFonts w:hint="default" w:ascii="Times New Roman" w:hAnsi="Times New Roman" w:eastAsia="宋体" w:cs="Times New Roman"/>
          <w:sz w:val="24"/>
          <w:highlight w:val="none"/>
        </w:rPr>
        <w:t>本次环境风险评价等级为简单分析，本项目环境风险评价工作等级的划分依据见下表。</w:t>
      </w:r>
    </w:p>
    <w:p w14:paraId="47B46EE4">
      <w:pPr>
        <w:widowControl/>
        <w:spacing w:line="360" w:lineRule="auto"/>
        <w:ind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表</w:t>
      </w:r>
      <w:r>
        <w:rPr>
          <w:rFonts w:hint="default" w:ascii="Times New Roman" w:hAnsi="Times New Roman" w:eastAsia="宋体" w:cs="Times New Roman"/>
          <w:b/>
          <w:bCs/>
          <w:sz w:val="21"/>
          <w:szCs w:val="21"/>
          <w:highlight w:val="none"/>
          <w:lang w:val="en-US" w:eastAsia="zh-CN"/>
        </w:rPr>
        <w:t>2.3-2</w:t>
      </w:r>
      <w:r>
        <w:rPr>
          <w:rFonts w:hint="default" w:ascii="Times New Roman" w:hAnsi="Times New Roman" w:eastAsia="宋体" w:cs="Times New Roman"/>
          <w:b/>
          <w:bCs/>
          <w:sz w:val="21"/>
          <w:szCs w:val="21"/>
          <w:highlight w:val="none"/>
        </w:rPr>
        <w:t xml:space="preserve">   评价工作等级划分</w:t>
      </w:r>
    </w:p>
    <w:tbl>
      <w:tblPr>
        <w:tblStyle w:val="42"/>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13"/>
        <w:gridCol w:w="1699"/>
        <w:gridCol w:w="1699"/>
        <w:gridCol w:w="1700"/>
        <w:gridCol w:w="1714"/>
      </w:tblGrid>
      <w:tr w14:paraId="6F0F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713" w:type="dxa"/>
            <w:vAlign w:val="center"/>
          </w:tcPr>
          <w:p w14:paraId="66A8E100">
            <w:pPr>
              <w:pStyle w:val="38"/>
              <w:rPr>
                <w:rFonts w:hint="default" w:ascii="Times New Roman" w:hAnsi="Times New Roman" w:cs="Times New Roman"/>
                <w:highlight w:val="none"/>
              </w:rPr>
            </w:pPr>
            <w:r>
              <w:rPr>
                <w:rFonts w:hint="default" w:ascii="Times New Roman" w:hAnsi="Times New Roman" w:cs="Times New Roman"/>
                <w:highlight w:val="none"/>
              </w:rPr>
              <w:t>环境风险潜势</w:t>
            </w:r>
          </w:p>
        </w:tc>
        <w:tc>
          <w:tcPr>
            <w:tcW w:w="1699" w:type="dxa"/>
            <w:vAlign w:val="center"/>
          </w:tcPr>
          <w:p w14:paraId="5FF4D86B">
            <w:pPr>
              <w:pStyle w:val="38"/>
              <w:rPr>
                <w:rFonts w:hint="default" w:ascii="Times New Roman" w:hAnsi="Times New Roman" w:cs="Times New Roman"/>
                <w:highlight w:val="none"/>
              </w:rPr>
            </w:pPr>
            <w:r>
              <w:rPr>
                <w:rFonts w:hint="default" w:ascii="Times New Roman" w:hAnsi="Times New Roman" w:cs="Times New Roman"/>
                <w:highlight w:val="none"/>
              </w:rPr>
              <w:t>Ⅳ、Ⅳ+</w:t>
            </w:r>
          </w:p>
        </w:tc>
        <w:tc>
          <w:tcPr>
            <w:tcW w:w="1699" w:type="dxa"/>
            <w:vAlign w:val="center"/>
          </w:tcPr>
          <w:p w14:paraId="1FFEB6BB">
            <w:pPr>
              <w:pStyle w:val="38"/>
              <w:rPr>
                <w:rFonts w:hint="default" w:ascii="Times New Roman" w:hAnsi="Times New Roman" w:cs="Times New Roman"/>
                <w:highlight w:val="none"/>
              </w:rPr>
            </w:pPr>
            <w:r>
              <w:rPr>
                <w:rFonts w:hint="default" w:ascii="Times New Roman" w:hAnsi="Times New Roman" w:cs="Times New Roman"/>
                <w:highlight w:val="none"/>
              </w:rPr>
              <w:t>Ⅲ</w:t>
            </w:r>
          </w:p>
        </w:tc>
        <w:tc>
          <w:tcPr>
            <w:tcW w:w="1700" w:type="dxa"/>
            <w:vAlign w:val="center"/>
          </w:tcPr>
          <w:p w14:paraId="43A3D00D">
            <w:pPr>
              <w:pStyle w:val="38"/>
              <w:rPr>
                <w:rFonts w:hint="default" w:ascii="Times New Roman" w:hAnsi="Times New Roman" w:cs="Times New Roman"/>
                <w:highlight w:val="none"/>
              </w:rPr>
            </w:pPr>
            <w:r>
              <w:rPr>
                <w:rFonts w:hint="default" w:ascii="Times New Roman" w:hAnsi="Times New Roman" w:cs="Times New Roman"/>
                <w:highlight w:val="none"/>
              </w:rPr>
              <w:t>Ⅱ</w:t>
            </w:r>
          </w:p>
        </w:tc>
        <w:tc>
          <w:tcPr>
            <w:tcW w:w="1714" w:type="dxa"/>
            <w:vAlign w:val="center"/>
          </w:tcPr>
          <w:p w14:paraId="41046F5F">
            <w:pPr>
              <w:pStyle w:val="38"/>
              <w:rPr>
                <w:rFonts w:hint="default" w:ascii="Times New Roman" w:hAnsi="Times New Roman" w:cs="Times New Roman"/>
                <w:highlight w:val="none"/>
              </w:rPr>
            </w:pPr>
            <w:r>
              <w:rPr>
                <w:rFonts w:hint="default" w:ascii="Times New Roman" w:hAnsi="Times New Roman" w:cs="Times New Roman"/>
                <w:highlight w:val="none"/>
              </w:rPr>
              <w:t>I</w:t>
            </w:r>
          </w:p>
        </w:tc>
      </w:tr>
      <w:tr w14:paraId="11B6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1713" w:type="dxa"/>
            <w:vAlign w:val="center"/>
          </w:tcPr>
          <w:p w14:paraId="6ED47EBB">
            <w:pPr>
              <w:pStyle w:val="38"/>
              <w:rPr>
                <w:rFonts w:hint="default" w:ascii="Times New Roman" w:hAnsi="Times New Roman" w:cs="Times New Roman"/>
                <w:highlight w:val="none"/>
              </w:rPr>
            </w:pPr>
            <w:r>
              <w:rPr>
                <w:rFonts w:hint="default" w:ascii="Times New Roman" w:hAnsi="Times New Roman" w:cs="Times New Roman"/>
                <w:highlight w:val="none"/>
              </w:rPr>
              <w:t>评价工作等级</w:t>
            </w:r>
          </w:p>
        </w:tc>
        <w:tc>
          <w:tcPr>
            <w:tcW w:w="1699" w:type="dxa"/>
            <w:vAlign w:val="center"/>
          </w:tcPr>
          <w:p w14:paraId="76D87F71">
            <w:pPr>
              <w:pStyle w:val="38"/>
              <w:rPr>
                <w:rFonts w:hint="default" w:ascii="Times New Roman" w:hAnsi="Times New Roman" w:cs="Times New Roman"/>
                <w:highlight w:val="none"/>
              </w:rPr>
            </w:pPr>
            <w:r>
              <w:rPr>
                <w:rFonts w:hint="default" w:ascii="Times New Roman" w:hAnsi="Times New Roman" w:cs="Times New Roman"/>
                <w:highlight w:val="none"/>
              </w:rPr>
              <w:t>一</w:t>
            </w:r>
          </w:p>
        </w:tc>
        <w:tc>
          <w:tcPr>
            <w:tcW w:w="1699" w:type="dxa"/>
            <w:vAlign w:val="center"/>
          </w:tcPr>
          <w:p w14:paraId="790FA5B8">
            <w:pPr>
              <w:pStyle w:val="38"/>
              <w:rPr>
                <w:rFonts w:hint="default" w:ascii="Times New Roman" w:hAnsi="Times New Roman" w:cs="Times New Roman"/>
                <w:highlight w:val="none"/>
              </w:rPr>
            </w:pPr>
            <w:r>
              <w:rPr>
                <w:rFonts w:hint="default" w:ascii="Times New Roman" w:hAnsi="Times New Roman" w:cs="Times New Roman"/>
                <w:highlight w:val="none"/>
              </w:rPr>
              <w:t>二</w:t>
            </w:r>
          </w:p>
        </w:tc>
        <w:tc>
          <w:tcPr>
            <w:tcW w:w="1700" w:type="dxa"/>
            <w:vAlign w:val="center"/>
          </w:tcPr>
          <w:p w14:paraId="69F37AAE">
            <w:pPr>
              <w:pStyle w:val="38"/>
              <w:rPr>
                <w:rFonts w:hint="default" w:ascii="Times New Roman" w:hAnsi="Times New Roman" w:cs="Times New Roman"/>
                <w:highlight w:val="none"/>
              </w:rPr>
            </w:pPr>
            <w:r>
              <w:rPr>
                <w:rFonts w:hint="default" w:ascii="Times New Roman" w:hAnsi="Times New Roman" w:cs="Times New Roman"/>
                <w:highlight w:val="none"/>
              </w:rPr>
              <w:t>三</w:t>
            </w:r>
          </w:p>
        </w:tc>
        <w:tc>
          <w:tcPr>
            <w:tcW w:w="1714" w:type="dxa"/>
            <w:shd w:val="clear" w:color="auto" w:fill="D7D7D7"/>
            <w:vAlign w:val="center"/>
          </w:tcPr>
          <w:p w14:paraId="3BEDB50A">
            <w:pPr>
              <w:pStyle w:val="38"/>
              <w:rPr>
                <w:rFonts w:hint="default" w:ascii="Times New Roman" w:hAnsi="Times New Roman" w:cs="Times New Roman"/>
                <w:highlight w:val="none"/>
              </w:rPr>
            </w:pPr>
            <w:r>
              <w:rPr>
                <w:rFonts w:hint="default" w:ascii="Times New Roman" w:hAnsi="Times New Roman" w:cs="Times New Roman"/>
                <w:highlight w:val="none"/>
              </w:rPr>
              <w:t>简单分析 a</w:t>
            </w:r>
          </w:p>
        </w:tc>
      </w:tr>
      <w:tr w14:paraId="53F4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8525" w:type="dxa"/>
            <w:gridSpan w:val="5"/>
            <w:vAlign w:val="center"/>
          </w:tcPr>
          <w:p w14:paraId="0DD56D93">
            <w:pPr>
              <w:pStyle w:val="38"/>
              <w:jc w:val="left"/>
              <w:rPr>
                <w:rFonts w:hint="default" w:ascii="Times New Roman" w:hAnsi="Times New Roman" w:cs="Times New Roman"/>
                <w:highlight w:val="none"/>
              </w:rPr>
            </w:pPr>
            <w:r>
              <w:rPr>
                <w:rFonts w:hint="default" w:ascii="Times New Roman" w:hAnsi="Times New Roman" w:cs="Times New Roman"/>
                <w:sz w:val="20"/>
                <w:szCs w:val="20"/>
                <w:highlight w:val="none"/>
              </w:rPr>
              <w:t>a是相对于详细评价工作内容而言，在描述危险物质、环境影响途径、环境危害后果、风险防范措施等方面给出定性的说明。见附录A。</w:t>
            </w:r>
          </w:p>
        </w:tc>
      </w:tr>
    </w:tbl>
    <w:p w14:paraId="3664E59D">
      <w:pPr>
        <w:adjustRightInd w:val="0"/>
        <w:snapToGrid w:val="0"/>
        <w:spacing w:line="360" w:lineRule="auto"/>
        <w:ind w:firstLine="480" w:firstLineChars="200"/>
        <w:rPr>
          <w:rFonts w:hint="default" w:ascii="Times New Roman" w:hAnsi="Times New Roman" w:eastAsia="宋体" w:cs="Times New Roman"/>
          <w:sz w:val="24"/>
          <w:highlight w:val="none"/>
          <w:lang w:val="en-US" w:eastAsia="zh-CN"/>
        </w:rPr>
      </w:pPr>
      <w:bookmarkStart w:id="64" w:name="_Toc19983_WPSOffice_Level1"/>
      <w:r>
        <w:rPr>
          <w:rFonts w:hint="eastAsia" w:ascii="Times New Roman" w:hAnsi="Times New Roman" w:eastAsia="宋体" w:cs="Times New Roman"/>
          <w:sz w:val="24"/>
          <w:highlight w:val="none"/>
          <w:lang w:val="en-US" w:eastAsia="zh-CN"/>
        </w:rPr>
        <w:t>因此，本项目环境风险潜势为I，因此确定环境风险评价工作级别为简单分析，不设置环境风险评价范围</w:t>
      </w:r>
      <w:r>
        <w:rPr>
          <w:rFonts w:hint="eastAsia" w:cs="Times New Roman"/>
          <w:sz w:val="24"/>
          <w:highlight w:val="none"/>
          <w:lang w:val="en-US" w:eastAsia="zh-CN"/>
        </w:rPr>
        <w:t>。</w:t>
      </w:r>
    </w:p>
    <w:p w14:paraId="6C2D1B12">
      <w:pPr>
        <w:pStyle w:val="43"/>
        <w:numPr>
          <w:ilvl w:val="0"/>
          <w:numId w:val="0"/>
        </w:numPr>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2.3.4环境敏感</w:t>
      </w:r>
      <w:bookmarkEnd w:id="64"/>
      <w:r>
        <w:rPr>
          <w:rFonts w:hint="eastAsia" w:ascii="Times New Roman" w:hAnsi="Times New Roman" w:eastAsia="宋体" w:cs="Times New Roman"/>
          <w:b/>
          <w:bCs/>
          <w:sz w:val="24"/>
          <w:szCs w:val="24"/>
          <w:highlight w:val="none"/>
          <w:lang w:val="en-US" w:eastAsia="zh-CN"/>
        </w:rPr>
        <w:t>目标</w:t>
      </w:r>
    </w:p>
    <w:p w14:paraId="61766BEA">
      <w:pPr>
        <w:adjustRightInd w:val="0"/>
        <w:snapToGrid w:val="0"/>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本项目位于鄂尔多斯市</w:t>
      </w:r>
      <w:r>
        <w:rPr>
          <w:rFonts w:hint="eastAsia" w:ascii="Times New Roman" w:hAnsi="Times New Roman" w:eastAsia="宋体" w:cs="Times New Roman"/>
          <w:bCs/>
          <w:sz w:val="24"/>
          <w:highlight w:val="none"/>
          <w:lang w:val="en-US" w:eastAsia="zh-CN"/>
        </w:rPr>
        <w:t>杭锦旗独贵塔拉工业园区</w:t>
      </w:r>
      <w:r>
        <w:rPr>
          <w:rFonts w:hint="eastAsia" w:cs="Times New Roman"/>
          <w:bCs/>
          <w:sz w:val="24"/>
          <w:highlight w:val="none"/>
          <w:lang w:val="en-US" w:eastAsia="zh-CN"/>
        </w:rPr>
        <w:t>南项目区</w:t>
      </w:r>
      <w:r>
        <w:rPr>
          <w:sz w:val="24"/>
          <w:highlight w:val="none"/>
        </w:rPr>
        <w:t>，</w:t>
      </w:r>
      <w:r>
        <w:rPr>
          <w:rFonts w:hint="eastAsia"/>
          <w:sz w:val="24"/>
          <w:highlight w:val="none"/>
        </w:rPr>
        <w:t>本项目</w:t>
      </w:r>
      <w:r>
        <w:rPr>
          <w:rFonts w:hint="eastAsia"/>
          <w:sz w:val="24"/>
          <w:highlight w:val="none"/>
          <w:lang w:val="en-US" w:eastAsia="zh-CN"/>
        </w:rPr>
        <w:t>新建管线部分</w:t>
      </w:r>
      <w:r>
        <w:rPr>
          <w:rFonts w:hint="eastAsia"/>
          <w:sz w:val="24"/>
          <w:highlight w:val="none"/>
        </w:rPr>
        <w:t>位于</w:t>
      </w:r>
      <w:r>
        <w:rPr>
          <w:rFonts w:hint="eastAsia"/>
          <w:sz w:val="24"/>
          <w:highlight w:val="none"/>
          <w:lang w:val="en-US" w:eastAsia="zh-CN"/>
        </w:rPr>
        <w:t>内蒙古伊泰化工有限责任公司内、部分位于内蒙古伊泰化工有限责任公司南厂界外，均为架空布</w:t>
      </w:r>
      <w:r>
        <w:rPr>
          <w:rFonts w:hint="eastAsia" w:ascii="Times New Roman" w:hAnsi="Times New Roman" w:eastAsia="宋体" w:cs="Times New Roman"/>
          <w:sz w:val="24"/>
          <w:highlight w:val="none"/>
          <w:lang w:val="en-US" w:eastAsia="zh-CN"/>
        </w:rPr>
        <w:t>设。管道中心线两侧200m范围内无村庄、居住区等环境敏感目标。</w:t>
      </w:r>
    </w:p>
    <w:p w14:paraId="69485D73">
      <w:pPr>
        <w:keepNext/>
        <w:keepLines/>
        <w:spacing w:before="240" w:beforeLines="100" w:line="360" w:lineRule="auto"/>
        <w:outlineLvl w:val="0"/>
        <w:rPr>
          <w:b/>
          <w:bCs/>
          <w:kern w:val="44"/>
          <w:sz w:val="32"/>
          <w:szCs w:val="32"/>
          <w:highlight w:val="none"/>
        </w:rPr>
      </w:pPr>
      <w:bookmarkStart w:id="65" w:name="_Toc24080_WPSOffice_Level1"/>
      <w:r>
        <w:rPr>
          <w:rFonts w:hint="eastAsia"/>
          <w:b/>
          <w:bCs/>
          <w:kern w:val="44"/>
          <w:sz w:val="32"/>
          <w:szCs w:val="32"/>
          <w:highlight w:val="none"/>
        </w:rPr>
        <w:t>3</w:t>
      </w:r>
      <w:r>
        <w:rPr>
          <w:rFonts w:hint="eastAsia"/>
          <w:b/>
          <w:bCs/>
          <w:kern w:val="44"/>
          <w:sz w:val="32"/>
          <w:szCs w:val="32"/>
          <w:highlight w:val="none"/>
          <w:lang w:val="en-US" w:eastAsia="zh-CN"/>
        </w:rPr>
        <w:t>.</w:t>
      </w:r>
      <w:r>
        <w:rPr>
          <w:rFonts w:hint="eastAsia"/>
          <w:b/>
          <w:bCs/>
          <w:kern w:val="44"/>
          <w:sz w:val="32"/>
          <w:szCs w:val="32"/>
          <w:highlight w:val="none"/>
        </w:rPr>
        <w:t>环境风险识别</w:t>
      </w:r>
      <w:bookmarkEnd w:id="65"/>
    </w:p>
    <w:p w14:paraId="64F59243">
      <w:pPr>
        <w:spacing w:line="360" w:lineRule="auto"/>
        <w:ind w:firstLine="480" w:firstLineChars="200"/>
        <w:rPr>
          <w:sz w:val="24"/>
          <w:highlight w:val="none"/>
        </w:rPr>
      </w:pPr>
      <w:r>
        <w:rPr>
          <w:sz w:val="24"/>
          <w:highlight w:val="none"/>
        </w:rPr>
        <w:t>风险识别包括物质危险性识别、生产系统危险性识别及危险物质向环境转移的途径识别。</w:t>
      </w:r>
    </w:p>
    <w:p w14:paraId="506F4592">
      <w:pPr>
        <w:spacing w:line="360" w:lineRule="auto"/>
        <w:ind w:firstLine="480" w:firstLineChars="200"/>
        <w:rPr>
          <w:sz w:val="24"/>
          <w:highlight w:val="none"/>
        </w:rPr>
      </w:pPr>
      <w:r>
        <w:rPr>
          <w:sz w:val="24"/>
          <w:highlight w:val="none"/>
        </w:rPr>
        <w:t>物质危险性识别，包括主要原辅材料、燃料、中间产品、副产品、最终产品污染物、火灾和爆炸伴生/次生物等。</w:t>
      </w:r>
    </w:p>
    <w:p w14:paraId="0E1F190A">
      <w:pPr>
        <w:spacing w:line="360" w:lineRule="auto"/>
        <w:ind w:firstLine="480" w:firstLineChars="200"/>
        <w:rPr>
          <w:sz w:val="24"/>
          <w:highlight w:val="none"/>
        </w:rPr>
      </w:pPr>
      <w:r>
        <w:rPr>
          <w:sz w:val="24"/>
          <w:highlight w:val="none"/>
        </w:rPr>
        <w:t>生产系统危险性识别，包括主要生产装置、储运设施、公用工程和辅助生产设施，以及环境保护设施等</w:t>
      </w:r>
    </w:p>
    <w:p w14:paraId="08FDE764">
      <w:pPr>
        <w:spacing w:line="360" w:lineRule="auto"/>
        <w:ind w:firstLine="480" w:firstLineChars="200"/>
        <w:rPr>
          <w:sz w:val="24"/>
          <w:highlight w:val="none"/>
        </w:rPr>
      </w:pPr>
      <w:r>
        <w:rPr>
          <w:sz w:val="24"/>
          <w:highlight w:val="none"/>
        </w:rPr>
        <w:t>危险物质向环境转移的途径识别，包括分析危险物质特性及可能的环境风险类型，识别危险物质影响环境的途径，分析可能影响的环境敏感目标。</w:t>
      </w:r>
    </w:p>
    <w:p w14:paraId="0471E04A">
      <w:pPr>
        <w:keepNext/>
        <w:keepLines/>
        <w:spacing w:line="360" w:lineRule="auto"/>
        <w:outlineLvl w:val="1"/>
        <w:rPr>
          <w:b/>
          <w:bCs/>
          <w:sz w:val="28"/>
          <w:szCs w:val="28"/>
          <w:highlight w:val="none"/>
        </w:rPr>
      </w:pPr>
      <w:bookmarkStart w:id="66" w:name="_Toc16704_WPSOffice_Level1"/>
      <w:r>
        <w:rPr>
          <w:rFonts w:hint="eastAsia"/>
          <w:b/>
          <w:bCs/>
          <w:sz w:val="28"/>
          <w:szCs w:val="28"/>
          <w:highlight w:val="none"/>
        </w:rPr>
        <w:t>3.1风险物质识别分析</w:t>
      </w:r>
      <w:bookmarkEnd w:id="66"/>
    </w:p>
    <w:p w14:paraId="391546A0">
      <w:pPr>
        <w:spacing w:line="360" w:lineRule="auto"/>
        <w:ind w:firstLine="480" w:firstLineChars="200"/>
        <w:rPr>
          <w:sz w:val="24"/>
          <w:highlight w:val="none"/>
        </w:rPr>
      </w:pPr>
      <w:bookmarkStart w:id="67" w:name="_Toc21606_WPSOffice_Level1"/>
      <w:r>
        <w:rPr>
          <w:rFonts w:hint="eastAsia"/>
          <w:sz w:val="24"/>
          <w:highlight w:val="none"/>
          <w:lang w:val="en-US" w:eastAsia="zh-CN"/>
        </w:rPr>
        <w:t>物质风险识别按《建设项目环境风险评价技术导则》（</w:t>
      </w:r>
      <w:r>
        <w:rPr>
          <w:rFonts w:hint="default"/>
          <w:sz w:val="24"/>
          <w:highlight w:val="none"/>
          <w:lang w:val="en-US" w:eastAsia="zh-CN"/>
        </w:rPr>
        <w:t>HJ169-2018</w:t>
      </w:r>
      <w:r>
        <w:rPr>
          <w:rFonts w:hint="eastAsia"/>
          <w:sz w:val="24"/>
          <w:highlight w:val="none"/>
          <w:lang w:val="en-US" w:eastAsia="zh-CN"/>
        </w:rPr>
        <w:t>）“附录</w:t>
      </w:r>
      <w:r>
        <w:rPr>
          <w:rFonts w:hint="default"/>
          <w:sz w:val="24"/>
          <w:highlight w:val="none"/>
          <w:lang w:val="en-US" w:eastAsia="zh-CN"/>
        </w:rPr>
        <w:t>B</w:t>
      </w:r>
      <w:r>
        <w:rPr>
          <w:rFonts w:hint="eastAsia"/>
          <w:sz w:val="24"/>
          <w:highlight w:val="none"/>
          <w:lang w:val="en-US" w:eastAsia="zh-CN"/>
        </w:rPr>
        <w:t>重点关注的危险物质及临界量”，对项目涉及的有毒有害、易燃易爆物质进行危险性识别，筛选出风险评价因子。</w:t>
      </w:r>
    </w:p>
    <w:p w14:paraId="7300FBA5">
      <w:pPr>
        <w:spacing w:line="360" w:lineRule="auto"/>
        <w:ind w:firstLine="480" w:firstLineChars="200"/>
        <w:rPr>
          <w:rFonts w:hint="eastAsia"/>
          <w:sz w:val="24"/>
          <w:highlight w:val="none"/>
          <w:lang w:val="en-US" w:eastAsia="zh-CN"/>
        </w:rPr>
      </w:pPr>
      <w:r>
        <w:rPr>
          <w:rFonts w:hint="eastAsia"/>
          <w:sz w:val="24"/>
          <w:highlight w:val="none"/>
          <w:lang w:val="en-US" w:eastAsia="zh-CN"/>
        </w:rPr>
        <w:t>本项目涉及的危险物质为一氧化碳、甲烷、乙烷、硫化氢、丁醇、乙酸乙酯、甲醇、正丙醇、乙酸、乙醛、氨气以及火灾和爆炸伴生</w:t>
      </w:r>
      <w:r>
        <w:rPr>
          <w:rFonts w:hint="default"/>
          <w:sz w:val="24"/>
          <w:highlight w:val="none"/>
          <w:lang w:val="en-US" w:eastAsia="zh-CN"/>
        </w:rPr>
        <w:t>/</w:t>
      </w:r>
      <w:r>
        <w:rPr>
          <w:rFonts w:hint="eastAsia"/>
          <w:sz w:val="24"/>
          <w:highlight w:val="none"/>
          <w:lang w:val="en-US" w:eastAsia="zh-CN"/>
        </w:rPr>
        <w:t>次生物一氧化碳。项目主要危险物质理化性质及危险特性见表3.2-1~3.2-11。本项目生产过程中涉及的危险物质分布情况见下表。</w:t>
      </w:r>
    </w:p>
    <w:p w14:paraId="76FCE2F4">
      <w:pPr>
        <w:widowControl/>
        <w:spacing w:line="360" w:lineRule="auto"/>
        <w:ind w:firstLine="0" w:firstLineChars="0"/>
        <w:jc w:val="center"/>
        <w:rPr>
          <w:rFonts w:hint="eastAsia" w:ascii="Times New Roman" w:hAnsi="Times New Roman" w:eastAsia="宋体" w:cs="Times New Roman"/>
          <w:b/>
          <w:bCs/>
          <w:sz w:val="21"/>
          <w:szCs w:val="21"/>
          <w:highlight w:val="none"/>
          <w:lang w:eastAsia="zh-CN"/>
        </w:rPr>
      </w:pPr>
      <w:r>
        <w:rPr>
          <w:rFonts w:hint="eastAsia" w:ascii="Times New Roman" w:hAnsi="Times New Roman" w:eastAsia="宋体" w:cs="Times New Roman"/>
          <w:b/>
          <w:bCs/>
          <w:sz w:val="21"/>
          <w:szCs w:val="21"/>
          <w:highlight w:val="none"/>
          <w:lang w:val="en-US" w:eastAsia="zh-CN"/>
        </w:rPr>
        <w:t xml:space="preserve">表3.1-1   </w:t>
      </w:r>
      <w:r>
        <w:rPr>
          <w:rFonts w:hint="eastAsia" w:ascii="Times New Roman" w:hAnsi="Times New Roman" w:eastAsia="宋体" w:cs="Times New Roman"/>
          <w:b/>
          <w:bCs/>
          <w:sz w:val="21"/>
          <w:szCs w:val="21"/>
          <w:highlight w:val="none"/>
          <w:lang w:eastAsia="zh-CN"/>
        </w:rPr>
        <w:t>主要危险物质及其分布一览表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537"/>
        <w:gridCol w:w="2505"/>
        <w:gridCol w:w="5564"/>
      </w:tblGrid>
      <w:tr w14:paraId="57C8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blHeader/>
          <w:jc w:val="center"/>
        </w:trPr>
        <w:tc>
          <w:tcPr>
            <w:tcW w:w="312" w:type="pct"/>
            <w:vAlign w:val="center"/>
          </w:tcPr>
          <w:p w14:paraId="5B53FD91">
            <w:pPr>
              <w:pStyle w:val="56"/>
              <w:rPr>
                <w:rFonts w:cs="Times New Roman"/>
                <w:kern w:val="0"/>
                <w:highlight w:val="none"/>
              </w:rPr>
            </w:pPr>
            <w:r>
              <w:rPr>
                <w:rFonts w:cs="Times New Roman"/>
                <w:kern w:val="0"/>
                <w:highlight w:val="none"/>
              </w:rPr>
              <w:t>序号</w:t>
            </w:r>
          </w:p>
        </w:tc>
        <w:tc>
          <w:tcPr>
            <w:tcW w:w="1455" w:type="pct"/>
            <w:vAlign w:val="center"/>
          </w:tcPr>
          <w:p w14:paraId="4F809EA6">
            <w:pPr>
              <w:pStyle w:val="56"/>
              <w:rPr>
                <w:rFonts w:cs="Times New Roman"/>
                <w:kern w:val="0"/>
                <w:highlight w:val="none"/>
              </w:rPr>
            </w:pPr>
            <w:r>
              <w:rPr>
                <w:rFonts w:cs="Times New Roman"/>
                <w:kern w:val="0"/>
                <w:highlight w:val="none"/>
              </w:rPr>
              <w:t>装置/场所名称</w:t>
            </w:r>
          </w:p>
        </w:tc>
        <w:tc>
          <w:tcPr>
            <w:tcW w:w="3232" w:type="pct"/>
            <w:vAlign w:val="center"/>
          </w:tcPr>
          <w:p w14:paraId="0CAE8CC9">
            <w:pPr>
              <w:pStyle w:val="56"/>
              <w:rPr>
                <w:rFonts w:cs="Times New Roman"/>
                <w:kern w:val="0"/>
                <w:highlight w:val="none"/>
              </w:rPr>
            </w:pPr>
            <w:r>
              <w:rPr>
                <w:rFonts w:cs="Times New Roman"/>
                <w:kern w:val="0"/>
                <w:highlight w:val="none"/>
              </w:rPr>
              <w:t>主要危险物质</w:t>
            </w:r>
          </w:p>
        </w:tc>
      </w:tr>
      <w:tr w14:paraId="2B62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2" w:type="pct"/>
            <w:vAlign w:val="center"/>
          </w:tcPr>
          <w:p w14:paraId="700F37FE">
            <w:pPr>
              <w:pStyle w:val="56"/>
              <w:rPr>
                <w:rFonts w:hint="eastAsia" w:eastAsia="宋体" w:cs="Times New Roman"/>
                <w:kern w:val="0"/>
                <w:highlight w:val="none"/>
                <w:lang w:val="en-US" w:eastAsia="zh-CN"/>
              </w:rPr>
            </w:pPr>
            <w:r>
              <w:rPr>
                <w:rFonts w:hint="eastAsia" w:cs="Times New Roman"/>
                <w:kern w:val="0"/>
                <w:highlight w:val="none"/>
                <w:lang w:val="en-US" w:eastAsia="zh-CN"/>
              </w:rPr>
              <w:t>1</w:t>
            </w:r>
          </w:p>
        </w:tc>
        <w:tc>
          <w:tcPr>
            <w:tcW w:w="1455" w:type="pct"/>
            <w:vAlign w:val="center"/>
          </w:tcPr>
          <w:p w14:paraId="32BCA2D5">
            <w:pPr>
              <w:keepNext w:val="0"/>
              <w:keepLines w:val="0"/>
              <w:widowControl/>
              <w:suppressLineNumbers w:val="0"/>
              <w:jc w:val="center"/>
              <w:textAlignment w:val="center"/>
              <w:rPr>
                <w:rFonts w:hint="default" w:cs="Times New Roman"/>
                <w:kern w:val="0"/>
                <w:szCs w:val="21"/>
                <w:highlight w:val="none"/>
                <w:lang w:val="en-US"/>
              </w:rPr>
            </w:pPr>
            <w:r>
              <w:rPr>
                <w:rFonts w:hint="eastAsia" w:ascii="宋体" w:hAnsi="宋体" w:eastAsia="宋体" w:cs="宋体"/>
                <w:i w:val="0"/>
                <w:iCs w:val="0"/>
                <w:color w:val="000000"/>
                <w:kern w:val="0"/>
                <w:sz w:val="21"/>
                <w:szCs w:val="21"/>
                <w:highlight w:val="none"/>
                <w:u w:val="none"/>
                <w:lang w:val="en-US" w:eastAsia="zh-CN" w:bidi="ar"/>
              </w:rPr>
              <w:t>合成脱碳尾气</w:t>
            </w:r>
            <w:r>
              <w:rPr>
                <w:rFonts w:hint="eastAsia" w:ascii="宋体" w:hAnsi="宋体" w:cs="宋体"/>
                <w:i w:val="0"/>
                <w:iCs w:val="0"/>
                <w:color w:val="000000"/>
                <w:kern w:val="0"/>
                <w:sz w:val="21"/>
                <w:szCs w:val="21"/>
                <w:highlight w:val="none"/>
                <w:u w:val="none"/>
                <w:lang w:val="en-US" w:eastAsia="zh-CN" w:bidi="ar"/>
              </w:rPr>
              <w:t>管道</w:t>
            </w:r>
          </w:p>
        </w:tc>
        <w:tc>
          <w:tcPr>
            <w:tcW w:w="3232" w:type="pct"/>
            <w:vAlign w:val="center"/>
          </w:tcPr>
          <w:p w14:paraId="500EF25E">
            <w:pPr>
              <w:pStyle w:val="56"/>
              <w:rPr>
                <w:rFonts w:hint="default" w:eastAsia="宋体" w:cs="Times New Roman"/>
                <w:kern w:val="0"/>
                <w:highlight w:val="none"/>
                <w:lang w:val="en-US" w:eastAsia="zh-CN"/>
              </w:rPr>
            </w:pPr>
            <w:r>
              <w:rPr>
                <w:rFonts w:hint="eastAsia"/>
                <w:highlight w:val="none"/>
                <w:lang w:val="en-US" w:eastAsia="zh-CN"/>
              </w:rPr>
              <w:t>一氧化碳、甲烷、乙烷</w:t>
            </w:r>
          </w:p>
        </w:tc>
      </w:tr>
      <w:tr w14:paraId="12C8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2" w:type="pct"/>
            <w:vAlign w:val="center"/>
          </w:tcPr>
          <w:p w14:paraId="2498786B">
            <w:pPr>
              <w:pStyle w:val="56"/>
              <w:rPr>
                <w:rFonts w:hint="eastAsia" w:eastAsia="宋体" w:cs="Times New Roman"/>
                <w:kern w:val="0"/>
                <w:highlight w:val="none"/>
                <w:lang w:val="en-US" w:eastAsia="zh-CN"/>
              </w:rPr>
            </w:pPr>
            <w:r>
              <w:rPr>
                <w:rFonts w:hint="eastAsia" w:cs="Times New Roman"/>
                <w:kern w:val="0"/>
                <w:highlight w:val="none"/>
                <w:lang w:val="en-US" w:eastAsia="zh-CN"/>
              </w:rPr>
              <w:t>2</w:t>
            </w:r>
          </w:p>
        </w:tc>
        <w:tc>
          <w:tcPr>
            <w:tcW w:w="1455" w:type="pct"/>
            <w:vAlign w:val="bottom"/>
          </w:tcPr>
          <w:p w14:paraId="135DCFB3">
            <w:pPr>
              <w:keepNext w:val="0"/>
              <w:keepLines w:val="0"/>
              <w:widowControl/>
              <w:suppressLineNumbers w:val="0"/>
              <w:jc w:val="center"/>
              <w:textAlignment w:val="bottom"/>
              <w:rPr>
                <w:rFonts w:cs="Times New Roman"/>
                <w:kern w:val="0"/>
                <w:szCs w:val="21"/>
                <w:highlight w:val="none"/>
              </w:rPr>
            </w:pPr>
            <w:r>
              <w:rPr>
                <w:rFonts w:hint="eastAsia" w:ascii="宋体" w:hAnsi="宋体" w:eastAsia="宋体" w:cs="宋体"/>
                <w:i w:val="0"/>
                <w:iCs w:val="0"/>
                <w:color w:val="000000"/>
                <w:kern w:val="0"/>
                <w:sz w:val="21"/>
                <w:szCs w:val="21"/>
                <w:highlight w:val="none"/>
                <w:u w:val="none"/>
                <w:lang w:val="en-US" w:eastAsia="zh-CN" w:bidi="ar"/>
              </w:rPr>
              <w:t>未变换净化气</w:t>
            </w:r>
            <w:r>
              <w:rPr>
                <w:rFonts w:hint="eastAsia" w:ascii="宋体" w:hAnsi="宋体" w:cs="宋体"/>
                <w:i w:val="0"/>
                <w:iCs w:val="0"/>
                <w:color w:val="000000"/>
                <w:kern w:val="0"/>
                <w:sz w:val="21"/>
                <w:szCs w:val="21"/>
                <w:highlight w:val="none"/>
                <w:u w:val="none"/>
                <w:lang w:val="en-US" w:eastAsia="zh-CN" w:bidi="ar"/>
              </w:rPr>
              <w:t>管道</w:t>
            </w:r>
          </w:p>
        </w:tc>
        <w:tc>
          <w:tcPr>
            <w:tcW w:w="3232" w:type="pct"/>
            <w:vAlign w:val="center"/>
          </w:tcPr>
          <w:p w14:paraId="52FFAA31">
            <w:pPr>
              <w:pStyle w:val="56"/>
              <w:rPr>
                <w:rFonts w:hint="default" w:cs="Times New Roman"/>
                <w:kern w:val="0"/>
                <w:highlight w:val="none"/>
                <w:lang w:val="en-US" w:eastAsia="zh-CN"/>
              </w:rPr>
            </w:pPr>
            <w:r>
              <w:rPr>
                <w:rFonts w:hint="eastAsia" w:cs="Times New Roman"/>
                <w:kern w:val="0"/>
                <w:highlight w:val="none"/>
                <w:lang w:val="en-US" w:eastAsia="zh-CN"/>
              </w:rPr>
              <w:t>一氧化碳、甲烷</w:t>
            </w:r>
          </w:p>
        </w:tc>
      </w:tr>
      <w:tr w14:paraId="7C3E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2" w:type="pct"/>
            <w:vAlign w:val="center"/>
          </w:tcPr>
          <w:p w14:paraId="5CD066FD">
            <w:pPr>
              <w:pStyle w:val="56"/>
              <w:rPr>
                <w:rFonts w:hint="eastAsia" w:eastAsia="宋体" w:cs="Times New Roman"/>
                <w:kern w:val="0"/>
                <w:highlight w:val="none"/>
                <w:lang w:val="en-US" w:eastAsia="zh-CN"/>
              </w:rPr>
            </w:pPr>
            <w:r>
              <w:rPr>
                <w:rFonts w:hint="eastAsia" w:cs="Times New Roman"/>
                <w:kern w:val="0"/>
                <w:highlight w:val="none"/>
                <w:lang w:val="en-US" w:eastAsia="zh-CN"/>
              </w:rPr>
              <w:t>3</w:t>
            </w:r>
          </w:p>
        </w:tc>
        <w:tc>
          <w:tcPr>
            <w:tcW w:w="1455" w:type="pct"/>
            <w:vAlign w:val="center"/>
          </w:tcPr>
          <w:p w14:paraId="3D99B0FD">
            <w:pPr>
              <w:keepNext w:val="0"/>
              <w:keepLines w:val="0"/>
              <w:widowControl/>
              <w:suppressLineNumbers w:val="0"/>
              <w:jc w:val="center"/>
              <w:textAlignment w:val="center"/>
              <w:rPr>
                <w:rFonts w:cs="Times New Roman"/>
                <w:kern w:val="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WRT</w:t>
            </w:r>
            <w:r>
              <w:rPr>
                <w:rStyle w:val="54"/>
                <w:sz w:val="21"/>
                <w:szCs w:val="21"/>
                <w:highlight w:val="none"/>
                <w:lang w:val="en-US" w:eastAsia="zh-CN" w:bidi="ar"/>
              </w:rPr>
              <w:t>甲烷气</w:t>
            </w:r>
            <w:r>
              <w:rPr>
                <w:rFonts w:hint="eastAsia" w:ascii="宋体" w:hAnsi="宋体" w:cs="宋体"/>
                <w:i w:val="0"/>
                <w:iCs w:val="0"/>
                <w:color w:val="000000"/>
                <w:kern w:val="0"/>
                <w:sz w:val="21"/>
                <w:szCs w:val="21"/>
                <w:highlight w:val="none"/>
                <w:u w:val="none"/>
                <w:lang w:val="en-US" w:eastAsia="zh-CN" w:bidi="ar"/>
              </w:rPr>
              <w:t>管道</w:t>
            </w:r>
          </w:p>
        </w:tc>
        <w:tc>
          <w:tcPr>
            <w:tcW w:w="3232" w:type="pct"/>
            <w:vAlign w:val="center"/>
          </w:tcPr>
          <w:p w14:paraId="65B70BAE">
            <w:pPr>
              <w:pStyle w:val="56"/>
              <w:rPr>
                <w:rFonts w:hint="default" w:eastAsia="宋体" w:cs="Times New Roman"/>
                <w:kern w:val="0"/>
                <w:highlight w:val="none"/>
                <w:lang w:val="en-US" w:eastAsia="zh-CN"/>
              </w:rPr>
            </w:pPr>
            <w:r>
              <w:rPr>
                <w:rFonts w:hint="eastAsia" w:cs="Times New Roman"/>
                <w:kern w:val="0"/>
                <w:highlight w:val="none"/>
                <w:lang w:val="en-US" w:eastAsia="zh-CN"/>
              </w:rPr>
              <w:t>甲烷、硫化氢</w:t>
            </w:r>
          </w:p>
        </w:tc>
      </w:tr>
      <w:tr w14:paraId="24EE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2" w:type="pct"/>
            <w:vAlign w:val="center"/>
          </w:tcPr>
          <w:p w14:paraId="156359D0">
            <w:pPr>
              <w:pStyle w:val="56"/>
              <w:rPr>
                <w:rFonts w:hint="eastAsia" w:eastAsia="宋体" w:cs="Times New Roman"/>
                <w:kern w:val="0"/>
                <w:highlight w:val="none"/>
                <w:lang w:val="en-US" w:eastAsia="zh-CN"/>
              </w:rPr>
            </w:pPr>
            <w:r>
              <w:rPr>
                <w:rFonts w:hint="eastAsia" w:cs="Times New Roman"/>
                <w:kern w:val="0"/>
                <w:highlight w:val="none"/>
                <w:lang w:val="en-US" w:eastAsia="zh-CN"/>
              </w:rPr>
              <w:t>4</w:t>
            </w:r>
          </w:p>
        </w:tc>
        <w:tc>
          <w:tcPr>
            <w:tcW w:w="1455" w:type="pct"/>
            <w:vAlign w:val="center"/>
          </w:tcPr>
          <w:p w14:paraId="5806FDBC">
            <w:pPr>
              <w:keepNext w:val="0"/>
              <w:keepLines w:val="0"/>
              <w:widowControl/>
              <w:suppressLineNumbers w:val="0"/>
              <w:jc w:val="center"/>
              <w:textAlignment w:val="center"/>
              <w:rPr>
                <w:rFonts w:cs="Times New Roman"/>
                <w:kern w:val="0"/>
                <w:szCs w:val="21"/>
                <w:highlight w:val="none"/>
              </w:rPr>
            </w:pPr>
            <w:r>
              <w:rPr>
                <w:rFonts w:hint="eastAsia" w:ascii="宋体" w:hAnsi="宋体" w:eastAsia="宋体" w:cs="宋体"/>
                <w:i w:val="0"/>
                <w:iCs w:val="0"/>
                <w:color w:val="000000"/>
                <w:kern w:val="0"/>
                <w:sz w:val="21"/>
                <w:szCs w:val="21"/>
                <w:highlight w:val="none"/>
                <w:u w:val="none"/>
                <w:lang w:val="en-US" w:eastAsia="zh-CN" w:bidi="ar"/>
              </w:rPr>
              <w:t>厌氧沼气</w:t>
            </w:r>
            <w:r>
              <w:rPr>
                <w:rFonts w:hint="eastAsia" w:ascii="宋体" w:hAnsi="宋体" w:cs="宋体"/>
                <w:i w:val="0"/>
                <w:iCs w:val="0"/>
                <w:color w:val="000000"/>
                <w:kern w:val="0"/>
                <w:sz w:val="21"/>
                <w:szCs w:val="21"/>
                <w:highlight w:val="none"/>
                <w:u w:val="none"/>
                <w:lang w:val="en-US" w:eastAsia="zh-CN" w:bidi="ar"/>
              </w:rPr>
              <w:t>管道</w:t>
            </w:r>
          </w:p>
        </w:tc>
        <w:tc>
          <w:tcPr>
            <w:tcW w:w="3232" w:type="pct"/>
            <w:vAlign w:val="center"/>
          </w:tcPr>
          <w:p w14:paraId="2A6BF12C">
            <w:pPr>
              <w:pStyle w:val="56"/>
              <w:rPr>
                <w:rFonts w:hint="default" w:eastAsia="宋体" w:cs="Times New Roman"/>
                <w:kern w:val="0"/>
                <w:highlight w:val="none"/>
                <w:lang w:val="en-US" w:eastAsia="zh-CN"/>
              </w:rPr>
            </w:pPr>
            <w:r>
              <w:rPr>
                <w:rFonts w:hint="eastAsia" w:cs="Times New Roman"/>
                <w:kern w:val="0"/>
                <w:highlight w:val="none"/>
                <w:lang w:val="en-US" w:eastAsia="zh-CN"/>
              </w:rPr>
              <w:t>甲烷、硫化氢</w:t>
            </w:r>
          </w:p>
        </w:tc>
      </w:tr>
      <w:tr w14:paraId="5D04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2" w:type="pct"/>
            <w:vAlign w:val="center"/>
          </w:tcPr>
          <w:p w14:paraId="38D42A1F">
            <w:pPr>
              <w:pStyle w:val="56"/>
              <w:rPr>
                <w:rFonts w:hint="eastAsia" w:eastAsia="宋体" w:cs="Times New Roman"/>
                <w:kern w:val="0"/>
                <w:highlight w:val="none"/>
                <w:lang w:val="en-US" w:eastAsia="zh-CN"/>
              </w:rPr>
            </w:pPr>
            <w:r>
              <w:rPr>
                <w:rFonts w:hint="eastAsia" w:cs="Times New Roman"/>
                <w:kern w:val="0"/>
                <w:highlight w:val="none"/>
                <w:lang w:val="en-US" w:eastAsia="zh-CN"/>
              </w:rPr>
              <w:t>5</w:t>
            </w:r>
          </w:p>
        </w:tc>
        <w:tc>
          <w:tcPr>
            <w:tcW w:w="1455" w:type="pct"/>
            <w:vAlign w:val="center"/>
          </w:tcPr>
          <w:p w14:paraId="39ACE425">
            <w:pPr>
              <w:keepNext w:val="0"/>
              <w:keepLines w:val="0"/>
              <w:widowControl/>
              <w:suppressLineNumbers w:val="0"/>
              <w:jc w:val="center"/>
              <w:textAlignment w:val="center"/>
              <w:rPr>
                <w:rFonts w:cs="Times New Roman"/>
                <w:kern w:val="0"/>
                <w:szCs w:val="21"/>
                <w:highlight w:val="none"/>
              </w:rPr>
            </w:pPr>
            <w:r>
              <w:rPr>
                <w:rFonts w:hint="eastAsia" w:ascii="宋体" w:hAnsi="宋体" w:eastAsia="宋体" w:cs="宋体"/>
                <w:i w:val="0"/>
                <w:iCs w:val="0"/>
                <w:color w:val="000000"/>
                <w:kern w:val="0"/>
                <w:sz w:val="21"/>
                <w:szCs w:val="21"/>
                <w:highlight w:val="none"/>
                <w:u w:val="none"/>
                <w:lang w:val="en-US" w:eastAsia="zh-CN" w:bidi="ar"/>
              </w:rPr>
              <w:t>低压含烃火炬气</w:t>
            </w:r>
            <w:r>
              <w:rPr>
                <w:rFonts w:hint="eastAsia" w:ascii="宋体" w:hAnsi="宋体" w:cs="宋体"/>
                <w:i w:val="0"/>
                <w:iCs w:val="0"/>
                <w:color w:val="000000"/>
                <w:kern w:val="0"/>
                <w:sz w:val="21"/>
                <w:szCs w:val="21"/>
                <w:highlight w:val="none"/>
                <w:u w:val="none"/>
                <w:lang w:val="en-US" w:eastAsia="zh-CN" w:bidi="ar"/>
              </w:rPr>
              <w:t>管道</w:t>
            </w:r>
          </w:p>
        </w:tc>
        <w:tc>
          <w:tcPr>
            <w:tcW w:w="3232" w:type="pct"/>
            <w:vAlign w:val="center"/>
          </w:tcPr>
          <w:p w14:paraId="2811E743">
            <w:pPr>
              <w:pStyle w:val="56"/>
              <w:rPr>
                <w:rFonts w:hint="default" w:eastAsia="宋体" w:cs="Times New Roman"/>
                <w:kern w:val="0"/>
                <w:highlight w:val="none"/>
                <w:lang w:val="en-US" w:eastAsia="zh-CN"/>
              </w:rPr>
            </w:pPr>
            <w:r>
              <w:rPr>
                <w:rFonts w:hint="eastAsia" w:cs="Times New Roman"/>
                <w:kern w:val="0"/>
                <w:highlight w:val="none"/>
                <w:lang w:val="en-US" w:eastAsia="zh-CN"/>
              </w:rPr>
              <w:t>丁醇、乙酸乙酯、甲醇</w:t>
            </w:r>
          </w:p>
        </w:tc>
      </w:tr>
      <w:tr w14:paraId="6C15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2" w:type="pct"/>
            <w:vAlign w:val="center"/>
          </w:tcPr>
          <w:p w14:paraId="3C6072E0">
            <w:pPr>
              <w:pStyle w:val="56"/>
              <w:rPr>
                <w:rFonts w:hint="eastAsia" w:eastAsia="宋体" w:cs="Times New Roman"/>
                <w:kern w:val="0"/>
                <w:highlight w:val="none"/>
                <w:lang w:val="en-US" w:eastAsia="zh-CN"/>
              </w:rPr>
            </w:pPr>
            <w:r>
              <w:rPr>
                <w:rFonts w:hint="eastAsia" w:cs="Times New Roman"/>
                <w:kern w:val="0"/>
                <w:highlight w:val="none"/>
                <w:lang w:val="en-US" w:eastAsia="zh-CN"/>
              </w:rPr>
              <w:t>6</w:t>
            </w:r>
          </w:p>
        </w:tc>
        <w:tc>
          <w:tcPr>
            <w:tcW w:w="1455" w:type="pct"/>
            <w:vAlign w:val="center"/>
          </w:tcPr>
          <w:p w14:paraId="77E3DE76">
            <w:pPr>
              <w:keepNext w:val="0"/>
              <w:keepLines w:val="0"/>
              <w:widowControl/>
              <w:suppressLineNumbers w:val="0"/>
              <w:jc w:val="center"/>
              <w:textAlignment w:val="center"/>
              <w:rPr>
                <w:rFonts w:cs="Times New Roman"/>
                <w:kern w:val="0"/>
                <w:szCs w:val="21"/>
                <w:highlight w:val="none"/>
              </w:rPr>
            </w:pPr>
            <w:r>
              <w:rPr>
                <w:rFonts w:hint="eastAsia" w:ascii="宋体" w:hAnsi="宋体" w:eastAsia="宋体" w:cs="宋体"/>
                <w:i w:val="0"/>
                <w:iCs w:val="0"/>
                <w:color w:val="000000"/>
                <w:kern w:val="0"/>
                <w:sz w:val="21"/>
                <w:szCs w:val="21"/>
                <w:highlight w:val="none"/>
                <w:u w:val="none"/>
                <w:lang w:val="en-US" w:eastAsia="zh-CN" w:bidi="ar"/>
              </w:rPr>
              <w:t>湿酸火炬气</w:t>
            </w:r>
            <w:r>
              <w:rPr>
                <w:rFonts w:hint="eastAsia" w:ascii="宋体" w:hAnsi="宋体" w:cs="宋体"/>
                <w:i w:val="0"/>
                <w:iCs w:val="0"/>
                <w:color w:val="000000"/>
                <w:kern w:val="0"/>
                <w:sz w:val="21"/>
                <w:szCs w:val="21"/>
                <w:highlight w:val="none"/>
                <w:u w:val="none"/>
                <w:lang w:val="en-US" w:eastAsia="zh-CN" w:bidi="ar"/>
              </w:rPr>
              <w:t>管道</w:t>
            </w:r>
          </w:p>
        </w:tc>
        <w:tc>
          <w:tcPr>
            <w:tcW w:w="3232" w:type="pct"/>
            <w:vAlign w:val="center"/>
          </w:tcPr>
          <w:p w14:paraId="1E1B9DE8">
            <w:pPr>
              <w:pStyle w:val="56"/>
              <w:rPr>
                <w:rFonts w:hint="default" w:eastAsia="宋体" w:cs="Times New Roman"/>
                <w:kern w:val="0"/>
                <w:highlight w:val="none"/>
                <w:lang w:val="en-US" w:eastAsia="zh-CN"/>
              </w:rPr>
            </w:pPr>
            <w:r>
              <w:rPr>
                <w:rFonts w:hint="eastAsia" w:cs="Times New Roman"/>
                <w:kern w:val="0"/>
                <w:highlight w:val="none"/>
                <w:lang w:val="en-US" w:eastAsia="zh-CN"/>
              </w:rPr>
              <w:t>一氧化碳、硫化氢、甲烷</w:t>
            </w:r>
          </w:p>
        </w:tc>
      </w:tr>
      <w:tr w14:paraId="7DA6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2" w:type="pct"/>
            <w:vAlign w:val="center"/>
          </w:tcPr>
          <w:p w14:paraId="262A6380">
            <w:pPr>
              <w:pStyle w:val="56"/>
              <w:rPr>
                <w:rFonts w:hint="eastAsia" w:eastAsia="宋体" w:cs="Times New Roman"/>
                <w:kern w:val="0"/>
                <w:highlight w:val="none"/>
                <w:lang w:val="en-US" w:eastAsia="zh-CN"/>
              </w:rPr>
            </w:pPr>
            <w:r>
              <w:rPr>
                <w:rFonts w:hint="eastAsia" w:cs="Times New Roman"/>
                <w:kern w:val="0"/>
                <w:highlight w:val="none"/>
                <w:lang w:val="en-US" w:eastAsia="zh-CN"/>
              </w:rPr>
              <w:t>7</w:t>
            </w:r>
          </w:p>
        </w:tc>
        <w:tc>
          <w:tcPr>
            <w:tcW w:w="1455" w:type="pct"/>
            <w:vAlign w:val="center"/>
          </w:tcPr>
          <w:p w14:paraId="6ADC066B">
            <w:pPr>
              <w:keepNext w:val="0"/>
              <w:keepLines w:val="0"/>
              <w:widowControl/>
              <w:suppressLineNumbers w:val="0"/>
              <w:jc w:val="center"/>
              <w:textAlignment w:val="center"/>
              <w:rPr>
                <w:rFonts w:cs="Times New Roman"/>
                <w:kern w:val="0"/>
                <w:szCs w:val="21"/>
                <w:highlight w:val="none"/>
              </w:rPr>
            </w:pPr>
            <w:r>
              <w:rPr>
                <w:rFonts w:hint="eastAsia" w:ascii="宋体" w:hAnsi="宋体" w:eastAsia="宋体" w:cs="宋体"/>
                <w:i w:val="0"/>
                <w:iCs w:val="0"/>
                <w:color w:val="000000"/>
                <w:kern w:val="0"/>
                <w:sz w:val="21"/>
                <w:szCs w:val="21"/>
                <w:highlight w:val="none"/>
                <w:u w:val="none"/>
                <w:lang w:val="en-US" w:eastAsia="zh-CN" w:bidi="ar"/>
              </w:rPr>
              <w:t>酸性气（脱硫脱碳再生气体）</w:t>
            </w:r>
            <w:r>
              <w:rPr>
                <w:rFonts w:hint="eastAsia" w:ascii="宋体" w:hAnsi="宋体" w:cs="宋体"/>
                <w:i w:val="0"/>
                <w:iCs w:val="0"/>
                <w:color w:val="000000"/>
                <w:kern w:val="0"/>
                <w:sz w:val="21"/>
                <w:szCs w:val="21"/>
                <w:highlight w:val="none"/>
                <w:u w:val="none"/>
                <w:lang w:val="en-US" w:eastAsia="zh-CN" w:bidi="ar"/>
              </w:rPr>
              <w:t>管道</w:t>
            </w:r>
          </w:p>
        </w:tc>
        <w:tc>
          <w:tcPr>
            <w:tcW w:w="3232" w:type="pct"/>
            <w:vAlign w:val="center"/>
          </w:tcPr>
          <w:p w14:paraId="4B2819BD">
            <w:pPr>
              <w:pStyle w:val="56"/>
              <w:rPr>
                <w:rFonts w:hint="default" w:eastAsia="宋体" w:cs="Times New Roman"/>
                <w:kern w:val="0"/>
                <w:highlight w:val="none"/>
                <w:lang w:val="en-US" w:eastAsia="zh-CN"/>
              </w:rPr>
            </w:pPr>
            <w:r>
              <w:rPr>
                <w:rFonts w:hint="eastAsia" w:cs="Times New Roman"/>
                <w:kern w:val="0"/>
                <w:highlight w:val="none"/>
                <w:lang w:val="en-US" w:eastAsia="zh-CN"/>
              </w:rPr>
              <w:t>硫化氢、甲烷</w:t>
            </w:r>
          </w:p>
        </w:tc>
      </w:tr>
      <w:tr w14:paraId="02D9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2" w:type="pct"/>
            <w:vAlign w:val="center"/>
          </w:tcPr>
          <w:p w14:paraId="0B107872">
            <w:pPr>
              <w:pStyle w:val="56"/>
              <w:rPr>
                <w:rFonts w:hint="eastAsia" w:eastAsia="宋体" w:cs="Times New Roman"/>
                <w:kern w:val="0"/>
                <w:highlight w:val="none"/>
                <w:lang w:val="en-US" w:eastAsia="zh-CN"/>
              </w:rPr>
            </w:pPr>
            <w:r>
              <w:rPr>
                <w:rFonts w:hint="eastAsia" w:cs="Times New Roman"/>
                <w:kern w:val="0"/>
                <w:highlight w:val="none"/>
                <w:lang w:val="en-US" w:eastAsia="zh-CN"/>
              </w:rPr>
              <w:t>8</w:t>
            </w:r>
          </w:p>
        </w:tc>
        <w:tc>
          <w:tcPr>
            <w:tcW w:w="1455" w:type="pct"/>
            <w:vAlign w:val="center"/>
          </w:tcPr>
          <w:p w14:paraId="2C156FB9">
            <w:pPr>
              <w:keepNext w:val="0"/>
              <w:keepLines w:val="0"/>
              <w:widowControl/>
              <w:suppressLineNumbers w:val="0"/>
              <w:jc w:val="center"/>
              <w:textAlignment w:val="center"/>
              <w:rPr>
                <w:rFonts w:cs="Times New Roman"/>
                <w:kern w:val="0"/>
                <w:szCs w:val="21"/>
                <w:highlight w:val="none"/>
              </w:rPr>
            </w:pPr>
            <w:r>
              <w:rPr>
                <w:rFonts w:hint="eastAsia" w:ascii="宋体" w:hAnsi="宋体" w:eastAsia="宋体" w:cs="宋体"/>
                <w:i w:val="0"/>
                <w:iCs w:val="0"/>
                <w:color w:val="000000"/>
                <w:kern w:val="0"/>
                <w:sz w:val="21"/>
                <w:szCs w:val="21"/>
                <w:highlight w:val="none"/>
                <w:u w:val="none"/>
                <w:lang w:val="en-US" w:eastAsia="zh-CN" w:bidi="ar"/>
              </w:rPr>
              <w:t>尾气</w:t>
            </w:r>
            <w:r>
              <w:rPr>
                <w:rFonts w:hint="eastAsia" w:ascii="宋体" w:hAnsi="宋体" w:cs="宋体"/>
                <w:i w:val="0"/>
                <w:iCs w:val="0"/>
                <w:color w:val="000000"/>
                <w:kern w:val="0"/>
                <w:sz w:val="21"/>
                <w:szCs w:val="21"/>
                <w:highlight w:val="none"/>
                <w:u w:val="none"/>
                <w:lang w:val="en-US" w:eastAsia="zh-CN" w:bidi="ar"/>
              </w:rPr>
              <w:t>管道</w:t>
            </w:r>
          </w:p>
        </w:tc>
        <w:tc>
          <w:tcPr>
            <w:tcW w:w="3232" w:type="pct"/>
            <w:vAlign w:val="center"/>
          </w:tcPr>
          <w:p w14:paraId="47FCF2EA">
            <w:pPr>
              <w:pStyle w:val="56"/>
              <w:rPr>
                <w:rFonts w:hint="eastAsia" w:eastAsia="宋体" w:cs="Times New Roman"/>
                <w:kern w:val="0"/>
                <w:highlight w:val="none"/>
                <w:lang w:val="en-US" w:eastAsia="zh-CN"/>
              </w:rPr>
            </w:pPr>
            <w:r>
              <w:rPr>
                <w:rFonts w:hint="eastAsia" w:cs="Times New Roman"/>
                <w:kern w:val="0"/>
                <w:highlight w:val="none"/>
                <w:lang w:val="en-US" w:eastAsia="zh-CN"/>
              </w:rPr>
              <w:t>甲烷</w:t>
            </w:r>
          </w:p>
        </w:tc>
      </w:tr>
      <w:tr w14:paraId="465C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2" w:type="pct"/>
            <w:vAlign w:val="center"/>
          </w:tcPr>
          <w:p w14:paraId="0E34FB65">
            <w:pPr>
              <w:pStyle w:val="56"/>
              <w:rPr>
                <w:rFonts w:hint="eastAsia" w:eastAsia="宋体" w:cs="Times New Roman"/>
                <w:kern w:val="0"/>
                <w:highlight w:val="none"/>
                <w:lang w:val="en-US" w:eastAsia="zh-CN"/>
              </w:rPr>
            </w:pPr>
            <w:r>
              <w:rPr>
                <w:rFonts w:hint="eastAsia" w:cs="Times New Roman"/>
                <w:kern w:val="0"/>
                <w:highlight w:val="none"/>
                <w:lang w:val="en-US" w:eastAsia="zh-CN"/>
              </w:rPr>
              <w:t>9</w:t>
            </w:r>
          </w:p>
        </w:tc>
        <w:tc>
          <w:tcPr>
            <w:tcW w:w="1455" w:type="pct"/>
            <w:vAlign w:val="bottom"/>
          </w:tcPr>
          <w:p w14:paraId="322327D6">
            <w:pPr>
              <w:keepNext w:val="0"/>
              <w:keepLines w:val="0"/>
              <w:widowControl/>
              <w:suppressLineNumbers w:val="0"/>
              <w:jc w:val="center"/>
              <w:textAlignment w:val="bottom"/>
              <w:rPr>
                <w:rFonts w:cs="Times New Roman"/>
                <w:kern w:val="0"/>
                <w:szCs w:val="21"/>
                <w:highlight w:val="none"/>
              </w:rPr>
            </w:pPr>
            <w:r>
              <w:rPr>
                <w:rFonts w:hint="eastAsia" w:ascii="宋体" w:hAnsi="宋体" w:eastAsia="宋体" w:cs="宋体"/>
                <w:i w:val="0"/>
                <w:iCs w:val="0"/>
                <w:color w:val="000000"/>
                <w:kern w:val="0"/>
                <w:sz w:val="21"/>
                <w:szCs w:val="21"/>
                <w:highlight w:val="none"/>
                <w:u w:val="none"/>
                <w:lang w:val="en-US" w:eastAsia="zh-CN" w:bidi="ar"/>
              </w:rPr>
              <w:t>富甲烷气</w:t>
            </w:r>
            <w:r>
              <w:rPr>
                <w:rFonts w:hint="eastAsia" w:ascii="宋体" w:hAnsi="宋体" w:cs="宋体"/>
                <w:i w:val="0"/>
                <w:iCs w:val="0"/>
                <w:color w:val="000000"/>
                <w:kern w:val="0"/>
                <w:sz w:val="21"/>
                <w:szCs w:val="21"/>
                <w:highlight w:val="none"/>
                <w:u w:val="none"/>
                <w:lang w:val="en-US" w:eastAsia="zh-CN" w:bidi="ar"/>
              </w:rPr>
              <w:t>管道</w:t>
            </w:r>
          </w:p>
        </w:tc>
        <w:tc>
          <w:tcPr>
            <w:tcW w:w="3232" w:type="pct"/>
            <w:vAlign w:val="center"/>
          </w:tcPr>
          <w:p w14:paraId="2E287842">
            <w:pPr>
              <w:pStyle w:val="56"/>
              <w:rPr>
                <w:rFonts w:hint="default" w:eastAsia="宋体" w:cs="Times New Roman"/>
                <w:kern w:val="0"/>
                <w:highlight w:val="none"/>
                <w:lang w:val="en-US" w:eastAsia="zh-CN"/>
              </w:rPr>
            </w:pPr>
            <w:r>
              <w:rPr>
                <w:rFonts w:hint="eastAsia" w:cs="Times New Roman"/>
                <w:kern w:val="0"/>
                <w:highlight w:val="none"/>
                <w:lang w:val="en-US" w:eastAsia="zh-CN"/>
              </w:rPr>
              <w:t>甲烷、硫化氢</w:t>
            </w:r>
          </w:p>
        </w:tc>
      </w:tr>
      <w:tr w14:paraId="663E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12" w:type="pct"/>
            <w:vAlign w:val="center"/>
          </w:tcPr>
          <w:p w14:paraId="628393D4">
            <w:pPr>
              <w:pStyle w:val="56"/>
              <w:rPr>
                <w:rFonts w:hint="default" w:eastAsia="宋体" w:cs="Times New Roman"/>
                <w:kern w:val="0"/>
                <w:highlight w:val="none"/>
                <w:lang w:val="en-US" w:eastAsia="zh-CN"/>
              </w:rPr>
            </w:pPr>
            <w:r>
              <w:rPr>
                <w:rFonts w:hint="eastAsia" w:cs="Times New Roman"/>
                <w:kern w:val="0"/>
                <w:highlight w:val="none"/>
                <w:lang w:val="en-US" w:eastAsia="zh-CN"/>
              </w:rPr>
              <w:t>10</w:t>
            </w:r>
          </w:p>
        </w:tc>
        <w:tc>
          <w:tcPr>
            <w:tcW w:w="1455" w:type="pct"/>
            <w:vAlign w:val="center"/>
          </w:tcPr>
          <w:p w14:paraId="5F15BF3D">
            <w:pPr>
              <w:keepNext w:val="0"/>
              <w:keepLines w:val="0"/>
              <w:widowControl/>
              <w:suppressLineNumbers w:val="0"/>
              <w:jc w:val="center"/>
              <w:textAlignment w:val="center"/>
              <w:rPr>
                <w:rFonts w:cs="Times New Roman"/>
                <w:kern w:val="0"/>
                <w:szCs w:val="21"/>
                <w:highlight w:val="none"/>
              </w:rPr>
            </w:pPr>
            <w:r>
              <w:rPr>
                <w:rFonts w:hint="eastAsia" w:ascii="宋体" w:hAnsi="宋体" w:eastAsia="宋体" w:cs="宋体"/>
                <w:i w:val="0"/>
                <w:iCs w:val="0"/>
                <w:color w:val="000000"/>
                <w:kern w:val="0"/>
                <w:sz w:val="21"/>
                <w:szCs w:val="21"/>
                <w:highlight w:val="none"/>
                <w:u w:val="none"/>
                <w:lang w:val="en-US" w:eastAsia="zh-CN" w:bidi="ar"/>
              </w:rPr>
              <w:t>真空尾气</w:t>
            </w:r>
            <w:r>
              <w:rPr>
                <w:rFonts w:hint="eastAsia" w:ascii="宋体" w:hAnsi="宋体" w:cs="宋体"/>
                <w:i w:val="0"/>
                <w:iCs w:val="0"/>
                <w:color w:val="000000"/>
                <w:kern w:val="0"/>
                <w:sz w:val="21"/>
                <w:szCs w:val="21"/>
                <w:highlight w:val="none"/>
                <w:u w:val="none"/>
                <w:lang w:val="en-US" w:eastAsia="zh-CN" w:bidi="ar"/>
              </w:rPr>
              <w:t>管道</w:t>
            </w:r>
          </w:p>
        </w:tc>
        <w:tc>
          <w:tcPr>
            <w:tcW w:w="3232" w:type="pct"/>
            <w:vAlign w:val="center"/>
          </w:tcPr>
          <w:p w14:paraId="27F32EBC">
            <w:pPr>
              <w:pStyle w:val="56"/>
              <w:rPr>
                <w:rFonts w:hint="default" w:eastAsia="宋体" w:cs="Times New Roman"/>
                <w:kern w:val="0"/>
                <w:highlight w:val="none"/>
                <w:lang w:val="en-US" w:eastAsia="zh-CN"/>
              </w:rPr>
            </w:pPr>
            <w:r>
              <w:rPr>
                <w:rFonts w:hint="eastAsia" w:cs="Times New Roman"/>
                <w:kern w:val="0"/>
                <w:highlight w:val="none"/>
                <w:lang w:val="en-US" w:eastAsia="zh-CN"/>
              </w:rPr>
              <w:t>甲醇、丁醇、正丙醇、乙酸、乙酸乙酯、甲烷、硫化氢、氨气</w:t>
            </w:r>
          </w:p>
        </w:tc>
      </w:tr>
    </w:tbl>
    <w:p w14:paraId="59E9EBA8">
      <w:pPr>
        <w:keepNext/>
        <w:keepLines/>
        <w:spacing w:line="360" w:lineRule="auto"/>
        <w:outlineLvl w:val="1"/>
        <w:rPr>
          <w:b/>
          <w:bCs/>
          <w:sz w:val="28"/>
          <w:szCs w:val="28"/>
          <w:highlight w:val="none"/>
        </w:rPr>
      </w:pPr>
      <w:r>
        <w:rPr>
          <w:rFonts w:hint="eastAsia"/>
          <w:b/>
          <w:bCs/>
          <w:sz w:val="28"/>
          <w:szCs w:val="28"/>
          <w:highlight w:val="none"/>
        </w:rPr>
        <w:t>3.</w:t>
      </w:r>
      <w:r>
        <w:rPr>
          <w:rFonts w:hint="eastAsia"/>
          <w:b/>
          <w:bCs/>
          <w:sz w:val="28"/>
          <w:szCs w:val="28"/>
          <w:highlight w:val="none"/>
          <w:lang w:val="en-US" w:eastAsia="zh-CN"/>
        </w:rPr>
        <w:t>2物质危险性</w:t>
      </w:r>
      <w:r>
        <w:rPr>
          <w:rFonts w:hint="eastAsia"/>
          <w:b/>
          <w:bCs/>
          <w:sz w:val="28"/>
          <w:szCs w:val="28"/>
          <w:highlight w:val="none"/>
        </w:rPr>
        <w:t>分析</w:t>
      </w:r>
    </w:p>
    <w:p w14:paraId="59B09559">
      <w:pPr>
        <w:spacing w:line="360" w:lineRule="auto"/>
        <w:ind w:firstLine="480" w:firstLineChars="200"/>
        <w:rPr>
          <w:rFonts w:hint="eastAsia"/>
          <w:sz w:val="24"/>
          <w:highlight w:val="none"/>
          <w:lang w:val="en-US" w:eastAsia="zh-CN"/>
        </w:rPr>
      </w:pPr>
      <w:r>
        <w:rPr>
          <w:rFonts w:hint="eastAsia"/>
          <w:sz w:val="24"/>
          <w:highlight w:val="none"/>
          <w:lang w:val="en-US" w:eastAsia="zh-CN"/>
        </w:rPr>
        <w:t>（1）生产过程中涉及的主要危险物质</w:t>
      </w:r>
    </w:p>
    <w:p w14:paraId="2BA87CA2">
      <w:pPr>
        <w:spacing w:line="360" w:lineRule="auto"/>
        <w:ind w:firstLine="480" w:firstLineChars="200"/>
        <w:rPr>
          <w:rFonts w:hint="eastAsia"/>
          <w:sz w:val="24"/>
          <w:highlight w:val="none"/>
          <w:lang w:val="en-US" w:eastAsia="zh-CN"/>
        </w:rPr>
      </w:pPr>
      <w:r>
        <w:rPr>
          <w:rFonts w:hint="eastAsia"/>
          <w:sz w:val="24"/>
          <w:highlight w:val="none"/>
          <w:lang w:val="en-US" w:eastAsia="zh-CN"/>
        </w:rPr>
        <w:t>根据导则附录B辨识，本项目原辅材料中属于危险物质的有：一氧化碳、甲烷、乙烷、硫化氢、丁醇、乙酸乙酯、甲醇、正丙醇、乙酸、乙醛、氨气等。</w:t>
      </w:r>
    </w:p>
    <w:p w14:paraId="70D01D6D">
      <w:pPr>
        <w:spacing w:line="360" w:lineRule="auto"/>
        <w:ind w:firstLine="480" w:firstLineChars="200"/>
        <w:rPr>
          <w:rFonts w:hint="eastAsia"/>
          <w:sz w:val="24"/>
          <w:highlight w:val="none"/>
          <w:lang w:val="en-US" w:eastAsia="zh-CN"/>
        </w:rPr>
      </w:pPr>
      <w:r>
        <w:rPr>
          <w:rFonts w:hint="eastAsia"/>
          <w:sz w:val="24"/>
          <w:highlight w:val="none"/>
          <w:lang w:val="en-US" w:eastAsia="zh-CN"/>
        </w:rPr>
        <w:t>根据《中国严格限制的有毒化学品名录（2020年）》《优先控制化学品名录（第一批）》《优先控制化学品名录（第二批）》《易制毒化学品的分类和品种目录（2018年）》等文件要求，对本项目生产过程中涉及的主要危险物质的危害特性进行辨识。主要物料的危险有害特性见3.2-1~3.2-11。</w:t>
      </w:r>
    </w:p>
    <w:p w14:paraId="12138889">
      <w:pPr>
        <w:spacing w:line="360" w:lineRule="auto"/>
        <w:ind w:firstLine="480" w:firstLineChars="200"/>
        <w:rPr>
          <w:rFonts w:hint="eastAsia"/>
          <w:sz w:val="24"/>
          <w:highlight w:val="none"/>
          <w:lang w:val="en-US" w:eastAsia="zh-CN"/>
        </w:rPr>
      </w:pPr>
      <w:r>
        <w:rPr>
          <w:rFonts w:hint="eastAsia"/>
          <w:sz w:val="24"/>
          <w:highlight w:val="none"/>
          <w:lang w:val="en-US" w:eastAsia="zh-CN"/>
        </w:rPr>
        <w:t>（2）火灾和爆炸伴生/次生物</w:t>
      </w:r>
    </w:p>
    <w:p w14:paraId="6C81425D">
      <w:pPr>
        <w:spacing w:line="360" w:lineRule="auto"/>
        <w:ind w:firstLine="480" w:firstLineChars="200"/>
        <w:rPr>
          <w:rFonts w:hint="eastAsia"/>
          <w:sz w:val="24"/>
          <w:highlight w:val="none"/>
          <w:lang w:val="en-US" w:eastAsia="zh-CN"/>
        </w:rPr>
      </w:pPr>
      <w:r>
        <w:rPr>
          <w:rFonts w:hint="eastAsia"/>
          <w:sz w:val="24"/>
          <w:highlight w:val="none"/>
          <w:lang w:val="en-US" w:eastAsia="zh-CN"/>
        </w:rPr>
        <w:t>本项目</w:t>
      </w:r>
      <w:r>
        <w:rPr>
          <w:rFonts w:ascii="Arial" w:hAnsi="Arial" w:eastAsia="宋体" w:cs="Arial"/>
          <w:i w:val="0"/>
          <w:iCs w:val="0"/>
          <w:caps w:val="0"/>
          <w:color w:val="222222"/>
          <w:spacing w:val="0"/>
          <w:sz w:val="24"/>
          <w:szCs w:val="24"/>
          <w:shd w:val="clear" w:fill="FFFFFF"/>
        </w:rPr>
        <w:t>火灾和爆炸事故直接产生的</w:t>
      </w:r>
      <w:r>
        <w:rPr>
          <w:rFonts w:hint="eastAsia"/>
          <w:sz w:val="24"/>
          <w:highlight w:val="none"/>
          <w:lang w:val="en-US" w:eastAsia="zh-CN"/>
        </w:rPr>
        <w:t>气态伴生/次生污染物主要包括易燃/可燃物质燃烧产生的CO、SO</w:t>
      </w:r>
      <w:r>
        <w:rPr>
          <w:rFonts w:hint="eastAsia"/>
          <w:sz w:val="24"/>
          <w:highlight w:val="none"/>
          <w:vertAlign w:val="subscript"/>
          <w:lang w:val="en-US" w:eastAsia="zh-CN"/>
        </w:rPr>
        <w:t>2</w:t>
      </w:r>
      <w:r>
        <w:rPr>
          <w:rFonts w:hint="eastAsia"/>
          <w:sz w:val="24"/>
          <w:highlight w:val="none"/>
          <w:lang w:val="en-US" w:eastAsia="zh-CN"/>
        </w:rPr>
        <w:t>、烟尘等有毒有害气体及黑烟。火灾爆炸事故应急处置过程中产生的消防废水。</w:t>
      </w:r>
    </w:p>
    <w:p w14:paraId="7158108B">
      <w:pPr>
        <w:spacing w:line="360" w:lineRule="auto"/>
        <w:jc w:val="center"/>
        <w:rPr>
          <w:rFonts w:hint="default" w:ascii="Times New Roman" w:hAnsi="Times New Roman" w:eastAsia="宋体" w:cs="Times New Roman"/>
          <w:b/>
          <w:bCs/>
          <w:sz w:val="21"/>
          <w:szCs w:val="21"/>
          <w:highlight w:val="none"/>
        </w:rPr>
      </w:pPr>
      <w:r>
        <w:rPr>
          <w:rFonts w:hint="eastAsia" w:cs="Times New Roman"/>
          <w:b/>
          <w:bCs/>
          <w:sz w:val="21"/>
          <w:szCs w:val="21"/>
          <w:highlight w:val="none"/>
          <w:lang w:val="en-US" w:eastAsia="zh-CN"/>
        </w:rPr>
        <w:t xml:space="preserve">表3.2-1   </w:t>
      </w:r>
      <w:r>
        <w:rPr>
          <w:rFonts w:hint="default" w:ascii="Times New Roman" w:hAnsi="Times New Roman" w:eastAsia="宋体" w:cs="Times New Roman"/>
          <w:b/>
          <w:bCs/>
          <w:sz w:val="21"/>
          <w:szCs w:val="21"/>
          <w:highlight w:val="none"/>
        </w:rPr>
        <w:t>硫化氢理化性质与危险特性一览表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3"/>
        <w:gridCol w:w="1313"/>
        <w:gridCol w:w="656"/>
        <w:gridCol w:w="606"/>
        <w:gridCol w:w="1033"/>
        <w:gridCol w:w="650"/>
        <w:gridCol w:w="2169"/>
        <w:gridCol w:w="605"/>
        <w:gridCol w:w="1155"/>
      </w:tblGrid>
      <w:tr w14:paraId="7152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restart"/>
            <w:tcMar>
              <w:left w:w="108" w:type="dxa"/>
              <w:right w:w="108" w:type="dxa"/>
            </w:tcMar>
            <w:vAlign w:val="center"/>
          </w:tcPr>
          <w:p w14:paraId="72B77F25">
            <w:pPr>
              <w:jc w:val="center"/>
              <w:rPr>
                <w:bCs/>
                <w:szCs w:val="21"/>
                <w:highlight w:val="none"/>
              </w:rPr>
            </w:pPr>
            <w:r>
              <w:rPr>
                <w:bCs/>
                <w:szCs w:val="21"/>
                <w:highlight w:val="none"/>
              </w:rPr>
              <w:t>标识</w:t>
            </w:r>
          </w:p>
        </w:tc>
        <w:tc>
          <w:tcPr>
            <w:tcW w:w="752" w:type="pct"/>
            <w:tcMar>
              <w:left w:w="108" w:type="dxa"/>
              <w:right w:w="108" w:type="dxa"/>
            </w:tcMar>
            <w:vAlign w:val="center"/>
          </w:tcPr>
          <w:p w14:paraId="361AFCEF">
            <w:pPr>
              <w:jc w:val="center"/>
              <w:rPr>
                <w:bCs/>
                <w:szCs w:val="21"/>
                <w:highlight w:val="none"/>
              </w:rPr>
            </w:pPr>
            <w:r>
              <w:rPr>
                <w:bCs/>
                <w:szCs w:val="21"/>
                <w:highlight w:val="none"/>
              </w:rPr>
              <w:t>中文名称：</w:t>
            </w:r>
          </w:p>
        </w:tc>
        <w:tc>
          <w:tcPr>
            <w:tcW w:w="3941" w:type="pct"/>
            <w:gridSpan w:val="7"/>
            <w:tcMar>
              <w:left w:w="108" w:type="dxa"/>
              <w:right w:w="108" w:type="dxa"/>
            </w:tcMar>
            <w:vAlign w:val="center"/>
          </w:tcPr>
          <w:p w14:paraId="15604C8D">
            <w:pPr>
              <w:jc w:val="center"/>
              <w:rPr>
                <w:bCs/>
                <w:szCs w:val="21"/>
                <w:highlight w:val="none"/>
              </w:rPr>
            </w:pPr>
            <w:r>
              <w:rPr>
                <w:bCs/>
                <w:szCs w:val="21"/>
                <w:highlight w:val="none"/>
              </w:rPr>
              <w:t>硫化氢</w:t>
            </w:r>
          </w:p>
        </w:tc>
      </w:tr>
      <w:tr w14:paraId="14AC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4BFAC4A7">
            <w:pPr>
              <w:jc w:val="center"/>
              <w:rPr>
                <w:bCs/>
                <w:szCs w:val="21"/>
                <w:highlight w:val="none"/>
              </w:rPr>
            </w:pPr>
          </w:p>
        </w:tc>
        <w:tc>
          <w:tcPr>
            <w:tcW w:w="752" w:type="pct"/>
            <w:tcMar>
              <w:left w:w="108" w:type="dxa"/>
              <w:right w:w="108" w:type="dxa"/>
            </w:tcMar>
            <w:vAlign w:val="center"/>
          </w:tcPr>
          <w:p w14:paraId="7D18E883">
            <w:pPr>
              <w:jc w:val="center"/>
              <w:rPr>
                <w:bCs/>
                <w:szCs w:val="21"/>
                <w:highlight w:val="none"/>
              </w:rPr>
            </w:pPr>
            <w:r>
              <w:rPr>
                <w:bCs/>
                <w:szCs w:val="21"/>
                <w:highlight w:val="none"/>
              </w:rPr>
              <w:t>英文名称：</w:t>
            </w:r>
          </w:p>
        </w:tc>
        <w:tc>
          <w:tcPr>
            <w:tcW w:w="3941" w:type="pct"/>
            <w:gridSpan w:val="7"/>
            <w:tcMar>
              <w:left w:w="108" w:type="dxa"/>
              <w:right w:w="108" w:type="dxa"/>
            </w:tcMar>
            <w:vAlign w:val="center"/>
          </w:tcPr>
          <w:p w14:paraId="2B31CCAC">
            <w:pPr>
              <w:jc w:val="center"/>
              <w:rPr>
                <w:bCs/>
                <w:szCs w:val="21"/>
                <w:highlight w:val="none"/>
              </w:rPr>
            </w:pPr>
            <w:r>
              <w:rPr>
                <w:bCs/>
                <w:szCs w:val="21"/>
                <w:highlight w:val="none"/>
              </w:rPr>
              <w:t>hydrogen sulfide;sulfur hydride</w:t>
            </w:r>
          </w:p>
        </w:tc>
      </w:tr>
      <w:tr w14:paraId="42DE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70ED3A46">
            <w:pPr>
              <w:jc w:val="center"/>
              <w:rPr>
                <w:bCs/>
                <w:szCs w:val="21"/>
                <w:highlight w:val="none"/>
              </w:rPr>
            </w:pPr>
          </w:p>
        </w:tc>
        <w:tc>
          <w:tcPr>
            <w:tcW w:w="752" w:type="pct"/>
            <w:tcMar>
              <w:left w:w="108" w:type="dxa"/>
              <w:right w:w="108" w:type="dxa"/>
            </w:tcMar>
            <w:vAlign w:val="center"/>
          </w:tcPr>
          <w:p w14:paraId="6184EB0B">
            <w:pPr>
              <w:jc w:val="center"/>
              <w:rPr>
                <w:bCs/>
                <w:szCs w:val="21"/>
                <w:highlight w:val="none"/>
              </w:rPr>
            </w:pPr>
            <w:r>
              <w:rPr>
                <w:bCs/>
                <w:szCs w:val="21"/>
                <w:highlight w:val="none"/>
              </w:rPr>
              <w:t>分子式：</w:t>
            </w:r>
          </w:p>
        </w:tc>
        <w:tc>
          <w:tcPr>
            <w:tcW w:w="1315" w:type="pct"/>
            <w:gridSpan w:val="3"/>
            <w:tcMar>
              <w:left w:w="108" w:type="dxa"/>
              <w:right w:w="108" w:type="dxa"/>
            </w:tcMar>
            <w:vAlign w:val="center"/>
          </w:tcPr>
          <w:p w14:paraId="38A9C252">
            <w:pPr>
              <w:jc w:val="center"/>
              <w:rPr>
                <w:bCs/>
                <w:szCs w:val="21"/>
                <w:highlight w:val="none"/>
              </w:rPr>
            </w:pPr>
            <w:r>
              <w:rPr>
                <w:bCs/>
                <w:szCs w:val="21"/>
                <w:highlight w:val="none"/>
              </w:rPr>
              <w:t>H</w:t>
            </w:r>
            <w:r>
              <w:rPr>
                <w:bCs/>
                <w:szCs w:val="21"/>
                <w:highlight w:val="none"/>
                <w:vertAlign w:val="subscript"/>
              </w:rPr>
              <w:t>2</w:t>
            </w:r>
            <w:r>
              <w:rPr>
                <w:bCs/>
                <w:szCs w:val="21"/>
                <w:highlight w:val="none"/>
              </w:rPr>
              <w:t>S</w:t>
            </w:r>
          </w:p>
        </w:tc>
        <w:tc>
          <w:tcPr>
            <w:tcW w:w="1616" w:type="pct"/>
            <w:gridSpan w:val="2"/>
            <w:tcMar>
              <w:left w:w="108" w:type="dxa"/>
              <w:right w:w="108" w:type="dxa"/>
            </w:tcMar>
            <w:vAlign w:val="center"/>
          </w:tcPr>
          <w:p w14:paraId="3C424DD6">
            <w:pPr>
              <w:jc w:val="center"/>
              <w:rPr>
                <w:bCs/>
                <w:szCs w:val="21"/>
                <w:highlight w:val="none"/>
              </w:rPr>
            </w:pPr>
            <w:r>
              <w:rPr>
                <w:bCs/>
                <w:szCs w:val="21"/>
                <w:highlight w:val="none"/>
              </w:rPr>
              <w:t>相对分子质量</w:t>
            </w:r>
          </w:p>
        </w:tc>
        <w:tc>
          <w:tcPr>
            <w:tcW w:w="1009" w:type="pct"/>
            <w:gridSpan w:val="2"/>
            <w:tcMar>
              <w:left w:w="108" w:type="dxa"/>
              <w:right w:w="108" w:type="dxa"/>
            </w:tcMar>
            <w:vAlign w:val="center"/>
          </w:tcPr>
          <w:p w14:paraId="22949113">
            <w:pPr>
              <w:jc w:val="center"/>
              <w:rPr>
                <w:bCs/>
                <w:szCs w:val="21"/>
                <w:highlight w:val="none"/>
              </w:rPr>
            </w:pPr>
            <w:r>
              <w:rPr>
                <w:bCs/>
                <w:szCs w:val="21"/>
                <w:highlight w:val="none"/>
              </w:rPr>
              <w:t>34.08</w:t>
            </w:r>
          </w:p>
        </w:tc>
      </w:tr>
      <w:tr w14:paraId="1A9A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490D1E6E">
            <w:pPr>
              <w:jc w:val="center"/>
              <w:rPr>
                <w:bCs/>
                <w:szCs w:val="21"/>
                <w:highlight w:val="none"/>
              </w:rPr>
            </w:pPr>
          </w:p>
        </w:tc>
        <w:tc>
          <w:tcPr>
            <w:tcW w:w="752" w:type="pct"/>
            <w:tcMar>
              <w:left w:w="108" w:type="dxa"/>
              <w:right w:w="108" w:type="dxa"/>
            </w:tcMar>
            <w:vAlign w:val="center"/>
          </w:tcPr>
          <w:p w14:paraId="1CCD46DE">
            <w:pPr>
              <w:jc w:val="center"/>
              <w:rPr>
                <w:bCs/>
                <w:szCs w:val="21"/>
                <w:highlight w:val="none"/>
              </w:rPr>
            </w:pPr>
            <w:r>
              <w:rPr>
                <w:bCs/>
                <w:szCs w:val="21"/>
                <w:highlight w:val="none"/>
              </w:rPr>
              <w:t>用 途：</w:t>
            </w:r>
          </w:p>
        </w:tc>
        <w:tc>
          <w:tcPr>
            <w:tcW w:w="3941" w:type="pct"/>
            <w:gridSpan w:val="7"/>
            <w:tcMar>
              <w:left w:w="108" w:type="dxa"/>
              <w:right w:w="108" w:type="dxa"/>
            </w:tcMar>
            <w:vAlign w:val="center"/>
          </w:tcPr>
          <w:p w14:paraId="573EEFD3">
            <w:pPr>
              <w:jc w:val="center"/>
              <w:rPr>
                <w:bCs/>
                <w:szCs w:val="21"/>
                <w:highlight w:val="none"/>
              </w:rPr>
            </w:pPr>
            <w:r>
              <w:rPr>
                <w:bCs/>
                <w:szCs w:val="21"/>
                <w:highlight w:val="none"/>
              </w:rPr>
              <w:t>用于制造无机硫化合物，还用于化学分析如鉴定金属离子</w:t>
            </w:r>
            <w:r>
              <w:rPr>
                <w:rFonts w:hint="eastAsia"/>
                <w:bCs/>
                <w:szCs w:val="21"/>
                <w:highlight w:val="none"/>
                <w:lang w:eastAsia="zh-CN"/>
              </w:rPr>
              <w:t>等</w:t>
            </w:r>
            <w:r>
              <w:rPr>
                <w:bCs/>
                <w:szCs w:val="21"/>
                <w:highlight w:val="none"/>
              </w:rPr>
              <w:t>。</w:t>
            </w:r>
          </w:p>
        </w:tc>
      </w:tr>
      <w:tr w14:paraId="6CFE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restart"/>
            <w:tcMar>
              <w:left w:w="108" w:type="dxa"/>
              <w:right w:w="108" w:type="dxa"/>
            </w:tcMar>
            <w:vAlign w:val="center"/>
          </w:tcPr>
          <w:p w14:paraId="3A14257D">
            <w:pPr>
              <w:jc w:val="center"/>
              <w:rPr>
                <w:bCs/>
                <w:szCs w:val="21"/>
                <w:highlight w:val="none"/>
              </w:rPr>
            </w:pPr>
            <w:r>
              <w:rPr>
                <w:bCs/>
                <w:szCs w:val="21"/>
                <w:highlight w:val="none"/>
              </w:rPr>
              <w:t>危险概述</w:t>
            </w:r>
          </w:p>
        </w:tc>
        <w:tc>
          <w:tcPr>
            <w:tcW w:w="752" w:type="pct"/>
            <w:tcMar>
              <w:left w:w="108" w:type="dxa"/>
              <w:right w:w="108" w:type="dxa"/>
            </w:tcMar>
            <w:vAlign w:val="center"/>
          </w:tcPr>
          <w:p w14:paraId="52EE81D8">
            <w:pPr>
              <w:jc w:val="center"/>
              <w:rPr>
                <w:bCs/>
                <w:szCs w:val="21"/>
                <w:highlight w:val="none"/>
              </w:rPr>
            </w:pPr>
            <w:r>
              <w:rPr>
                <w:bCs/>
                <w:szCs w:val="21"/>
                <w:highlight w:val="none"/>
              </w:rPr>
              <w:t>概 述：</w:t>
            </w:r>
          </w:p>
        </w:tc>
        <w:tc>
          <w:tcPr>
            <w:tcW w:w="3941" w:type="pct"/>
            <w:gridSpan w:val="7"/>
            <w:tcMar>
              <w:left w:w="108" w:type="dxa"/>
              <w:right w:w="108" w:type="dxa"/>
            </w:tcMar>
            <w:vAlign w:val="center"/>
          </w:tcPr>
          <w:p w14:paraId="056B1EC2">
            <w:pPr>
              <w:jc w:val="center"/>
              <w:rPr>
                <w:bCs/>
                <w:szCs w:val="21"/>
                <w:highlight w:val="none"/>
              </w:rPr>
            </w:pPr>
            <w:r>
              <w:rPr>
                <w:bCs/>
                <w:szCs w:val="21"/>
                <w:highlight w:val="none"/>
              </w:rPr>
              <w:t>极易燃气体，内装加压气体；遇热可分解爆炸，吸入致命。</w:t>
            </w:r>
          </w:p>
        </w:tc>
      </w:tr>
      <w:tr w14:paraId="74C5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2062D4BF">
            <w:pPr>
              <w:jc w:val="center"/>
              <w:rPr>
                <w:bCs/>
                <w:szCs w:val="21"/>
                <w:highlight w:val="none"/>
              </w:rPr>
            </w:pPr>
          </w:p>
        </w:tc>
        <w:tc>
          <w:tcPr>
            <w:tcW w:w="752" w:type="pct"/>
            <w:tcMar>
              <w:left w:w="108" w:type="dxa"/>
              <w:right w:w="108" w:type="dxa"/>
            </w:tcMar>
            <w:vAlign w:val="center"/>
          </w:tcPr>
          <w:p w14:paraId="480A03B7">
            <w:pPr>
              <w:jc w:val="center"/>
              <w:rPr>
                <w:bCs/>
                <w:szCs w:val="21"/>
                <w:highlight w:val="none"/>
              </w:rPr>
            </w:pPr>
            <w:r>
              <w:rPr>
                <w:bCs/>
                <w:szCs w:val="21"/>
                <w:highlight w:val="none"/>
              </w:rPr>
              <w:t>危险性类别：</w:t>
            </w:r>
          </w:p>
        </w:tc>
        <w:tc>
          <w:tcPr>
            <w:tcW w:w="3941" w:type="pct"/>
            <w:gridSpan w:val="7"/>
            <w:tcMar>
              <w:left w:w="108" w:type="dxa"/>
              <w:right w:w="108" w:type="dxa"/>
            </w:tcMar>
            <w:vAlign w:val="center"/>
          </w:tcPr>
          <w:p w14:paraId="0C81D866">
            <w:pPr>
              <w:jc w:val="center"/>
              <w:rPr>
                <w:rFonts w:hint="eastAsia" w:eastAsia="宋体"/>
                <w:bCs/>
                <w:szCs w:val="21"/>
                <w:highlight w:val="none"/>
                <w:lang w:eastAsia="zh-CN"/>
              </w:rPr>
            </w:pPr>
            <w:r>
              <w:rPr>
                <w:bCs/>
                <w:szCs w:val="21"/>
                <w:highlight w:val="none"/>
              </w:rPr>
              <w:t>易燃气体，类别1；加压气体；急性毒性－吸入，类别2；危害水生环境－急性危害，类别1</w:t>
            </w:r>
            <w:r>
              <w:rPr>
                <w:rFonts w:hint="eastAsia"/>
                <w:bCs/>
                <w:szCs w:val="21"/>
                <w:highlight w:val="none"/>
                <w:lang w:eastAsia="zh-CN"/>
              </w:rPr>
              <w:t>。</w:t>
            </w:r>
          </w:p>
        </w:tc>
      </w:tr>
      <w:tr w14:paraId="4F9A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708ED76B">
            <w:pPr>
              <w:jc w:val="center"/>
              <w:rPr>
                <w:bCs/>
                <w:szCs w:val="21"/>
                <w:highlight w:val="none"/>
              </w:rPr>
            </w:pPr>
          </w:p>
        </w:tc>
        <w:tc>
          <w:tcPr>
            <w:tcW w:w="752" w:type="pct"/>
            <w:vMerge w:val="restart"/>
            <w:tcMar>
              <w:left w:w="108" w:type="dxa"/>
              <w:right w:w="108" w:type="dxa"/>
            </w:tcMar>
            <w:vAlign w:val="center"/>
          </w:tcPr>
          <w:p w14:paraId="7D0437F3">
            <w:pPr>
              <w:jc w:val="center"/>
              <w:rPr>
                <w:bCs/>
                <w:szCs w:val="21"/>
                <w:highlight w:val="none"/>
              </w:rPr>
            </w:pPr>
            <w:r>
              <w:rPr>
                <w:bCs/>
                <w:szCs w:val="21"/>
                <w:highlight w:val="none"/>
              </w:rPr>
              <w:t>防范说明：</w:t>
            </w:r>
          </w:p>
        </w:tc>
        <w:tc>
          <w:tcPr>
            <w:tcW w:w="3941" w:type="pct"/>
            <w:gridSpan w:val="7"/>
            <w:tcMar>
              <w:left w:w="108" w:type="dxa"/>
              <w:right w:w="108" w:type="dxa"/>
            </w:tcMar>
            <w:vAlign w:val="center"/>
          </w:tcPr>
          <w:p w14:paraId="3473333D">
            <w:pPr>
              <w:jc w:val="center"/>
              <w:rPr>
                <w:bCs/>
                <w:szCs w:val="21"/>
                <w:highlight w:val="none"/>
              </w:rPr>
            </w:pPr>
            <w:r>
              <w:rPr>
                <w:bCs/>
                <w:szCs w:val="21"/>
                <w:highlight w:val="none"/>
              </w:rPr>
              <w:t>预防措施：远离热源、火花、明火、热表面</w:t>
            </w:r>
            <w:r>
              <w:rPr>
                <w:rFonts w:hint="eastAsia"/>
                <w:bCs/>
                <w:szCs w:val="21"/>
                <w:highlight w:val="none"/>
                <w:lang w:eastAsia="zh-CN"/>
              </w:rPr>
              <w:t>等</w:t>
            </w:r>
            <w:r>
              <w:rPr>
                <w:bCs/>
                <w:szCs w:val="21"/>
                <w:highlight w:val="none"/>
              </w:rPr>
              <w:t>。禁止吸烟。避免吸入气体。仅在室外或通风良好处操作。戴呼吸防护器具。禁止进入环境。</w:t>
            </w:r>
            <w:r>
              <w:rPr>
                <w:bCs/>
                <w:szCs w:val="21"/>
                <w:highlight w:val="none"/>
              </w:rPr>
              <w:br w:type="textWrapping"/>
            </w:r>
            <w:r>
              <w:rPr>
                <w:bCs/>
                <w:szCs w:val="21"/>
                <w:highlight w:val="none"/>
              </w:rPr>
              <w:t>事故响应：遇火着</w:t>
            </w:r>
            <w:r>
              <w:rPr>
                <w:rFonts w:hint="eastAsia"/>
                <w:bCs/>
                <w:szCs w:val="21"/>
                <w:highlight w:val="none"/>
                <w:lang w:eastAsia="zh-CN"/>
              </w:rPr>
              <w:t>火</w:t>
            </w:r>
            <w:r>
              <w:rPr>
                <w:bCs/>
                <w:szCs w:val="21"/>
                <w:highlight w:val="none"/>
              </w:rPr>
              <w:t>：切勿灭火，除非漏气能够安全地制止。如果没有危险，清除一切</w:t>
            </w:r>
            <w:r>
              <w:rPr>
                <w:rFonts w:hint="eastAsia"/>
                <w:bCs/>
                <w:szCs w:val="21"/>
                <w:highlight w:val="none"/>
                <w:lang w:eastAsia="zh-CN"/>
              </w:rPr>
              <w:t>火</w:t>
            </w:r>
            <w:r>
              <w:rPr>
                <w:bCs/>
                <w:szCs w:val="21"/>
                <w:highlight w:val="none"/>
              </w:rPr>
              <w:t>源。将患者转移到空气新鲜处、休息，保持利于呼吸的体位，立即呼叫中毒控制中心或就医。收集泄漏物。</w:t>
            </w:r>
            <w:r>
              <w:rPr>
                <w:bCs/>
                <w:szCs w:val="21"/>
                <w:highlight w:val="none"/>
              </w:rPr>
              <w:br w:type="textWrapping"/>
            </w:r>
            <w:r>
              <w:rPr>
                <w:bCs/>
                <w:szCs w:val="21"/>
                <w:highlight w:val="none"/>
              </w:rPr>
              <w:t>安全储存：日晒。存放于通风良好的地方。保持容器密闭。上锁保管。</w:t>
            </w:r>
            <w:r>
              <w:rPr>
                <w:bCs/>
                <w:szCs w:val="21"/>
                <w:highlight w:val="none"/>
              </w:rPr>
              <w:br w:type="textWrapping"/>
            </w:r>
            <w:r>
              <w:rPr>
                <w:bCs/>
                <w:szCs w:val="21"/>
                <w:highlight w:val="none"/>
              </w:rPr>
              <w:t>废弃处置：本品及内装物、容器依据国家和</w:t>
            </w:r>
            <w:r>
              <w:rPr>
                <w:rFonts w:hint="eastAsia"/>
                <w:bCs/>
                <w:szCs w:val="21"/>
                <w:highlight w:val="none"/>
                <w:lang w:eastAsia="zh-CN"/>
              </w:rPr>
              <w:t>地方性法规</w:t>
            </w:r>
            <w:r>
              <w:rPr>
                <w:bCs/>
                <w:szCs w:val="21"/>
                <w:highlight w:val="none"/>
              </w:rPr>
              <w:t>处置。</w:t>
            </w:r>
          </w:p>
        </w:tc>
      </w:tr>
      <w:tr w14:paraId="763D6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08836D6A">
            <w:pPr>
              <w:jc w:val="center"/>
              <w:rPr>
                <w:bCs/>
                <w:szCs w:val="21"/>
                <w:highlight w:val="none"/>
              </w:rPr>
            </w:pPr>
          </w:p>
        </w:tc>
        <w:tc>
          <w:tcPr>
            <w:tcW w:w="752" w:type="pct"/>
            <w:vMerge w:val="continue"/>
            <w:tcMar>
              <w:left w:w="108" w:type="dxa"/>
              <w:right w:w="108" w:type="dxa"/>
            </w:tcMar>
            <w:vAlign w:val="center"/>
          </w:tcPr>
          <w:p w14:paraId="66A22A7B">
            <w:pPr>
              <w:jc w:val="center"/>
              <w:rPr>
                <w:bCs/>
                <w:szCs w:val="21"/>
                <w:highlight w:val="none"/>
              </w:rPr>
            </w:pPr>
          </w:p>
        </w:tc>
        <w:tc>
          <w:tcPr>
            <w:tcW w:w="3941" w:type="pct"/>
            <w:gridSpan w:val="7"/>
            <w:tcMar>
              <w:left w:w="108" w:type="dxa"/>
              <w:right w:w="108" w:type="dxa"/>
            </w:tcMar>
            <w:vAlign w:val="center"/>
          </w:tcPr>
          <w:p w14:paraId="497849C1">
            <w:pPr>
              <w:jc w:val="center"/>
              <w:rPr>
                <w:bCs/>
                <w:szCs w:val="21"/>
                <w:highlight w:val="none"/>
              </w:rPr>
            </w:pPr>
            <w:r>
              <w:rPr>
                <w:bCs/>
                <w:szCs w:val="21"/>
                <w:highlight w:val="none"/>
              </w:rPr>
              <w:t>物理和化学危险：极易燃烧，与空气混合能形成爆炸性混合物。</w:t>
            </w:r>
          </w:p>
        </w:tc>
      </w:tr>
      <w:tr w14:paraId="5948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095F733B">
            <w:pPr>
              <w:jc w:val="center"/>
              <w:rPr>
                <w:bCs/>
                <w:szCs w:val="21"/>
                <w:highlight w:val="none"/>
              </w:rPr>
            </w:pPr>
          </w:p>
        </w:tc>
        <w:tc>
          <w:tcPr>
            <w:tcW w:w="752" w:type="pct"/>
            <w:vMerge w:val="continue"/>
            <w:tcMar>
              <w:left w:w="108" w:type="dxa"/>
              <w:right w:w="108" w:type="dxa"/>
            </w:tcMar>
            <w:vAlign w:val="center"/>
          </w:tcPr>
          <w:p w14:paraId="0AABFDC7">
            <w:pPr>
              <w:jc w:val="center"/>
              <w:rPr>
                <w:bCs/>
                <w:szCs w:val="21"/>
                <w:highlight w:val="none"/>
              </w:rPr>
            </w:pPr>
          </w:p>
        </w:tc>
        <w:tc>
          <w:tcPr>
            <w:tcW w:w="3941" w:type="pct"/>
            <w:gridSpan w:val="7"/>
            <w:tcMar>
              <w:left w:w="108" w:type="dxa"/>
              <w:right w:w="108" w:type="dxa"/>
            </w:tcMar>
            <w:vAlign w:val="center"/>
          </w:tcPr>
          <w:p w14:paraId="0F8A6F7E">
            <w:pPr>
              <w:jc w:val="center"/>
              <w:rPr>
                <w:bCs/>
                <w:szCs w:val="21"/>
                <w:highlight w:val="none"/>
              </w:rPr>
            </w:pPr>
            <w:r>
              <w:rPr>
                <w:bCs/>
                <w:szCs w:val="21"/>
                <w:highlight w:val="none"/>
              </w:rPr>
              <w:t>本品是强烈的神经毒物，对黏膜有强烈刺激作用。吸入中毒：接触者表现为眼圈出现潮红、羞明、流泪、结膜充血、咽喉灼热感、咳嗽等和上呼吸道感染表现，或头痛头晕、乏力、恶心等神经系统症状，脱离接触并在短时间内消失。具有下列情况之一者</w:t>
            </w:r>
            <w:r>
              <w:rPr>
                <w:rFonts w:hint="eastAsia"/>
                <w:bCs/>
                <w:szCs w:val="21"/>
                <w:highlight w:val="none"/>
                <w:lang w:eastAsia="zh-CN"/>
              </w:rPr>
              <w:t>为</w:t>
            </w:r>
            <w:r>
              <w:rPr>
                <w:bCs/>
                <w:szCs w:val="21"/>
                <w:highlight w:val="none"/>
              </w:rPr>
              <w:t>急性轻度中毒：出现明显的头痛、头晕、乏力等症状，并出现轻度至中度意识障碍；出现急性气管炎、支气管炎或支气管周围炎。具有下列情况之一者为中度中毒：意识障碍或昏迷；出现急性支气管肺炎。具有下列情况之一者为重度中毒：意识障碍或昏迷达深昏迷或植物状态；肺水肿；多器官衰竭；死亡。浓度限值1000mg/m</w:t>
            </w:r>
            <w:r>
              <w:rPr>
                <w:bCs/>
                <w:szCs w:val="21"/>
                <w:highlight w:val="none"/>
                <w:vertAlign w:val="superscript"/>
              </w:rPr>
              <w:t>3</w:t>
            </w:r>
            <w:r>
              <w:rPr>
                <w:bCs/>
                <w:szCs w:val="21"/>
                <w:highlight w:val="none"/>
              </w:rPr>
              <w:t>以上接触硫化氢时可在数秒内突然昏迷，呼吸和心跳停止，发生电击死亡。严重中毒可留有神经、精神后遗症。慢性影响长期接触低浓度的硫化氢，可引起神经衰弱综合征和植物神经功能紊乱等。</w:t>
            </w:r>
          </w:p>
        </w:tc>
      </w:tr>
      <w:tr w14:paraId="316B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162FFFB4">
            <w:pPr>
              <w:jc w:val="center"/>
              <w:rPr>
                <w:bCs/>
                <w:szCs w:val="21"/>
                <w:highlight w:val="none"/>
              </w:rPr>
            </w:pPr>
          </w:p>
        </w:tc>
        <w:tc>
          <w:tcPr>
            <w:tcW w:w="752" w:type="pct"/>
            <w:vMerge w:val="continue"/>
            <w:tcMar>
              <w:left w:w="108" w:type="dxa"/>
              <w:right w:w="108" w:type="dxa"/>
            </w:tcMar>
            <w:vAlign w:val="center"/>
          </w:tcPr>
          <w:p w14:paraId="2D10E4DE">
            <w:pPr>
              <w:jc w:val="center"/>
              <w:rPr>
                <w:bCs/>
                <w:szCs w:val="21"/>
                <w:highlight w:val="none"/>
              </w:rPr>
            </w:pPr>
          </w:p>
        </w:tc>
        <w:tc>
          <w:tcPr>
            <w:tcW w:w="723" w:type="pct"/>
            <w:gridSpan w:val="2"/>
            <w:tcMar>
              <w:left w:w="108" w:type="dxa"/>
              <w:right w:w="108" w:type="dxa"/>
            </w:tcMar>
            <w:vAlign w:val="center"/>
          </w:tcPr>
          <w:p w14:paraId="77A028C0">
            <w:pPr>
              <w:jc w:val="center"/>
              <w:rPr>
                <w:bCs/>
                <w:szCs w:val="21"/>
                <w:highlight w:val="none"/>
              </w:rPr>
            </w:pPr>
            <w:r>
              <w:rPr>
                <w:bCs/>
                <w:szCs w:val="21"/>
                <w:highlight w:val="none"/>
              </w:rPr>
              <w:t>健康危害：</w:t>
            </w:r>
          </w:p>
        </w:tc>
        <w:tc>
          <w:tcPr>
            <w:tcW w:w="3217" w:type="pct"/>
            <w:gridSpan w:val="5"/>
            <w:tcMar>
              <w:left w:w="108" w:type="dxa"/>
              <w:right w:w="108" w:type="dxa"/>
            </w:tcMar>
            <w:vAlign w:val="center"/>
          </w:tcPr>
          <w:p w14:paraId="077819A8">
            <w:pPr>
              <w:jc w:val="center"/>
              <w:rPr>
                <w:bCs/>
                <w:szCs w:val="21"/>
                <w:highlight w:val="none"/>
              </w:rPr>
            </w:pPr>
            <w:r>
              <w:rPr>
                <w:bCs/>
                <w:szCs w:val="21"/>
                <w:highlight w:val="none"/>
              </w:rPr>
              <w:t>对水生物毒性非常大。</w:t>
            </w:r>
          </w:p>
        </w:tc>
      </w:tr>
      <w:tr w14:paraId="134A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7F0CDD9E">
            <w:pPr>
              <w:jc w:val="center"/>
              <w:rPr>
                <w:bCs/>
                <w:szCs w:val="21"/>
                <w:highlight w:val="none"/>
              </w:rPr>
            </w:pPr>
          </w:p>
        </w:tc>
        <w:tc>
          <w:tcPr>
            <w:tcW w:w="752" w:type="pct"/>
            <w:vMerge w:val="continue"/>
            <w:tcMar>
              <w:left w:w="108" w:type="dxa"/>
              <w:right w:w="108" w:type="dxa"/>
            </w:tcMar>
            <w:vAlign w:val="center"/>
          </w:tcPr>
          <w:p w14:paraId="5BF9F5F3">
            <w:pPr>
              <w:jc w:val="center"/>
              <w:rPr>
                <w:bCs/>
                <w:szCs w:val="21"/>
                <w:highlight w:val="none"/>
              </w:rPr>
            </w:pPr>
          </w:p>
        </w:tc>
        <w:tc>
          <w:tcPr>
            <w:tcW w:w="723" w:type="pct"/>
            <w:gridSpan w:val="2"/>
            <w:tcMar>
              <w:left w:w="108" w:type="dxa"/>
              <w:right w:w="108" w:type="dxa"/>
            </w:tcMar>
            <w:vAlign w:val="center"/>
          </w:tcPr>
          <w:p w14:paraId="7B455D67">
            <w:pPr>
              <w:jc w:val="center"/>
              <w:rPr>
                <w:bCs/>
                <w:szCs w:val="21"/>
                <w:highlight w:val="none"/>
              </w:rPr>
            </w:pPr>
            <w:r>
              <w:rPr>
                <w:bCs/>
                <w:szCs w:val="21"/>
                <w:highlight w:val="none"/>
              </w:rPr>
              <w:t>环境危害：</w:t>
            </w:r>
          </w:p>
        </w:tc>
        <w:tc>
          <w:tcPr>
            <w:tcW w:w="3217" w:type="pct"/>
            <w:gridSpan w:val="5"/>
            <w:tcMar>
              <w:left w:w="108" w:type="dxa"/>
              <w:right w:w="108" w:type="dxa"/>
            </w:tcMar>
            <w:vAlign w:val="center"/>
          </w:tcPr>
          <w:p w14:paraId="71049F10">
            <w:pPr>
              <w:jc w:val="center"/>
              <w:rPr>
                <w:bCs/>
                <w:szCs w:val="21"/>
                <w:highlight w:val="none"/>
              </w:rPr>
            </w:pPr>
            <w:r>
              <w:rPr>
                <w:bCs/>
                <w:szCs w:val="21"/>
                <w:highlight w:val="none"/>
              </w:rPr>
              <w:t>对水生物毒性非常大。</w:t>
            </w:r>
          </w:p>
        </w:tc>
      </w:tr>
      <w:tr w14:paraId="6E35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5D3D42A9">
            <w:pPr>
              <w:jc w:val="center"/>
              <w:rPr>
                <w:bCs/>
                <w:szCs w:val="21"/>
                <w:highlight w:val="none"/>
              </w:rPr>
            </w:pPr>
          </w:p>
        </w:tc>
        <w:tc>
          <w:tcPr>
            <w:tcW w:w="1476" w:type="pct"/>
            <w:gridSpan w:val="3"/>
            <w:tcMar>
              <w:left w:w="108" w:type="dxa"/>
              <w:right w:w="108" w:type="dxa"/>
            </w:tcMar>
            <w:vAlign w:val="center"/>
          </w:tcPr>
          <w:p w14:paraId="70CFD9D4">
            <w:pPr>
              <w:jc w:val="center"/>
              <w:rPr>
                <w:bCs/>
                <w:szCs w:val="21"/>
                <w:highlight w:val="none"/>
              </w:rPr>
            </w:pPr>
            <w:r>
              <w:rPr>
                <w:bCs/>
                <w:szCs w:val="21"/>
                <w:highlight w:val="none"/>
              </w:rPr>
              <w:t>成分/组成信息</w:t>
            </w:r>
          </w:p>
        </w:tc>
        <w:tc>
          <w:tcPr>
            <w:tcW w:w="3217" w:type="pct"/>
            <w:gridSpan w:val="5"/>
            <w:tcMar>
              <w:left w:w="108" w:type="dxa"/>
              <w:right w:w="108" w:type="dxa"/>
            </w:tcMar>
            <w:vAlign w:val="center"/>
          </w:tcPr>
          <w:p w14:paraId="72B1F1C6">
            <w:pPr>
              <w:jc w:val="center"/>
              <w:rPr>
                <w:bCs/>
                <w:szCs w:val="21"/>
                <w:highlight w:val="none"/>
              </w:rPr>
            </w:pPr>
            <w:r>
              <w:rPr>
                <w:bCs/>
                <w:szCs w:val="21"/>
                <w:highlight w:val="none"/>
              </w:rPr>
              <w:t>物质</w:t>
            </w:r>
            <w:r>
              <w:rPr>
                <w:rFonts w:hint="eastAsia"/>
                <w:bCs/>
                <w:szCs w:val="21"/>
                <w:highlight w:val="none"/>
                <w:lang w:eastAsia="zh-CN"/>
              </w:rPr>
              <w:t>□</w:t>
            </w:r>
            <w:r>
              <w:rPr>
                <w:bCs/>
                <w:szCs w:val="21"/>
                <w:highlight w:val="none"/>
              </w:rPr>
              <w:t>混合物：</w:t>
            </w:r>
          </w:p>
        </w:tc>
      </w:tr>
      <w:tr w14:paraId="6C6A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24DA5B77">
            <w:pPr>
              <w:jc w:val="center"/>
              <w:rPr>
                <w:bCs/>
                <w:szCs w:val="21"/>
                <w:highlight w:val="none"/>
              </w:rPr>
            </w:pPr>
          </w:p>
        </w:tc>
        <w:tc>
          <w:tcPr>
            <w:tcW w:w="752" w:type="pct"/>
            <w:vMerge w:val="restart"/>
            <w:tcMar>
              <w:left w:w="108" w:type="dxa"/>
              <w:right w:w="108" w:type="dxa"/>
            </w:tcMar>
            <w:vAlign w:val="center"/>
          </w:tcPr>
          <w:p w14:paraId="58B7AC5A">
            <w:pPr>
              <w:jc w:val="center"/>
              <w:rPr>
                <w:bCs/>
                <w:szCs w:val="21"/>
                <w:highlight w:val="none"/>
              </w:rPr>
            </w:pPr>
            <w:r>
              <w:rPr>
                <w:bCs/>
                <w:szCs w:val="21"/>
                <w:highlight w:val="none"/>
              </w:rPr>
              <w:t>急救措施</w:t>
            </w:r>
          </w:p>
        </w:tc>
        <w:tc>
          <w:tcPr>
            <w:tcW w:w="723" w:type="pct"/>
            <w:gridSpan w:val="2"/>
            <w:tcMar>
              <w:left w:w="108" w:type="dxa"/>
              <w:right w:w="108" w:type="dxa"/>
            </w:tcMar>
            <w:vAlign w:val="center"/>
          </w:tcPr>
          <w:p w14:paraId="5D861103">
            <w:pPr>
              <w:jc w:val="center"/>
              <w:rPr>
                <w:bCs/>
                <w:szCs w:val="21"/>
                <w:highlight w:val="none"/>
              </w:rPr>
            </w:pPr>
            <w:r>
              <w:rPr>
                <w:bCs/>
                <w:szCs w:val="21"/>
                <w:highlight w:val="none"/>
              </w:rPr>
              <w:t>吸入：</w:t>
            </w:r>
          </w:p>
        </w:tc>
        <w:tc>
          <w:tcPr>
            <w:tcW w:w="3217" w:type="pct"/>
            <w:gridSpan w:val="5"/>
            <w:tcMar>
              <w:left w:w="108" w:type="dxa"/>
              <w:right w:w="108" w:type="dxa"/>
            </w:tcMar>
            <w:vAlign w:val="center"/>
          </w:tcPr>
          <w:p w14:paraId="036AF4AA">
            <w:pPr>
              <w:jc w:val="center"/>
              <w:rPr>
                <w:rFonts w:hint="eastAsia" w:eastAsia="宋体"/>
                <w:bCs/>
                <w:szCs w:val="21"/>
                <w:highlight w:val="none"/>
                <w:lang w:eastAsia="zh-CN"/>
              </w:rPr>
            </w:pPr>
            <w:r>
              <w:rPr>
                <w:bCs/>
                <w:szCs w:val="21"/>
                <w:highlight w:val="none"/>
              </w:rPr>
              <w:t>迅速脱离现场至空气新鲜处。保持呼吸道通畅。</w:t>
            </w:r>
            <w:r>
              <w:rPr>
                <w:rFonts w:hint="eastAsia"/>
                <w:bCs/>
                <w:szCs w:val="21"/>
                <w:highlight w:val="none"/>
                <w:lang w:eastAsia="zh-CN"/>
              </w:rPr>
              <w:t>如果患者感到</w:t>
            </w:r>
            <w:r>
              <w:rPr>
                <w:bCs/>
                <w:szCs w:val="21"/>
                <w:highlight w:val="none"/>
              </w:rPr>
              <w:t>呼吸困难，</w:t>
            </w:r>
            <w:r>
              <w:rPr>
                <w:rFonts w:hint="eastAsia"/>
                <w:bCs/>
                <w:szCs w:val="21"/>
                <w:highlight w:val="none"/>
                <w:lang w:eastAsia="zh-CN"/>
              </w:rPr>
              <w:t>应该</w:t>
            </w:r>
            <w:r>
              <w:rPr>
                <w:bCs/>
                <w:szCs w:val="21"/>
                <w:highlight w:val="none"/>
              </w:rPr>
              <w:t>给</w:t>
            </w:r>
            <w:r>
              <w:rPr>
                <w:rFonts w:hint="eastAsia"/>
                <w:bCs/>
                <w:szCs w:val="21"/>
                <w:highlight w:val="none"/>
                <w:lang w:eastAsia="zh-CN"/>
              </w:rPr>
              <w:t>患者</w:t>
            </w:r>
            <w:r>
              <w:rPr>
                <w:bCs/>
                <w:szCs w:val="21"/>
                <w:highlight w:val="none"/>
              </w:rPr>
              <w:t>输氧。如呼吸心跳停止，立即进行心肺复苏术（避免口对口人工呼吸）。就医</w:t>
            </w:r>
            <w:r>
              <w:rPr>
                <w:rFonts w:hint="eastAsia"/>
                <w:bCs/>
                <w:szCs w:val="21"/>
                <w:highlight w:val="none"/>
                <w:lang w:eastAsia="zh-CN"/>
              </w:rPr>
              <w:t>。</w:t>
            </w:r>
          </w:p>
        </w:tc>
      </w:tr>
      <w:tr w14:paraId="199C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6F3959BD">
            <w:pPr>
              <w:jc w:val="center"/>
              <w:rPr>
                <w:bCs/>
                <w:szCs w:val="21"/>
                <w:highlight w:val="none"/>
              </w:rPr>
            </w:pPr>
          </w:p>
        </w:tc>
        <w:tc>
          <w:tcPr>
            <w:tcW w:w="752" w:type="pct"/>
            <w:vMerge w:val="continue"/>
            <w:tcMar>
              <w:left w:w="108" w:type="dxa"/>
              <w:right w:w="108" w:type="dxa"/>
            </w:tcMar>
            <w:vAlign w:val="center"/>
          </w:tcPr>
          <w:p w14:paraId="7D973A98">
            <w:pPr>
              <w:jc w:val="center"/>
              <w:rPr>
                <w:bCs/>
                <w:szCs w:val="21"/>
                <w:highlight w:val="none"/>
              </w:rPr>
            </w:pPr>
          </w:p>
        </w:tc>
        <w:tc>
          <w:tcPr>
            <w:tcW w:w="723" w:type="pct"/>
            <w:gridSpan w:val="2"/>
            <w:tcMar>
              <w:left w:w="108" w:type="dxa"/>
              <w:right w:w="108" w:type="dxa"/>
            </w:tcMar>
            <w:vAlign w:val="center"/>
          </w:tcPr>
          <w:p w14:paraId="69B763BF">
            <w:pPr>
              <w:jc w:val="center"/>
              <w:rPr>
                <w:bCs/>
                <w:szCs w:val="21"/>
                <w:highlight w:val="none"/>
              </w:rPr>
            </w:pPr>
            <w:r>
              <w:rPr>
                <w:bCs/>
                <w:szCs w:val="21"/>
                <w:highlight w:val="none"/>
              </w:rPr>
              <w:t>皮肤接触：</w:t>
            </w:r>
          </w:p>
        </w:tc>
        <w:tc>
          <w:tcPr>
            <w:tcW w:w="3217" w:type="pct"/>
            <w:gridSpan w:val="5"/>
            <w:tcMar>
              <w:left w:w="108" w:type="dxa"/>
              <w:right w:w="108" w:type="dxa"/>
            </w:tcMar>
            <w:vAlign w:val="center"/>
          </w:tcPr>
          <w:p w14:paraId="221D5C1F">
            <w:pPr>
              <w:jc w:val="center"/>
              <w:rPr>
                <w:bCs/>
                <w:szCs w:val="21"/>
                <w:highlight w:val="none"/>
              </w:rPr>
            </w:pPr>
            <w:r>
              <w:rPr>
                <w:bCs/>
                <w:szCs w:val="21"/>
                <w:highlight w:val="none"/>
              </w:rPr>
              <w:t>立即脱去污染衣着，用流动清水彻底冲洗就医。</w:t>
            </w:r>
          </w:p>
        </w:tc>
      </w:tr>
      <w:tr w14:paraId="072F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2F40D723">
            <w:pPr>
              <w:jc w:val="center"/>
              <w:rPr>
                <w:bCs/>
                <w:szCs w:val="21"/>
                <w:highlight w:val="none"/>
              </w:rPr>
            </w:pPr>
          </w:p>
        </w:tc>
        <w:tc>
          <w:tcPr>
            <w:tcW w:w="752" w:type="pct"/>
            <w:vMerge w:val="continue"/>
            <w:tcMar>
              <w:left w:w="108" w:type="dxa"/>
              <w:right w:w="108" w:type="dxa"/>
            </w:tcMar>
            <w:vAlign w:val="center"/>
          </w:tcPr>
          <w:p w14:paraId="446319C0">
            <w:pPr>
              <w:jc w:val="center"/>
              <w:rPr>
                <w:bCs/>
                <w:szCs w:val="21"/>
                <w:highlight w:val="none"/>
              </w:rPr>
            </w:pPr>
          </w:p>
        </w:tc>
        <w:tc>
          <w:tcPr>
            <w:tcW w:w="723" w:type="pct"/>
            <w:gridSpan w:val="2"/>
            <w:tcMar>
              <w:left w:w="108" w:type="dxa"/>
              <w:right w:w="108" w:type="dxa"/>
            </w:tcMar>
            <w:vAlign w:val="center"/>
          </w:tcPr>
          <w:p w14:paraId="7B72B140">
            <w:pPr>
              <w:jc w:val="center"/>
              <w:rPr>
                <w:bCs/>
                <w:szCs w:val="21"/>
                <w:highlight w:val="none"/>
              </w:rPr>
            </w:pPr>
            <w:r>
              <w:rPr>
                <w:bCs/>
                <w:szCs w:val="21"/>
                <w:highlight w:val="none"/>
              </w:rPr>
              <w:t>眼睛接触：</w:t>
            </w:r>
          </w:p>
        </w:tc>
        <w:tc>
          <w:tcPr>
            <w:tcW w:w="3217" w:type="pct"/>
            <w:gridSpan w:val="5"/>
            <w:tcMar>
              <w:left w:w="108" w:type="dxa"/>
              <w:right w:w="108" w:type="dxa"/>
            </w:tcMar>
            <w:vAlign w:val="center"/>
          </w:tcPr>
          <w:p w14:paraId="2E16F4A2">
            <w:pPr>
              <w:jc w:val="center"/>
              <w:rPr>
                <w:bCs/>
                <w:szCs w:val="21"/>
                <w:highlight w:val="none"/>
              </w:rPr>
            </w:pPr>
            <w:r>
              <w:rPr>
                <w:bCs/>
                <w:szCs w:val="21"/>
                <w:highlight w:val="none"/>
              </w:rPr>
              <w:t>立即分开眼睑，用流动清水和生理盐水彻底冲洗5~10min</w:t>
            </w:r>
            <w:r>
              <w:rPr>
                <w:rFonts w:hint="eastAsia"/>
                <w:bCs/>
                <w:szCs w:val="21"/>
                <w:highlight w:val="none"/>
                <w:lang w:eastAsia="zh-CN"/>
              </w:rPr>
              <w:t>，</w:t>
            </w:r>
            <w:r>
              <w:rPr>
                <w:bCs/>
                <w:szCs w:val="21"/>
                <w:highlight w:val="none"/>
              </w:rPr>
              <w:t>就医。</w:t>
            </w:r>
          </w:p>
        </w:tc>
      </w:tr>
      <w:tr w14:paraId="4F81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2D3DB84C">
            <w:pPr>
              <w:jc w:val="center"/>
              <w:rPr>
                <w:bCs/>
                <w:szCs w:val="21"/>
                <w:highlight w:val="none"/>
              </w:rPr>
            </w:pPr>
          </w:p>
        </w:tc>
        <w:tc>
          <w:tcPr>
            <w:tcW w:w="752" w:type="pct"/>
            <w:vMerge w:val="continue"/>
            <w:tcMar>
              <w:left w:w="108" w:type="dxa"/>
              <w:right w:w="108" w:type="dxa"/>
            </w:tcMar>
            <w:vAlign w:val="center"/>
          </w:tcPr>
          <w:p w14:paraId="4E2D01A5">
            <w:pPr>
              <w:jc w:val="center"/>
              <w:rPr>
                <w:bCs/>
                <w:szCs w:val="21"/>
                <w:highlight w:val="none"/>
              </w:rPr>
            </w:pPr>
          </w:p>
        </w:tc>
        <w:tc>
          <w:tcPr>
            <w:tcW w:w="723" w:type="pct"/>
            <w:gridSpan w:val="2"/>
            <w:tcMar>
              <w:left w:w="108" w:type="dxa"/>
              <w:right w:w="108" w:type="dxa"/>
            </w:tcMar>
            <w:vAlign w:val="center"/>
          </w:tcPr>
          <w:p w14:paraId="3F481C00">
            <w:pPr>
              <w:jc w:val="center"/>
              <w:rPr>
                <w:rFonts w:hint="default"/>
                <w:bCs/>
                <w:szCs w:val="21"/>
                <w:highlight w:val="none"/>
                <w:lang w:val="en-US" w:eastAsia="zh-CN"/>
              </w:rPr>
            </w:pPr>
            <w:r>
              <w:rPr>
                <w:rFonts w:hint="eastAsia"/>
                <w:bCs/>
                <w:szCs w:val="21"/>
                <w:highlight w:val="none"/>
                <w:lang w:val="en-US" w:eastAsia="zh-CN"/>
              </w:rPr>
              <w:t>食入</w:t>
            </w:r>
          </w:p>
        </w:tc>
        <w:tc>
          <w:tcPr>
            <w:tcW w:w="3217" w:type="pct"/>
            <w:gridSpan w:val="5"/>
            <w:tcMar>
              <w:left w:w="108" w:type="dxa"/>
              <w:right w:w="108" w:type="dxa"/>
            </w:tcMar>
            <w:vAlign w:val="center"/>
          </w:tcPr>
          <w:p w14:paraId="774358FE">
            <w:pPr>
              <w:jc w:val="center"/>
              <w:rPr>
                <w:rFonts w:hint="eastAsia"/>
                <w:bCs/>
                <w:szCs w:val="21"/>
                <w:highlight w:val="none"/>
                <w:lang w:val="en-US" w:eastAsia="zh-CN"/>
              </w:rPr>
            </w:pPr>
            <w:r>
              <w:rPr>
                <w:rFonts w:hint="eastAsia"/>
                <w:bCs/>
                <w:szCs w:val="21"/>
                <w:highlight w:val="none"/>
                <w:lang w:val="en-US" w:eastAsia="zh-CN"/>
              </w:rPr>
              <w:t>/</w:t>
            </w:r>
          </w:p>
        </w:tc>
      </w:tr>
      <w:tr w14:paraId="33BC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5BAE84CE">
            <w:pPr>
              <w:jc w:val="center"/>
              <w:rPr>
                <w:bCs/>
                <w:szCs w:val="21"/>
                <w:highlight w:val="none"/>
              </w:rPr>
            </w:pPr>
          </w:p>
        </w:tc>
        <w:tc>
          <w:tcPr>
            <w:tcW w:w="752" w:type="pct"/>
            <w:tcMar>
              <w:left w:w="108" w:type="dxa"/>
              <w:right w:w="108" w:type="dxa"/>
            </w:tcMar>
            <w:vAlign w:val="center"/>
          </w:tcPr>
          <w:p w14:paraId="40877D7E">
            <w:pPr>
              <w:jc w:val="center"/>
              <w:rPr>
                <w:bCs/>
                <w:szCs w:val="21"/>
                <w:highlight w:val="none"/>
              </w:rPr>
            </w:pPr>
            <w:r>
              <w:rPr>
                <w:bCs/>
                <w:szCs w:val="21"/>
                <w:highlight w:val="none"/>
              </w:rPr>
              <w:t>灭火剂：</w:t>
            </w:r>
          </w:p>
        </w:tc>
        <w:tc>
          <w:tcPr>
            <w:tcW w:w="3941" w:type="pct"/>
            <w:gridSpan w:val="7"/>
            <w:tcMar>
              <w:left w:w="108" w:type="dxa"/>
              <w:right w:w="108" w:type="dxa"/>
            </w:tcMar>
            <w:vAlign w:val="center"/>
          </w:tcPr>
          <w:p w14:paraId="451E0CAB">
            <w:pPr>
              <w:jc w:val="center"/>
              <w:rPr>
                <w:bCs/>
                <w:szCs w:val="21"/>
                <w:highlight w:val="none"/>
              </w:rPr>
            </w:pPr>
            <w:r>
              <w:rPr>
                <w:bCs/>
                <w:szCs w:val="21"/>
                <w:highlight w:val="none"/>
              </w:rPr>
              <w:t>用雾状水、抗溶性泡沫、干粉</w:t>
            </w:r>
            <w:r>
              <w:rPr>
                <w:rFonts w:hint="eastAsia"/>
                <w:bCs/>
                <w:szCs w:val="21"/>
                <w:highlight w:val="none"/>
                <w:lang w:eastAsia="zh-CN"/>
              </w:rPr>
              <w:t>等方式</w:t>
            </w:r>
            <w:r>
              <w:rPr>
                <w:bCs/>
                <w:szCs w:val="21"/>
                <w:highlight w:val="none"/>
              </w:rPr>
              <w:t>灭火。</w:t>
            </w:r>
          </w:p>
        </w:tc>
      </w:tr>
      <w:tr w14:paraId="52B8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7582B617">
            <w:pPr>
              <w:jc w:val="center"/>
              <w:rPr>
                <w:bCs/>
                <w:szCs w:val="21"/>
                <w:highlight w:val="none"/>
              </w:rPr>
            </w:pPr>
          </w:p>
        </w:tc>
        <w:tc>
          <w:tcPr>
            <w:tcW w:w="752" w:type="pct"/>
            <w:tcMar>
              <w:left w:w="108" w:type="dxa"/>
              <w:right w:w="108" w:type="dxa"/>
            </w:tcMar>
            <w:vAlign w:val="center"/>
          </w:tcPr>
          <w:p w14:paraId="7AE5CBA8">
            <w:pPr>
              <w:jc w:val="center"/>
              <w:rPr>
                <w:bCs/>
                <w:szCs w:val="21"/>
                <w:highlight w:val="none"/>
              </w:rPr>
            </w:pPr>
            <w:r>
              <w:rPr>
                <w:bCs/>
                <w:szCs w:val="21"/>
                <w:highlight w:val="none"/>
              </w:rPr>
              <w:t>特别危险性：</w:t>
            </w:r>
          </w:p>
        </w:tc>
        <w:tc>
          <w:tcPr>
            <w:tcW w:w="3941" w:type="pct"/>
            <w:gridSpan w:val="7"/>
            <w:tcMar>
              <w:left w:w="108" w:type="dxa"/>
              <w:right w:w="108" w:type="dxa"/>
            </w:tcMar>
            <w:vAlign w:val="center"/>
          </w:tcPr>
          <w:p w14:paraId="08521A47">
            <w:pPr>
              <w:jc w:val="center"/>
              <w:rPr>
                <w:bCs/>
                <w:szCs w:val="21"/>
                <w:highlight w:val="none"/>
              </w:rPr>
            </w:pPr>
            <w:r>
              <w:rPr>
                <w:bCs/>
                <w:szCs w:val="21"/>
                <w:highlight w:val="none"/>
              </w:rPr>
              <w:t>与浓硝酸、发烟硝酸或其他强氧化剂发生剧烈反应，引起爆炸。气体比空气重，沿地面扩散并易积存于低洼处，遇火源会着火回燃。燃烧</w:t>
            </w:r>
            <w:r>
              <w:rPr>
                <w:rFonts w:hint="eastAsia"/>
                <w:bCs/>
                <w:szCs w:val="21"/>
                <w:highlight w:val="none"/>
                <w:lang w:eastAsia="zh-CN"/>
              </w:rPr>
              <w:t>会</w:t>
            </w:r>
            <w:r>
              <w:rPr>
                <w:bCs/>
                <w:szCs w:val="21"/>
                <w:highlight w:val="none"/>
              </w:rPr>
              <w:t>生成有害的氧化硫。</w:t>
            </w:r>
          </w:p>
        </w:tc>
      </w:tr>
      <w:tr w14:paraId="2BFFE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096A6438">
            <w:pPr>
              <w:jc w:val="center"/>
              <w:rPr>
                <w:bCs/>
                <w:szCs w:val="21"/>
                <w:highlight w:val="none"/>
              </w:rPr>
            </w:pPr>
          </w:p>
        </w:tc>
        <w:tc>
          <w:tcPr>
            <w:tcW w:w="4694" w:type="pct"/>
            <w:gridSpan w:val="8"/>
            <w:tcMar>
              <w:left w:w="108" w:type="dxa"/>
              <w:right w:w="108" w:type="dxa"/>
            </w:tcMar>
            <w:vAlign w:val="center"/>
          </w:tcPr>
          <w:p w14:paraId="498DC6BB">
            <w:pPr>
              <w:jc w:val="center"/>
              <w:rPr>
                <w:bCs/>
                <w:szCs w:val="21"/>
                <w:highlight w:val="none"/>
              </w:rPr>
            </w:pPr>
            <w:r>
              <w:rPr>
                <w:bCs/>
                <w:szCs w:val="21"/>
                <w:highlight w:val="none"/>
              </w:rPr>
              <w:t>注意事项及防护措施：切断气源。若不能切断气源则不允许熄灭泄漏处的火焰。消防人员必须佩戴空气呼吸器、穿全身防火防毒服，在上风向灭火。尽可能将容器从火场移至空旷处。喷水保持火场容器冷却，直至灭火结束。</w:t>
            </w:r>
          </w:p>
        </w:tc>
      </w:tr>
      <w:tr w14:paraId="2DAEE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5" w:hRule="atLeast"/>
          <w:jc w:val="center"/>
        </w:trPr>
        <w:tc>
          <w:tcPr>
            <w:tcW w:w="305" w:type="pct"/>
            <w:tcMar>
              <w:left w:w="108" w:type="dxa"/>
              <w:right w:w="108" w:type="dxa"/>
            </w:tcMar>
            <w:vAlign w:val="center"/>
          </w:tcPr>
          <w:p w14:paraId="3DDCDAEA">
            <w:pPr>
              <w:jc w:val="center"/>
              <w:rPr>
                <w:bCs/>
                <w:szCs w:val="21"/>
                <w:highlight w:val="none"/>
              </w:rPr>
            </w:pPr>
            <w:r>
              <w:rPr>
                <w:bCs/>
                <w:szCs w:val="21"/>
                <w:highlight w:val="none"/>
              </w:rPr>
              <w:t>泄漏应急</w:t>
            </w:r>
          </w:p>
          <w:p w14:paraId="17356E1B">
            <w:pPr>
              <w:jc w:val="center"/>
              <w:rPr>
                <w:bCs/>
                <w:szCs w:val="21"/>
                <w:highlight w:val="none"/>
              </w:rPr>
            </w:pPr>
            <w:r>
              <w:rPr>
                <w:bCs/>
                <w:szCs w:val="21"/>
                <w:highlight w:val="none"/>
              </w:rPr>
              <w:t>处理</w:t>
            </w:r>
          </w:p>
        </w:tc>
        <w:tc>
          <w:tcPr>
            <w:tcW w:w="4694" w:type="pct"/>
            <w:gridSpan w:val="8"/>
            <w:tcMar>
              <w:left w:w="108" w:type="dxa"/>
              <w:right w:w="108" w:type="dxa"/>
            </w:tcMar>
            <w:vAlign w:val="center"/>
          </w:tcPr>
          <w:p w14:paraId="6E302617">
            <w:pPr>
              <w:jc w:val="center"/>
              <w:rPr>
                <w:bCs/>
                <w:szCs w:val="21"/>
                <w:highlight w:val="none"/>
              </w:rPr>
            </w:pPr>
            <w:r>
              <w:rPr>
                <w:bCs/>
                <w:szCs w:val="21"/>
                <w:highlight w:val="none"/>
              </w:rPr>
              <w:t>作业人员防护措施、防护装备和应急处置程序：消除所有点火源。根据气体扩散的影响区域划定警戒区，无关人员从侧风、上风向撤离至安全区。建议应急处理人员戴正压自给式呼吸器，内置式正压自给式呼吸器的全封闭防化服，戴防化学品手套。如果是液化气体泄漏，还应注意防冻伤。作业时使用的所有设备应接地。尽可能切断泄漏源。若可能翻转容器，使之逸出气体而非液体。喷雾状水抑制</w:t>
            </w:r>
            <w:r>
              <w:rPr>
                <w:rFonts w:hint="eastAsia"/>
                <w:bCs/>
                <w:szCs w:val="21"/>
                <w:highlight w:val="none"/>
                <w:lang w:eastAsia="zh-CN"/>
              </w:rPr>
              <w:t>蒸汽</w:t>
            </w:r>
            <w:r>
              <w:rPr>
                <w:bCs/>
                <w:szCs w:val="21"/>
                <w:highlight w:val="none"/>
              </w:rPr>
              <w:t>或改变</w:t>
            </w:r>
            <w:r>
              <w:rPr>
                <w:rFonts w:hint="eastAsia"/>
                <w:bCs/>
                <w:szCs w:val="21"/>
                <w:highlight w:val="none"/>
                <w:lang w:eastAsia="zh-CN"/>
              </w:rPr>
              <w:t>蒸汽</w:t>
            </w:r>
            <w:r>
              <w:rPr>
                <w:bCs/>
                <w:szCs w:val="21"/>
                <w:highlight w:val="none"/>
              </w:rPr>
              <w:t>流向。避免水流接触泄漏物。禁止用水直接冲击泄漏物或泄漏源。</w:t>
            </w:r>
            <w:r>
              <w:rPr>
                <w:bCs/>
                <w:szCs w:val="21"/>
                <w:highlight w:val="none"/>
              </w:rPr>
              <w:br w:type="textWrapping"/>
            </w:r>
            <w:r>
              <w:rPr>
                <w:bCs/>
                <w:szCs w:val="21"/>
                <w:highlight w:val="none"/>
              </w:rPr>
              <w:t>环境保护措施：</w:t>
            </w:r>
            <w:r>
              <w:rPr>
                <w:rFonts w:hint="eastAsia"/>
                <w:bCs/>
                <w:szCs w:val="21"/>
                <w:highlight w:val="none"/>
                <w:lang w:eastAsia="zh-CN"/>
              </w:rPr>
              <w:t>防止气体通过下水道、通风系统和有限空间等方式等方式</w:t>
            </w:r>
            <w:r>
              <w:rPr>
                <w:bCs/>
                <w:szCs w:val="21"/>
                <w:highlight w:val="none"/>
              </w:rPr>
              <w:t>扩散。泄漏化学品的收容、清除方法及所使用的处置材料：隔离泄漏区直至气体散尽。可考虑引燃泄漏物。</w:t>
            </w:r>
          </w:p>
        </w:tc>
      </w:tr>
      <w:tr w14:paraId="6277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restart"/>
            <w:tcMar>
              <w:left w:w="108" w:type="dxa"/>
              <w:right w:w="108" w:type="dxa"/>
            </w:tcMar>
            <w:vAlign w:val="center"/>
          </w:tcPr>
          <w:p w14:paraId="47407FC6">
            <w:pPr>
              <w:jc w:val="center"/>
              <w:rPr>
                <w:bCs/>
                <w:szCs w:val="21"/>
                <w:highlight w:val="none"/>
              </w:rPr>
            </w:pPr>
            <w:r>
              <w:rPr>
                <w:bCs/>
                <w:szCs w:val="21"/>
                <w:highlight w:val="none"/>
              </w:rPr>
              <w:t>操作与储存</w:t>
            </w:r>
          </w:p>
        </w:tc>
        <w:tc>
          <w:tcPr>
            <w:tcW w:w="1129" w:type="pct"/>
            <w:gridSpan w:val="2"/>
            <w:tcMar>
              <w:left w:w="108" w:type="dxa"/>
              <w:right w:w="108" w:type="dxa"/>
            </w:tcMar>
            <w:vAlign w:val="center"/>
          </w:tcPr>
          <w:p w14:paraId="5F6FE6C0">
            <w:pPr>
              <w:jc w:val="center"/>
              <w:rPr>
                <w:bCs/>
                <w:szCs w:val="21"/>
                <w:highlight w:val="none"/>
              </w:rPr>
            </w:pPr>
            <w:r>
              <w:rPr>
                <w:bCs/>
                <w:szCs w:val="21"/>
                <w:highlight w:val="none"/>
              </w:rPr>
              <w:t>操作注意事项：</w:t>
            </w:r>
          </w:p>
        </w:tc>
        <w:tc>
          <w:tcPr>
            <w:tcW w:w="3565" w:type="pct"/>
            <w:gridSpan w:val="6"/>
            <w:tcMar>
              <w:left w:w="108" w:type="dxa"/>
              <w:right w:w="108" w:type="dxa"/>
            </w:tcMar>
            <w:vAlign w:val="center"/>
          </w:tcPr>
          <w:p w14:paraId="563225E3">
            <w:pPr>
              <w:jc w:val="center"/>
              <w:rPr>
                <w:bCs/>
                <w:szCs w:val="21"/>
                <w:highlight w:val="none"/>
              </w:rPr>
            </w:pPr>
            <w:r>
              <w:rPr>
                <w:bCs/>
                <w:szCs w:val="21"/>
                <w:highlight w:val="none"/>
              </w:rPr>
              <w:t>加压储，提供充分局部排风或全面通风。操作人员必须经过专门培训，严格遵守操作规程。建议操作人员佩戴过滤式防毒面具（半面罩）戴化学安全防护眼镜，穿防静电工作服。戴防化学品类手套。远离火种、热源。工作场所须</w:t>
            </w:r>
            <w:r>
              <w:rPr>
                <w:rFonts w:hint="eastAsia"/>
                <w:bCs/>
                <w:szCs w:val="21"/>
                <w:highlight w:val="none"/>
                <w:lang w:eastAsia="zh-CN"/>
              </w:rPr>
              <w:t>避免</w:t>
            </w:r>
            <w:r>
              <w:rPr>
                <w:bCs/>
                <w:szCs w:val="21"/>
                <w:highlight w:val="none"/>
              </w:rPr>
              <w:t>吸烟。使用防爆的通风系统设备。防止气体泄漏到工作场所空气中。避免与氧化剂、碱类接触。在传统过程中，铜瓶和容器必须接地和接零，防止产生静电。搬运时要轻装轻卸，不得</w:t>
            </w:r>
            <w:r>
              <w:rPr>
                <w:rFonts w:hint="eastAsia"/>
                <w:bCs/>
                <w:szCs w:val="21"/>
                <w:highlight w:val="none"/>
                <w:lang w:eastAsia="zh-CN"/>
              </w:rPr>
              <w:t>使</w:t>
            </w:r>
            <w:r>
              <w:rPr>
                <w:bCs/>
                <w:szCs w:val="21"/>
                <w:highlight w:val="none"/>
              </w:rPr>
              <w:t>铜瓶或部件破损。配备相应种类和数量的消防器材及泄漏应急处理设备。</w:t>
            </w:r>
          </w:p>
        </w:tc>
      </w:tr>
      <w:tr w14:paraId="5BA8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488EAB0C">
            <w:pPr>
              <w:jc w:val="center"/>
              <w:rPr>
                <w:bCs/>
                <w:szCs w:val="21"/>
                <w:highlight w:val="none"/>
              </w:rPr>
            </w:pPr>
          </w:p>
        </w:tc>
        <w:tc>
          <w:tcPr>
            <w:tcW w:w="1129" w:type="pct"/>
            <w:gridSpan w:val="2"/>
            <w:tcMar>
              <w:left w:w="108" w:type="dxa"/>
              <w:right w:w="108" w:type="dxa"/>
            </w:tcMar>
            <w:vAlign w:val="center"/>
          </w:tcPr>
          <w:p w14:paraId="03665BBC">
            <w:pPr>
              <w:jc w:val="center"/>
              <w:rPr>
                <w:bCs/>
                <w:szCs w:val="21"/>
                <w:highlight w:val="none"/>
              </w:rPr>
            </w:pPr>
            <w:r>
              <w:rPr>
                <w:bCs/>
                <w:szCs w:val="21"/>
                <w:highlight w:val="none"/>
              </w:rPr>
              <w:t>储存注意事项：</w:t>
            </w:r>
          </w:p>
        </w:tc>
        <w:tc>
          <w:tcPr>
            <w:tcW w:w="3565" w:type="pct"/>
            <w:gridSpan w:val="6"/>
            <w:tcMar>
              <w:left w:w="108" w:type="dxa"/>
              <w:right w:w="108" w:type="dxa"/>
            </w:tcMar>
            <w:vAlign w:val="center"/>
          </w:tcPr>
          <w:p w14:paraId="12E98A51">
            <w:pPr>
              <w:jc w:val="center"/>
              <w:rPr>
                <w:bCs/>
                <w:szCs w:val="21"/>
                <w:highlight w:val="none"/>
              </w:rPr>
            </w:pPr>
            <w:r>
              <w:rPr>
                <w:bCs/>
                <w:szCs w:val="21"/>
                <w:highlight w:val="none"/>
              </w:rPr>
              <w:t>储存于阴凉、通风的易燃气体专用库房远离火种、热源。库温不宜超过30℃。保持容器密闭。应与氧化剂、碱类分开存放，切勿混放，采用防爆型照明、通风设施。禁止使用会产生火花的机械设备和工具。储区应</w:t>
            </w:r>
            <w:r>
              <w:rPr>
                <w:rFonts w:hint="eastAsia"/>
                <w:bCs/>
                <w:szCs w:val="21"/>
                <w:highlight w:val="none"/>
                <w:lang w:eastAsia="zh-CN"/>
              </w:rPr>
              <w:t>配备</w:t>
            </w:r>
            <w:r>
              <w:rPr>
                <w:bCs/>
                <w:szCs w:val="21"/>
                <w:highlight w:val="none"/>
              </w:rPr>
              <w:t>泄漏应急处理设备。</w:t>
            </w:r>
          </w:p>
        </w:tc>
      </w:tr>
      <w:tr w14:paraId="1008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restart"/>
            <w:tcMar>
              <w:left w:w="108" w:type="dxa"/>
              <w:right w:w="108" w:type="dxa"/>
            </w:tcMar>
            <w:vAlign w:val="center"/>
          </w:tcPr>
          <w:p w14:paraId="1215B9DD">
            <w:pPr>
              <w:jc w:val="center"/>
              <w:rPr>
                <w:bCs/>
                <w:szCs w:val="21"/>
                <w:highlight w:val="none"/>
              </w:rPr>
            </w:pPr>
            <w:r>
              <w:rPr>
                <w:bCs/>
                <w:szCs w:val="21"/>
                <w:highlight w:val="none"/>
              </w:rPr>
              <w:t>接触控制和防护</w:t>
            </w:r>
          </w:p>
        </w:tc>
        <w:tc>
          <w:tcPr>
            <w:tcW w:w="1129" w:type="pct"/>
            <w:gridSpan w:val="2"/>
            <w:tcMar>
              <w:left w:w="108" w:type="dxa"/>
              <w:right w:w="108" w:type="dxa"/>
            </w:tcMar>
            <w:vAlign w:val="center"/>
          </w:tcPr>
          <w:p w14:paraId="47198585">
            <w:pPr>
              <w:jc w:val="center"/>
              <w:rPr>
                <w:bCs/>
                <w:szCs w:val="21"/>
                <w:highlight w:val="none"/>
              </w:rPr>
            </w:pPr>
            <w:r>
              <w:rPr>
                <w:bCs/>
                <w:szCs w:val="21"/>
                <w:highlight w:val="none"/>
              </w:rPr>
              <w:t>职业接触限值：</w:t>
            </w:r>
          </w:p>
        </w:tc>
        <w:tc>
          <w:tcPr>
            <w:tcW w:w="1312" w:type="pct"/>
            <w:gridSpan w:val="3"/>
            <w:tcMar>
              <w:left w:w="108" w:type="dxa"/>
              <w:right w:w="108" w:type="dxa"/>
            </w:tcMar>
            <w:vAlign w:val="center"/>
          </w:tcPr>
          <w:p w14:paraId="19CE76C0">
            <w:pPr>
              <w:jc w:val="center"/>
              <w:rPr>
                <w:bCs/>
                <w:szCs w:val="21"/>
                <w:highlight w:val="none"/>
              </w:rPr>
            </w:pPr>
            <w:r>
              <w:rPr>
                <w:bCs/>
                <w:szCs w:val="21"/>
                <w:highlight w:val="none"/>
              </w:rPr>
              <w:t>MAC:100mg/m</w:t>
            </w:r>
            <w:r>
              <w:rPr>
                <w:bCs/>
                <w:szCs w:val="21"/>
                <w:highlight w:val="none"/>
                <w:vertAlign w:val="superscript"/>
              </w:rPr>
              <w:t>3</w:t>
            </w:r>
          </w:p>
        </w:tc>
        <w:tc>
          <w:tcPr>
            <w:tcW w:w="1590" w:type="pct"/>
            <w:gridSpan w:val="2"/>
            <w:tcMar>
              <w:left w:w="108" w:type="dxa"/>
              <w:right w:w="108" w:type="dxa"/>
            </w:tcMar>
            <w:vAlign w:val="center"/>
          </w:tcPr>
          <w:p w14:paraId="5F1A88F4">
            <w:pPr>
              <w:jc w:val="center"/>
              <w:rPr>
                <w:bCs/>
                <w:szCs w:val="21"/>
                <w:highlight w:val="none"/>
              </w:rPr>
            </w:pPr>
            <w:r>
              <w:rPr>
                <w:bCs/>
                <w:szCs w:val="21"/>
                <w:highlight w:val="none"/>
              </w:rPr>
              <w:t>生物接触限值：</w:t>
            </w:r>
          </w:p>
        </w:tc>
        <w:tc>
          <w:tcPr>
            <w:tcW w:w="662" w:type="pct"/>
            <w:tcMar>
              <w:left w:w="108" w:type="dxa"/>
              <w:right w:w="108" w:type="dxa"/>
            </w:tcMar>
            <w:vAlign w:val="center"/>
          </w:tcPr>
          <w:p w14:paraId="45653E0F">
            <w:pPr>
              <w:jc w:val="center"/>
              <w:rPr>
                <w:bCs/>
                <w:szCs w:val="21"/>
                <w:highlight w:val="none"/>
              </w:rPr>
            </w:pPr>
            <w:r>
              <w:rPr>
                <w:bCs/>
                <w:szCs w:val="21"/>
                <w:highlight w:val="none"/>
              </w:rPr>
              <w:t>未制定标准</w:t>
            </w:r>
          </w:p>
        </w:tc>
      </w:tr>
      <w:tr w14:paraId="33AE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2FCFCCFD">
            <w:pPr>
              <w:jc w:val="center"/>
              <w:rPr>
                <w:bCs/>
                <w:szCs w:val="21"/>
                <w:highlight w:val="none"/>
              </w:rPr>
            </w:pPr>
          </w:p>
        </w:tc>
        <w:tc>
          <w:tcPr>
            <w:tcW w:w="1129" w:type="pct"/>
            <w:gridSpan w:val="2"/>
            <w:tcMar>
              <w:left w:w="108" w:type="dxa"/>
              <w:right w:w="108" w:type="dxa"/>
            </w:tcMar>
            <w:vAlign w:val="center"/>
          </w:tcPr>
          <w:p w14:paraId="0A810089">
            <w:pPr>
              <w:jc w:val="center"/>
              <w:rPr>
                <w:bCs/>
                <w:szCs w:val="21"/>
                <w:highlight w:val="none"/>
              </w:rPr>
            </w:pPr>
            <w:r>
              <w:rPr>
                <w:bCs/>
                <w:szCs w:val="21"/>
                <w:highlight w:val="none"/>
              </w:rPr>
              <w:t>监测方法：</w:t>
            </w:r>
          </w:p>
        </w:tc>
        <w:tc>
          <w:tcPr>
            <w:tcW w:w="3565" w:type="pct"/>
            <w:gridSpan w:val="6"/>
            <w:tcMar>
              <w:left w:w="108" w:type="dxa"/>
              <w:right w:w="108" w:type="dxa"/>
            </w:tcMar>
            <w:vAlign w:val="center"/>
          </w:tcPr>
          <w:p w14:paraId="75E8C64C">
            <w:pPr>
              <w:jc w:val="center"/>
              <w:rPr>
                <w:rFonts w:hint="eastAsia" w:eastAsia="宋体"/>
                <w:bCs/>
                <w:szCs w:val="21"/>
                <w:highlight w:val="none"/>
                <w:lang w:eastAsia="zh-CN"/>
              </w:rPr>
            </w:pPr>
            <w:r>
              <w:rPr>
                <w:bCs/>
                <w:szCs w:val="21"/>
                <w:highlight w:val="none"/>
              </w:rPr>
              <w:t>空气中有毒物质测定方法：硝酸银比色法。生物检测方法：未制定标准</w:t>
            </w:r>
            <w:r>
              <w:rPr>
                <w:rFonts w:hint="eastAsia"/>
                <w:bCs/>
                <w:szCs w:val="21"/>
                <w:highlight w:val="none"/>
                <w:lang w:eastAsia="zh-CN"/>
              </w:rPr>
              <w:t>。</w:t>
            </w:r>
          </w:p>
        </w:tc>
      </w:tr>
      <w:tr w14:paraId="4394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560A4C71">
            <w:pPr>
              <w:jc w:val="center"/>
              <w:rPr>
                <w:bCs/>
                <w:szCs w:val="21"/>
                <w:highlight w:val="none"/>
              </w:rPr>
            </w:pPr>
          </w:p>
        </w:tc>
        <w:tc>
          <w:tcPr>
            <w:tcW w:w="1129" w:type="pct"/>
            <w:gridSpan w:val="2"/>
            <w:tcMar>
              <w:left w:w="108" w:type="dxa"/>
              <w:right w:w="108" w:type="dxa"/>
            </w:tcMar>
            <w:vAlign w:val="center"/>
          </w:tcPr>
          <w:p w14:paraId="2F734193">
            <w:pPr>
              <w:jc w:val="center"/>
              <w:rPr>
                <w:bCs/>
                <w:szCs w:val="21"/>
                <w:highlight w:val="none"/>
              </w:rPr>
            </w:pPr>
            <w:r>
              <w:rPr>
                <w:bCs/>
                <w:szCs w:val="21"/>
                <w:highlight w:val="none"/>
              </w:rPr>
              <w:t>工程控制：</w:t>
            </w:r>
          </w:p>
        </w:tc>
        <w:tc>
          <w:tcPr>
            <w:tcW w:w="3565" w:type="pct"/>
            <w:gridSpan w:val="6"/>
            <w:tcMar>
              <w:left w:w="108" w:type="dxa"/>
              <w:right w:w="108" w:type="dxa"/>
            </w:tcMar>
            <w:vAlign w:val="center"/>
          </w:tcPr>
          <w:p w14:paraId="69F56A18">
            <w:pPr>
              <w:jc w:val="center"/>
              <w:rPr>
                <w:rFonts w:hint="eastAsia" w:eastAsia="宋体"/>
                <w:bCs/>
                <w:szCs w:val="21"/>
                <w:highlight w:val="none"/>
                <w:lang w:eastAsia="zh-CN"/>
              </w:rPr>
            </w:pPr>
            <w:r>
              <w:rPr>
                <w:bCs/>
                <w:szCs w:val="21"/>
                <w:highlight w:val="none"/>
              </w:rPr>
              <w:t>局部加密</w:t>
            </w:r>
            <w:r>
              <w:rPr>
                <w:rFonts w:hint="eastAsia"/>
                <w:bCs/>
                <w:szCs w:val="21"/>
                <w:highlight w:val="none"/>
                <w:lang w:eastAsia="zh-CN"/>
              </w:rPr>
              <w:t>封</w:t>
            </w:r>
            <w:r>
              <w:rPr>
                <w:bCs/>
                <w:szCs w:val="21"/>
                <w:highlight w:val="none"/>
              </w:rPr>
              <w:t>闭，提供充分的局部排风和全面通风。提供安全的淋浴和洗眼设备</w:t>
            </w:r>
            <w:r>
              <w:rPr>
                <w:rFonts w:hint="eastAsia"/>
                <w:bCs/>
                <w:szCs w:val="21"/>
                <w:highlight w:val="none"/>
                <w:lang w:eastAsia="zh-CN"/>
              </w:rPr>
              <w:t>。</w:t>
            </w:r>
          </w:p>
        </w:tc>
      </w:tr>
      <w:tr w14:paraId="1AF0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2B06A372">
            <w:pPr>
              <w:jc w:val="center"/>
              <w:rPr>
                <w:bCs/>
                <w:szCs w:val="21"/>
                <w:highlight w:val="none"/>
              </w:rPr>
            </w:pPr>
          </w:p>
        </w:tc>
        <w:tc>
          <w:tcPr>
            <w:tcW w:w="1129" w:type="pct"/>
            <w:gridSpan w:val="2"/>
            <w:tcMar>
              <w:left w:w="108" w:type="dxa"/>
              <w:right w:w="108" w:type="dxa"/>
            </w:tcMar>
            <w:vAlign w:val="center"/>
          </w:tcPr>
          <w:p w14:paraId="427155CB">
            <w:pPr>
              <w:jc w:val="center"/>
              <w:rPr>
                <w:bCs/>
                <w:szCs w:val="21"/>
                <w:highlight w:val="none"/>
              </w:rPr>
            </w:pPr>
            <w:r>
              <w:rPr>
                <w:bCs/>
                <w:szCs w:val="21"/>
                <w:highlight w:val="none"/>
              </w:rPr>
              <w:t>个体防护装备：</w:t>
            </w:r>
          </w:p>
        </w:tc>
        <w:tc>
          <w:tcPr>
            <w:tcW w:w="3565" w:type="pct"/>
            <w:gridSpan w:val="6"/>
            <w:tcMar>
              <w:left w:w="108" w:type="dxa"/>
              <w:right w:w="108" w:type="dxa"/>
            </w:tcMar>
            <w:vAlign w:val="center"/>
          </w:tcPr>
          <w:p w14:paraId="5C4C1684">
            <w:pPr>
              <w:jc w:val="center"/>
              <w:rPr>
                <w:bCs/>
                <w:szCs w:val="21"/>
                <w:highlight w:val="none"/>
              </w:rPr>
            </w:pPr>
            <w:r>
              <w:rPr>
                <w:bCs/>
                <w:szCs w:val="21"/>
                <w:highlight w:val="none"/>
              </w:rPr>
              <w:t>呼吸系统防护：</w:t>
            </w:r>
            <w:r>
              <w:rPr>
                <w:rFonts w:hint="eastAsia"/>
                <w:bCs/>
                <w:szCs w:val="21"/>
                <w:highlight w:val="none"/>
                <w:lang w:eastAsia="zh-CN"/>
              </w:rPr>
              <w:t>在</w:t>
            </w:r>
            <w:r>
              <w:rPr>
                <w:bCs/>
                <w:szCs w:val="21"/>
                <w:highlight w:val="none"/>
              </w:rPr>
              <w:t>空气中浓度超标</w:t>
            </w:r>
            <w:r>
              <w:rPr>
                <w:rFonts w:hint="eastAsia"/>
                <w:bCs/>
                <w:szCs w:val="21"/>
                <w:highlight w:val="none"/>
                <w:lang w:eastAsia="zh-CN"/>
              </w:rPr>
              <w:t>的情况下，应</w:t>
            </w:r>
            <w:r>
              <w:rPr>
                <w:bCs/>
                <w:szCs w:val="21"/>
                <w:highlight w:val="none"/>
              </w:rPr>
              <w:t>佩戴过滤式防毒面具（半面罩）。紧急事态抢救或撤离时，建议佩戴空气呼吸器。</w:t>
            </w:r>
            <w:r>
              <w:rPr>
                <w:bCs/>
                <w:szCs w:val="21"/>
                <w:highlight w:val="none"/>
              </w:rPr>
              <w:br w:type="textWrapping"/>
            </w:r>
            <w:r>
              <w:rPr>
                <w:bCs/>
                <w:szCs w:val="21"/>
                <w:highlight w:val="none"/>
              </w:rPr>
              <w:t>眼睛防护：佩戴化学安全防护眼镜。</w:t>
            </w:r>
            <w:r>
              <w:rPr>
                <w:bCs/>
                <w:szCs w:val="21"/>
                <w:highlight w:val="none"/>
              </w:rPr>
              <w:br w:type="textWrapping"/>
            </w:r>
            <w:r>
              <w:rPr>
                <w:bCs/>
                <w:szCs w:val="21"/>
                <w:highlight w:val="none"/>
              </w:rPr>
              <w:t>皮肤与身体防护：穿防静电工作服。</w:t>
            </w:r>
            <w:r>
              <w:rPr>
                <w:bCs/>
                <w:szCs w:val="21"/>
                <w:highlight w:val="none"/>
              </w:rPr>
              <w:br w:type="textWrapping"/>
            </w:r>
            <w:r>
              <w:rPr>
                <w:bCs/>
                <w:szCs w:val="21"/>
                <w:highlight w:val="none"/>
              </w:rPr>
              <w:t>手防护：戴化学品类手套。</w:t>
            </w:r>
          </w:p>
        </w:tc>
      </w:tr>
      <w:tr w14:paraId="0E75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restart"/>
            <w:tcMar>
              <w:left w:w="108" w:type="dxa"/>
              <w:right w:w="108" w:type="dxa"/>
            </w:tcMar>
            <w:vAlign w:val="center"/>
          </w:tcPr>
          <w:p w14:paraId="04E90711">
            <w:pPr>
              <w:jc w:val="center"/>
              <w:rPr>
                <w:bCs/>
                <w:szCs w:val="21"/>
                <w:highlight w:val="none"/>
              </w:rPr>
            </w:pPr>
            <w:r>
              <w:rPr>
                <w:bCs/>
                <w:szCs w:val="21"/>
                <w:highlight w:val="none"/>
              </w:rPr>
              <w:t>理化特性</w:t>
            </w:r>
          </w:p>
        </w:tc>
        <w:tc>
          <w:tcPr>
            <w:tcW w:w="1129" w:type="pct"/>
            <w:gridSpan w:val="2"/>
            <w:tcMar>
              <w:left w:w="108" w:type="dxa"/>
              <w:right w:w="108" w:type="dxa"/>
            </w:tcMar>
            <w:vAlign w:val="center"/>
          </w:tcPr>
          <w:p w14:paraId="67654A7D">
            <w:pPr>
              <w:jc w:val="center"/>
              <w:rPr>
                <w:bCs/>
                <w:szCs w:val="21"/>
                <w:highlight w:val="none"/>
              </w:rPr>
            </w:pPr>
            <w:r>
              <w:rPr>
                <w:bCs/>
                <w:szCs w:val="21"/>
                <w:highlight w:val="none"/>
              </w:rPr>
              <w:t>外观与性状：</w:t>
            </w:r>
          </w:p>
        </w:tc>
        <w:tc>
          <w:tcPr>
            <w:tcW w:w="3565" w:type="pct"/>
            <w:gridSpan w:val="6"/>
            <w:tcMar>
              <w:left w:w="108" w:type="dxa"/>
              <w:right w:w="108" w:type="dxa"/>
            </w:tcMar>
            <w:vAlign w:val="center"/>
          </w:tcPr>
          <w:p w14:paraId="0FDDBE8C">
            <w:pPr>
              <w:jc w:val="center"/>
              <w:rPr>
                <w:rFonts w:hint="eastAsia" w:eastAsia="宋体"/>
                <w:bCs/>
                <w:szCs w:val="21"/>
                <w:highlight w:val="none"/>
                <w:lang w:eastAsia="zh-CN"/>
              </w:rPr>
            </w:pPr>
            <w:r>
              <w:rPr>
                <w:bCs/>
                <w:szCs w:val="21"/>
                <w:highlight w:val="none"/>
              </w:rPr>
              <w:t>无色，有臭味的气体</w:t>
            </w:r>
            <w:r>
              <w:rPr>
                <w:rFonts w:hint="eastAsia"/>
                <w:bCs/>
                <w:szCs w:val="21"/>
                <w:highlight w:val="none"/>
                <w:lang w:eastAsia="zh-CN"/>
              </w:rPr>
              <w:t>。</w:t>
            </w:r>
          </w:p>
        </w:tc>
      </w:tr>
      <w:tr w14:paraId="24E1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6035D59B">
            <w:pPr>
              <w:jc w:val="center"/>
              <w:rPr>
                <w:bCs/>
                <w:szCs w:val="21"/>
                <w:highlight w:val="none"/>
              </w:rPr>
            </w:pPr>
          </w:p>
        </w:tc>
        <w:tc>
          <w:tcPr>
            <w:tcW w:w="1129" w:type="pct"/>
            <w:gridSpan w:val="2"/>
            <w:tcMar>
              <w:left w:w="108" w:type="dxa"/>
              <w:right w:w="108" w:type="dxa"/>
            </w:tcMar>
            <w:vAlign w:val="center"/>
          </w:tcPr>
          <w:p w14:paraId="26D71A66">
            <w:pPr>
              <w:jc w:val="center"/>
              <w:rPr>
                <w:bCs/>
                <w:szCs w:val="21"/>
                <w:highlight w:val="none"/>
              </w:rPr>
            </w:pPr>
            <w:r>
              <w:rPr>
                <w:bCs/>
                <w:szCs w:val="21"/>
                <w:highlight w:val="none"/>
              </w:rPr>
              <w:t>pH值：</w:t>
            </w:r>
          </w:p>
        </w:tc>
        <w:tc>
          <w:tcPr>
            <w:tcW w:w="1312" w:type="pct"/>
            <w:gridSpan w:val="3"/>
            <w:tcMar>
              <w:left w:w="108" w:type="dxa"/>
              <w:right w:w="108" w:type="dxa"/>
            </w:tcMar>
            <w:vAlign w:val="center"/>
          </w:tcPr>
          <w:p w14:paraId="31377491">
            <w:pPr>
              <w:jc w:val="center"/>
              <w:rPr>
                <w:bCs/>
                <w:szCs w:val="21"/>
                <w:highlight w:val="none"/>
              </w:rPr>
            </w:pPr>
            <w:r>
              <w:rPr>
                <w:bCs/>
                <w:szCs w:val="21"/>
                <w:highlight w:val="none"/>
              </w:rPr>
              <w:t>4.5（1%水溶液）</w:t>
            </w:r>
          </w:p>
        </w:tc>
        <w:tc>
          <w:tcPr>
            <w:tcW w:w="1590" w:type="pct"/>
            <w:gridSpan w:val="2"/>
            <w:tcMar>
              <w:left w:w="108" w:type="dxa"/>
              <w:right w:w="108" w:type="dxa"/>
            </w:tcMar>
            <w:vAlign w:val="center"/>
          </w:tcPr>
          <w:p w14:paraId="36E925C4">
            <w:pPr>
              <w:jc w:val="center"/>
              <w:rPr>
                <w:bCs/>
                <w:szCs w:val="21"/>
                <w:highlight w:val="none"/>
              </w:rPr>
            </w:pPr>
            <w:r>
              <w:rPr>
                <w:bCs/>
                <w:szCs w:val="21"/>
                <w:highlight w:val="none"/>
              </w:rPr>
              <w:t>熔点（℃）：</w:t>
            </w:r>
          </w:p>
        </w:tc>
        <w:tc>
          <w:tcPr>
            <w:tcW w:w="662" w:type="pct"/>
            <w:tcMar>
              <w:left w:w="108" w:type="dxa"/>
              <w:right w:w="108" w:type="dxa"/>
            </w:tcMar>
            <w:vAlign w:val="center"/>
          </w:tcPr>
          <w:p w14:paraId="3BA726C6">
            <w:pPr>
              <w:jc w:val="center"/>
              <w:rPr>
                <w:bCs/>
                <w:szCs w:val="21"/>
                <w:highlight w:val="none"/>
              </w:rPr>
            </w:pPr>
            <w:r>
              <w:rPr>
                <w:bCs/>
                <w:szCs w:val="21"/>
                <w:highlight w:val="none"/>
              </w:rPr>
              <w:t>-85.5</w:t>
            </w:r>
          </w:p>
        </w:tc>
      </w:tr>
      <w:tr w14:paraId="4EF7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43E1F14F">
            <w:pPr>
              <w:jc w:val="center"/>
              <w:rPr>
                <w:bCs/>
                <w:szCs w:val="21"/>
                <w:highlight w:val="none"/>
              </w:rPr>
            </w:pPr>
          </w:p>
        </w:tc>
        <w:tc>
          <w:tcPr>
            <w:tcW w:w="1129" w:type="pct"/>
            <w:gridSpan w:val="2"/>
            <w:tcMar>
              <w:left w:w="108" w:type="dxa"/>
              <w:right w:w="108" w:type="dxa"/>
            </w:tcMar>
            <w:vAlign w:val="center"/>
          </w:tcPr>
          <w:p w14:paraId="5C2E5618">
            <w:pPr>
              <w:jc w:val="center"/>
              <w:rPr>
                <w:bCs/>
                <w:szCs w:val="21"/>
                <w:highlight w:val="none"/>
              </w:rPr>
            </w:pPr>
            <w:r>
              <w:rPr>
                <w:bCs/>
                <w:szCs w:val="21"/>
                <w:highlight w:val="none"/>
              </w:rPr>
              <w:t>沸点（℃）：</w:t>
            </w:r>
          </w:p>
        </w:tc>
        <w:tc>
          <w:tcPr>
            <w:tcW w:w="1312" w:type="pct"/>
            <w:gridSpan w:val="3"/>
            <w:tcMar>
              <w:left w:w="108" w:type="dxa"/>
              <w:right w:w="108" w:type="dxa"/>
            </w:tcMar>
            <w:vAlign w:val="center"/>
          </w:tcPr>
          <w:p w14:paraId="3F62CEB5">
            <w:pPr>
              <w:jc w:val="center"/>
              <w:rPr>
                <w:bCs/>
                <w:szCs w:val="21"/>
                <w:highlight w:val="none"/>
              </w:rPr>
            </w:pPr>
            <w:r>
              <w:rPr>
                <w:bCs/>
                <w:szCs w:val="21"/>
                <w:highlight w:val="none"/>
              </w:rPr>
              <w:t>-60.3</w:t>
            </w:r>
          </w:p>
        </w:tc>
        <w:tc>
          <w:tcPr>
            <w:tcW w:w="1590" w:type="pct"/>
            <w:gridSpan w:val="2"/>
            <w:tcMar>
              <w:left w:w="108" w:type="dxa"/>
              <w:right w:w="108" w:type="dxa"/>
            </w:tcMar>
            <w:vAlign w:val="center"/>
          </w:tcPr>
          <w:p w14:paraId="44A1CC23">
            <w:pPr>
              <w:jc w:val="center"/>
              <w:rPr>
                <w:bCs/>
                <w:szCs w:val="21"/>
                <w:highlight w:val="none"/>
              </w:rPr>
            </w:pPr>
            <w:r>
              <w:rPr>
                <w:bCs/>
                <w:szCs w:val="21"/>
                <w:highlight w:val="none"/>
              </w:rPr>
              <w:t>相对水密度（空气=1）：</w:t>
            </w:r>
          </w:p>
        </w:tc>
        <w:tc>
          <w:tcPr>
            <w:tcW w:w="662" w:type="pct"/>
            <w:tcMar>
              <w:left w:w="108" w:type="dxa"/>
              <w:right w:w="108" w:type="dxa"/>
            </w:tcMar>
            <w:vAlign w:val="center"/>
          </w:tcPr>
          <w:p w14:paraId="03D10461">
            <w:pPr>
              <w:jc w:val="center"/>
              <w:rPr>
                <w:bCs/>
                <w:szCs w:val="21"/>
                <w:highlight w:val="none"/>
              </w:rPr>
            </w:pPr>
            <w:r>
              <w:rPr>
                <w:bCs/>
                <w:szCs w:val="21"/>
                <w:highlight w:val="none"/>
              </w:rPr>
              <w:t>1.54</w:t>
            </w:r>
          </w:p>
        </w:tc>
      </w:tr>
      <w:tr w14:paraId="6A79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75F20095">
            <w:pPr>
              <w:jc w:val="center"/>
              <w:rPr>
                <w:bCs/>
                <w:szCs w:val="21"/>
                <w:highlight w:val="none"/>
              </w:rPr>
            </w:pPr>
          </w:p>
        </w:tc>
        <w:tc>
          <w:tcPr>
            <w:tcW w:w="1129" w:type="pct"/>
            <w:gridSpan w:val="2"/>
            <w:tcMar>
              <w:left w:w="108" w:type="dxa"/>
              <w:right w:w="108" w:type="dxa"/>
            </w:tcMar>
            <w:vAlign w:val="center"/>
          </w:tcPr>
          <w:p w14:paraId="6EA2C2C3">
            <w:pPr>
              <w:jc w:val="center"/>
              <w:rPr>
                <w:bCs/>
                <w:szCs w:val="21"/>
                <w:highlight w:val="none"/>
              </w:rPr>
            </w:pPr>
            <w:r>
              <w:rPr>
                <w:bCs/>
                <w:szCs w:val="21"/>
                <w:highlight w:val="none"/>
              </w:rPr>
              <w:t>相对空气密度（空气=1）：</w:t>
            </w:r>
          </w:p>
        </w:tc>
        <w:tc>
          <w:tcPr>
            <w:tcW w:w="3565" w:type="pct"/>
            <w:gridSpan w:val="6"/>
            <w:tcMar>
              <w:left w:w="108" w:type="dxa"/>
              <w:right w:w="108" w:type="dxa"/>
            </w:tcMar>
            <w:vAlign w:val="center"/>
          </w:tcPr>
          <w:p w14:paraId="4DFD63C3">
            <w:pPr>
              <w:jc w:val="center"/>
              <w:rPr>
                <w:bCs/>
                <w:szCs w:val="21"/>
                <w:highlight w:val="none"/>
              </w:rPr>
            </w:pPr>
            <w:r>
              <w:rPr>
                <w:bCs/>
                <w:szCs w:val="21"/>
                <w:highlight w:val="none"/>
              </w:rPr>
              <w:t>1.19</w:t>
            </w:r>
          </w:p>
        </w:tc>
      </w:tr>
      <w:tr w14:paraId="5209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402FD8A3">
            <w:pPr>
              <w:jc w:val="center"/>
              <w:rPr>
                <w:bCs/>
                <w:szCs w:val="21"/>
                <w:highlight w:val="none"/>
              </w:rPr>
            </w:pPr>
          </w:p>
        </w:tc>
        <w:tc>
          <w:tcPr>
            <w:tcW w:w="1129" w:type="pct"/>
            <w:gridSpan w:val="2"/>
            <w:tcMar>
              <w:left w:w="108" w:type="dxa"/>
              <w:right w:w="108" w:type="dxa"/>
            </w:tcMar>
            <w:vAlign w:val="center"/>
          </w:tcPr>
          <w:p w14:paraId="65FFA00C">
            <w:pPr>
              <w:jc w:val="center"/>
              <w:rPr>
                <w:bCs/>
                <w:szCs w:val="21"/>
                <w:highlight w:val="none"/>
              </w:rPr>
            </w:pPr>
            <w:r>
              <w:rPr>
                <w:bCs/>
                <w:szCs w:val="21"/>
                <w:highlight w:val="none"/>
              </w:rPr>
              <w:t>饱和</w:t>
            </w:r>
            <w:r>
              <w:rPr>
                <w:rFonts w:hint="eastAsia"/>
                <w:bCs/>
                <w:szCs w:val="21"/>
                <w:highlight w:val="none"/>
                <w:lang w:eastAsia="zh-CN"/>
              </w:rPr>
              <w:t>蒸汽</w:t>
            </w:r>
            <w:r>
              <w:rPr>
                <w:bCs/>
                <w:szCs w:val="21"/>
                <w:highlight w:val="none"/>
              </w:rPr>
              <w:t>压（kPa）：</w:t>
            </w:r>
          </w:p>
        </w:tc>
        <w:tc>
          <w:tcPr>
            <w:tcW w:w="3565" w:type="pct"/>
            <w:gridSpan w:val="6"/>
            <w:tcMar>
              <w:left w:w="108" w:type="dxa"/>
              <w:right w:w="108" w:type="dxa"/>
            </w:tcMar>
            <w:vAlign w:val="center"/>
          </w:tcPr>
          <w:p w14:paraId="404F3B62">
            <w:pPr>
              <w:jc w:val="center"/>
              <w:rPr>
                <w:rFonts w:hint="eastAsia" w:eastAsia="宋体"/>
                <w:bCs/>
                <w:szCs w:val="21"/>
                <w:highlight w:val="none"/>
                <w:lang w:eastAsia="zh-CN"/>
              </w:rPr>
            </w:pPr>
            <w:r>
              <w:rPr>
                <w:bCs/>
                <w:szCs w:val="21"/>
                <w:highlight w:val="none"/>
              </w:rPr>
              <w:t>2026.5</w:t>
            </w:r>
            <w:r>
              <w:rPr>
                <w:rFonts w:hint="eastAsia"/>
                <w:bCs/>
                <w:szCs w:val="21"/>
                <w:highlight w:val="none"/>
                <w:lang w:eastAsia="zh-CN"/>
              </w:rPr>
              <w:t>（</w:t>
            </w:r>
            <w:r>
              <w:rPr>
                <w:bCs/>
                <w:szCs w:val="21"/>
                <w:highlight w:val="none"/>
              </w:rPr>
              <w:t>25.5℃</w:t>
            </w:r>
            <w:r>
              <w:rPr>
                <w:rFonts w:hint="eastAsia"/>
                <w:bCs/>
                <w:szCs w:val="21"/>
                <w:highlight w:val="none"/>
                <w:lang w:eastAsia="zh-CN"/>
              </w:rPr>
              <w:t>）</w:t>
            </w:r>
          </w:p>
        </w:tc>
      </w:tr>
      <w:tr w14:paraId="6883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0C24F783">
            <w:pPr>
              <w:jc w:val="center"/>
              <w:rPr>
                <w:bCs/>
                <w:szCs w:val="21"/>
                <w:highlight w:val="none"/>
              </w:rPr>
            </w:pPr>
          </w:p>
        </w:tc>
        <w:tc>
          <w:tcPr>
            <w:tcW w:w="1129" w:type="pct"/>
            <w:gridSpan w:val="2"/>
            <w:tcMar>
              <w:left w:w="108" w:type="dxa"/>
              <w:right w:w="108" w:type="dxa"/>
            </w:tcMar>
            <w:vAlign w:val="center"/>
          </w:tcPr>
          <w:p w14:paraId="7A868966">
            <w:pPr>
              <w:jc w:val="center"/>
              <w:rPr>
                <w:bCs/>
                <w:szCs w:val="21"/>
                <w:highlight w:val="none"/>
              </w:rPr>
            </w:pPr>
            <w:r>
              <w:rPr>
                <w:bCs/>
                <w:szCs w:val="21"/>
                <w:highlight w:val="none"/>
              </w:rPr>
              <w:t>燃烧热（kJ/mol）：</w:t>
            </w:r>
          </w:p>
        </w:tc>
        <w:tc>
          <w:tcPr>
            <w:tcW w:w="1312" w:type="pct"/>
            <w:gridSpan w:val="3"/>
            <w:tcMar>
              <w:left w:w="108" w:type="dxa"/>
              <w:right w:w="108" w:type="dxa"/>
            </w:tcMar>
            <w:vAlign w:val="center"/>
          </w:tcPr>
          <w:p w14:paraId="0DDB9637">
            <w:pPr>
              <w:jc w:val="center"/>
              <w:rPr>
                <w:bCs/>
                <w:szCs w:val="21"/>
                <w:highlight w:val="none"/>
              </w:rPr>
            </w:pPr>
            <w:r>
              <w:rPr>
                <w:bCs/>
                <w:szCs w:val="21"/>
                <w:highlight w:val="none"/>
              </w:rPr>
              <w:t>无资料</w:t>
            </w:r>
          </w:p>
        </w:tc>
        <w:tc>
          <w:tcPr>
            <w:tcW w:w="1590" w:type="pct"/>
            <w:gridSpan w:val="2"/>
            <w:tcMar>
              <w:left w:w="108" w:type="dxa"/>
              <w:right w:w="108" w:type="dxa"/>
            </w:tcMar>
            <w:vAlign w:val="center"/>
          </w:tcPr>
          <w:p w14:paraId="0C16F681">
            <w:pPr>
              <w:jc w:val="center"/>
              <w:rPr>
                <w:bCs/>
                <w:szCs w:val="21"/>
                <w:highlight w:val="none"/>
              </w:rPr>
            </w:pPr>
            <w:r>
              <w:rPr>
                <w:bCs/>
                <w:szCs w:val="21"/>
                <w:highlight w:val="none"/>
              </w:rPr>
              <w:t>临界温度（℃）：</w:t>
            </w:r>
          </w:p>
        </w:tc>
        <w:tc>
          <w:tcPr>
            <w:tcW w:w="662" w:type="pct"/>
            <w:tcMar>
              <w:left w:w="108" w:type="dxa"/>
              <w:right w:w="108" w:type="dxa"/>
            </w:tcMar>
            <w:vAlign w:val="center"/>
          </w:tcPr>
          <w:p w14:paraId="62F4A0FC">
            <w:pPr>
              <w:jc w:val="center"/>
              <w:rPr>
                <w:bCs/>
                <w:szCs w:val="21"/>
                <w:highlight w:val="none"/>
              </w:rPr>
            </w:pPr>
            <w:r>
              <w:rPr>
                <w:bCs/>
                <w:szCs w:val="21"/>
                <w:highlight w:val="none"/>
              </w:rPr>
              <w:t>100.4</w:t>
            </w:r>
          </w:p>
        </w:tc>
      </w:tr>
      <w:tr w14:paraId="15CA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41557513">
            <w:pPr>
              <w:jc w:val="center"/>
              <w:rPr>
                <w:bCs/>
                <w:szCs w:val="21"/>
                <w:highlight w:val="none"/>
              </w:rPr>
            </w:pPr>
          </w:p>
        </w:tc>
        <w:tc>
          <w:tcPr>
            <w:tcW w:w="1129" w:type="pct"/>
            <w:gridSpan w:val="2"/>
            <w:tcMar>
              <w:left w:w="108" w:type="dxa"/>
              <w:right w:w="108" w:type="dxa"/>
            </w:tcMar>
            <w:vAlign w:val="center"/>
          </w:tcPr>
          <w:p w14:paraId="7AD3A647">
            <w:pPr>
              <w:jc w:val="center"/>
              <w:rPr>
                <w:bCs/>
                <w:szCs w:val="21"/>
                <w:highlight w:val="none"/>
              </w:rPr>
            </w:pPr>
            <w:r>
              <w:rPr>
                <w:bCs/>
                <w:szCs w:val="21"/>
                <w:highlight w:val="none"/>
              </w:rPr>
              <w:t>临界压力（MPa）：</w:t>
            </w:r>
          </w:p>
        </w:tc>
        <w:tc>
          <w:tcPr>
            <w:tcW w:w="1312" w:type="pct"/>
            <w:gridSpan w:val="3"/>
            <w:tcMar>
              <w:left w:w="108" w:type="dxa"/>
              <w:right w:w="108" w:type="dxa"/>
            </w:tcMar>
            <w:vAlign w:val="center"/>
          </w:tcPr>
          <w:p w14:paraId="6AC64C3E">
            <w:pPr>
              <w:jc w:val="center"/>
              <w:rPr>
                <w:bCs/>
                <w:szCs w:val="21"/>
                <w:highlight w:val="none"/>
              </w:rPr>
            </w:pPr>
            <w:r>
              <w:rPr>
                <w:bCs/>
                <w:szCs w:val="21"/>
                <w:highlight w:val="none"/>
              </w:rPr>
              <w:t>9.01</w:t>
            </w:r>
          </w:p>
        </w:tc>
        <w:tc>
          <w:tcPr>
            <w:tcW w:w="1590" w:type="pct"/>
            <w:gridSpan w:val="2"/>
            <w:tcMar>
              <w:left w:w="108" w:type="dxa"/>
              <w:right w:w="108" w:type="dxa"/>
            </w:tcMar>
            <w:vAlign w:val="center"/>
          </w:tcPr>
          <w:p w14:paraId="05673D97">
            <w:pPr>
              <w:jc w:val="center"/>
              <w:rPr>
                <w:bCs/>
                <w:szCs w:val="21"/>
                <w:highlight w:val="none"/>
              </w:rPr>
            </w:pPr>
            <w:r>
              <w:rPr>
                <w:bCs/>
                <w:szCs w:val="21"/>
                <w:highlight w:val="none"/>
              </w:rPr>
              <w:t>辛醇/水分配系数：</w:t>
            </w:r>
          </w:p>
        </w:tc>
        <w:tc>
          <w:tcPr>
            <w:tcW w:w="662" w:type="pct"/>
            <w:tcMar>
              <w:left w:w="108" w:type="dxa"/>
              <w:right w:w="108" w:type="dxa"/>
            </w:tcMar>
            <w:vAlign w:val="center"/>
          </w:tcPr>
          <w:p w14:paraId="79CEF104">
            <w:pPr>
              <w:jc w:val="center"/>
              <w:rPr>
                <w:bCs/>
                <w:szCs w:val="21"/>
                <w:highlight w:val="none"/>
              </w:rPr>
            </w:pPr>
            <w:r>
              <w:rPr>
                <w:bCs/>
                <w:szCs w:val="21"/>
                <w:highlight w:val="none"/>
              </w:rPr>
              <w:t>0.23</w:t>
            </w:r>
          </w:p>
        </w:tc>
      </w:tr>
      <w:tr w14:paraId="79C35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60F100FB">
            <w:pPr>
              <w:jc w:val="center"/>
              <w:rPr>
                <w:bCs/>
                <w:szCs w:val="21"/>
                <w:highlight w:val="none"/>
              </w:rPr>
            </w:pPr>
          </w:p>
        </w:tc>
        <w:tc>
          <w:tcPr>
            <w:tcW w:w="1129" w:type="pct"/>
            <w:gridSpan w:val="2"/>
            <w:tcMar>
              <w:left w:w="108" w:type="dxa"/>
              <w:right w:w="108" w:type="dxa"/>
            </w:tcMar>
            <w:vAlign w:val="center"/>
          </w:tcPr>
          <w:p w14:paraId="3CF6DF17">
            <w:pPr>
              <w:jc w:val="center"/>
              <w:rPr>
                <w:bCs/>
                <w:szCs w:val="21"/>
                <w:highlight w:val="none"/>
              </w:rPr>
            </w:pPr>
            <w:r>
              <w:rPr>
                <w:bCs/>
                <w:szCs w:val="21"/>
                <w:highlight w:val="none"/>
              </w:rPr>
              <w:t>闪点（℃）：</w:t>
            </w:r>
          </w:p>
        </w:tc>
        <w:tc>
          <w:tcPr>
            <w:tcW w:w="1312" w:type="pct"/>
            <w:gridSpan w:val="3"/>
            <w:tcMar>
              <w:left w:w="108" w:type="dxa"/>
              <w:right w:w="108" w:type="dxa"/>
            </w:tcMar>
            <w:vAlign w:val="center"/>
          </w:tcPr>
          <w:p w14:paraId="068D04E3">
            <w:pPr>
              <w:jc w:val="center"/>
              <w:rPr>
                <w:bCs/>
                <w:szCs w:val="21"/>
                <w:highlight w:val="none"/>
              </w:rPr>
            </w:pPr>
            <w:r>
              <w:rPr>
                <w:bCs/>
                <w:szCs w:val="21"/>
                <w:highlight w:val="none"/>
              </w:rPr>
              <w:t>-106</w:t>
            </w:r>
          </w:p>
        </w:tc>
        <w:tc>
          <w:tcPr>
            <w:tcW w:w="1590" w:type="pct"/>
            <w:gridSpan w:val="2"/>
            <w:tcMar>
              <w:left w:w="108" w:type="dxa"/>
              <w:right w:w="108" w:type="dxa"/>
            </w:tcMar>
            <w:vAlign w:val="center"/>
          </w:tcPr>
          <w:p w14:paraId="06E24DE7">
            <w:pPr>
              <w:jc w:val="center"/>
              <w:rPr>
                <w:bCs/>
                <w:szCs w:val="21"/>
                <w:highlight w:val="none"/>
              </w:rPr>
            </w:pPr>
            <w:r>
              <w:rPr>
                <w:bCs/>
                <w:szCs w:val="21"/>
                <w:highlight w:val="none"/>
              </w:rPr>
              <w:t>自燃温度（℃）：</w:t>
            </w:r>
          </w:p>
        </w:tc>
        <w:tc>
          <w:tcPr>
            <w:tcW w:w="662" w:type="pct"/>
            <w:tcMar>
              <w:left w:w="108" w:type="dxa"/>
              <w:right w:w="108" w:type="dxa"/>
            </w:tcMar>
            <w:vAlign w:val="center"/>
          </w:tcPr>
          <w:p w14:paraId="7DE3C96D">
            <w:pPr>
              <w:jc w:val="center"/>
              <w:rPr>
                <w:bCs/>
                <w:szCs w:val="21"/>
                <w:highlight w:val="none"/>
              </w:rPr>
            </w:pPr>
            <w:r>
              <w:rPr>
                <w:bCs/>
                <w:szCs w:val="21"/>
                <w:highlight w:val="none"/>
              </w:rPr>
              <w:t>260</w:t>
            </w:r>
          </w:p>
        </w:tc>
      </w:tr>
      <w:tr w14:paraId="45CF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53462CAC">
            <w:pPr>
              <w:jc w:val="center"/>
              <w:rPr>
                <w:bCs/>
                <w:szCs w:val="21"/>
                <w:highlight w:val="none"/>
              </w:rPr>
            </w:pPr>
          </w:p>
        </w:tc>
        <w:tc>
          <w:tcPr>
            <w:tcW w:w="1129" w:type="pct"/>
            <w:gridSpan w:val="2"/>
            <w:tcMar>
              <w:left w:w="108" w:type="dxa"/>
              <w:right w:w="108" w:type="dxa"/>
            </w:tcMar>
            <w:vAlign w:val="center"/>
          </w:tcPr>
          <w:p w14:paraId="625C9599">
            <w:pPr>
              <w:jc w:val="center"/>
              <w:rPr>
                <w:bCs/>
                <w:szCs w:val="21"/>
                <w:highlight w:val="none"/>
              </w:rPr>
            </w:pPr>
            <w:r>
              <w:rPr>
                <w:bCs/>
                <w:szCs w:val="21"/>
                <w:highlight w:val="none"/>
              </w:rPr>
              <w:t>爆炸上限（%）：</w:t>
            </w:r>
          </w:p>
        </w:tc>
        <w:tc>
          <w:tcPr>
            <w:tcW w:w="1312" w:type="pct"/>
            <w:gridSpan w:val="3"/>
            <w:tcMar>
              <w:left w:w="108" w:type="dxa"/>
              <w:right w:w="108" w:type="dxa"/>
            </w:tcMar>
            <w:vAlign w:val="center"/>
          </w:tcPr>
          <w:p w14:paraId="542D4579">
            <w:pPr>
              <w:jc w:val="center"/>
              <w:rPr>
                <w:bCs/>
                <w:szCs w:val="21"/>
                <w:highlight w:val="none"/>
              </w:rPr>
            </w:pPr>
            <w:r>
              <w:rPr>
                <w:bCs/>
                <w:szCs w:val="21"/>
                <w:highlight w:val="none"/>
              </w:rPr>
              <w:t>4.3</w:t>
            </w:r>
          </w:p>
        </w:tc>
        <w:tc>
          <w:tcPr>
            <w:tcW w:w="1590" w:type="pct"/>
            <w:gridSpan w:val="2"/>
            <w:tcMar>
              <w:left w:w="108" w:type="dxa"/>
              <w:right w:w="108" w:type="dxa"/>
            </w:tcMar>
            <w:vAlign w:val="center"/>
          </w:tcPr>
          <w:p w14:paraId="4A9DCC56">
            <w:pPr>
              <w:jc w:val="center"/>
              <w:rPr>
                <w:bCs/>
                <w:szCs w:val="21"/>
                <w:highlight w:val="none"/>
              </w:rPr>
            </w:pPr>
            <w:r>
              <w:rPr>
                <w:bCs/>
                <w:szCs w:val="21"/>
                <w:highlight w:val="none"/>
              </w:rPr>
              <w:t>爆炸上限（%）：</w:t>
            </w:r>
          </w:p>
        </w:tc>
        <w:tc>
          <w:tcPr>
            <w:tcW w:w="662" w:type="pct"/>
            <w:tcMar>
              <w:left w:w="108" w:type="dxa"/>
              <w:right w:w="108" w:type="dxa"/>
            </w:tcMar>
            <w:vAlign w:val="center"/>
          </w:tcPr>
          <w:p w14:paraId="03F38521">
            <w:pPr>
              <w:jc w:val="center"/>
              <w:rPr>
                <w:bCs/>
                <w:szCs w:val="21"/>
                <w:highlight w:val="none"/>
              </w:rPr>
            </w:pPr>
            <w:r>
              <w:rPr>
                <w:bCs/>
                <w:szCs w:val="21"/>
                <w:highlight w:val="none"/>
              </w:rPr>
              <w:t>46.0</w:t>
            </w:r>
          </w:p>
        </w:tc>
      </w:tr>
      <w:tr w14:paraId="24EF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restart"/>
            <w:tcMar>
              <w:left w:w="108" w:type="dxa"/>
              <w:right w:w="108" w:type="dxa"/>
            </w:tcMar>
            <w:vAlign w:val="center"/>
          </w:tcPr>
          <w:p w14:paraId="1AAA6E69">
            <w:pPr>
              <w:jc w:val="center"/>
              <w:rPr>
                <w:bCs/>
                <w:szCs w:val="21"/>
                <w:highlight w:val="none"/>
              </w:rPr>
            </w:pPr>
            <w:r>
              <w:rPr>
                <w:bCs/>
                <w:szCs w:val="21"/>
                <w:highlight w:val="none"/>
              </w:rPr>
              <w:t>稳定性和反应性</w:t>
            </w:r>
          </w:p>
        </w:tc>
        <w:tc>
          <w:tcPr>
            <w:tcW w:w="1129" w:type="pct"/>
            <w:gridSpan w:val="2"/>
            <w:tcMar>
              <w:left w:w="108" w:type="dxa"/>
              <w:right w:w="108" w:type="dxa"/>
            </w:tcMar>
            <w:vAlign w:val="center"/>
          </w:tcPr>
          <w:p w14:paraId="400F47AB">
            <w:pPr>
              <w:jc w:val="center"/>
              <w:rPr>
                <w:bCs/>
                <w:szCs w:val="21"/>
                <w:highlight w:val="none"/>
              </w:rPr>
            </w:pPr>
            <w:r>
              <w:rPr>
                <w:bCs/>
                <w:szCs w:val="21"/>
                <w:highlight w:val="none"/>
              </w:rPr>
              <w:t>稳定性：</w:t>
            </w:r>
          </w:p>
        </w:tc>
        <w:tc>
          <w:tcPr>
            <w:tcW w:w="3565" w:type="pct"/>
            <w:gridSpan w:val="6"/>
            <w:tcMar>
              <w:left w:w="108" w:type="dxa"/>
              <w:right w:w="108" w:type="dxa"/>
            </w:tcMar>
            <w:vAlign w:val="center"/>
          </w:tcPr>
          <w:p w14:paraId="4A3E5EC6">
            <w:pPr>
              <w:jc w:val="center"/>
              <w:rPr>
                <w:bCs/>
                <w:szCs w:val="21"/>
                <w:highlight w:val="none"/>
              </w:rPr>
            </w:pPr>
            <w:r>
              <w:rPr>
                <w:bCs/>
                <w:szCs w:val="21"/>
                <w:highlight w:val="none"/>
              </w:rPr>
              <w:t>稳定</w:t>
            </w:r>
          </w:p>
        </w:tc>
      </w:tr>
      <w:tr w14:paraId="5CCF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57B8069D">
            <w:pPr>
              <w:jc w:val="center"/>
              <w:rPr>
                <w:bCs/>
                <w:szCs w:val="21"/>
                <w:highlight w:val="none"/>
              </w:rPr>
            </w:pPr>
          </w:p>
        </w:tc>
        <w:tc>
          <w:tcPr>
            <w:tcW w:w="1129" w:type="pct"/>
            <w:gridSpan w:val="2"/>
            <w:tcMar>
              <w:left w:w="108" w:type="dxa"/>
              <w:right w:w="108" w:type="dxa"/>
            </w:tcMar>
            <w:vAlign w:val="center"/>
          </w:tcPr>
          <w:p w14:paraId="4B0CC586">
            <w:pPr>
              <w:jc w:val="center"/>
              <w:rPr>
                <w:bCs/>
                <w:szCs w:val="21"/>
                <w:highlight w:val="none"/>
              </w:rPr>
            </w:pPr>
            <w:r>
              <w:rPr>
                <w:bCs/>
                <w:szCs w:val="21"/>
                <w:highlight w:val="none"/>
              </w:rPr>
              <w:t>危险反应：</w:t>
            </w:r>
          </w:p>
        </w:tc>
        <w:tc>
          <w:tcPr>
            <w:tcW w:w="3565" w:type="pct"/>
            <w:gridSpan w:val="6"/>
            <w:tcMar>
              <w:left w:w="108" w:type="dxa"/>
              <w:right w:w="108" w:type="dxa"/>
            </w:tcMar>
            <w:vAlign w:val="center"/>
          </w:tcPr>
          <w:p w14:paraId="6AC11BFB">
            <w:pPr>
              <w:jc w:val="center"/>
              <w:rPr>
                <w:bCs/>
                <w:szCs w:val="21"/>
                <w:highlight w:val="none"/>
              </w:rPr>
            </w:pPr>
            <w:r>
              <w:rPr>
                <w:bCs/>
                <w:szCs w:val="21"/>
                <w:highlight w:val="none"/>
              </w:rPr>
              <w:t>与强氧化剂等禁配物接触，有发生火灾和爆炸的危险。</w:t>
            </w:r>
          </w:p>
        </w:tc>
      </w:tr>
      <w:tr w14:paraId="6F40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1D735198">
            <w:pPr>
              <w:jc w:val="center"/>
              <w:rPr>
                <w:bCs/>
                <w:szCs w:val="21"/>
                <w:highlight w:val="none"/>
              </w:rPr>
            </w:pPr>
          </w:p>
        </w:tc>
        <w:tc>
          <w:tcPr>
            <w:tcW w:w="1129" w:type="pct"/>
            <w:gridSpan w:val="2"/>
            <w:tcMar>
              <w:left w:w="108" w:type="dxa"/>
              <w:right w:w="108" w:type="dxa"/>
            </w:tcMar>
            <w:vAlign w:val="center"/>
          </w:tcPr>
          <w:p w14:paraId="20576E83">
            <w:pPr>
              <w:jc w:val="center"/>
              <w:rPr>
                <w:bCs/>
                <w:szCs w:val="21"/>
                <w:highlight w:val="none"/>
              </w:rPr>
            </w:pPr>
            <w:r>
              <w:rPr>
                <w:bCs/>
                <w:szCs w:val="21"/>
                <w:highlight w:val="none"/>
              </w:rPr>
              <w:t>避免接触的条件：</w:t>
            </w:r>
          </w:p>
        </w:tc>
        <w:tc>
          <w:tcPr>
            <w:tcW w:w="3565" w:type="pct"/>
            <w:gridSpan w:val="6"/>
            <w:tcMar>
              <w:left w:w="108" w:type="dxa"/>
              <w:right w:w="108" w:type="dxa"/>
            </w:tcMar>
            <w:vAlign w:val="center"/>
          </w:tcPr>
          <w:p w14:paraId="14F517E5">
            <w:pPr>
              <w:jc w:val="center"/>
              <w:rPr>
                <w:bCs/>
                <w:szCs w:val="21"/>
                <w:highlight w:val="none"/>
              </w:rPr>
            </w:pPr>
            <w:r>
              <w:rPr>
                <w:bCs/>
                <w:szCs w:val="21"/>
                <w:highlight w:val="none"/>
              </w:rPr>
              <w:t>无资料</w:t>
            </w:r>
          </w:p>
        </w:tc>
      </w:tr>
      <w:tr w14:paraId="593B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7C05D628">
            <w:pPr>
              <w:jc w:val="center"/>
              <w:rPr>
                <w:bCs/>
                <w:szCs w:val="21"/>
                <w:highlight w:val="none"/>
              </w:rPr>
            </w:pPr>
          </w:p>
        </w:tc>
        <w:tc>
          <w:tcPr>
            <w:tcW w:w="1129" w:type="pct"/>
            <w:gridSpan w:val="2"/>
            <w:tcMar>
              <w:left w:w="108" w:type="dxa"/>
              <w:right w:w="108" w:type="dxa"/>
            </w:tcMar>
            <w:vAlign w:val="center"/>
          </w:tcPr>
          <w:p w14:paraId="2CD6CEA1">
            <w:pPr>
              <w:jc w:val="center"/>
              <w:rPr>
                <w:bCs/>
                <w:szCs w:val="21"/>
                <w:highlight w:val="none"/>
              </w:rPr>
            </w:pPr>
            <w:r>
              <w:rPr>
                <w:bCs/>
                <w:szCs w:val="21"/>
                <w:highlight w:val="none"/>
              </w:rPr>
              <w:t>禁配物：</w:t>
            </w:r>
          </w:p>
        </w:tc>
        <w:tc>
          <w:tcPr>
            <w:tcW w:w="3565" w:type="pct"/>
            <w:gridSpan w:val="6"/>
            <w:tcMar>
              <w:left w:w="108" w:type="dxa"/>
              <w:right w:w="108" w:type="dxa"/>
            </w:tcMar>
            <w:vAlign w:val="center"/>
          </w:tcPr>
          <w:p w14:paraId="6EEA7EB0">
            <w:pPr>
              <w:jc w:val="center"/>
              <w:rPr>
                <w:bCs/>
                <w:szCs w:val="21"/>
                <w:highlight w:val="none"/>
              </w:rPr>
            </w:pPr>
            <w:r>
              <w:rPr>
                <w:bCs/>
                <w:szCs w:val="21"/>
                <w:highlight w:val="none"/>
              </w:rPr>
              <w:t>强氧化剂、碱类</w:t>
            </w:r>
          </w:p>
        </w:tc>
      </w:tr>
      <w:tr w14:paraId="342B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305" w:type="pct"/>
            <w:vMerge w:val="continue"/>
            <w:tcMar>
              <w:left w:w="108" w:type="dxa"/>
              <w:right w:w="108" w:type="dxa"/>
            </w:tcMar>
            <w:vAlign w:val="center"/>
          </w:tcPr>
          <w:p w14:paraId="6EE3D396">
            <w:pPr>
              <w:jc w:val="center"/>
              <w:rPr>
                <w:bCs/>
                <w:szCs w:val="21"/>
                <w:highlight w:val="none"/>
              </w:rPr>
            </w:pPr>
          </w:p>
        </w:tc>
        <w:tc>
          <w:tcPr>
            <w:tcW w:w="1129" w:type="pct"/>
            <w:gridSpan w:val="2"/>
            <w:tcMar>
              <w:left w:w="108" w:type="dxa"/>
              <w:right w:w="108" w:type="dxa"/>
            </w:tcMar>
            <w:vAlign w:val="center"/>
          </w:tcPr>
          <w:p w14:paraId="2A0CE2D9">
            <w:pPr>
              <w:jc w:val="center"/>
              <w:rPr>
                <w:bCs/>
                <w:szCs w:val="21"/>
                <w:highlight w:val="none"/>
              </w:rPr>
            </w:pPr>
            <w:r>
              <w:rPr>
                <w:bCs/>
                <w:szCs w:val="21"/>
                <w:highlight w:val="none"/>
              </w:rPr>
              <w:t>危险的分解产物：</w:t>
            </w:r>
          </w:p>
        </w:tc>
        <w:tc>
          <w:tcPr>
            <w:tcW w:w="3565" w:type="pct"/>
            <w:gridSpan w:val="6"/>
            <w:tcMar>
              <w:left w:w="108" w:type="dxa"/>
              <w:right w:w="108" w:type="dxa"/>
            </w:tcMar>
            <w:vAlign w:val="center"/>
          </w:tcPr>
          <w:p w14:paraId="7EAF84FC">
            <w:pPr>
              <w:jc w:val="center"/>
              <w:rPr>
                <w:bCs/>
                <w:szCs w:val="21"/>
                <w:highlight w:val="none"/>
              </w:rPr>
            </w:pPr>
            <w:r>
              <w:rPr>
                <w:bCs/>
                <w:szCs w:val="21"/>
                <w:highlight w:val="none"/>
              </w:rPr>
              <w:t>无资料</w:t>
            </w:r>
          </w:p>
        </w:tc>
      </w:tr>
      <w:tr w14:paraId="39B3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restart"/>
            <w:tcMar>
              <w:left w:w="108" w:type="dxa"/>
              <w:right w:w="108" w:type="dxa"/>
            </w:tcMar>
            <w:vAlign w:val="center"/>
          </w:tcPr>
          <w:p w14:paraId="5819A9DB">
            <w:pPr>
              <w:jc w:val="center"/>
              <w:rPr>
                <w:bCs/>
                <w:szCs w:val="21"/>
                <w:highlight w:val="none"/>
              </w:rPr>
            </w:pPr>
            <w:r>
              <w:rPr>
                <w:bCs/>
                <w:szCs w:val="21"/>
                <w:highlight w:val="none"/>
              </w:rPr>
              <w:t>毒理学信息</w:t>
            </w:r>
          </w:p>
        </w:tc>
        <w:tc>
          <w:tcPr>
            <w:tcW w:w="1129" w:type="pct"/>
            <w:gridSpan w:val="2"/>
            <w:tcMar>
              <w:left w:w="108" w:type="dxa"/>
              <w:right w:w="108" w:type="dxa"/>
            </w:tcMar>
            <w:vAlign w:val="center"/>
          </w:tcPr>
          <w:p w14:paraId="3A232BF9">
            <w:pPr>
              <w:jc w:val="center"/>
              <w:rPr>
                <w:bCs/>
                <w:szCs w:val="21"/>
                <w:highlight w:val="none"/>
              </w:rPr>
            </w:pPr>
            <w:r>
              <w:rPr>
                <w:bCs/>
                <w:szCs w:val="21"/>
                <w:highlight w:val="none"/>
              </w:rPr>
              <w:t>急性中毒：</w:t>
            </w:r>
          </w:p>
        </w:tc>
        <w:tc>
          <w:tcPr>
            <w:tcW w:w="3565" w:type="pct"/>
            <w:gridSpan w:val="6"/>
            <w:tcMar>
              <w:left w:w="108" w:type="dxa"/>
              <w:right w:w="108" w:type="dxa"/>
            </w:tcMar>
            <w:vAlign w:val="center"/>
          </w:tcPr>
          <w:p w14:paraId="26EBF110">
            <w:pPr>
              <w:jc w:val="center"/>
              <w:rPr>
                <w:bCs/>
                <w:szCs w:val="21"/>
                <w:highlight w:val="none"/>
              </w:rPr>
            </w:pPr>
            <w:r>
              <w:rPr>
                <w:bCs/>
                <w:szCs w:val="21"/>
                <w:highlight w:val="none"/>
              </w:rPr>
              <w:t>LD50:8mg/m</w:t>
            </w:r>
            <w:r>
              <w:rPr>
                <w:bCs/>
                <w:szCs w:val="21"/>
                <w:highlight w:val="none"/>
                <w:vertAlign w:val="superscript"/>
              </w:rPr>
              <w:t>3</w:t>
            </w:r>
            <w:r>
              <w:rPr>
                <w:bCs/>
                <w:szCs w:val="21"/>
                <w:highlight w:val="none"/>
              </w:rPr>
              <w:t xml:space="preserve"> </w:t>
            </w:r>
            <w:r>
              <w:rPr>
                <w:rFonts w:hint="eastAsia"/>
                <w:bCs/>
                <w:szCs w:val="21"/>
                <w:highlight w:val="none"/>
                <w:lang w:eastAsia="zh-CN"/>
              </w:rPr>
              <w:t>（</w:t>
            </w:r>
            <w:r>
              <w:rPr>
                <w:bCs/>
                <w:szCs w:val="21"/>
                <w:highlight w:val="none"/>
              </w:rPr>
              <w:t>444ppm</w:t>
            </w:r>
            <w:r>
              <w:rPr>
                <w:rFonts w:hint="eastAsia"/>
                <w:bCs/>
                <w:szCs w:val="21"/>
                <w:highlight w:val="none"/>
                <w:lang w:eastAsia="zh-CN"/>
              </w:rPr>
              <w:t>）</w:t>
            </w:r>
            <w:r>
              <w:rPr>
                <w:bCs/>
                <w:szCs w:val="21"/>
                <w:highlight w:val="none"/>
              </w:rPr>
              <w:t>（大鼠吸入） LCLo：（人吸入30min）600ppm</w:t>
            </w:r>
          </w:p>
        </w:tc>
      </w:tr>
      <w:tr w14:paraId="26A0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72BC1E94">
            <w:pPr>
              <w:jc w:val="center"/>
              <w:rPr>
                <w:bCs/>
                <w:szCs w:val="21"/>
                <w:highlight w:val="none"/>
              </w:rPr>
            </w:pPr>
          </w:p>
        </w:tc>
        <w:tc>
          <w:tcPr>
            <w:tcW w:w="1129" w:type="pct"/>
            <w:gridSpan w:val="2"/>
            <w:tcMar>
              <w:left w:w="108" w:type="dxa"/>
              <w:right w:w="108" w:type="dxa"/>
            </w:tcMar>
            <w:vAlign w:val="center"/>
          </w:tcPr>
          <w:p w14:paraId="6C521CFF">
            <w:pPr>
              <w:jc w:val="center"/>
              <w:rPr>
                <w:bCs/>
                <w:szCs w:val="21"/>
                <w:highlight w:val="none"/>
              </w:rPr>
            </w:pPr>
            <w:r>
              <w:rPr>
                <w:bCs/>
                <w:szCs w:val="21"/>
                <w:highlight w:val="none"/>
              </w:rPr>
              <w:t>皮肤刺激或腐蚀：</w:t>
            </w:r>
          </w:p>
        </w:tc>
        <w:tc>
          <w:tcPr>
            <w:tcW w:w="1312" w:type="pct"/>
            <w:gridSpan w:val="3"/>
            <w:tcMar>
              <w:left w:w="108" w:type="dxa"/>
              <w:right w:w="108" w:type="dxa"/>
            </w:tcMar>
            <w:vAlign w:val="center"/>
          </w:tcPr>
          <w:p w14:paraId="1B3B0BCC">
            <w:pPr>
              <w:jc w:val="center"/>
              <w:rPr>
                <w:bCs/>
                <w:szCs w:val="21"/>
                <w:highlight w:val="none"/>
              </w:rPr>
            </w:pPr>
            <w:r>
              <w:rPr>
                <w:bCs/>
                <w:szCs w:val="21"/>
                <w:highlight w:val="none"/>
              </w:rPr>
              <w:t>无资料</w:t>
            </w:r>
          </w:p>
        </w:tc>
        <w:tc>
          <w:tcPr>
            <w:tcW w:w="1590" w:type="pct"/>
            <w:gridSpan w:val="2"/>
            <w:tcMar>
              <w:left w:w="108" w:type="dxa"/>
              <w:right w:w="108" w:type="dxa"/>
            </w:tcMar>
            <w:vAlign w:val="center"/>
          </w:tcPr>
          <w:p w14:paraId="45F56C09">
            <w:pPr>
              <w:jc w:val="center"/>
              <w:rPr>
                <w:bCs/>
                <w:szCs w:val="21"/>
                <w:highlight w:val="none"/>
              </w:rPr>
            </w:pPr>
            <w:r>
              <w:rPr>
                <w:bCs/>
                <w:szCs w:val="21"/>
                <w:highlight w:val="none"/>
              </w:rPr>
              <w:t>眼睛刺激或腐蚀：</w:t>
            </w:r>
          </w:p>
        </w:tc>
        <w:tc>
          <w:tcPr>
            <w:tcW w:w="662" w:type="pct"/>
            <w:tcMar>
              <w:left w:w="108" w:type="dxa"/>
              <w:right w:w="108" w:type="dxa"/>
            </w:tcMar>
            <w:vAlign w:val="center"/>
          </w:tcPr>
          <w:p w14:paraId="5D86F27C">
            <w:pPr>
              <w:jc w:val="center"/>
              <w:rPr>
                <w:bCs/>
                <w:szCs w:val="21"/>
                <w:highlight w:val="none"/>
              </w:rPr>
            </w:pPr>
            <w:r>
              <w:rPr>
                <w:bCs/>
                <w:szCs w:val="21"/>
                <w:highlight w:val="none"/>
              </w:rPr>
              <w:t>无资料</w:t>
            </w:r>
          </w:p>
        </w:tc>
      </w:tr>
      <w:tr w14:paraId="2615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2073209B">
            <w:pPr>
              <w:jc w:val="center"/>
              <w:rPr>
                <w:bCs/>
                <w:szCs w:val="21"/>
                <w:highlight w:val="none"/>
              </w:rPr>
            </w:pPr>
          </w:p>
        </w:tc>
        <w:tc>
          <w:tcPr>
            <w:tcW w:w="1129" w:type="pct"/>
            <w:gridSpan w:val="2"/>
            <w:tcMar>
              <w:left w:w="108" w:type="dxa"/>
              <w:right w:w="108" w:type="dxa"/>
            </w:tcMar>
            <w:vAlign w:val="center"/>
          </w:tcPr>
          <w:p w14:paraId="146D7E0E">
            <w:pPr>
              <w:jc w:val="center"/>
              <w:rPr>
                <w:bCs/>
                <w:szCs w:val="21"/>
                <w:highlight w:val="none"/>
              </w:rPr>
            </w:pPr>
            <w:r>
              <w:rPr>
                <w:bCs/>
                <w:szCs w:val="21"/>
                <w:highlight w:val="none"/>
              </w:rPr>
              <w:t>呼吸</w:t>
            </w:r>
            <w:r>
              <w:rPr>
                <w:rFonts w:hint="eastAsia"/>
                <w:bCs/>
                <w:szCs w:val="21"/>
                <w:highlight w:val="none"/>
                <w:lang w:eastAsia="zh-CN"/>
              </w:rPr>
              <w:t>道</w:t>
            </w:r>
            <w:r>
              <w:rPr>
                <w:bCs/>
                <w:szCs w:val="21"/>
                <w:highlight w:val="none"/>
              </w:rPr>
              <w:t>或皮肤过敏：</w:t>
            </w:r>
          </w:p>
        </w:tc>
        <w:tc>
          <w:tcPr>
            <w:tcW w:w="1312" w:type="pct"/>
            <w:gridSpan w:val="3"/>
            <w:tcMar>
              <w:left w:w="108" w:type="dxa"/>
              <w:right w:w="108" w:type="dxa"/>
            </w:tcMar>
            <w:vAlign w:val="center"/>
          </w:tcPr>
          <w:p w14:paraId="7C2F55FE">
            <w:pPr>
              <w:jc w:val="center"/>
              <w:rPr>
                <w:bCs/>
                <w:szCs w:val="21"/>
                <w:highlight w:val="none"/>
              </w:rPr>
            </w:pPr>
            <w:r>
              <w:rPr>
                <w:bCs/>
                <w:szCs w:val="21"/>
                <w:highlight w:val="none"/>
              </w:rPr>
              <w:t>无资料</w:t>
            </w:r>
          </w:p>
        </w:tc>
        <w:tc>
          <w:tcPr>
            <w:tcW w:w="1590" w:type="pct"/>
            <w:gridSpan w:val="2"/>
            <w:tcMar>
              <w:left w:w="108" w:type="dxa"/>
              <w:right w:w="108" w:type="dxa"/>
            </w:tcMar>
            <w:vAlign w:val="center"/>
          </w:tcPr>
          <w:p w14:paraId="53A16407">
            <w:pPr>
              <w:jc w:val="center"/>
              <w:rPr>
                <w:bCs/>
                <w:szCs w:val="21"/>
                <w:highlight w:val="none"/>
              </w:rPr>
            </w:pPr>
            <w:r>
              <w:rPr>
                <w:bCs/>
                <w:szCs w:val="21"/>
                <w:highlight w:val="none"/>
              </w:rPr>
              <w:t>生殖细胞</w:t>
            </w:r>
            <w:r>
              <w:rPr>
                <w:rFonts w:hint="eastAsia"/>
                <w:bCs/>
                <w:szCs w:val="21"/>
                <w:highlight w:val="none"/>
                <w:lang w:eastAsia="zh-CN"/>
              </w:rPr>
              <w:t>致</w:t>
            </w:r>
            <w:r>
              <w:rPr>
                <w:bCs/>
                <w:szCs w:val="21"/>
                <w:highlight w:val="none"/>
              </w:rPr>
              <w:t>突变性：</w:t>
            </w:r>
          </w:p>
        </w:tc>
        <w:tc>
          <w:tcPr>
            <w:tcW w:w="662" w:type="pct"/>
            <w:tcMar>
              <w:left w:w="108" w:type="dxa"/>
              <w:right w:w="108" w:type="dxa"/>
            </w:tcMar>
            <w:vAlign w:val="center"/>
          </w:tcPr>
          <w:p w14:paraId="06E21BC9">
            <w:pPr>
              <w:jc w:val="center"/>
              <w:rPr>
                <w:bCs/>
                <w:szCs w:val="21"/>
                <w:highlight w:val="none"/>
              </w:rPr>
            </w:pPr>
            <w:r>
              <w:rPr>
                <w:bCs/>
                <w:szCs w:val="21"/>
                <w:highlight w:val="none"/>
              </w:rPr>
              <w:t>无资料</w:t>
            </w:r>
          </w:p>
        </w:tc>
      </w:tr>
      <w:tr w14:paraId="06FA9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14F99B7F">
            <w:pPr>
              <w:jc w:val="center"/>
              <w:rPr>
                <w:bCs/>
                <w:szCs w:val="21"/>
                <w:highlight w:val="none"/>
              </w:rPr>
            </w:pPr>
          </w:p>
        </w:tc>
        <w:tc>
          <w:tcPr>
            <w:tcW w:w="1129" w:type="pct"/>
            <w:gridSpan w:val="2"/>
            <w:tcMar>
              <w:left w:w="108" w:type="dxa"/>
              <w:right w:w="108" w:type="dxa"/>
            </w:tcMar>
            <w:vAlign w:val="center"/>
          </w:tcPr>
          <w:p w14:paraId="4B37AE80">
            <w:pPr>
              <w:jc w:val="center"/>
              <w:rPr>
                <w:bCs/>
                <w:szCs w:val="21"/>
                <w:highlight w:val="none"/>
              </w:rPr>
            </w:pPr>
            <w:r>
              <w:rPr>
                <w:bCs/>
                <w:szCs w:val="21"/>
                <w:highlight w:val="none"/>
              </w:rPr>
              <w:t>致癌性：</w:t>
            </w:r>
          </w:p>
        </w:tc>
        <w:tc>
          <w:tcPr>
            <w:tcW w:w="1312" w:type="pct"/>
            <w:gridSpan w:val="3"/>
            <w:tcMar>
              <w:left w:w="108" w:type="dxa"/>
              <w:right w:w="108" w:type="dxa"/>
            </w:tcMar>
            <w:vAlign w:val="center"/>
          </w:tcPr>
          <w:p w14:paraId="0046CF7D">
            <w:pPr>
              <w:jc w:val="center"/>
              <w:rPr>
                <w:bCs/>
                <w:szCs w:val="21"/>
                <w:highlight w:val="none"/>
              </w:rPr>
            </w:pPr>
            <w:r>
              <w:rPr>
                <w:bCs/>
                <w:szCs w:val="21"/>
                <w:highlight w:val="none"/>
              </w:rPr>
              <w:t>无资料</w:t>
            </w:r>
          </w:p>
        </w:tc>
        <w:tc>
          <w:tcPr>
            <w:tcW w:w="1590" w:type="pct"/>
            <w:gridSpan w:val="2"/>
            <w:tcMar>
              <w:left w:w="108" w:type="dxa"/>
              <w:right w:w="108" w:type="dxa"/>
            </w:tcMar>
            <w:vAlign w:val="center"/>
          </w:tcPr>
          <w:p w14:paraId="71F8AE38">
            <w:pPr>
              <w:jc w:val="center"/>
              <w:rPr>
                <w:bCs/>
                <w:szCs w:val="21"/>
                <w:highlight w:val="none"/>
              </w:rPr>
            </w:pPr>
            <w:r>
              <w:rPr>
                <w:bCs/>
                <w:szCs w:val="21"/>
                <w:highlight w:val="none"/>
              </w:rPr>
              <w:t>生殖毒性：</w:t>
            </w:r>
          </w:p>
        </w:tc>
        <w:tc>
          <w:tcPr>
            <w:tcW w:w="662" w:type="pct"/>
            <w:tcMar>
              <w:left w:w="108" w:type="dxa"/>
              <w:right w:w="108" w:type="dxa"/>
            </w:tcMar>
            <w:vAlign w:val="center"/>
          </w:tcPr>
          <w:p w14:paraId="578C488D">
            <w:pPr>
              <w:jc w:val="center"/>
              <w:rPr>
                <w:bCs/>
                <w:szCs w:val="21"/>
                <w:highlight w:val="none"/>
              </w:rPr>
            </w:pPr>
            <w:r>
              <w:rPr>
                <w:bCs/>
                <w:szCs w:val="21"/>
                <w:highlight w:val="none"/>
              </w:rPr>
              <w:t>无资料</w:t>
            </w:r>
          </w:p>
        </w:tc>
      </w:tr>
      <w:tr w14:paraId="3B69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53E5B7B5">
            <w:pPr>
              <w:jc w:val="center"/>
              <w:rPr>
                <w:bCs/>
                <w:szCs w:val="21"/>
                <w:highlight w:val="none"/>
              </w:rPr>
            </w:pPr>
          </w:p>
        </w:tc>
        <w:tc>
          <w:tcPr>
            <w:tcW w:w="1129" w:type="pct"/>
            <w:gridSpan w:val="2"/>
            <w:tcMar>
              <w:left w:w="108" w:type="dxa"/>
              <w:right w:w="108" w:type="dxa"/>
            </w:tcMar>
            <w:vAlign w:val="center"/>
          </w:tcPr>
          <w:p w14:paraId="287ECEA8">
            <w:pPr>
              <w:jc w:val="center"/>
              <w:rPr>
                <w:bCs/>
                <w:szCs w:val="21"/>
                <w:highlight w:val="none"/>
              </w:rPr>
            </w:pPr>
            <w:r>
              <w:rPr>
                <w:bCs/>
                <w:szCs w:val="21"/>
                <w:highlight w:val="none"/>
              </w:rPr>
              <w:t>特异性靶器官系统毒性——一次接触：</w:t>
            </w:r>
          </w:p>
        </w:tc>
        <w:tc>
          <w:tcPr>
            <w:tcW w:w="3565" w:type="pct"/>
            <w:gridSpan w:val="6"/>
            <w:tcMar>
              <w:left w:w="108" w:type="dxa"/>
              <w:right w:w="108" w:type="dxa"/>
            </w:tcMar>
            <w:vAlign w:val="center"/>
          </w:tcPr>
          <w:p w14:paraId="2E693992">
            <w:pPr>
              <w:jc w:val="center"/>
              <w:rPr>
                <w:bCs/>
                <w:szCs w:val="21"/>
                <w:highlight w:val="none"/>
              </w:rPr>
            </w:pPr>
            <w:r>
              <w:rPr>
                <w:bCs/>
                <w:szCs w:val="21"/>
                <w:highlight w:val="none"/>
              </w:rPr>
              <w:t>无资料</w:t>
            </w:r>
          </w:p>
        </w:tc>
      </w:tr>
      <w:tr w14:paraId="1093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305" w:type="pct"/>
            <w:vMerge w:val="continue"/>
            <w:tcMar>
              <w:left w:w="108" w:type="dxa"/>
              <w:right w:w="108" w:type="dxa"/>
            </w:tcMar>
            <w:vAlign w:val="center"/>
          </w:tcPr>
          <w:p w14:paraId="2A8F1C08">
            <w:pPr>
              <w:jc w:val="center"/>
              <w:rPr>
                <w:bCs/>
                <w:szCs w:val="21"/>
                <w:highlight w:val="none"/>
              </w:rPr>
            </w:pPr>
          </w:p>
        </w:tc>
        <w:tc>
          <w:tcPr>
            <w:tcW w:w="1129" w:type="pct"/>
            <w:gridSpan w:val="2"/>
            <w:tcMar>
              <w:left w:w="108" w:type="dxa"/>
              <w:right w:w="108" w:type="dxa"/>
            </w:tcMar>
            <w:vAlign w:val="center"/>
          </w:tcPr>
          <w:p w14:paraId="2EE06657">
            <w:pPr>
              <w:jc w:val="center"/>
              <w:rPr>
                <w:bCs/>
                <w:szCs w:val="21"/>
                <w:highlight w:val="none"/>
              </w:rPr>
            </w:pPr>
            <w:r>
              <w:rPr>
                <w:bCs/>
                <w:szCs w:val="21"/>
                <w:highlight w:val="none"/>
              </w:rPr>
              <w:t>特异性靶器官系统毒性——反复接触：</w:t>
            </w:r>
          </w:p>
        </w:tc>
        <w:tc>
          <w:tcPr>
            <w:tcW w:w="3565" w:type="pct"/>
            <w:gridSpan w:val="6"/>
            <w:tcMar>
              <w:left w:w="108" w:type="dxa"/>
              <w:right w:w="108" w:type="dxa"/>
            </w:tcMar>
            <w:vAlign w:val="center"/>
          </w:tcPr>
          <w:p w14:paraId="647EDF14">
            <w:pPr>
              <w:jc w:val="center"/>
              <w:rPr>
                <w:bCs/>
                <w:szCs w:val="21"/>
                <w:highlight w:val="none"/>
              </w:rPr>
            </w:pPr>
            <w:r>
              <w:rPr>
                <w:bCs/>
                <w:szCs w:val="21"/>
                <w:highlight w:val="none"/>
              </w:rPr>
              <w:t>家兔吸入0.01mg/L，每天2h，3个月，引起中枢神经系统的功能改变，气管、支气管黏膜刺激症状，大脑皮层出现病理改变；小鼠长期接触低浓度硫化氢，有小气道损害。</w:t>
            </w:r>
          </w:p>
        </w:tc>
      </w:tr>
      <w:tr w14:paraId="7AD8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1998D880">
            <w:pPr>
              <w:jc w:val="center"/>
              <w:rPr>
                <w:bCs/>
                <w:szCs w:val="21"/>
                <w:highlight w:val="none"/>
              </w:rPr>
            </w:pPr>
          </w:p>
        </w:tc>
        <w:tc>
          <w:tcPr>
            <w:tcW w:w="1129" w:type="pct"/>
            <w:gridSpan w:val="2"/>
            <w:tcMar>
              <w:left w:w="108" w:type="dxa"/>
              <w:right w:w="108" w:type="dxa"/>
            </w:tcMar>
            <w:vAlign w:val="center"/>
          </w:tcPr>
          <w:p w14:paraId="62CD7D79">
            <w:pPr>
              <w:jc w:val="center"/>
              <w:rPr>
                <w:bCs/>
                <w:szCs w:val="21"/>
                <w:highlight w:val="none"/>
              </w:rPr>
            </w:pPr>
            <w:r>
              <w:rPr>
                <w:bCs/>
                <w:szCs w:val="21"/>
                <w:highlight w:val="none"/>
              </w:rPr>
              <w:t>吸入危害：</w:t>
            </w:r>
          </w:p>
        </w:tc>
        <w:tc>
          <w:tcPr>
            <w:tcW w:w="3565" w:type="pct"/>
            <w:gridSpan w:val="6"/>
            <w:tcMar>
              <w:left w:w="108" w:type="dxa"/>
              <w:right w:w="108" w:type="dxa"/>
            </w:tcMar>
            <w:vAlign w:val="center"/>
          </w:tcPr>
          <w:p w14:paraId="73315A5C">
            <w:pPr>
              <w:jc w:val="center"/>
              <w:rPr>
                <w:bCs/>
                <w:szCs w:val="21"/>
                <w:highlight w:val="none"/>
              </w:rPr>
            </w:pPr>
            <w:r>
              <w:rPr>
                <w:bCs/>
                <w:szCs w:val="21"/>
                <w:highlight w:val="none"/>
              </w:rPr>
              <w:t>无资料</w:t>
            </w:r>
          </w:p>
        </w:tc>
      </w:tr>
      <w:tr w14:paraId="7265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restart"/>
            <w:tcMar>
              <w:left w:w="108" w:type="dxa"/>
              <w:right w:w="108" w:type="dxa"/>
            </w:tcMar>
            <w:vAlign w:val="center"/>
          </w:tcPr>
          <w:p w14:paraId="6DDAB455">
            <w:pPr>
              <w:jc w:val="center"/>
              <w:rPr>
                <w:bCs/>
                <w:szCs w:val="21"/>
                <w:highlight w:val="none"/>
              </w:rPr>
            </w:pPr>
            <w:r>
              <w:rPr>
                <w:bCs/>
                <w:szCs w:val="21"/>
                <w:highlight w:val="none"/>
              </w:rPr>
              <w:t>生态学信息</w:t>
            </w:r>
          </w:p>
        </w:tc>
        <w:tc>
          <w:tcPr>
            <w:tcW w:w="1129" w:type="pct"/>
            <w:gridSpan w:val="2"/>
            <w:tcMar>
              <w:left w:w="108" w:type="dxa"/>
              <w:right w:w="108" w:type="dxa"/>
            </w:tcMar>
            <w:vAlign w:val="center"/>
          </w:tcPr>
          <w:p w14:paraId="723AFD7E">
            <w:pPr>
              <w:jc w:val="center"/>
              <w:rPr>
                <w:bCs/>
                <w:szCs w:val="21"/>
                <w:highlight w:val="none"/>
              </w:rPr>
            </w:pPr>
            <w:r>
              <w:rPr>
                <w:bCs/>
                <w:szCs w:val="21"/>
                <w:highlight w:val="none"/>
              </w:rPr>
              <w:t>生态毒性：</w:t>
            </w:r>
          </w:p>
        </w:tc>
        <w:tc>
          <w:tcPr>
            <w:tcW w:w="3565" w:type="pct"/>
            <w:gridSpan w:val="6"/>
            <w:tcMar>
              <w:left w:w="108" w:type="dxa"/>
              <w:right w:w="108" w:type="dxa"/>
            </w:tcMar>
            <w:vAlign w:val="center"/>
          </w:tcPr>
          <w:p w14:paraId="699D3CB8">
            <w:pPr>
              <w:jc w:val="center"/>
              <w:rPr>
                <w:bCs/>
                <w:szCs w:val="21"/>
                <w:highlight w:val="none"/>
              </w:rPr>
            </w:pPr>
            <w:r>
              <w:rPr>
                <w:bCs/>
                <w:szCs w:val="21"/>
                <w:highlight w:val="none"/>
              </w:rPr>
              <w:t>TLm:0.0071~0.55mg/L</w:t>
            </w:r>
            <w:r>
              <w:rPr>
                <w:rFonts w:hint="eastAsia"/>
                <w:bCs/>
                <w:szCs w:val="21"/>
                <w:highlight w:val="none"/>
                <w:lang w:eastAsia="zh-CN"/>
              </w:rPr>
              <w:t>（</w:t>
            </w:r>
            <w:r>
              <w:rPr>
                <w:bCs/>
                <w:szCs w:val="21"/>
                <w:highlight w:val="none"/>
              </w:rPr>
              <w:t>96h</w:t>
            </w:r>
            <w:r>
              <w:rPr>
                <w:rFonts w:hint="eastAsia"/>
                <w:bCs/>
                <w:szCs w:val="21"/>
                <w:highlight w:val="none"/>
                <w:lang w:eastAsia="zh-CN"/>
              </w:rPr>
              <w:t>）</w:t>
            </w:r>
            <w:r>
              <w:rPr>
                <w:bCs/>
                <w:szCs w:val="21"/>
                <w:highlight w:val="none"/>
              </w:rPr>
              <w:t>（黑头果鱼）；0.0448~0.0478mg/L</w:t>
            </w:r>
            <w:r>
              <w:rPr>
                <w:rFonts w:hint="eastAsia"/>
                <w:bCs/>
                <w:szCs w:val="21"/>
                <w:highlight w:val="none"/>
                <w:lang w:eastAsia="zh-CN"/>
              </w:rPr>
              <w:t>（</w:t>
            </w:r>
            <w:r>
              <w:rPr>
                <w:bCs/>
                <w:szCs w:val="21"/>
                <w:highlight w:val="none"/>
              </w:rPr>
              <w:t>96h</w:t>
            </w:r>
            <w:r>
              <w:rPr>
                <w:rFonts w:hint="eastAsia"/>
                <w:bCs/>
                <w:szCs w:val="21"/>
                <w:highlight w:val="none"/>
                <w:lang w:eastAsia="zh-CN"/>
              </w:rPr>
              <w:t>）</w:t>
            </w:r>
            <w:r>
              <w:rPr>
                <w:bCs/>
                <w:szCs w:val="21"/>
                <w:highlight w:val="none"/>
              </w:rPr>
              <w:t>（蓝太阳鱼）</w:t>
            </w:r>
          </w:p>
        </w:tc>
      </w:tr>
      <w:tr w14:paraId="730A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7067AFC7">
            <w:pPr>
              <w:jc w:val="center"/>
              <w:rPr>
                <w:bCs/>
                <w:szCs w:val="21"/>
                <w:highlight w:val="none"/>
              </w:rPr>
            </w:pPr>
          </w:p>
        </w:tc>
        <w:tc>
          <w:tcPr>
            <w:tcW w:w="1129" w:type="pct"/>
            <w:gridSpan w:val="2"/>
            <w:tcMar>
              <w:left w:w="108" w:type="dxa"/>
              <w:right w:w="108" w:type="dxa"/>
            </w:tcMar>
            <w:vAlign w:val="center"/>
          </w:tcPr>
          <w:p w14:paraId="33475C76">
            <w:pPr>
              <w:jc w:val="center"/>
              <w:rPr>
                <w:bCs/>
                <w:szCs w:val="21"/>
                <w:highlight w:val="none"/>
              </w:rPr>
            </w:pPr>
            <w:r>
              <w:rPr>
                <w:bCs/>
                <w:szCs w:val="21"/>
                <w:highlight w:val="none"/>
              </w:rPr>
              <w:t>持久性和降解性：</w:t>
            </w:r>
          </w:p>
        </w:tc>
        <w:tc>
          <w:tcPr>
            <w:tcW w:w="3565" w:type="pct"/>
            <w:gridSpan w:val="6"/>
            <w:tcMar>
              <w:left w:w="108" w:type="dxa"/>
              <w:right w:w="108" w:type="dxa"/>
            </w:tcMar>
            <w:vAlign w:val="center"/>
          </w:tcPr>
          <w:p w14:paraId="3B11A2B7">
            <w:pPr>
              <w:jc w:val="center"/>
              <w:rPr>
                <w:bCs/>
                <w:szCs w:val="21"/>
                <w:highlight w:val="none"/>
              </w:rPr>
            </w:pPr>
            <w:r>
              <w:rPr>
                <w:bCs/>
                <w:szCs w:val="21"/>
                <w:highlight w:val="none"/>
              </w:rPr>
              <w:t>生物</w:t>
            </w:r>
            <w:r>
              <w:rPr>
                <w:rFonts w:hint="eastAsia"/>
                <w:bCs/>
                <w:szCs w:val="21"/>
                <w:highlight w:val="none"/>
                <w:lang w:eastAsia="zh-CN"/>
              </w:rPr>
              <w:t>可</w:t>
            </w:r>
            <w:r>
              <w:rPr>
                <w:bCs/>
                <w:szCs w:val="21"/>
                <w:highlight w:val="none"/>
              </w:rPr>
              <w:t>降解性：无资料</w:t>
            </w:r>
            <w:r>
              <w:rPr>
                <w:bCs/>
                <w:szCs w:val="21"/>
                <w:highlight w:val="none"/>
              </w:rPr>
              <w:br w:type="textWrapping"/>
            </w:r>
            <w:r>
              <w:rPr>
                <w:bCs/>
                <w:szCs w:val="21"/>
                <w:highlight w:val="none"/>
              </w:rPr>
              <w:t>非生物</w:t>
            </w:r>
            <w:r>
              <w:rPr>
                <w:rFonts w:hint="eastAsia"/>
                <w:bCs/>
                <w:szCs w:val="21"/>
                <w:highlight w:val="none"/>
                <w:lang w:eastAsia="zh-CN"/>
              </w:rPr>
              <w:t>可</w:t>
            </w:r>
            <w:r>
              <w:rPr>
                <w:bCs/>
                <w:szCs w:val="21"/>
                <w:highlight w:val="none"/>
              </w:rPr>
              <w:t>降解性：无资料</w:t>
            </w:r>
          </w:p>
        </w:tc>
      </w:tr>
      <w:tr w14:paraId="2FF8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23165BA1">
            <w:pPr>
              <w:jc w:val="center"/>
              <w:rPr>
                <w:bCs/>
                <w:szCs w:val="21"/>
                <w:highlight w:val="none"/>
              </w:rPr>
            </w:pPr>
          </w:p>
        </w:tc>
        <w:tc>
          <w:tcPr>
            <w:tcW w:w="1129" w:type="pct"/>
            <w:gridSpan w:val="2"/>
            <w:tcMar>
              <w:left w:w="108" w:type="dxa"/>
              <w:right w:w="108" w:type="dxa"/>
            </w:tcMar>
            <w:vAlign w:val="center"/>
          </w:tcPr>
          <w:p w14:paraId="24CBC0DC">
            <w:pPr>
              <w:jc w:val="center"/>
              <w:rPr>
                <w:bCs/>
                <w:szCs w:val="21"/>
                <w:highlight w:val="none"/>
              </w:rPr>
            </w:pPr>
            <w:r>
              <w:rPr>
                <w:bCs/>
                <w:szCs w:val="21"/>
                <w:highlight w:val="none"/>
              </w:rPr>
              <w:t>潜在的生物累积性：</w:t>
            </w:r>
          </w:p>
        </w:tc>
        <w:tc>
          <w:tcPr>
            <w:tcW w:w="3565" w:type="pct"/>
            <w:gridSpan w:val="6"/>
            <w:tcMar>
              <w:left w:w="108" w:type="dxa"/>
              <w:right w:w="108" w:type="dxa"/>
            </w:tcMar>
            <w:vAlign w:val="center"/>
          </w:tcPr>
          <w:p w14:paraId="0CE1AA6B">
            <w:pPr>
              <w:jc w:val="center"/>
              <w:rPr>
                <w:bCs/>
                <w:szCs w:val="21"/>
                <w:highlight w:val="none"/>
              </w:rPr>
            </w:pPr>
            <w:r>
              <w:rPr>
                <w:bCs/>
                <w:szCs w:val="21"/>
                <w:highlight w:val="none"/>
              </w:rPr>
              <w:t>无资料</w:t>
            </w:r>
          </w:p>
        </w:tc>
      </w:tr>
      <w:tr w14:paraId="668A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72738031">
            <w:pPr>
              <w:jc w:val="center"/>
              <w:rPr>
                <w:bCs/>
                <w:szCs w:val="21"/>
                <w:highlight w:val="none"/>
              </w:rPr>
            </w:pPr>
          </w:p>
        </w:tc>
        <w:tc>
          <w:tcPr>
            <w:tcW w:w="1129" w:type="pct"/>
            <w:gridSpan w:val="2"/>
            <w:tcMar>
              <w:left w:w="108" w:type="dxa"/>
              <w:right w:w="108" w:type="dxa"/>
            </w:tcMar>
            <w:vAlign w:val="center"/>
          </w:tcPr>
          <w:p w14:paraId="221AC186">
            <w:pPr>
              <w:jc w:val="center"/>
              <w:rPr>
                <w:bCs/>
                <w:szCs w:val="21"/>
                <w:highlight w:val="none"/>
              </w:rPr>
            </w:pPr>
            <w:r>
              <w:rPr>
                <w:bCs/>
                <w:szCs w:val="21"/>
                <w:highlight w:val="none"/>
              </w:rPr>
              <w:t>土壤的迁移性：</w:t>
            </w:r>
          </w:p>
        </w:tc>
        <w:tc>
          <w:tcPr>
            <w:tcW w:w="3565" w:type="pct"/>
            <w:gridSpan w:val="6"/>
            <w:tcMar>
              <w:left w:w="108" w:type="dxa"/>
              <w:right w:w="108" w:type="dxa"/>
            </w:tcMar>
            <w:vAlign w:val="center"/>
          </w:tcPr>
          <w:p w14:paraId="289867EE">
            <w:pPr>
              <w:jc w:val="center"/>
              <w:rPr>
                <w:bCs/>
                <w:szCs w:val="21"/>
                <w:highlight w:val="none"/>
              </w:rPr>
            </w:pPr>
            <w:r>
              <w:rPr>
                <w:bCs/>
                <w:szCs w:val="21"/>
                <w:highlight w:val="none"/>
              </w:rPr>
              <w:t>无资料</w:t>
            </w:r>
          </w:p>
        </w:tc>
      </w:tr>
      <w:tr w14:paraId="7CF3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restart"/>
            <w:tcMar>
              <w:left w:w="108" w:type="dxa"/>
              <w:right w:w="108" w:type="dxa"/>
            </w:tcMar>
            <w:vAlign w:val="center"/>
          </w:tcPr>
          <w:p w14:paraId="771EB83B">
            <w:pPr>
              <w:jc w:val="center"/>
              <w:rPr>
                <w:bCs/>
                <w:szCs w:val="21"/>
                <w:highlight w:val="none"/>
              </w:rPr>
            </w:pPr>
            <w:r>
              <w:rPr>
                <w:bCs/>
                <w:szCs w:val="21"/>
                <w:highlight w:val="none"/>
              </w:rPr>
              <w:t>废弃处置</w:t>
            </w:r>
          </w:p>
        </w:tc>
        <w:tc>
          <w:tcPr>
            <w:tcW w:w="1129" w:type="pct"/>
            <w:gridSpan w:val="2"/>
            <w:tcMar>
              <w:left w:w="108" w:type="dxa"/>
              <w:right w:w="108" w:type="dxa"/>
            </w:tcMar>
            <w:vAlign w:val="center"/>
          </w:tcPr>
          <w:p w14:paraId="6EAF952B">
            <w:pPr>
              <w:jc w:val="center"/>
              <w:rPr>
                <w:bCs/>
                <w:szCs w:val="21"/>
                <w:highlight w:val="none"/>
              </w:rPr>
            </w:pPr>
            <w:r>
              <w:rPr>
                <w:bCs/>
                <w:szCs w:val="21"/>
                <w:highlight w:val="none"/>
              </w:rPr>
              <w:t>废弃化学品：</w:t>
            </w:r>
          </w:p>
        </w:tc>
        <w:tc>
          <w:tcPr>
            <w:tcW w:w="3565" w:type="pct"/>
            <w:gridSpan w:val="6"/>
            <w:tcMar>
              <w:left w:w="108" w:type="dxa"/>
              <w:right w:w="108" w:type="dxa"/>
            </w:tcMar>
            <w:vAlign w:val="center"/>
          </w:tcPr>
          <w:p w14:paraId="313EE7B0">
            <w:pPr>
              <w:jc w:val="center"/>
              <w:rPr>
                <w:rFonts w:hint="eastAsia" w:eastAsia="宋体"/>
                <w:bCs/>
                <w:szCs w:val="21"/>
                <w:highlight w:val="none"/>
                <w:lang w:eastAsia="zh-CN"/>
              </w:rPr>
            </w:pPr>
            <w:r>
              <w:rPr>
                <w:bCs/>
                <w:szCs w:val="21"/>
                <w:highlight w:val="none"/>
              </w:rPr>
              <w:t>用焚烧法处置。焚烧炉排出的硫氧化物通过洗涤器除去</w:t>
            </w:r>
            <w:r>
              <w:rPr>
                <w:rFonts w:hint="eastAsia"/>
                <w:bCs/>
                <w:szCs w:val="21"/>
                <w:highlight w:val="none"/>
                <w:lang w:eastAsia="zh-CN"/>
              </w:rPr>
              <w:t>。</w:t>
            </w:r>
          </w:p>
        </w:tc>
      </w:tr>
      <w:tr w14:paraId="4F71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02CDF4DF">
            <w:pPr>
              <w:jc w:val="center"/>
              <w:rPr>
                <w:bCs/>
                <w:szCs w:val="21"/>
                <w:highlight w:val="none"/>
              </w:rPr>
            </w:pPr>
          </w:p>
        </w:tc>
        <w:tc>
          <w:tcPr>
            <w:tcW w:w="1129" w:type="pct"/>
            <w:gridSpan w:val="2"/>
            <w:tcMar>
              <w:left w:w="108" w:type="dxa"/>
              <w:right w:w="108" w:type="dxa"/>
            </w:tcMar>
            <w:vAlign w:val="center"/>
          </w:tcPr>
          <w:p w14:paraId="6437F23A">
            <w:pPr>
              <w:jc w:val="center"/>
              <w:rPr>
                <w:bCs/>
                <w:szCs w:val="21"/>
                <w:highlight w:val="none"/>
              </w:rPr>
            </w:pPr>
            <w:r>
              <w:rPr>
                <w:bCs/>
                <w:szCs w:val="21"/>
                <w:highlight w:val="none"/>
              </w:rPr>
              <w:t>污染包装物：</w:t>
            </w:r>
          </w:p>
        </w:tc>
        <w:tc>
          <w:tcPr>
            <w:tcW w:w="3565" w:type="pct"/>
            <w:gridSpan w:val="6"/>
            <w:tcMar>
              <w:left w:w="108" w:type="dxa"/>
              <w:right w:w="108" w:type="dxa"/>
            </w:tcMar>
            <w:vAlign w:val="center"/>
          </w:tcPr>
          <w:p w14:paraId="6C60479C">
            <w:pPr>
              <w:jc w:val="center"/>
              <w:rPr>
                <w:rFonts w:hint="eastAsia" w:eastAsia="宋体"/>
                <w:bCs/>
                <w:szCs w:val="21"/>
                <w:highlight w:val="none"/>
                <w:lang w:eastAsia="zh-CN"/>
              </w:rPr>
            </w:pPr>
            <w:r>
              <w:rPr>
                <w:bCs/>
                <w:szCs w:val="21"/>
                <w:highlight w:val="none"/>
              </w:rPr>
              <w:t>将容器返还生产商或按照国家和</w:t>
            </w:r>
            <w:r>
              <w:rPr>
                <w:rFonts w:hint="eastAsia"/>
                <w:bCs/>
                <w:szCs w:val="21"/>
                <w:highlight w:val="none"/>
                <w:lang w:eastAsia="zh-CN"/>
              </w:rPr>
              <w:t>地方性法规</w:t>
            </w:r>
            <w:r>
              <w:rPr>
                <w:bCs/>
                <w:szCs w:val="21"/>
                <w:highlight w:val="none"/>
              </w:rPr>
              <w:t>处置</w:t>
            </w:r>
            <w:r>
              <w:rPr>
                <w:rFonts w:hint="eastAsia"/>
                <w:bCs/>
                <w:szCs w:val="21"/>
                <w:highlight w:val="none"/>
                <w:lang w:eastAsia="zh-CN"/>
              </w:rPr>
              <w:t>。</w:t>
            </w:r>
          </w:p>
        </w:tc>
      </w:tr>
      <w:tr w14:paraId="35CA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5" w:type="pct"/>
            <w:vMerge w:val="continue"/>
            <w:tcMar>
              <w:left w:w="108" w:type="dxa"/>
              <w:right w:w="108" w:type="dxa"/>
            </w:tcMar>
            <w:vAlign w:val="center"/>
          </w:tcPr>
          <w:p w14:paraId="538D92FC">
            <w:pPr>
              <w:jc w:val="center"/>
              <w:rPr>
                <w:bCs/>
                <w:szCs w:val="21"/>
                <w:highlight w:val="none"/>
              </w:rPr>
            </w:pPr>
          </w:p>
        </w:tc>
        <w:tc>
          <w:tcPr>
            <w:tcW w:w="1129" w:type="pct"/>
            <w:gridSpan w:val="2"/>
            <w:tcMar>
              <w:left w:w="108" w:type="dxa"/>
              <w:right w:w="108" w:type="dxa"/>
            </w:tcMar>
            <w:vAlign w:val="center"/>
          </w:tcPr>
          <w:p w14:paraId="4E71364E">
            <w:pPr>
              <w:jc w:val="center"/>
              <w:rPr>
                <w:bCs/>
                <w:szCs w:val="21"/>
                <w:highlight w:val="none"/>
              </w:rPr>
            </w:pPr>
            <w:r>
              <w:rPr>
                <w:bCs/>
                <w:szCs w:val="21"/>
                <w:highlight w:val="none"/>
              </w:rPr>
              <w:t>废弃注意事项：</w:t>
            </w:r>
          </w:p>
        </w:tc>
        <w:tc>
          <w:tcPr>
            <w:tcW w:w="3565" w:type="pct"/>
            <w:gridSpan w:val="6"/>
            <w:tcMar>
              <w:left w:w="108" w:type="dxa"/>
              <w:right w:w="108" w:type="dxa"/>
            </w:tcMar>
            <w:vAlign w:val="center"/>
          </w:tcPr>
          <w:p w14:paraId="777CD4E9">
            <w:pPr>
              <w:jc w:val="center"/>
              <w:rPr>
                <w:bCs/>
                <w:szCs w:val="21"/>
                <w:highlight w:val="none"/>
              </w:rPr>
            </w:pPr>
            <w:r>
              <w:rPr>
                <w:bCs/>
                <w:szCs w:val="21"/>
                <w:highlight w:val="none"/>
              </w:rPr>
              <w:t>处置前应参阅国家有关部门</w:t>
            </w:r>
            <w:r>
              <w:rPr>
                <w:rFonts w:hint="eastAsia"/>
                <w:bCs/>
                <w:szCs w:val="21"/>
                <w:highlight w:val="none"/>
                <w:lang w:eastAsia="zh-CN"/>
              </w:rPr>
              <w:t>和</w:t>
            </w:r>
            <w:r>
              <w:rPr>
                <w:bCs/>
                <w:szCs w:val="21"/>
                <w:highlight w:val="none"/>
              </w:rPr>
              <w:t>地方有关法规。把倒空的容器归还厂商或在规定场所掩埋。</w:t>
            </w:r>
          </w:p>
        </w:tc>
      </w:tr>
    </w:tbl>
    <w:p w14:paraId="04C87981">
      <w:pPr>
        <w:spacing w:line="360" w:lineRule="auto"/>
        <w:jc w:val="center"/>
        <w:rPr>
          <w:rFonts w:hint="default" w:ascii="Times New Roman" w:hAnsi="Times New Roman" w:eastAsia="宋体" w:cs="Times New Roman"/>
          <w:b/>
          <w:bCs/>
          <w:sz w:val="21"/>
          <w:szCs w:val="21"/>
          <w:highlight w:val="none"/>
        </w:rPr>
      </w:pPr>
      <w:r>
        <w:rPr>
          <w:rFonts w:hint="eastAsia" w:cs="Times New Roman"/>
          <w:b/>
          <w:bCs/>
          <w:sz w:val="21"/>
          <w:szCs w:val="21"/>
          <w:highlight w:val="none"/>
          <w:lang w:val="en-US" w:eastAsia="zh-CN"/>
        </w:rPr>
        <w:t xml:space="preserve">表3.2-2   </w:t>
      </w:r>
      <w:r>
        <w:rPr>
          <w:rFonts w:hint="default" w:ascii="Times New Roman" w:hAnsi="Times New Roman" w:eastAsia="宋体" w:cs="Times New Roman"/>
          <w:b/>
          <w:bCs/>
          <w:sz w:val="21"/>
          <w:szCs w:val="21"/>
          <w:highlight w:val="none"/>
        </w:rPr>
        <w:t>一氧化碳的理化性质及危险特性表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05"/>
        <w:gridCol w:w="1153"/>
        <w:gridCol w:w="1820"/>
        <w:gridCol w:w="873"/>
        <w:gridCol w:w="1435"/>
        <w:gridCol w:w="1634"/>
      </w:tblGrid>
      <w:tr w14:paraId="014B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6"/>
            <w:tcMar>
              <w:left w:w="108" w:type="dxa"/>
              <w:right w:w="108" w:type="dxa"/>
            </w:tcMar>
            <w:vAlign w:val="center"/>
          </w:tcPr>
          <w:p w14:paraId="0A72156D">
            <w:pPr>
              <w:jc w:val="center"/>
              <w:rPr>
                <w:bCs/>
                <w:szCs w:val="21"/>
                <w:highlight w:val="none"/>
              </w:rPr>
            </w:pPr>
            <w:r>
              <w:rPr>
                <w:bCs/>
                <w:szCs w:val="21"/>
                <w:highlight w:val="none"/>
              </w:rPr>
              <w:t>物质名称：一氧化碳；</w:t>
            </w:r>
          </w:p>
        </w:tc>
      </w:tr>
      <w:tr w14:paraId="5A54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6"/>
            <w:tcMar>
              <w:left w:w="108" w:type="dxa"/>
              <w:right w:w="108" w:type="dxa"/>
            </w:tcMar>
            <w:vAlign w:val="center"/>
          </w:tcPr>
          <w:p w14:paraId="605F8F7F">
            <w:pPr>
              <w:jc w:val="center"/>
              <w:rPr>
                <w:bCs/>
                <w:szCs w:val="21"/>
                <w:highlight w:val="none"/>
              </w:rPr>
            </w:pPr>
            <w:r>
              <w:rPr>
                <w:bCs/>
                <w:szCs w:val="21"/>
                <w:highlight w:val="none"/>
              </w:rPr>
              <w:t>物化特性</w:t>
            </w:r>
          </w:p>
        </w:tc>
      </w:tr>
      <w:tr w14:paraId="32C8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3C33A62A">
            <w:pPr>
              <w:jc w:val="center"/>
              <w:rPr>
                <w:bCs/>
                <w:szCs w:val="21"/>
                <w:highlight w:val="none"/>
              </w:rPr>
            </w:pPr>
            <w:r>
              <w:rPr>
                <w:bCs/>
                <w:szCs w:val="21"/>
                <w:highlight w:val="none"/>
              </w:rPr>
              <w:t>沸点（℃）</w:t>
            </w:r>
          </w:p>
        </w:tc>
        <w:tc>
          <w:tcPr>
            <w:tcW w:w="0" w:type="auto"/>
            <w:tcMar>
              <w:left w:w="108" w:type="dxa"/>
              <w:right w:w="108" w:type="dxa"/>
            </w:tcMar>
            <w:vAlign w:val="center"/>
          </w:tcPr>
          <w:p w14:paraId="241F0F3F">
            <w:pPr>
              <w:jc w:val="center"/>
              <w:rPr>
                <w:bCs/>
                <w:szCs w:val="21"/>
                <w:highlight w:val="none"/>
              </w:rPr>
            </w:pPr>
            <w:r>
              <w:rPr>
                <w:bCs/>
                <w:szCs w:val="21"/>
                <w:highlight w:val="none"/>
              </w:rPr>
              <w:t>-191.4</w:t>
            </w:r>
          </w:p>
        </w:tc>
        <w:tc>
          <w:tcPr>
            <w:tcW w:w="0" w:type="auto"/>
            <w:tcMar>
              <w:left w:w="108" w:type="dxa"/>
              <w:right w:w="108" w:type="dxa"/>
            </w:tcMar>
            <w:vAlign w:val="center"/>
          </w:tcPr>
          <w:p w14:paraId="40179C0A">
            <w:pPr>
              <w:jc w:val="center"/>
              <w:rPr>
                <w:bCs/>
                <w:szCs w:val="21"/>
                <w:highlight w:val="none"/>
              </w:rPr>
            </w:pPr>
            <w:r>
              <w:rPr>
                <w:bCs/>
                <w:szCs w:val="21"/>
                <w:highlight w:val="none"/>
              </w:rPr>
              <w:t>比重（水=1）</w:t>
            </w:r>
          </w:p>
        </w:tc>
        <w:tc>
          <w:tcPr>
            <w:tcW w:w="0" w:type="auto"/>
            <w:gridSpan w:val="3"/>
            <w:tcMar>
              <w:left w:w="108" w:type="dxa"/>
              <w:right w:w="108" w:type="dxa"/>
            </w:tcMar>
            <w:vAlign w:val="center"/>
          </w:tcPr>
          <w:p w14:paraId="1A4F95EB">
            <w:pPr>
              <w:jc w:val="center"/>
              <w:rPr>
                <w:bCs/>
                <w:szCs w:val="21"/>
                <w:highlight w:val="none"/>
              </w:rPr>
            </w:pPr>
            <w:r>
              <w:rPr>
                <w:bCs/>
                <w:szCs w:val="21"/>
                <w:highlight w:val="none"/>
              </w:rPr>
              <w:t>0.79</w:t>
            </w:r>
          </w:p>
        </w:tc>
      </w:tr>
      <w:tr w14:paraId="003D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4E47552B">
            <w:pPr>
              <w:jc w:val="center"/>
              <w:rPr>
                <w:bCs/>
                <w:szCs w:val="21"/>
                <w:highlight w:val="none"/>
              </w:rPr>
            </w:pPr>
            <w:r>
              <w:rPr>
                <w:bCs/>
                <w:szCs w:val="21"/>
                <w:highlight w:val="none"/>
              </w:rPr>
              <w:t>饱和</w:t>
            </w:r>
            <w:r>
              <w:rPr>
                <w:rFonts w:hint="eastAsia"/>
                <w:bCs/>
                <w:szCs w:val="21"/>
                <w:highlight w:val="none"/>
                <w:lang w:eastAsia="zh-CN"/>
              </w:rPr>
              <w:t>蒸汽</w:t>
            </w:r>
            <w:r>
              <w:rPr>
                <w:bCs/>
                <w:szCs w:val="21"/>
                <w:highlight w:val="none"/>
              </w:rPr>
              <w:t>压（kPa）</w:t>
            </w:r>
          </w:p>
        </w:tc>
        <w:tc>
          <w:tcPr>
            <w:tcW w:w="0" w:type="auto"/>
            <w:tcMar>
              <w:left w:w="108" w:type="dxa"/>
              <w:right w:w="108" w:type="dxa"/>
            </w:tcMar>
            <w:vAlign w:val="center"/>
          </w:tcPr>
          <w:p w14:paraId="0477E791">
            <w:pPr>
              <w:jc w:val="center"/>
              <w:rPr>
                <w:bCs/>
                <w:szCs w:val="21"/>
                <w:highlight w:val="none"/>
              </w:rPr>
            </w:pPr>
            <w:r>
              <w:rPr>
                <w:bCs/>
                <w:szCs w:val="21"/>
                <w:highlight w:val="none"/>
              </w:rPr>
              <w:t>无资料</w:t>
            </w:r>
          </w:p>
        </w:tc>
        <w:tc>
          <w:tcPr>
            <w:tcW w:w="0" w:type="auto"/>
            <w:tcMar>
              <w:left w:w="108" w:type="dxa"/>
              <w:right w:w="108" w:type="dxa"/>
            </w:tcMar>
            <w:vAlign w:val="center"/>
          </w:tcPr>
          <w:p w14:paraId="34CC8C5E">
            <w:pPr>
              <w:jc w:val="center"/>
              <w:rPr>
                <w:bCs/>
                <w:szCs w:val="21"/>
                <w:highlight w:val="none"/>
              </w:rPr>
            </w:pPr>
            <w:r>
              <w:rPr>
                <w:bCs/>
                <w:szCs w:val="21"/>
                <w:highlight w:val="none"/>
              </w:rPr>
              <w:t>熔点（℃）</w:t>
            </w:r>
          </w:p>
        </w:tc>
        <w:tc>
          <w:tcPr>
            <w:tcW w:w="0" w:type="auto"/>
            <w:gridSpan w:val="3"/>
            <w:tcMar>
              <w:left w:w="108" w:type="dxa"/>
              <w:right w:w="108" w:type="dxa"/>
            </w:tcMar>
            <w:vAlign w:val="center"/>
          </w:tcPr>
          <w:p w14:paraId="75E0024C">
            <w:pPr>
              <w:jc w:val="center"/>
              <w:rPr>
                <w:bCs/>
                <w:szCs w:val="21"/>
                <w:highlight w:val="none"/>
              </w:rPr>
            </w:pPr>
            <w:r>
              <w:rPr>
                <w:bCs/>
                <w:szCs w:val="21"/>
                <w:highlight w:val="none"/>
              </w:rPr>
              <w:t>-199.1</w:t>
            </w:r>
          </w:p>
        </w:tc>
      </w:tr>
      <w:tr w14:paraId="0A03A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6EBA2230">
            <w:pPr>
              <w:jc w:val="center"/>
              <w:rPr>
                <w:bCs/>
                <w:szCs w:val="21"/>
                <w:highlight w:val="none"/>
              </w:rPr>
            </w:pPr>
            <w:r>
              <w:rPr>
                <w:rFonts w:hint="eastAsia"/>
                <w:bCs/>
                <w:szCs w:val="21"/>
                <w:highlight w:val="none"/>
                <w:lang w:eastAsia="zh-CN"/>
              </w:rPr>
              <w:t>蒸汽</w:t>
            </w:r>
            <w:r>
              <w:rPr>
                <w:bCs/>
                <w:szCs w:val="21"/>
                <w:highlight w:val="none"/>
              </w:rPr>
              <w:t>密度（空气=1）</w:t>
            </w:r>
          </w:p>
        </w:tc>
        <w:tc>
          <w:tcPr>
            <w:tcW w:w="0" w:type="auto"/>
            <w:tcMar>
              <w:left w:w="108" w:type="dxa"/>
              <w:right w:w="108" w:type="dxa"/>
            </w:tcMar>
            <w:vAlign w:val="center"/>
          </w:tcPr>
          <w:p w14:paraId="249D86FA">
            <w:pPr>
              <w:jc w:val="center"/>
              <w:rPr>
                <w:bCs/>
                <w:szCs w:val="21"/>
                <w:highlight w:val="none"/>
              </w:rPr>
            </w:pPr>
            <w:r>
              <w:rPr>
                <w:bCs/>
                <w:szCs w:val="21"/>
                <w:highlight w:val="none"/>
              </w:rPr>
              <w:t>0.97</w:t>
            </w:r>
          </w:p>
        </w:tc>
        <w:tc>
          <w:tcPr>
            <w:tcW w:w="0" w:type="auto"/>
            <w:tcMar>
              <w:left w:w="108" w:type="dxa"/>
              <w:right w:w="108" w:type="dxa"/>
            </w:tcMar>
            <w:vAlign w:val="center"/>
          </w:tcPr>
          <w:p w14:paraId="52216A18">
            <w:pPr>
              <w:jc w:val="center"/>
              <w:rPr>
                <w:bCs/>
                <w:szCs w:val="21"/>
                <w:highlight w:val="none"/>
              </w:rPr>
            </w:pPr>
            <w:r>
              <w:rPr>
                <w:bCs/>
                <w:szCs w:val="21"/>
                <w:highlight w:val="none"/>
              </w:rPr>
              <w:t>溶解性</w:t>
            </w:r>
          </w:p>
        </w:tc>
        <w:tc>
          <w:tcPr>
            <w:tcW w:w="0" w:type="auto"/>
            <w:gridSpan w:val="3"/>
            <w:tcMar>
              <w:left w:w="108" w:type="dxa"/>
              <w:right w:w="108" w:type="dxa"/>
            </w:tcMar>
            <w:vAlign w:val="center"/>
          </w:tcPr>
          <w:p w14:paraId="5C0484F5">
            <w:pPr>
              <w:jc w:val="center"/>
              <w:rPr>
                <w:rFonts w:hint="eastAsia" w:eastAsia="宋体"/>
                <w:bCs/>
                <w:szCs w:val="21"/>
                <w:highlight w:val="none"/>
                <w:lang w:eastAsia="zh-CN"/>
              </w:rPr>
            </w:pPr>
            <w:r>
              <w:rPr>
                <w:bCs/>
                <w:szCs w:val="21"/>
                <w:highlight w:val="none"/>
              </w:rPr>
              <w:t>微溶于水，溶于乙醇、苯等多数有机溶剂</w:t>
            </w:r>
            <w:r>
              <w:rPr>
                <w:rFonts w:hint="eastAsia"/>
                <w:bCs/>
                <w:szCs w:val="21"/>
                <w:highlight w:val="none"/>
                <w:lang w:eastAsia="zh-CN"/>
              </w:rPr>
              <w:t>。</w:t>
            </w:r>
          </w:p>
        </w:tc>
      </w:tr>
      <w:tr w14:paraId="593B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6410F49D">
            <w:pPr>
              <w:jc w:val="center"/>
              <w:rPr>
                <w:bCs/>
                <w:szCs w:val="21"/>
                <w:highlight w:val="none"/>
              </w:rPr>
            </w:pPr>
            <w:r>
              <w:rPr>
                <w:bCs/>
                <w:szCs w:val="21"/>
                <w:highlight w:val="none"/>
              </w:rPr>
              <w:t>外观与气味</w:t>
            </w:r>
          </w:p>
        </w:tc>
        <w:tc>
          <w:tcPr>
            <w:tcW w:w="0" w:type="auto"/>
            <w:gridSpan w:val="5"/>
            <w:tcMar>
              <w:left w:w="108" w:type="dxa"/>
              <w:right w:w="108" w:type="dxa"/>
            </w:tcMar>
            <w:vAlign w:val="center"/>
          </w:tcPr>
          <w:p w14:paraId="6555013B">
            <w:pPr>
              <w:jc w:val="center"/>
              <w:rPr>
                <w:bCs/>
                <w:szCs w:val="21"/>
                <w:highlight w:val="none"/>
              </w:rPr>
            </w:pPr>
            <w:r>
              <w:rPr>
                <w:bCs/>
                <w:szCs w:val="21"/>
                <w:highlight w:val="none"/>
              </w:rPr>
              <w:t>无色无臭气体。</w:t>
            </w:r>
          </w:p>
        </w:tc>
      </w:tr>
      <w:tr w14:paraId="1CDC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6"/>
            <w:tcMar>
              <w:left w:w="108" w:type="dxa"/>
              <w:right w:w="108" w:type="dxa"/>
            </w:tcMar>
            <w:vAlign w:val="center"/>
          </w:tcPr>
          <w:p w14:paraId="27E460BC">
            <w:pPr>
              <w:jc w:val="center"/>
              <w:rPr>
                <w:bCs/>
                <w:szCs w:val="21"/>
                <w:highlight w:val="none"/>
              </w:rPr>
            </w:pPr>
            <w:r>
              <w:rPr>
                <w:bCs/>
                <w:szCs w:val="21"/>
                <w:highlight w:val="none"/>
              </w:rPr>
              <w:t>火灾爆炸危险数据</w:t>
            </w:r>
          </w:p>
        </w:tc>
      </w:tr>
      <w:tr w14:paraId="1281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7D791E44">
            <w:pPr>
              <w:jc w:val="center"/>
              <w:rPr>
                <w:bCs/>
                <w:szCs w:val="21"/>
                <w:highlight w:val="none"/>
              </w:rPr>
            </w:pPr>
            <w:r>
              <w:rPr>
                <w:bCs/>
                <w:szCs w:val="21"/>
                <w:highlight w:val="none"/>
              </w:rPr>
              <w:t>闪点（℃）</w:t>
            </w:r>
          </w:p>
        </w:tc>
        <w:tc>
          <w:tcPr>
            <w:tcW w:w="0" w:type="auto"/>
            <w:tcMar>
              <w:left w:w="108" w:type="dxa"/>
              <w:right w:w="108" w:type="dxa"/>
            </w:tcMar>
            <w:vAlign w:val="center"/>
          </w:tcPr>
          <w:p w14:paraId="47E592EA">
            <w:pPr>
              <w:jc w:val="center"/>
              <w:rPr>
                <w:bCs/>
                <w:szCs w:val="21"/>
                <w:highlight w:val="none"/>
              </w:rPr>
            </w:pPr>
            <w:r>
              <w:rPr>
                <w:bCs/>
                <w:szCs w:val="21"/>
                <w:highlight w:val="none"/>
              </w:rPr>
              <w:t>&lt; -50</w:t>
            </w:r>
          </w:p>
        </w:tc>
        <w:tc>
          <w:tcPr>
            <w:tcW w:w="0" w:type="auto"/>
            <w:tcMar>
              <w:left w:w="108" w:type="dxa"/>
              <w:right w:w="108" w:type="dxa"/>
            </w:tcMar>
            <w:vAlign w:val="center"/>
          </w:tcPr>
          <w:p w14:paraId="7A82D09A">
            <w:pPr>
              <w:jc w:val="center"/>
              <w:rPr>
                <w:bCs/>
                <w:szCs w:val="21"/>
                <w:highlight w:val="none"/>
              </w:rPr>
            </w:pPr>
            <w:r>
              <w:rPr>
                <w:bCs/>
                <w:szCs w:val="21"/>
                <w:highlight w:val="none"/>
              </w:rPr>
              <w:t>爆炸极限%（V/V）</w:t>
            </w:r>
          </w:p>
        </w:tc>
        <w:tc>
          <w:tcPr>
            <w:tcW w:w="0" w:type="auto"/>
            <w:gridSpan w:val="3"/>
            <w:tcMar>
              <w:left w:w="108" w:type="dxa"/>
              <w:right w:w="108" w:type="dxa"/>
            </w:tcMar>
            <w:vAlign w:val="center"/>
          </w:tcPr>
          <w:p w14:paraId="2D78C55A">
            <w:pPr>
              <w:jc w:val="center"/>
              <w:rPr>
                <w:bCs/>
                <w:szCs w:val="21"/>
                <w:highlight w:val="none"/>
              </w:rPr>
            </w:pPr>
            <w:r>
              <w:rPr>
                <w:bCs/>
                <w:szCs w:val="21"/>
                <w:highlight w:val="none"/>
              </w:rPr>
              <w:t>爆炸上限：74.2 爆炸下限：12.5</w:t>
            </w:r>
          </w:p>
        </w:tc>
      </w:tr>
      <w:tr w14:paraId="1B99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6"/>
            <w:tcMar>
              <w:left w:w="108" w:type="dxa"/>
              <w:right w:w="108" w:type="dxa"/>
            </w:tcMar>
            <w:vAlign w:val="center"/>
          </w:tcPr>
          <w:p w14:paraId="39D0FDA5">
            <w:pPr>
              <w:jc w:val="center"/>
              <w:rPr>
                <w:bCs/>
                <w:szCs w:val="21"/>
                <w:highlight w:val="none"/>
              </w:rPr>
            </w:pPr>
            <w:r>
              <w:rPr>
                <w:bCs/>
                <w:szCs w:val="21"/>
                <w:highlight w:val="none"/>
              </w:rPr>
              <w:t>灭火剂</w:t>
            </w:r>
          </w:p>
        </w:tc>
      </w:tr>
      <w:tr w14:paraId="0DF8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6"/>
            <w:tcMar>
              <w:left w:w="108" w:type="dxa"/>
              <w:right w:w="108" w:type="dxa"/>
            </w:tcMar>
            <w:vAlign w:val="center"/>
          </w:tcPr>
          <w:p w14:paraId="01BD694A">
            <w:pPr>
              <w:jc w:val="center"/>
              <w:rPr>
                <w:bCs/>
                <w:szCs w:val="21"/>
                <w:highlight w:val="none"/>
              </w:rPr>
            </w:pPr>
            <w:r>
              <w:rPr>
                <w:bCs/>
                <w:szCs w:val="21"/>
                <w:highlight w:val="none"/>
              </w:rPr>
              <w:t>雾状水、泡沫、二氧化碳、干粉</w:t>
            </w:r>
            <w:r>
              <w:rPr>
                <w:rFonts w:hint="eastAsia"/>
                <w:bCs/>
                <w:szCs w:val="21"/>
                <w:highlight w:val="none"/>
                <w:lang w:eastAsia="zh-CN"/>
              </w:rPr>
              <w:t>等</w:t>
            </w:r>
            <w:r>
              <w:rPr>
                <w:bCs/>
                <w:szCs w:val="21"/>
                <w:highlight w:val="none"/>
              </w:rPr>
              <w:t>。</w:t>
            </w:r>
          </w:p>
        </w:tc>
      </w:tr>
      <w:tr w14:paraId="01B3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6"/>
            <w:tcMar>
              <w:left w:w="108" w:type="dxa"/>
              <w:right w:w="108" w:type="dxa"/>
            </w:tcMar>
            <w:vAlign w:val="center"/>
          </w:tcPr>
          <w:p w14:paraId="556328AB">
            <w:pPr>
              <w:jc w:val="center"/>
              <w:rPr>
                <w:bCs/>
                <w:szCs w:val="21"/>
                <w:highlight w:val="none"/>
              </w:rPr>
            </w:pPr>
            <w:r>
              <w:rPr>
                <w:bCs/>
                <w:szCs w:val="21"/>
                <w:highlight w:val="none"/>
              </w:rPr>
              <w:t>灭火方法</w:t>
            </w:r>
          </w:p>
        </w:tc>
      </w:tr>
      <w:tr w14:paraId="6EF4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6"/>
            <w:tcMar>
              <w:left w:w="108" w:type="dxa"/>
              <w:right w:w="108" w:type="dxa"/>
            </w:tcMar>
            <w:vAlign w:val="center"/>
          </w:tcPr>
          <w:p w14:paraId="1F032476">
            <w:pPr>
              <w:jc w:val="center"/>
              <w:rPr>
                <w:bCs/>
                <w:szCs w:val="21"/>
                <w:highlight w:val="none"/>
              </w:rPr>
            </w:pPr>
            <w:r>
              <w:rPr>
                <w:bCs/>
                <w:szCs w:val="21"/>
                <w:highlight w:val="none"/>
              </w:rPr>
              <w:t>切断气源。若不能切断气源，则不允许熄灭泄漏处的火焰。喷水冷却容器，可能的话将容器从火场移至空旷处。</w:t>
            </w:r>
          </w:p>
        </w:tc>
      </w:tr>
      <w:tr w14:paraId="4090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6"/>
            <w:tcMar>
              <w:left w:w="108" w:type="dxa"/>
              <w:right w:w="108" w:type="dxa"/>
            </w:tcMar>
            <w:vAlign w:val="center"/>
          </w:tcPr>
          <w:p w14:paraId="071A1BB7">
            <w:pPr>
              <w:jc w:val="center"/>
              <w:rPr>
                <w:bCs/>
                <w:szCs w:val="21"/>
                <w:highlight w:val="none"/>
              </w:rPr>
            </w:pPr>
            <w:r>
              <w:rPr>
                <w:bCs/>
                <w:szCs w:val="21"/>
                <w:highlight w:val="none"/>
              </w:rPr>
              <w:t>危险特性</w:t>
            </w:r>
          </w:p>
        </w:tc>
      </w:tr>
      <w:tr w14:paraId="6391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6"/>
            <w:tcMar>
              <w:left w:w="108" w:type="dxa"/>
              <w:right w:w="108" w:type="dxa"/>
            </w:tcMar>
            <w:vAlign w:val="center"/>
          </w:tcPr>
          <w:p w14:paraId="1DCF8072">
            <w:pPr>
              <w:jc w:val="center"/>
              <w:rPr>
                <w:bCs/>
                <w:szCs w:val="21"/>
                <w:highlight w:val="none"/>
              </w:rPr>
            </w:pPr>
            <w:r>
              <w:rPr>
                <w:bCs/>
                <w:szCs w:val="21"/>
                <w:highlight w:val="none"/>
              </w:rPr>
              <w:t>是一种易燃易爆气体。与空气混合能形成爆炸性混合物。遇明火、高热能引起燃烧爆炸。</w:t>
            </w:r>
          </w:p>
        </w:tc>
      </w:tr>
      <w:tr w14:paraId="5039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6"/>
            <w:tcMar>
              <w:left w:w="108" w:type="dxa"/>
              <w:right w:w="108" w:type="dxa"/>
            </w:tcMar>
            <w:vAlign w:val="center"/>
          </w:tcPr>
          <w:p w14:paraId="6C9E2892">
            <w:pPr>
              <w:jc w:val="center"/>
              <w:rPr>
                <w:bCs/>
                <w:szCs w:val="21"/>
                <w:highlight w:val="none"/>
              </w:rPr>
            </w:pPr>
            <w:r>
              <w:rPr>
                <w:bCs/>
                <w:szCs w:val="21"/>
                <w:highlight w:val="none"/>
              </w:rPr>
              <w:t>反应活性数据</w:t>
            </w:r>
          </w:p>
        </w:tc>
      </w:tr>
      <w:tr w14:paraId="0C5A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02078590">
            <w:pPr>
              <w:jc w:val="center"/>
              <w:rPr>
                <w:bCs/>
                <w:szCs w:val="21"/>
                <w:highlight w:val="none"/>
              </w:rPr>
            </w:pPr>
            <w:r>
              <w:rPr>
                <w:bCs/>
                <w:szCs w:val="21"/>
                <w:highlight w:val="none"/>
              </w:rPr>
              <w:t>稳定性</w:t>
            </w:r>
          </w:p>
        </w:tc>
        <w:tc>
          <w:tcPr>
            <w:tcW w:w="0" w:type="auto"/>
            <w:tcMar>
              <w:left w:w="108" w:type="dxa"/>
              <w:right w:w="108" w:type="dxa"/>
            </w:tcMar>
            <w:vAlign w:val="center"/>
          </w:tcPr>
          <w:p w14:paraId="7F4BCB30">
            <w:pPr>
              <w:jc w:val="center"/>
              <w:rPr>
                <w:bCs/>
                <w:szCs w:val="21"/>
                <w:highlight w:val="none"/>
              </w:rPr>
            </w:pPr>
            <w:r>
              <w:rPr>
                <w:bCs/>
                <w:szCs w:val="21"/>
                <w:highlight w:val="none"/>
              </w:rPr>
              <w:t>不稳定</w:t>
            </w:r>
          </w:p>
        </w:tc>
        <w:tc>
          <w:tcPr>
            <w:tcW w:w="0" w:type="auto"/>
            <w:tcMar>
              <w:left w:w="108" w:type="dxa"/>
              <w:right w:w="108" w:type="dxa"/>
            </w:tcMar>
            <w:vAlign w:val="center"/>
          </w:tcPr>
          <w:p w14:paraId="5995E812">
            <w:pPr>
              <w:jc w:val="center"/>
              <w:rPr>
                <w:bCs/>
                <w:szCs w:val="21"/>
                <w:highlight w:val="none"/>
              </w:rPr>
            </w:pPr>
            <w:r>
              <w:rPr>
                <w:bCs/>
                <w:szCs w:val="21"/>
                <w:highlight w:val="none"/>
              </w:rPr>
              <w:t>√</w:t>
            </w:r>
          </w:p>
        </w:tc>
        <w:tc>
          <w:tcPr>
            <w:tcW w:w="0" w:type="auto"/>
            <w:tcMar>
              <w:left w:w="108" w:type="dxa"/>
              <w:right w:w="108" w:type="dxa"/>
            </w:tcMar>
            <w:vAlign w:val="center"/>
          </w:tcPr>
          <w:p w14:paraId="154CBFBC">
            <w:pPr>
              <w:jc w:val="center"/>
              <w:rPr>
                <w:bCs/>
                <w:szCs w:val="21"/>
                <w:highlight w:val="none"/>
              </w:rPr>
            </w:pPr>
            <w:r>
              <w:rPr>
                <w:bCs/>
                <w:szCs w:val="21"/>
                <w:highlight w:val="none"/>
              </w:rPr>
              <w:t>避免条件</w:t>
            </w:r>
          </w:p>
        </w:tc>
        <w:tc>
          <w:tcPr>
            <w:tcW w:w="0" w:type="auto"/>
            <w:gridSpan w:val="2"/>
            <w:tcMar>
              <w:left w:w="108" w:type="dxa"/>
              <w:right w:w="108" w:type="dxa"/>
            </w:tcMar>
            <w:vAlign w:val="center"/>
          </w:tcPr>
          <w:p w14:paraId="1B19C57A">
            <w:pPr>
              <w:jc w:val="center"/>
              <w:rPr>
                <w:rFonts w:hint="default" w:eastAsia="宋体"/>
                <w:bCs/>
                <w:szCs w:val="21"/>
                <w:highlight w:val="none"/>
                <w:lang w:val="en-US" w:eastAsia="zh-CN"/>
              </w:rPr>
            </w:pPr>
            <w:r>
              <w:rPr>
                <w:rFonts w:hint="eastAsia"/>
                <w:bCs/>
                <w:szCs w:val="21"/>
                <w:highlight w:val="none"/>
                <w:lang w:val="en-US" w:eastAsia="zh-CN"/>
              </w:rPr>
              <w:t>/</w:t>
            </w:r>
          </w:p>
        </w:tc>
      </w:tr>
      <w:tr w14:paraId="352D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701EA79B">
            <w:pPr>
              <w:jc w:val="center"/>
              <w:rPr>
                <w:bCs/>
                <w:szCs w:val="21"/>
                <w:highlight w:val="none"/>
              </w:rPr>
            </w:pPr>
          </w:p>
        </w:tc>
        <w:tc>
          <w:tcPr>
            <w:tcW w:w="0" w:type="auto"/>
            <w:tcMar>
              <w:left w:w="108" w:type="dxa"/>
              <w:right w:w="108" w:type="dxa"/>
            </w:tcMar>
            <w:vAlign w:val="center"/>
          </w:tcPr>
          <w:p w14:paraId="03BFE0C7">
            <w:pPr>
              <w:jc w:val="center"/>
              <w:rPr>
                <w:bCs/>
                <w:szCs w:val="21"/>
                <w:highlight w:val="none"/>
              </w:rPr>
            </w:pPr>
            <w:r>
              <w:rPr>
                <w:bCs/>
                <w:szCs w:val="21"/>
                <w:highlight w:val="none"/>
              </w:rPr>
              <w:t>稳定</w:t>
            </w:r>
          </w:p>
        </w:tc>
        <w:tc>
          <w:tcPr>
            <w:tcW w:w="0" w:type="auto"/>
            <w:tcMar>
              <w:left w:w="108" w:type="dxa"/>
              <w:right w:w="108" w:type="dxa"/>
            </w:tcMar>
            <w:vAlign w:val="center"/>
          </w:tcPr>
          <w:p w14:paraId="202188F8">
            <w:pPr>
              <w:jc w:val="center"/>
              <w:rPr>
                <w:rFonts w:hint="eastAsia" w:eastAsia="宋体"/>
                <w:bCs/>
                <w:szCs w:val="21"/>
                <w:highlight w:val="none"/>
                <w:lang w:val="en-US" w:eastAsia="zh-CN"/>
              </w:rPr>
            </w:pPr>
            <w:r>
              <w:rPr>
                <w:rFonts w:hint="eastAsia"/>
                <w:bCs/>
                <w:szCs w:val="21"/>
                <w:highlight w:val="none"/>
                <w:lang w:val="en-US" w:eastAsia="zh-CN"/>
              </w:rPr>
              <w:t>/</w:t>
            </w:r>
          </w:p>
        </w:tc>
        <w:tc>
          <w:tcPr>
            <w:tcW w:w="0" w:type="auto"/>
            <w:gridSpan w:val="3"/>
            <w:tcMar>
              <w:left w:w="108" w:type="dxa"/>
              <w:right w:w="108" w:type="dxa"/>
            </w:tcMar>
            <w:vAlign w:val="center"/>
          </w:tcPr>
          <w:p w14:paraId="0171BFC8">
            <w:pPr>
              <w:jc w:val="center"/>
              <w:rPr>
                <w:rFonts w:hint="eastAsia" w:eastAsia="宋体"/>
                <w:bCs/>
                <w:szCs w:val="21"/>
                <w:highlight w:val="none"/>
                <w:lang w:val="en-US" w:eastAsia="zh-CN"/>
              </w:rPr>
            </w:pPr>
            <w:r>
              <w:rPr>
                <w:rFonts w:hint="eastAsia"/>
                <w:bCs/>
                <w:szCs w:val="21"/>
                <w:highlight w:val="none"/>
                <w:lang w:val="en-US" w:eastAsia="zh-CN"/>
              </w:rPr>
              <w:t>/</w:t>
            </w:r>
          </w:p>
        </w:tc>
      </w:tr>
      <w:tr w14:paraId="347E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561DD3E6">
            <w:pPr>
              <w:jc w:val="center"/>
              <w:rPr>
                <w:bCs/>
                <w:szCs w:val="21"/>
                <w:highlight w:val="none"/>
              </w:rPr>
            </w:pPr>
            <w:r>
              <w:rPr>
                <w:bCs/>
                <w:szCs w:val="21"/>
                <w:highlight w:val="none"/>
              </w:rPr>
              <w:t>聚合危险性</w:t>
            </w:r>
          </w:p>
        </w:tc>
        <w:tc>
          <w:tcPr>
            <w:tcW w:w="0" w:type="auto"/>
            <w:tcMar>
              <w:left w:w="108" w:type="dxa"/>
              <w:right w:w="108" w:type="dxa"/>
            </w:tcMar>
            <w:vAlign w:val="center"/>
          </w:tcPr>
          <w:p w14:paraId="5EFA9C17">
            <w:pPr>
              <w:jc w:val="center"/>
              <w:rPr>
                <w:bCs/>
                <w:szCs w:val="21"/>
                <w:highlight w:val="none"/>
              </w:rPr>
            </w:pPr>
            <w:r>
              <w:rPr>
                <w:bCs/>
                <w:szCs w:val="21"/>
                <w:highlight w:val="none"/>
              </w:rPr>
              <w:t>可能存在</w:t>
            </w:r>
          </w:p>
        </w:tc>
        <w:tc>
          <w:tcPr>
            <w:tcW w:w="0" w:type="auto"/>
            <w:tcMar>
              <w:left w:w="108" w:type="dxa"/>
              <w:right w:w="108" w:type="dxa"/>
            </w:tcMar>
            <w:vAlign w:val="center"/>
          </w:tcPr>
          <w:p w14:paraId="34C37177">
            <w:pPr>
              <w:jc w:val="center"/>
              <w:rPr>
                <w:rFonts w:hint="eastAsia" w:eastAsia="宋体"/>
                <w:bCs/>
                <w:szCs w:val="21"/>
                <w:highlight w:val="none"/>
                <w:lang w:val="en-US" w:eastAsia="zh-CN"/>
              </w:rPr>
            </w:pPr>
            <w:r>
              <w:rPr>
                <w:rFonts w:hint="eastAsia"/>
                <w:bCs/>
                <w:szCs w:val="21"/>
                <w:highlight w:val="none"/>
                <w:lang w:val="en-US" w:eastAsia="zh-CN"/>
              </w:rPr>
              <w:t>/</w:t>
            </w:r>
          </w:p>
        </w:tc>
        <w:tc>
          <w:tcPr>
            <w:tcW w:w="0" w:type="auto"/>
            <w:tcMar>
              <w:left w:w="108" w:type="dxa"/>
              <w:right w:w="108" w:type="dxa"/>
            </w:tcMar>
            <w:vAlign w:val="center"/>
          </w:tcPr>
          <w:p w14:paraId="20FEB26F">
            <w:pPr>
              <w:jc w:val="center"/>
              <w:rPr>
                <w:bCs/>
                <w:szCs w:val="21"/>
                <w:highlight w:val="none"/>
              </w:rPr>
            </w:pPr>
            <w:r>
              <w:rPr>
                <w:bCs/>
                <w:szCs w:val="21"/>
                <w:highlight w:val="none"/>
              </w:rPr>
              <w:t>避免条件</w:t>
            </w:r>
          </w:p>
        </w:tc>
        <w:tc>
          <w:tcPr>
            <w:tcW w:w="0" w:type="auto"/>
            <w:gridSpan w:val="2"/>
            <w:tcMar>
              <w:left w:w="108" w:type="dxa"/>
              <w:right w:w="108" w:type="dxa"/>
            </w:tcMar>
            <w:vAlign w:val="center"/>
          </w:tcPr>
          <w:p w14:paraId="55C4390F">
            <w:pPr>
              <w:jc w:val="center"/>
              <w:rPr>
                <w:rFonts w:hint="eastAsia" w:eastAsia="宋体"/>
                <w:bCs/>
                <w:szCs w:val="21"/>
                <w:highlight w:val="none"/>
                <w:lang w:val="en-US" w:eastAsia="zh-CN"/>
              </w:rPr>
            </w:pPr>
            <w:r>
              <w:rPr>
                <w:rFonts w:hint="eastAsia"/>
                <w:bCs/>
                <w:szCs w:val="21"/>
                <w:highlight w:val="none"/>
                <w:lang w:val="en-US" w:eastAsia="zh-CN"/>
              </w:rPr>
              <w:t>/</w:t>
            </w:r>
          </w:p>
        </w:tc>
      </w:tr>
      <w:tr w14:paraId="2901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7FEC14A9">
            <w:pPr>
              <w:jc w:val="center"/>
              <w:rPr>
                <w:bCs/>
                <w:szCs w:val="21"/>
                <w:highlight w:val="none"/>
              </w:rPr>
            </w:pPr>
          </w:p>
        </w:tc>
        <w:tc>
          <w:tcPr>
            <w:tcW w:w="0" w:type="auto"/>
            <w:tcMar>
              <w:left w:w="108" w:type="dxa"/>
              <w:right w:w="108" w:type="dxa"/>
            </w:tcMar>
            <w:vAlign w:val="center"/>
          </w:tcPr>
          <w:p w14:paraId="5AFBA95A">
            <w:pPr>
              <w:jc w:val="center"/>
              <w:rPr>
                <w:bCs/>
                <w:szCs w:val="21"/>
                <w:highlight w:val="none"/>
              </w:rPr>
            </w:pPr>
            <w:r>
              <w:rPr>
                <w:bCs/>
                <w:szCs w:val="21"/>
                <w:highlight w:val="none"/>
              </w:rPr>
              <w:t>不存在</w:t>
            </w:r>
          </w:p>
        </w:tc>
        <w:tc>
          <w:tcPr>
            <w:tcW w:w="0" w:type="auto"/>
            <w:tcMar>
              <w:left w:w="108" w:type="dxa"/>
              <w:right w:w="108" w:type="dxa"/>
            </w:tcMar>
            <w:vAlign w:val="center"/>
          </w:tcPr>
          <w:p w14:paraId="7FE1903B">
            <w:pPr>
              <w:jc w:val="center"/>
              <w:rPr>
                <w:bCs/>
                <w:szCs w:val="21"/>
                <w:highlight w:val="none"/>
              </w:rPr>
            </w:pPr>
            <w:r>
              <w:rPr>
                <w:bCs/>
                <w:szCs w:val="21"/>
                <w:highlight w:val="none"/>
              </w:rPr>
              <w:t>√</w:t>
            </w:r>
          </w:p>
        </w:tc>
        <w:tc>
          <w:tcPr>
            <w:tcW w:w="0" w:type="auto"/>
            <w:gridSpan w:val="3"/>
            <w:tcMar>
              <w:left w:w="108" w:type="dxa"/>
              <w:right w:w="108" w:type="dxa"/>
            </w:tcMar>
            <w:vAlign w:val="center"/>
          </w:tcPr>
          <w:p w14:paraId="45DBA4BE">
            <w:pPr>
              <w:jc w:val="center"/>
              <w:rPr>
                <w:rFonts w:hint="eastAsia" w:eastAsia="宋体"/>
                <w:bCs/>
                <w:szCs w:val="21"/>
                <w:highlight w:val="none"/>
                <w:lang w:val="en-US" w:eastAsia="zh-CN"/>
              </w:rPr>
            </w:pPr>
            <w:r>
              <w:rPr>
                <w:rFonts w:hint="eastAsia"/>
                <w:bCs/>
                <w:szCs w:val="21"/>
                <w:highlight w:val="none"/>
                <w:lang w:val="en-US" w:eastAsia="zh-CN"/>
              </w:rPr>
              <w:t>/</w:t>
            </w:r>
          </w:p>
        </w:tc>
      </w:tr>
      <w:tr w14:paraId="3E22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577471D9">
            <w:pPr>
              <w:jc w:val="center"/>
              <w:rPr>
                <w:bCs/>
                <w:szCs w:val="21"/>
                <w:highlight w:val="none"/>
              </w:rPr>
            </w:pPr>
            <w:r>
              <w:rPr>
                <w:bCs/>
                <w:szCs w:val="21"/>
                <w:highlight w:val="none"/>
              </w:rPr>
              <w:t>禁忌物</w:t>
            </w:r>
          </w:p>
        </w:tc>
        <w:tc>
          <w:tcPr>
            <w:tcW w:w="0" w:type="auto"/>
            <w:gridSpan w:val="3"/>
            <w:tcMar>
              <w:left w:w="108" w:type="dxa"/>
              <w:right w:w="108" w:type="dxa"/>
            </w:tcMar>
            <w:vAlign w:val="center"/>
          </w:tcPr>
          <w:p w14:paraId="13BA6EA1">
            <w:pPr>
              <w:jc w:val="center"/>
              <w:rPr>
                <w:bCs/>
                <w:szCs w:val="21"/>
                <w:highlight w:val="none"/>
              </w:rPr>
            </w:pPr>
            <w:r>
              <w:rPr>
                <w:bCs/>
                <w:szCs w:val="21"/>
                <w:highlight w:val="none"/>
              </w:rPr>
              <w:t>强氧化剂、碱类</w:t>
            </w:r>
          </w:p>
        </w:tc>
        <w:tc>
          <w:tcPr>
            <w:tcW w:w="0" w:type="auto"/>
            <w:tcMar>
              <w:left w:w="108" w:type="dxa"/>
              <w:right w:w="108" w:type="dxa"/>
            </w:tcMar>
            <w:vAlign w:val="center"/>
          </w:tcPr>
          <w:p w14:paraId="4A4984F0">
            <w:pPr>
              <w:jc w:val="center"/>
              <w:rPr>
                <w:bCs/>
                <w:szCs w:val="21"/>
                <w:highlight w:val="none"/>
              </w:rPr>
            </w:pPr>
            <w:r>
              <w:rPr>
                <w:bCs/>
                <w:szCs w:val="21"/>
                <w:highlight w:val="none"/>
              </w:rPr>
              <w:t>燃烧（分解）产物</w:t>
            </w:r>
          </w:p>
        </w:tc>
        <w:tc>
          <w:tcPr>
            <w:tcW w:w="0" w:type="auto"/>
            <w:tcMar>
              <w:left w:w="108" w:type="dxa"/>
              <w:right w:w="108" w:type="dxa"/>
            </w:tcMar>
            <w:vAlign w:val="center"/>
          </w:tcPr>
          <w:p w14:paraId="184EF67D">
            <w:pPr>
              <w:jc w:val="center"/>
              <w:rPr>
                <w:bCs/>
                <w:szCs w:val="21"/>
                <w:highlight w:val="none"/>
              </w:rPr>
            </w:pPr>
            <w:r>
              <w:rPr>
                <w:bCs/>
                <w:szCs w:val="21"/>
                <w:highlight w:val="none"/>
              </w:rPr>
              <w:t>二氧化碳。</w:t>
            </w:r>
          </w:p>
        </w:tc>
      </w:tr>
      <w:tr w14:paraId="1717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6"/>
            <w:tcMar>
              <w:left w:w="108" w:type="dxa"/>
              <w:right w:w="108" w:type="dxa"/>
            </w:tcMar>
            <w:vAlign w:val="center"/>
          </w:tcPr>
          <w:p w14:paraId="07873CF1">
            <w:pPr>
              <w:jc w:val="center"/>
              <w:rPr>
                <w:bCs/>
                <w:szCs w:val="21"/>
                <w:highlight w:val="none"/>
              </w:rPr>
            </w:pPr>
            <w:r>
              <w:rPr>
                <w:bCs/>
                <w:szCs w:val="21"/>
                <w:highlight w:val="none"/>
              </w:rPr>
              <w:t>健康危害数据</w:t>
            </w:r>
          </w:p>
        </w:tc>
      </w:tr>
      <w:tr w14:paraId="2B8D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2A0DB8DD">
            <w:pPr>
              <w:jc w:val="center"/>
              <w:rPr>
                <w:bCs/>
                <w:szCs w:val="21"/>
                <w:highlight w:val="none"/>
              </w:rPr>
            </w:pPr>
            <w:r>
              <w:rPr>
                <w:bCs/>
                <w:szCs w:val="21"/>
                <w:highlight w:val="none"/>
              </w:rPr>
              <w:t>吸入途径</w:t>
            </w:r>
          </w:p>
        </w:tc>
        <w:tc>
          <w:tcPr>
            <w:tcW w:w="0" w:type="auto"/>
            <w:tcMar>
              <w:left w:w="108" w:type="dxa"/>
              <w:right w:w="108" w:type="dxa"/>
            </w:tcMar>
            <w:vAlign w:val="center"/>
          </w:tcPr>
          <w:p w14:paraId="5B80E517">
            <w:pPr>
              <w:jc w:val="center"/>
              <w:rPr>
                <w:bCs/>
                <w:szCs w:val="21"/>
                <w:highlight w:val="none"/>
              </w:rPr>
            </w:pPr>
            <w:r>
              <w:rPr>
                <w:bCs/>
                <w:szCs w:val="21"/>
                <w:highlight w:val="none"/>
              </w:rPr>
              <w:t>吸入</w:t>
            </w:r>
          </w:p>
        </w:tc>
        <w:tc>
          <w:tcPr>
            <w:tcW w:w="0" w:type="auto"/>
            <w:tcMar>
              <w:left w:w="108" w:type="dxa"/>
              <w:right w:w="108" w:type="dxa"/>
            </w:tcMar>
            <w:vAlign w:val="center"/>
          </w:tcPr>
          <w:p w14:paraId="3DB18F82">
            <w:pPr>
              <w:jc w:val="center"/>
              <w:rPr>
                <w:bCs/>
                <w:szCs w:val="21"/>
                <w:highlight w:val="none"/>
              </w:rPr>
            </w:pPr>
            <w:r>
              <w:rPr>
                <w:bCs/>
                <w:szCs w:val="21"/>
                <w:highlight w:val="none"/>
              </w:rPr>
              <w:t>√</w:t>
            </w:r>
          </w:p>
        </w:tc>
        <w:tc>
          <w:tcPr>
            <w:tcW w:w="0" w:type="auto"/>
            <w:tcMar>
              <w:left w:w="108" w:type="dxa"/>
              <w:right w:w="108" w:type="dxa"/>
            </w:tcMar>
            <w:vAlign w:val="center"/>
          </w:tcPr>
          <w:p w14:paraId="14216F19">
            <w:pPr>
              <w:jc w:val="center"/>
              <w:rPr>
                <w:bCs/>
                <w:szCs w:val="21"/>
                <w:highlight w:val="none"/>
              </w:rPr>
            </w:pPr>
            <w:r>
              <w:rPr>
                <w:bCs/>
                <w:szCs w:val="21"/>
                <w:highlight w:val="none"/>
              </w:rPr>
              <w:t>皮肤</w:t>
            </w:r>
          </w:p>
        </w:tc>
        <w:tc>
          <w:tcPr>
            <w:tcW w:w="0" w:type="auto"/>
            <w:tcMar>
              <w:left w:w="108" w:type="dxa"/>
              <w:right w:w="108" w:type="dxa"/>
            </w:tcMar>
            <w:vAlign w:val="center"/>
          </w:tcPr>
          <w:p w14:paraId="65613B7E">
            <w:pPr>
              <w:jc w:val="center"/>
              <w:rPr>
                <w:bCs/>
                <w:szCs w:val="21"/>
                <w:highlight w:val="none"/>
              </w:rPr>
            </w:pPr>
            <w:r>
              <w:rPr>
                <w:bCs/>
                <w:szCs w:val="21"/>
                <w:highlight w:val="none"/>
              </w:rPr>
              <w:t>√</w:t>
            </w:r>
          </w:p>
        </w:tc>
        <w:tc>
          <w:tcPr>
            <w:tcW w:w="0" w:type="auto"/>
            <w:tcMar>
              <w:left w:w="108" w:type="dxa"/>
              <w:right w:w="108" w:type="dxa"/>
            </w:tcMar>
            <w:vAlign w:val="center"/>
          </w:tcPr>
          <w:p w14:paraId="697E90ED">
            <w:pPr>
              <w:jc w:val="center"/>
              <w:rPr>
                <w:bCs/>
                <w:szCs w:val="21"/>
                <w:highlight w:val="none"/>
              </w:rPr>
            </w:pPr>
            <w:r>
              <w:rPr>
                <w:bCs/>
                <w:szCs w:val="21"/>
                <w:highlight w:val="none"/>
              </w:rPr>
              <w:t>口</w:t>
            </w:r>
          </w:p>
        </w:tc>
      </w:tr>
      <w:tr w14:paraId="7966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6"/>
            <w:tcMar>
              <w:left w:w="108" w:type="dxa"/>
              <w:right w:w="108" w:type="dxa"/>
            </w:tcMar>
            <w:vAlign w:val="center"/>
          </w:tcPr>
          <w:p w14:paraId="1A9381C5">
            <w:pPr>
              <w:jc w:val="center"/>
              <w:rPr>
                <w:bCs/>
                <w:szCs w:val="21"/>
                <w:highlight w:val="none"/>
              </w:rPr>
            </w:pPr>
            <w:r>
              <w:rPr>
                <w:bCs/>
                <w:szCs w:val="21"/>
                <w:highlight w:val="none"/>
              </w:rPr>
              <w:t>急性中毒 Lca:2069mg/m</w:t>
            </w:r>
            <w:r>
              <w:rPr>
                <w:bCs/>
                <w:szCs w:val="21"/>
                <w:highlight w:val="none"/>
                <w:vertAlign w:val="superscript"/>
              </w:rPr>
              <w:t>3</w:t>
            </w:r>
            <w:r>
              <w:rPr>
                <w:bCs/>
                <w:szCs w:val="21"/>
                <w:highlight w:val="none"/>
              </w:rPr>
              <w:t>，4小时（大鼠吸入）</w:t>
            </w:r>
          </w:p>
        </w:tc>
      </w:tr>
      <w:tr w14:paraId="476A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6"/>
            <w:tcMar>
              <w:left w:w="108" w:type="dxa"/>
              <w:right w:w="108" w:type="dxa"/>
            </w:tcMar>
            <w:vAlign w:val="center"/>
          </w:tcPr>
          <w:p w14:paraId="657AE214">
            <w:pPr>
              <w:jc w:val="center"/>
              <w:rPr>
                <w:bCs/>
                <w:szCs w:val="21"/>
                <w:highlight w:val="none"/>
              </w:rPr>
            </w:pPr>
            <w:r>
              <w:rPr>
                <w:bCs/>
                <w:szCs w:val="21"/>
                <w:highlight w:val="none"/>
              </w:rPr>
              <w:t>健康危害：一氧化碳在血中与血红蛋白结合而造成组织缺氧。急性中毒：轻度中毒者出现头痛、头晕、耳鸣、心悸、恶心、呕吐、无力，血液氧含量和血红蛋白浓度可高于10%；中度中毒者除上述症状外，还有皮肤粘膜呈樱桃红色，脉快、</w:t>
            </w:r>
            <w:r>
              <w:rPr>
                <w:rFonts w:hint="eastAsia"/>
                <w:bCs/>
                <w:szCs w:val="21"/>
                <w:highlight w:val="none"/>
                <w:lang w:eastAsia="zh-CN"/>
              </w:rPr>
              <w:t>烦躁</w:t>
            </w:r>
            <w:r>
              <w:rPr>
                <w:bCs/>
                <w:szCs w:val="21"/>
                <w:highlight w:val="none"/>
              </w:rPr>
              <w:t>、步态不稳、浅至中度昏迷，血浆碳氧血红蛋白</w:t>
            </w:r>
            <w:r>
              <w:rPr>
                <w:rFonts w:hint="eastAsia"/>
                <w:bCs/>
                <w:szCs w:val="21"/>
                <w:highlight w:val="none"/>
                <w:lang w:eastAsia="zh-CN"/>
              </w:rPr>
              <w:t>浓</w:t>
            </w:r>
            <w:r>
              <w:rPr>
                <w:bCs/>
                <w:szCs w:val="21"/>
                <w:highlight w:val="none"/>
              </w:rPr>
              <w:t>度可高于30%；重度患者深度昏迷、瞳孔缩小、肌张力增强、频繁抽搐、大小便失禁、休克、肺水肿、严重心肌损害等，血液碳氧血红蛋白可高于50%。部分患者昏迷苏醒后，约经2~60天的重症监护期后，可能出现迟发性脑病，以意识精神障碍、锥体束或锥体外系损害为主。</w:t>
            </w:r>
            <w:r>
              <w:rPr>
                <w:bCs/>
                <w:szCs w:val="21"/>
                <w:highlight w:val="none"/>
              </w:rPr>
              <w:br w:type="textWrapping"/>
            </w:r>
            <w:r>
              <w:rPr>
                <w:bCs/>
                <w:szCs w:val="21"/>
                <w:highlight w:val="none"/>
              </w:rPr>
              <w:t>储运注意事项：储存于阴凉、通风的库房。远离火种、热源。库温不宜超过30℃。应与氧化剂、碱类、食用化学品分开存放，切忌混储。采用防爆照明、通风设施。禁止使用产生火花的机械设备和工具。储运设备应备有泄漏应急处理设备。运输时运输车辆应配备相应品种和数量的消防器材。装运该物品的车辆排气管等应配备火星熄灭装置，禁止使用易产生火花的机械设备和工具装卸。严防与氧化剂、碱类、食用化学品等混装混运。</w:t>
            </w:r>
          </w:p>
        </w:tc>
      </w:tr>
      <w:tr w14:paraId="70A3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6"/>
            <w:tcMar>
              <w:left w:w="108" w:type="dxa"/>
              <w:right w:w="108" w:type="dxa"/>
            </w:tcMar>
            <w:vAlign w:val="center"/>
          </w:tcPr>
          <w:p w14:paraId="2BB268B3">
            <w:pPr>
              <w:jc w:val="center"/>
              <w:rPr>
                <w:bCs/>
                <w:szCs w:val="21"/>
                <w:highlight w:val="none"/>
              </w:rPr>
            </w:pPr>
            <w:r>
              <w:rPr>
                <w:bCs/>
                <w:szCs w:val="21"/>
                <w:highlight w:val="none"/>
              </w:rPr>
              <w:t>泄漏应急处理：迅速撤离泄漏污染区人员至上风处，并立即隔离150m，严格限制出入。切断火源。建议应急处理人员穿戴自给正压呼吸器，穿消防静电工作服。尽可能切断泄漏源。合理通风，加速扩散。雾状水或泡沫</w:t>
            </w:r>
            <w:r>
              <w:rPr>
                <w:rFonts w:hint="eastAsia"/>
                <w:bCs/>
                <w:szCs w:val="21"/>
                <w:highlight w:val="none"/>
                <w:lang w:eastAsia="zh-CN"/>
              </w:rPr>
              <w:t>被</w:t>
            </w:r>
            <w:r>
              <w:rPr>
                <w:bCs/>
                <w:szCs w:val="21"/>
                <w:highlight w:val="none"/>
              </w:rPr>
              <w:t>稀释、溶解。构筑围堤或挖坑收容产生的大量废水。如有可能，将漏出气用风机送至空旷地方或设适当喷头烧掉。也可以用管路等至炉中、</w:t>
            </w:r>
            <w:r>
              <w:rPr>
                <w:rFonts w:hint="eastAsia"/>
                <w:bCs/>
                <w:szCs w:val="21"/>
                <w:highlight w:val="none"/>
                <w:lang w:val="en-US" w:eastAsia="zh-CN"/>
              </w:rPr>
              <w:t>凹地</w:t>
            </w:r>
            <w:r>
              <w:rPr>
                <w:bCs/>
                <w:szCs w:val="21"/>
                <w:highlight w:val="none"/>
              </w:rPr>
              <w:t>焚之。漏气容器要妥善处理，修复、检验后再用。</w:t>
            </w:r>
          </w:p>
        </w:tc>
      </w:tr>
      <w:tr w14:paraId="0DC2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gridSpan w:val="6"/>
            <w:tcMar>
              <w:left w:w="108" w:type="dxa"/>
              <w:right w:w="108" w:type="dxa"/>
            </w:tcMar>
            <w:vAlign w:val="center"/>
          </w:tcPr>
          <w:p w14:paraId="49A87ECB">
            <w:pPr>
              <w:jc w:val="center"/>
              <w:rPr>
                <w:bCs/>
                <w:szCs w:val="21"/>
                <w:highlight w:val="none"/>
              </w:rPr>
            </w:pPr>
            <w:r>
              <w:rPr>
                <w:bCs/>
                <w:szCs w:val="21"/>
                <w:highlight w:val="none"/>
              </w:rPr>
              <w:t>防护措施</w:t>
            </w:r>
          </w:p>
        </w:tc>
      </w:tr>
      <w:tr w14:paraId="00DE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6182AC7F">
            <w:pPr>
              <w:jc w:val="center"/>
              <w:rPr>
                <w:bCs/>
                <w:szCs w:val="21"/>
                <w:highlight w:val="none"/>
              </w:rPr>
            </w:pPr>
            <w:r>
              <w:rPr>
                <w:bCs/>
                <w:szCs w:val="21"/>
                <w:highlight w:val="none"/>
              </w:rPr>
              <w:t>职业接触限值</w:t>
            </w:r>
          </w:p>
        </w:tc>
        <w:tc>
          <w:tcPr>
            <w:tcW w:w="0" w:type="auto"/>
            <w:gridSpan w:val="5"/>
            <w:tcMar>
              <w:left w:w="108" w:type="dxa"/>
              <w:right w:w="108" w:type="dxa"/>
            </w:tcMar>
            <w:vAlign w:val="center"/>
          </w:tcPr>
          <w:p w14:paraId="162A3246">
            <w:pPr>
              <w:jc w:val="center"/>
              <w:rPr>
                <w:bCs/>
                <w:szCs w:val="21"/>
                <w:highlight w:val="none"/>
              </w:rPr>
            </w:pPr>
            <w:r>
              <w:rPr>
                <w:bCs/>
                <w:szCs w:val="21"/>
                <w:highlight w:val="none"/>
              </w:rPr>
              <w:t>未制定标准。</w:t>
            </w:r>
          </w:p>
        </w:tc>
      </w:tr>
      <w:tr w14:paraId="431D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0472C985">
            <w:pPr>
              <w:jc w:val="center"/>
              <w:rPr>
                <w:bCs/>
                <w:szCs w:val="21"/>
                <w:highlight w:val="none"/>
              </w:rPr>
            </w:pPr>
            <w:r>
              <w:rPr>
                <w:bCs/>
                <w:szCs w:val="21"/>
                <w:highlight w:val="none"/>
              </w:rPr>
              <w:t>工程控制</w:t>
            </w:r>
          </w:p>
        </w:tc>
        <w:tc>
          <w:tcPr>
            <w:tcW w:w="0" w:type="auto"/>
            <w:gridSpan w:val="5"/>
            <w:tcMar>
              <w:left w:w="108" w:type="dxa"/>
              <w:right w:w="108" w:type="dxa"/>
            </w:tcMar>
            <w:vAlign w:val="center"/>
          </w:tcPr>
          <w:p w14:paraId="1AD28474">
            <w:pPr>
              <w:jc w:val="center"/>
              <w:rPr>
                <w:bCs/>
                <w:szCs w:val="21"/>
                <w:highlight w:val="none"/>
              </w:rPr>
            </w:pPr>
            <w:r>
              <w:rPr>
                <w:bCs/>
                <w:szCs w:val="21"/>
                <w:highlight w:val="none"/>
              </w:rPr>
              <w:t>严加密闭，提供充分的局部排风和全面通风。生产生活用气必须分路。</w:t>
            </w:r>
          </w:p>
        </w:tc>
      </w:tr>
      <w:tr w14:paraId="5836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533DBACD">
            <w:pPr>
              <w:jc w:val="center"/>
              <w:rPr>
                <w:bCs/>
                <w:szCs w:val="21"/>
                <w:highlight w:val="none"/>
              </w:rPr>
            </w:pPr>
            <w:r>
              <w:rPr>
                <w:bCs/>
                <w:szCs w:val="21"/>
                <w:highlight w:val="none"/>
              </w:rPr>
              <w:t>呼吸系统防护</w:t>
            </w:r>
          </w:p>
        </w:tc>
        <w:tc>
          <w:tcPr>
            <w:tcW w:w="0" w:type="auto"/>
            <w:gridSpan w:val="3"/>
            <w:tcMar>
              <w:left w:w="108" w:type="dxa"/>
              <w:right w:w="108" w:type="dxa"/>
            </w:tcMar>
            <w:vAlign w:val="center"/>
          </w:tcPr>
          <w:p w14:paraId="592E5D69">
            <w:pPr>
              <w:jc w:val="center"/>
              <w:rPr>
                <w:bCs/>
                <w:szCs w:val="21"/>
                <w:highlight w:val="none"/>
              </w:rPr>
            </w:pPr>
            <w:r>
              <w:rPr>
                <w:bCs/>
                <w:szCs w:val="21"/>
                <w:highlight w:val="none"/>
              </w:rPr>
              <w:t>空气中浓度超标时，</w:t>
            </w:r>
            <w:r>
              <w:rPr>
                <w:rFonts w:hint="eastAsia"/>
                <w:bCs/>
                <w:szCs w:val="21"/>
                <w:highlight w:val="none"/>
                <w:lang w:eastAsia="zh-CN"/>
              </w:rPr>
              <w:t>应</w:t>
            </w:r>
            <w:r>
              <w:rPr>
                <w:bCs/>
                <w:szCs w:val="21"/>
                <w:highlight w:val="none"/>
              </w:rPr>
              <w:t>佩戴自吸过滤式防毒面具（半面罩）。紧急事态抢救或撤离时，建议佩戴空气呼吸器、一氧化碳过滤式自救器</w:t>
            </w:r>
            <w:r>
              <w:rPr>
                <w:rFonts w:hint="eastAsia"/>
                <w:bCs/>
                <w:szCs w:val="21"/>
                <w:highlight w:val="none"/>
                <w:lang w:eastAsia="zh-CN"/>
              </w:rPr>
              <w:t>等</w:t>
            </w:r>
            <w:r>
              <w:rPr>
                <w:bCs/>
                <w:szCs w:val="21"/>
                <w:highlight w:val="none"/>
              </w:rPr>
              <w:t>。</w:t>
            </w:r>
          </w:p>
        </w:tc>
        <w:tc>
          <w:tcPr>
            <w:tcW w:w="0" w:type="auto"/>
            <w:tcMar>
              <w:left w:w="108" w:type="dxa"/>
              <w:right w:w="108" w:type="dxa"/>
            </w:tcMar>
            <w:vAlign w:val="center"/>
          </w:tcPr>
          <w:p w14:paraId="7D8A7A97">
            <w:pPr>
              <w:jc w:val="center"/>
              <w:rPr>
                <w:bCs/>
                <w:szCs w:val="21"/>
                <w:highlight w:val="none"/>
              </w:rPr>
            </w:pPr>
            <w:r>
              <w:rPr>
                <w:bCs/>
                <w:szCs w:val="21"/>
                <w:highlight w:val="none"/>
              </w:rPr>
              <w:t>身体防护</w:t>
            </w:r>
          </w:p>
        </w:tc>
        <w:tc>
          <w:tcPr>
            <w:tcW w:w="0" w:type="auto"/>
            <w:tcMar>
              <w:left w:w="108" w:type="dxa"/>
              <w:right w:w="108" w:type="dxa"/>
            </w:tcMar>
            <w:vAlign w:val="center"/>
          </w:tcPr>
          <w:p w14:paraId="4BDE5A73">
            <w:pPr>
              <w:jc w:val="center"/>
              <w:rPr>
                <w:bCs/>
                <w:szCs w:val="21"/>
                <w:highlight w:val="none"/>
              </w:rPr>
            </w:pPr>
            <w:r>
              <w:rPr>
                <w:bCs/>
                <w:szCs w:val="21"/>
                <w:highlight w:val="none"/>
              </w:rPr>
              <w:t>穿防静电工作服。</w:t>
            </w:r>
          </w:p>
        </w:tc>
      </w:tr>
      <w:tr w14:paraId="26A9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5E1F9D64">
            <w:pPr>
              <w:jc w:val="center"/>
              <w:rPr>
                <w:bCs/>
                <w:szCs w:val="21"/>
                <w:highlight w:val="none"/>
              </w:rPr>
            </w:pPr>
            <w:r>
              <w:rPr>
                <w:bCs/>
                <w:szCs w:val="21"/>
                <w:highlight w:val="none"/>
              </w:rPr>
              <w:t>手防护</w:t>
            </w:r>
          </w:p>
        </w:tc>
        <w:tc>
          <w:tcPr>
            <w:tcW w:w="0" w:type="auto"/>
            <w:gridSpan w:val="3"/>
            <w:tcMar>
              <w:left w:w="108" w:type="dxa"/>
              <w:right w:w="108" w:type="dxa"/>
            </w:tcMar>
            <w:vAlign w:val="center"/>
          </w:tcPr>
          <w:p w14:paraId="1377EF98">
            <w:pPr>
              <w:jc w:val="center"/>
              <w:rPr>
                <w:bCs/>
                <w:szCs w:val="21"/>
                <w:highlight w:val="none"/>
              </w:rPr>
            </w:pPr>
            <w:r>
              <w:rPr>
                <w:rFonts w:hint="eastAsia"/>
                <w:bCs/>
                <w:szCs w:val="21"/>
                <w:highlight w:val="none"/>
                <w:lang w:eastAsia="zh-CN"/>
              </w:rPr>
              <w:t>建议佩戴</w:t>
            </w:r>
            <w:r>
              <w:rPr>
                <w:bCs/>
                <w:szCs w:val="21"/>
                <w:highlight w:val="none"/>
              </w:rPr>
              <w:t>一般作业防护手套。</w:t>
            </w:r>
          </w:p>
        </w:tc>
        <w:tc>
          <w:tcPr>
            <w:tcW w:w="0" w:type="auto"/>
            <w:tcMar>
              <w:left w:w="108" w:type="dxa"/>
              <w:right w:w="108" w:type="dxa"/>
            </w:tcMar>
            <w:vAlign w:val="center"/>
          </w:tcPr>
          <w:p w14:paraId="7644C6AC">
            <w:pPr>
              <w:jc w:val="center"/>
              <w:rPr>
                <w:bCs/>
                <w:szCs w:val="21"/>
                <w:highlight w:val="none"/>
              </w:rPr>
            </w:pPr>
            <w:r>
              <w:rPr>
                <w:rFonts w:hint="eastAsia"/>
                <w:bCs/>
                <w:szCs w:val="21"/>
                <w:highlight w:val="none"/>
                <w:lang w:eastAsia="zh-CN"/>
              </w:rPr>
              <w:t>眼部</w:t>
            </w:r>
            <w:r>
              <w:rPr>
                <w:bCs/>
                <w:szCs w:val="21"/>
                <w:highlight w:val="none"/>
              </w:rPr>
              <w:t>防护</w:t>
            </w:r>
          </w:p>
        </w:tc>
        <w:tc>
          <w:tcPr>
            <w:tcW w:w="0" w:type="auto"/>
            <w:tcMar>
              <w:left w:w="108" w:type="dxa"/>
              <w:right w:w="108" w:type="dxa"/>
            </w:tcMar>
            <w:vAlign w:val="center"/>
          </w:tcPr>
          <w:p w14:paraId="22702D41">
            <w:pPr>
              <w:jc w:val="center"/>
              <w:rPr>
                <w:bCs/>
                <w:szCs w:val="21"/>
                <w:highlight w:val="none"/>
              </w:rPr>
            </w:pPr>
            <w:r>
              <w:rPr>
                <w:bCs/>
                <w:szCs w:val="21"/>
                <w:highlight w:val="none"/>
              </w:rPr>
              <w:t>一般</w:t>
            </w:r>
            <w:r>
              <w:rPr>
                <w:rFonts w:hint="eastAsia"/>
                <w:bCs/>
                <w:szCs w:val="21"/>
                <w:highlight w:val="none"/>
                <w:lang w:eastAsia="zh-CN"/>
              </w:rPr>
              <w:t>不需要</w:t>
            </w:r>
            <w:r>
              <w:rPr>
                <w:bCs/>
                <w:szCs w:val="21"/>
                <w:highlight w:val="none"/>
              </w:rPr>
              <w:t>特殊防护。</w:t>
            </w:r>
          </w:p>
        </w:tc>
      </w:tr>
      <w:tr w14:paraId="4CFE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431E1C10">
            <w:pPr>
              <w:jc w:val="center"/>
              <w:rPr>
                <w:bCs/>
                <w:szCs w:val="21"/>
                <w:highlight w:val="none"/>
              </w:rPr>
            </w:pPr>
            <w:r>
              <w:rPr>
                <w:bCs/>
                <w:szCs w:val="21"/>
                <w:highlight w:val="none"/>
              </w:rPr>
              <w:t>其他</w:t>
            </w:r>
          </w:p>
        </w:tc>
        <w:tc>
          <w:tcPr>
            <w:tcW w:w="0" w:type="auto"/>
            <w:gridSpan w:val="5"/>
            <w:tcMar>
              <w:left w:w="108" w:type="dxa"/>
              <w:right w:w="108" w:type="dxa"/>
            </w:tcMar>
            <w:vAlign w:val="center"/>
          </w:tcPr>
          <w:p w14:paraId="2C8FF379">
            <w:pPr>
              <w:jc w:val="center"/>
              <w:rPr>
                <w:bCs/>
                <w:szCs w:val="21"/>
                <w:highlight w:val="none"/>
              </w:rPr>
            </w:pPr>
            <w:r>
              <w:rPr>
                <w:bCs/>
                <w:szCs w:val="21"/>
                <w:highlight w:val="none"/>
              </w:rPr>
              <w:t>工作现场严禁吸烟。实行就业前和定期的体检。避免高浓度吸入。进入罐、限制性空间或其</w:t>
            </w:r>
            <w:r>
              <w:rPr>
                <w:rFonts w:hint="eastAsia"/>
                <w:bCs/>
                <w:szCs w:val="21"/>
                <w:highlight w:val="none"/>
                <w:lang w:eastAsia="zh-CN"/>
              </w:rPr>
              <w:t>他</w:t>
            </w:r>
            <w:r>
              <w:rPr>
                <w:bCs/>
                <w:szCs w:val="21"/>
                <w:highlight w:val="none"/>
              </w:rPr>
              <w:t>高浓度</w:t>
            </w:r>
            <w:r>
              <w:rPr>
                <w:rFonts w:hint="eastAsia"/>
                <w:bCs/>
                <w:szCs w:val="21"/>
                <w:highlight w:val="none"/>
                <w:lang w:eastAsia="zh-CN"/>
              </w:rPr>
              <w:t>区域</w:t>
            </w:r>
            <w:r>
              <w:rPr>
                <w:bCs/>
                <w:szCs w:val="21"/>
                <w:highlight w:val="none"/>
              </w:rPr>
              <w:t>作业，须有人监护。</w:t>
            </w:r>
          </w:p>
        </w:tc>
      </w:tr>
    </w:tbl>
    <w:p w14:paraId="39AC1C50">
      <w:pPr>
        <w:spacing w:line="360" w:lineRule="auto"/>
        <w:jc w:val="center"/>
        <w:rPr>
          <w:rFonts w:hint="eastAsia" w:cs="Times New Roman"/>
          <w:b/>
          <w:bCs/>
          <w:sz w:val="21"/>
          <w:szCs w:val="21"/>
          <w:highlight w:val="none"/>
          <w:lang w:val="en-US" w:eastAsia="zh-CN"/>
        </w:rPr>
        <w:sectPr>
          <w:pgSz w:w="11906" w:h="16838"/>
          <w:pgMar w:top="1701" w:right="1701" w:bottom="1701" w:left="1701" w:header="851" w:footer="1077" w:gutter="0"/>
          <w:pgNumType w:fmt="decimal"/>
          <w:cols w:space="720" w:num="1"/>
          <w:docGrid w:linePitch="312" w:charSpace="0"/>
        </w:sectPr>
      </w:pPr>
    </w:p>
    <w:p w14:paraId="223DEBD9">
      <w:pPr>
        <w:spacing w:line="360" w:lineRule="auto"/>
        <w:jc w:val="center"/>
        <w:rPr>
          <w:rFonts w:hint="default" w:ascii="Times New Roman" w:hAnsi="Times New Roman" w:eastAsia="宋体" w:cs="Times New Roman"/>
          <w:b/>
          <w:bCs/>
          <w:sz w:val="21"/>
          <w:szCs w:val="21"/>
          <w:highlight w:val="none"/>
        </w:rPr>
      </w:pPr>
      <w:r>
        <w:rPr>
          <w:rFonts w:hint="eastAsia" w:cs="Times New Roman"/>
          <w:b/>
          <w:bCs/>
          <w:sz w:val="21"/>
          <w:szCs w:val="21"/>
          <w:highlight w:val="none"/>
          <w:lang w:val="en-US" w:eastAsia="zh-CN"/>
        </w:rPr>
        <w:t xml:space="preserve">表3.2-3   </w:t>
      </w:r>
      <w:r>
        <w:rPr>
          <w:rFonts w:hint="default" w:ascii="Times New Roman" w:hAnsi="Times New Roman" w:eastAsia="宋体" w:cs="Times New Roman"/>
          <w:b/>
          <w:bCs/>
          <w:sz w:val="21"/>
          <w:szCs w:val="21"/>
          <w:highlight w:val="none"/>
        </w:rPr>
        <w:t>甲烷</w:t>
      </w:r>
      <w:r>
        <w:rPr>
          <w:rFonts w:hint="eastAsia" w:cs="Times New Roman"/>
          <w:b/>
          <w:bCs/>
          <w:sz w:val="21"/>
          <w:szCs w:val="21"/>
          <w:highlight w:val="none"/>
          <w:lang w:eastAsia="zh-CN"/>
        </w:rPr>
        <w:t>的</w:t>
      </w:r>
      <w:r>
        <w:rPr>
          <w:rFonts w:hint="default" w:ascii="Times New Roman" w:hAnsi="Times New Roman" w:eastAsia="宋体" w:cs="Times New Roman"/>
          <w:b/>
          <w:bCs/>
          <w:sz w:val="21"/>
          <w:szCs w:val="21"/>
          <w:highlight w:val="none"/>
        </w:rPr>
        <w:t>理化性质及危险特性</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4"/>
        <w:gridCol w:w="1015"/>
        <w:gridCol w:w="925"/>
        <w:gridCol w:w="907"/>
        <w:gridCol w:w="2245"/>
        <w:gridCol w:w="1704"/>
        <w:gridCol w:w="1330"/>
      </w:tblGrid>
      <w:tr w14:paraId="3216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restart"/>
            <w:tcMar>
              <w:left w:w="108" w:type="dxa"/>
              <w:right w:w="108" w:type="dxa"/>
            </w:tcMar>
            <w:vAlign w:val="center"/>
          </w:tcPr>
          <w:p w14:paraId="4CABE4C4">
            <w:pPr>
              <w:jc w:val="center"/>
              <w:rPr>
                <w:bCs/>
                <w:szCs w:val="21"/>
                <w:highlight w:val="none"/>
              </w:rPr>
            </w:pPr>
            <w:r>
              <w:rPr>
                <w:bCs/>
                <w:szCs w:val="21"/>
                <w:highlight w:val="none"/>
              </w:rPr>
              <w:t>标识</w:t>
            </w:r>
          </w:p>
        </w:tc>
        <w:tc>
          <w:tcPr>
            <w:tcW w:w="0" w:type="auto"/>
            <w:gridSpan w:val="4"/>
            <w:tcMar>
              <w:left w:w="108" w:type="dxa"/>
              <w:right w:w="108" w:type="dxa"/>
            </w:tcMar>
            <w:vAlign w:val="center"/>
          </w:tcPr>
          <w:p w14:paraId="77C960F1">
            <w:pPr>
              <w:jc w:val="center"/>
              <w:rPr>
                <w:bCs/>
                <w:szCs w:val="21"/>
                <w:highlight w:val="none"/>
              </w:rPr>
            </w:pPr>
            <w:r>
              <w:rPr>
                <w:bCs/>
                <w:szCs w:val="21"/>
                <w:highlight w:val="none"/>
              </w:rPr>
              <w:t>中文名：甲烷</w:t>
            </w:r>
          </w:p>
        </w:tc>
        <w:tc>
          <w:tcPr>
            <w:tcW w:w="0" w:type="auto"/>
            <w:gridSpan w:val="2"/>
            <w:tcMar>
              <w:left w:w="108" w:type="dxa"/>
              <w:right w:w="108" w:type="dxa"/>
            </w:tcMar>
            <w:vAlign w:val="center"/>
          </w:tcPr>
          <w:p w14:paraId="5F409C83">
            <w:pPr>
              <w:jc w:val="center"/>
              <w:rPr>
                <w:bCs/>
                <w:szCs w:val="21"/>
                <w:highlight w:val="none"/>
              </w:rPr>
            </w:pPr>
            <w:r>
              <w:rPr>
                <w:bCs/>
                <w:szCs w:val="21"/>
                <w:highlight w:val="none"/>
              </w:rPr>
              <w:t>危险化学品目录序号：1188</w:t>
            </w:r>
          </w:p>
        </w:tc>
      </w:tr>
      <w:tr w14:paraId="70D5F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tcMar>
              <w:left w:w="108" w:type="dxa"/>
              <w:right w:w="108" w:type="dxa"/>
            </w:tcMar>
            <w:vAlign w:val="center"/>
          </w:tcPr>
          <w:p w14:paraId="283C4A6A">
            <w:pPr>
              <w:jc w:val="center"/>
              <w:rPr>
                <w:bCs/>
                <w:szCs w:val="21"/>
                <w:highlight w:val="none"/>
              </w:rPr>
            </w:pPr>
          </w:p>
        </w:tc>
        <w:tc>
          <w:tcPr>
            <w:tcW w:w="0" w:type="auto"/>
            <w:gridSpan w:val="4"/>
            <w:tcMar>
              <w:left w:w="108" w:type="dxa"/>
              <w:right w:w="108" w:type="dxa"/>
            </w:tcMar>
            <w:vAlign w:val="center"/>
          </w:tcPr>
          <w:p w14:paraId="3EACC148">
            <w:pPr>
              <w:jc w:val="center"/>
              <w:rPr>
                <w:bCs/>
                <w:szCs w:val="21"/>
                <w:highlight w:val="none"/>
              </w:rPr>
            </w:pPr>
            <w:r>
              <w:rPr>
                <w:bCs/>
                <w:szCs w:val="21"/>
                <w:highlight w:val="none"/>
              </w:rPr>
              <w:t>英文名：methane</w:t>
            </w:r>
          </w:p>
        </w:tc>
        <w:tc>
          <w:tcPr>
            <w:tcW w:w="0" w:type="auto"/>
            <w:gridSpan w:val="2"/>
            <w:tcMar>
              <w:left w:w="108" w:type="dxa"/>
              <w:right w:w="108" w:type="dxa"/>
            </w:tcMar>
            <w:vAlign w:val="center"/>
          </w:tcPr>
          <w:p w14:paraId="15F2517B">
            <w:pPr>
              <w:jc w:val="center"/>
              <w:rPr>
                <w:bCs/>
                <w:szCs w:val="21"/>
                <w:highlight w:val="none"/>
              </w:rPr>
            </w:pPr>
            <w:r>
              <w:rPr>
                <w:bCs/>
                <w:szCs w:val="21"/>
                <w:highlight w:val="none"/>
              </w:rPr>
              <w:t>UN 编号：1971</w:t>
            </w:r>
          </w:p>
        </w:tc>
      </w:tr>
      <w:tr w14:paraId="797D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tcMar>
              <w:left w:w="108" w:type="dxa"/>
              <w:right w:w="108" w:type="dxa"/>
            </w:tcMar>
            <w:vAlign w:val="center"/>
          </w:tcPr>
          <w:p w14:paraId="290BA295">
            <w:pPr>
              <w:jc w:val="center"/>
              <w:rPr>
                <w:bCs/>
                <w:szCs w:val="21"/>
                <w:highlight w:val="none"/>
              </w:rPr>
            </w:pPr>
          </w:p>
        </w:tc>
        <w:tc>
          <w:tcPr>
            <w:tcW w:w="0" w:type="auto"/>
            <w:gridSpan w:val="2"/>
            <w:tcMar>
              <w:left w:w="108" w:type="dxa"/>
              <w:right w:w="108" w:type="dxa"/>
            </w:tcMar>
            <w:vAlign w:val="center"/>
          </w:tcPr>
          <w:p w14:paraId="57785326">
            <w:pPr>
              <w:jc w:val="center"/>
              <w:rPr>
                <w:bCs/>
                <w:szCs w:val="21"/>
                <w:highlight w:val="none"/>
              </w:rPr>
            </w:pPr>
            <w:r>
              <w:rPr>
                <w:bCs/>
                <w:szCs w:val="21"/>
                <w:highlight w:val="none"/>
              </w:rPr>
              <w:t>分子式：CH</w:t>
            </w:r>
            <w:r>
              <w:rPr>
                <w:bCs/>
                <w:szCs w:val="21"/>
                <w:highlight w:val="none"/>
                <w:vertAlign w:val="subscript"/>
              </w:rPr>
              <w:t>4</w:t>
            </w:r>
          </w:p>
        </w:tc>
        <w:tc>
          <w:tcPr>
            <w:tcW w:w="0" w:type="auto"/>
            <w:gridSpan w:val="2"/>
            <w:tcMar>
              <w:left w:w="108" w:type="dxa"/>
              <w:right w:w="108" w:type="dxa"/>
            </w:tcMar>
            <w:vAlign w:val="center"/>
          </w:tcPr>
          <w:p w14:paraId="1B010A26">
            <w:pPr>
              <w:jc w:val="center"/>
              <w:rPr>
                <w:bCs/>
                <w:szCs w:val="21"/>
                <w:highlight w:val="none"/>
              </w:rPr>
            </w:pPr>
            <w:r>
              <w:rPr>
                <w:bCs/>
                <w:szCs w:val="21"/>
                <w:highlight w:val="none"/>
              </w:rPr>
              <w:t>分子量：16.04</w:t>
            </w:r>
          </w:p>
        </w:tc>
        <w:tc>
          <w:tcPr>
            <w:tcW w:w="0" w:type="auto"/>
            <w:gridSpan w:val="2"/>
            <w:tcMar>
              <w:left w:w="108" w:type="dxa"/>
              <w:right w:w="108" w:type="dxa"/>
            </w:tcMar>
            <w:vAlign w:val="center"/>
          </w:tcPr>
          <w:p w14:paraId="1FDB40D0">
            <w:pPr>
              <w:jc w:val="center"/>
              <w:rPr>
                <w:bCs/>
                <w:szCs w:val="21"/>
                <w:highlight w:val="none"/>
              </w:rPr>
            </w:pPr>
            <w:r>
              <w:rPr>
                <w:bCs/>
                <w:szCs w:val="21"/>
                <w:highlight w:val="none"/>
              </w:rPr>
              <w:t>CAS 号：74-82-8</w:t>
            </w:r>
          </w:p>
        </w:tc>
      </w:tr>
      <w:tr w14:paraId="43C1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restart"/>
            <w:tcMar>
              <w:left w:w="108" w:type="dxa"/>
              <w:right w:w="108" w:type="dxa"/>
            </w:tcMar>
            <w:vAlign w:val="center"/>
          </w:tcPr>
          <w:p w14:paraId="71494B13">
            <w:pPr>
              <w:jc w:val="center"/>
              <w:rPr>
                <w:bCs/>
                <w:szCs w:val="21"/>
                <w:highlight w:val="none"/>
              </w:rPr>
            </w:pPr>
            <w:r>
              <w:rPr>
                <w:bCs/>
                <w:szCs w:val="21"/>
                <w:highlight w:val="none"/>
              </w:rPr>
              <w:t>理化性质</w:t>
            </w:r>
          </w:p>
        </w:tc>
        <w:tc>
          <w:tcPr>
            <w:tcW w:w="0" w:type="auto"/>
            <w:tcMar>
              <w:left w:w="108" w:type="dxa"/>
              <w:right w:w="108" w:type="dxa"/>
            </w:tcMar>
            <w:vAlign w:val="center"/>
          </w:tcPr>
          <w:p w14:paraId="1A4839C6">
            <w:pPr>
              <w:jc w:val="center"/>
              <w:rPr>
                <w:bCs/>
                <w:szCs w:val="21"/>
                <w:highlight w:val="none"/>
              </w:rPr>
            </w:pPr>
            <w:r>
              <w:rPr>
                <w:bCs/>
                <w:szCs w:val="21"/>
                <w:highlight w:val="none"/>
              </w:rPr>
              <w:t>外观与状态</w:t>
            </w:r>
          </w:p>
        </w:tc>
        <w:tc>
          <w:tcPr>
            <w:tcW w:w="0" w:type="auto"/>
            <w:gridSpan w:val="5"/>
            <w:tcMar>
              <w:left w:w="108" w:type="dxa"/>
              <w:right w:w="108" w:type="dxa"/>
            </w:tcMar>
            <w:vAlign w:val="center"/>
          </w:tcPr>
          <w:p w14:paraId="265472A0">
            <w:pPr>
              <w:jc w:val="center"/>
              <w:rPr>
                <w:bCs/>
                <w:szCs w:val="21"/>
                <w:highlight w:val="none"/>
              </w:rPr>
            </w:pPr>
            <w:r>
              <w:rPr>
                <w:bCs/>
                <w:szCs w:val="21"/>
                <w:highlight w:val="none"/>
              </w:rPr>
              <w:t>无色无臭气体。</w:t>
            </w:r>
          </w:p>
        </w:tc>
      </w:tr>
      <w:tr w14:paraId="43C6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tcMar>
              <w:left w:w="108" w:type="dxa"/>
              <w:right w:w="108" w:type="dxa"/>
            </w:tcMar>
            <w:vAlign w:val="center"/>
          </w:tcPr>
          <w:p w14:paraId="0DD232F3">
            <w:pPr>
              <w:jc w:val="center"/>
              <w:rPr>
                <w:bCs/>
                <w:szCs w:val="21"/>
                <w:highlight w:val="none"/>
              </w:rPr>
            </w:pPr>
          </w:p>
        </w:tc>
        <w:tc>
          <w:tcPr>
            <w:tcW w:w="0" w:type="auto"/>
            <w:tcMar>
              <w:left w:w="108" w:type="dxa"/>
              <w:right w:w="108" w:type="dxa"/>
            </w:tcMar>
            <w:vAlign w:val="center"/>
          </w:tcPr>
          <w:p w14:paraId="2A77967A">
            <w:pPr>
              <w:jc w:val="center"/>
              <w:rPr>
                <w:bCs/>
                <w:szCs w:val="21"/>
                <w:highlight w:val="none"/>
              </w:rPr>
            </w:pPr>
            <w:r>
              <w:rPr>
                <w:bCs/>
                <w:szCs w:val="21"/>
                <w:highlight w:val="none"/>
              </w:rPr>
              <w:t>熔点（℃）</w:t>
            </w:r>
          </w:p>
        </w:tc>
        <w:tc>
          <w:tcPr>
            <w:tcW w:w="0" w:type="auto"/>
            <w:gridSpan w:val="2"/>
            <w:tcMar>
              <w:left w:w="108" w:type="dxa"/>
              <w:right w:w="108" w:type="dxa"/>
            </w:tcMar>
            <w:vAlign w:val="center"/>
          </w:tcPr>
          <w:p w14:paraId="51BC640A">
            <w:pPr>
              <w:jc w:val="center"/>
              <w:rPr>
                <w:bCs/>
                <w:szCs w:val="21"/>
                <w:highlight w:val="none"/>
              </w:rPr>
            </w:pPr>
            <w:r>
              <w:rPr>
                <w:bCs/>
                <w:szCs w:val="21"/>
                <w:highlight w:val="none"/>
              </w:rPr>
              <w:t>-183</w:t>
            </w:r>
          </w:p>
        </w:tc>
        <w:tc>
          <w:tcPr>
            <w:tcW w:w="0" w:type="auto"/>
            <w:tcMar>
              <w:left w:w="108" w:type="dxa"/>
              <w:right w:w="108" w:type="dxa"/>
            </w:tcMar>
            <w:vAlign w:val="center"/>
          </w:tcPr>
          <w:p w14:paraId="230B4454">
            <w:pPr>
              <w:jc w:val="center"/>
              <w:rPr>
                <w:bCs/>
                <w:szCs w:val="21"/>
                <w:highlight w:val="none"/>
              </w:rPr>
            </w:pPr>
            <w:r>
              <w:rPr>
                <w:bCs/>
                <w:szCs w:val="21"/>
                <w:highlight w:val="none"/>
              </w:rPr>
              <w:t>密度（g/cm</w:t>
            </w:r>
            <w:r>
              <w:rPr>
                <w:bCs/>
                <w:szCs w:val="21"/>
                <w:highlight w:val="none"/>
                <w:vertAlign w:val="superscript"/>
              </w:rPr>
              <w:t>3</w:t>
            </w:r>
            <w:r>
              <w:rPr>
                <w:bCs/>
                <w:szCs w:val="21"/>
                <w:highlight w:val="none"/>
              </w:rPr>
              <w:t>）</w:t>
            </w:r>
          </w:p>
        </w:tc>
        <w:tc>
          <w:tcPr>
            <w:tcW w:w="0" w:type="auto"/>
            <w:gridSpan w:val="2"/>
            <w:tcMar>
              <w:left w:w="108" w:type="dxa"/>
              <w:right w:w="108" w:type="dxa"/>
            </w:tcMar>
            <w:vAlign w:val="center"/>
          </w:tcPr>
          <w:p w14:paraId="12470956">
            <w:pPr>
              <w:jc w:val="center"/>
              <w:rPr>
                <w:bCs/>
                <w:szCs w:val="21"/>
                <w:highlight w:val="none"/>
              </w:rPr>
            </w:pPr>
            <w:r>
              <w:rPr>
                <w:bCs/>
                <w:szCs w:val="21"/>
                <w:highlight w:val="none"/>
              </w:rPr>
              <w:t>0.716</w:t>
            </w:r>
          </w:p>
        </w:tc>
      </w:tr>
      <w:tr w14:paraId="3C54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tcMar>
              <w:left w:w="108" w:type="dxa"/>
              <w:right w:w="108" w:type="dxa"/>
            </w:tcMar>
            <w:vAlign w:val="center"/>
          </w:tcPr>
          <w:p w14:paraId="751474A2">
            <w:pPr>
              <w:jc w:val="center"/>
              <w:rPr>
                <w:bCs/>
                <w:szCs w:val="21"/>
                <w:highlight w:val="none"/>
              </w:rPr>
            </w:pPr>
          </w:p>
        </w:tc>
        <w:tc>
          <w:tcPr>
            <w:tcW w:w="0" w:type="auto"/>
            <w:tcMar>
              <w:left w:w="108" w:type="dxa"/>
              <w:right w:w="108" w:type="dxa"/>
            </w:tcMar>
            <w:vAlign w:val="center"/>
          </w:tcPr>
          <w:p w14:paraId="6871EA52">
            <w:pPr>
              <w:jc w:val="center"/>
              <w:rPr>
                <w:bCs/>
                <w:szCs w:val="21"/>
                <w:highlight w:val="none"/>
              </w:rPr>
            </w:pPr>
            <w:r>
              <w:rPr>
                <w:bCs/>
                <w:szCs w:val="21"/>
                <w:highlight w:val="none"/>
              </w:rPr>
              <w:t>沸点（℃）</w:t>
            </w:r>
          </w:p>
        </w:tc>
        <w:tc>
          <w:tcPr>
            <w:tcW w:w="0" w:type="auto"/>
            <w:gridSpan w:val="2"/>
            <w:tcMar>
              <w:left w:w="108" w:type="dxa"/>
              <w:right w:w="108" w:type="dxa"/>
            </w:tcMar>
            <w:vAlign w:val="center"/>
          </w:tcPr>
          <w:p w14:paraId="21325F7B">
            <w:pPr>
              <w:jc w:val="center"/>
              <w:rPr>
                <w:bCs/>
                <w:szCs w:val="21"/>
                <w:highlight w:val="none"/>
              </w:rPr>
            </w:pPr>
            <w:r>
              <w:rPr>
                <w:bCs/>
                <w:szCs w:val="21"/>
                <w:highlight w:val="none"/>
              </w:rPr>
              <w:t>-161</w:t>
            </w:r>
          </w:p>
        </w:tc>
        <w:tc>
          <w:tcPr>
            <w:tcW w:w="0" w:type="auto"/>
            <w:tcMar>
              <w:left w:w="108" w:type="dxa"/>
              <w:right w:w="108" w:type="dxa"/>
            </w:tcMar>
            <w:vAlign w:val="center"/>
          </w:tcPr>
          <w:p w14:paraId="2F14173A">
            <w:pPr>
              <w:jc w:val="center"/>
              <w:rPr>
                <w:bCs/>
                <w:szCs w:val="21"/>
                <w:highlight w:val="none"/>
              </w:rPr>
            </w:pPr>
            <w:r>
              <w:rPr>
                <w:bCs/>
                <w:szCs w:val="21"/>
                <w:highlight w:val="none"/>
              </w:rPr>
              <w:t>饱和</w:t>
            </w:r>
            <w:r>
              <w:rPr>
                <w:rFonts w:hint="eastAsia"/>
                <w:bCs/>
                <w:szCs w:val="21"/>
                <w:highlight w:val="none"/>
                <w:lang w:eastAsia="zh-CN"/>
              </w:rPr>
              <w:t>蒸汽</w:t>
            </w:r>
            <w:r>
              <w:rPr>
                <w:bCs/>
                <w:szCs w:val="21"/>
                <w:highlight w:val="none"/>
              </w:rPr>
              <w:t>压（kPa）</w:t>
            </w:r>
          </w:p>
        </w:tc>
        <w:tc>
          <w:tcPr>
            <w:tcW w:w="0" w:type="auto"/>
            <w:gridSpan w:val="2"/>
            <w:tcMar>
              <w:left w:w="108" w:type="dxa"/>
              <w:right w:w="108" w:type="dxa"/>
            </w:tcMar>
            <w:vAlign w:val="center"/>
          </w:tcPr>
          <w:p w14:paraId="7D627901">
            <w:pPr>
              <w:jc w:val="center"/>
              <w:rPr>
                <w:bCs/>
                <w:szCs w:val="21"/>
                <w:highlight w:val="none"/>
              </w:rPr>
            </w:pPr>
            <w:r>
              <w:rPr>
                <w:bCs/>
                <w:szCs w:val="21"/>
                <w:highlight w:val="none"/>
              </w:rPr>
              <w:t>53.32/-168.8℃</w:t>
            </w:r>
          </w:p>
        </w:tc>
      </w:tr>
      <w:tr w14:paraId="7239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tcMar>
              <w:left w:w="108" w:type="dxa"/>
              <w:right w:w="108" w:type="dxa"/>
            </w:tcMar>
            <w:vAlign w:val="center"/>
          </w:tcPr>
          <w:p w14:paraId="3A97EEF6">
            <w:pPr>
              <w:jc w:val="center"/>
              <w:rPr>
                <w:bCs/>
                <w:szCs w:val="21"/>
                <w:highlight w:val="none"/>
              </w:rPr>
            </w:pPr>
          </w:p>
        </w:tc>
        <w:tc>
          <w:tcPr>
            <w:tcW w:w="0" w:type="auto"/>
            <w:tcMar>
              <w:left w:w="108" w:type="dxa"/>
              <w:right w:w="108" w:type="dxa"/>
            </w:tcMar>
            <w:vAlign w:val="center"/>
          </w:tcPr>
          <w:p w14:paraId="74CEDC9B">
            <w:pPr>
              <w:jc w:val="center"/>
              <w:rPr>
                <w:bCs/>
                <w:szCs w:val="21"/>
                <w:highlight w:val="none"/>
              </w:rPr>
            </w:pPr>
            <w:r>
              <w:rPr>
                <w:bCs/>
                <w:szCs w:val="21"/>
                <w:highlight w:val="none"/>
              </w:rPr>
              <w:t>溶解性</w:t>
            </w:r>
          </w:p>
        </w:tc>
        <w:tc>
          <w:tcPr>
            <w:tcW w:w="0" w:type="auto"/>
            <w:gridSpan w:val="5"/>
            <w:tcMar>
              <w:left w:w="108" w:type="dxa"/>
              <w:right w:w="108" w:type="dxa"/>
            </w:tcMar>
            <w:vAlign w:val="center"/>
          </w:tcPr>
          <w:p w14:paraId="20B9B05A">
            <w:pPr>
              <w:jc w:val="center"/>
              <w:rPr>
                <w:bCs/>
                <w:szCs w:val="21"/>
                <w:highlight w:val="none"/>
              </w:rPr>
            </w:pPr>
            <w:r>
              <w:rPr>
                <w:bCs/>
                <w:szCs w:val="21"/>
                <w:highlight w:val="none"/>
              </w:rPr>
              <w:t>微溶于水，溶于乙醇、乙醚等有机溶剂。</w:t>
            </w:r>
          </w:p>
        </w:tc>
      </w:tr>
      <w:tr w14:paraId="40FB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restart"/>
            <w:tcMar>
              <w:left w:w="108" w:type="dxa"/>
              <w:right w:w="108" w:type="dxa"/>
            </w:tcMar>
            <w:vAlign w:val="center"/>
          </w:tcPr>
          <w:p w14:paraId="5D7BA0BE">
            <w:pPr>
              <w:jc w:val="center"/>
              <w:rPr>
                <w:bCs/>
                <w:szCs w:val="21"/>
                <w:highlight w:val="none"/>
              </w:rPr>
            </w:pPr>
            <w:r>
              <w:rPr>
                <w:bCs/>
                <w:szCs w:val="21"/>
                <w:highlight w:val="none"/>
              </w:rPr>
              <w:t>毒性及健康危害</w:t>
            </w:r>
          </w:p>
        </w:tc>
        <w:tc>
          <w:tcPr>
            <w:tcW w:w="0" w:type="auto"/>
            <w:tcMar>
              <w:left w:w="108" w:type="dxa"/>
              <w:right w:w="108" w:type="dxa"/>
            </w:tcMar>
            <w:vAlign w:val="center"/>
          </w:tcPr>
          <w:p w14:paraId="5FD80659">
            <w:pPr>
              <w:jc w:val="center"/>
              <w:rPr>
                <w:bCs/>
                <w:szCs w:val="21"/>
                <w:highlight w:val="none"/>
              </w:rPr>
            </w:pPr>
            <w:r>
              <w:rPr>
                <w:bCs/>
                <w:szCs w:val="21"/>
                <w:highlight w:val="none"/>
              </w:rPr>
              <w:t>侵入途径</w:t>
            </w:r>
          </w:p>
        </w:tc>
        <w:tc>
          <w:tcPr>
            <w:tcW w:w="0" w:type="auto"/>
            <w:gridSpan w:val="5"/>
            <w:tcMar>
              <w:left w:w="108" w:type="dxa"/>
              <w:right w:w="108" w:type="dxa"/>
            </w:tcMar>
            <w:vAlign w:val="center"/>
          </w:tcPr>
          <w:p w14:paraId="2662B57F">
            <w:pPr>
              <w:jc w:val="center"/>
              <w:rPr>
                <w:bCs/>
                <w:szCs w:val="21"/>
                <w:highlight w:val="none"/>
              </w:rPr>
            </w:pPr>
            <w:r>
              <w:rPr>
                <w:bCs/>
                <w:szCs w:val="21"/>
                <w:highlight w:val="none"/>
              </w:rPr>
              <w:t>吸入、皮肤接触。</w:t>
            </w:r>
          </w:p>
        </w:tc>
      </w:tr>
      <w:tr w14:paraId="5794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tcMar>
              <w:left w:w="108" w:type="dxa"/>
              <w:right w:w="108" w:type="dxa"/>
            </w:tcMar>
            <w:vAlign w:val="center"/>
          </w:tcPr>
          <w:p w14:paraId="5078FE9B">
            <w:pPr>
              <w:jc w:val="center"/>
              <w:rPr>
                <w:bCs/>
                <w:szCs w:val="21"/>
                <w:highlight w:val="none"/>
              </w:rPr>
            </w:pPr>
          </w:p>
        </w:tc>
        <w:tc>
          <w:tcPr>
            <w:tcW w:w="0" w:type="auto"/>
            <w:tcMar>
              <w:left w:w="108" w:type="dxa"/>
              <w:right w:w="108" w:type="dxa"/>
            </w:tcMar>
            <w:vAlign w:val="center"/>
          </w:tcPr>
          <w:p w14:paraId="209A95E6">
            <w:pPr>
              <w:jc w:val="center"/>
              <w:rPr>
                <w:bCs/>
                <w:szCs w:val="21"/>
                <w:highlight w:val="none"/>
              </w:rPr>
            </w:pPr>
            <w:r>
              <w:rPr>
                <w:bCs/>
                <w:szCs w:val="21"/>
                <w:highlight w:val="none"/>
              </w:rPr>
              <w:t>毒性</w:t>
            </w:r>
          </w:p>
        </w:tc>
        <w:tc>
          <w:tcPr>
            <w:tcW w:w="0" w:type="auto"/>
            <w:gridSpan w:val="5"/>
            <w:tcMar>
              <w:left w:w="108" w:type="dxa"/>
              <w:right w:w="108" w:type="dxa"/>
            </w:tcMar>
            <w:vAlign w:val="center"/>
          </w:tcPr>
          <w:p w14:paraId="6B0B0D8A">
            <w:pPr>
              <w:jc w:val="center"/>
              <w:rPr>
                <w:bCs/>
                <w:szCs w:val="21"/>
                <w:highlight w:val="none"/>
              </w:rPr>
            </w:pPr>
            <w:r>
              <w:rPr>
                <w:bCs/>
                <w:szCs w:val="21"/>
                <w:highlight w:val="none"/>
              </w:rPr>
              <w:t>无资料</w:t>
            </w:r>
          </w:p>
        </w:tc>
      </w:tr>
      <w:tr w14:paraId="07331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tcMar>
              <w:left w:w="108" w:type="dxa"/>
              <w:right w:w="108" w:type="dxa"/>
            </w:tcMar>
            <w:vAlign w:val="center"/>
          </w:tcPr>
          <w:p w14:paraId="6767B710">
            <w:pPr>
              <w:jc w:val="center"/>
              <w:rPr>
                <w:bCs/>
                <w:szCs w:val="21"/>
                <w:highlight w:val="none"/>
              </w:rPr>
            </w:pPr>
          </w:p>
        </w:tc>
        <w:tc>
          <w:tcPr>
            <w:tcW w:w="0" w:type="auto"/>
            <w:tcMar>
              <w:left w:w="108" w:type="dxa"/>
              <w:right w:w="108" w:type="dxa"/>
            </w:tcMar>
            <w:vAlign w:val="center"/>
          </w:tcPr>
          <w:p w14:paraId="696F4C2A">
            <w:pPr>
              <w:jc w:val="center"/>
              <w:rPr>
                <w:bCs/>
                <w:szCs w:val="21"/>
                <w:highlight w:val="none"/>
              </w:rPr>
            </w:pPr>
            <w:r>
              <w:rPr>
                <w:bCs/>
                <w:szCs w:val="21"/>
                <w:highlight w:val="none"/>
              </w:rPr>
              <w:t>健康危害</w:t>
            </w:r>
          </w:p>
        </w:tc>
        <w:tc>
          <w:tcPr>
            <w:tcW w:w="0" w:type="auto"/>
            <w:gridSpan w:val="5"/>
            <w:tcMar>
              <w:left w:w="108" w:type="dxa"/>
              <w:right w:w="108" w:type="dxa"/>
            </w:tcMar>
            <w:vAlign w:val="center"/>
          </w:tcPr>
          <w:p w14:paraId="5131E7DC">
            <w:pPr>
              <w:jc w:val="center"/>
              <w:rPr>
                <w:bCs/>
                <w:szCs w:val="21"/>
                <w:highlight w:val="none"/>
              </w:rPr>
            </w:pPr>
            <w:r>
              <w:rPr>
                <w:bCs/>
                <w:szCs w:val="21"/>
                <w:highlight w:val="none"/>
              </w:rPr>
              <w:t>甲烷对人基本无毒，但浓度过高时，使空气中氧含量明显降低，使人窒息。当空气中甲烷</w:t>
            </w:r>
            <w:r>
              <w:rPr>
                <w:rFonts w:hint="eastAsia"/>
                <w:bCs/>
                <w:szCs w:val="21"/>
                <w:highlight w:val="none"/>
                <w:lang w:eastAsia="zh-CN"/>
              </w:rPr>
              <w:t>含量</w:t>
            </w:r>
            <w:r>
              <w:rPr>
                <w:bCs/>
                <w:szCs w:val="21"/>
                <w:highlight w:val="none"/>
              </w:rPr>
              <w:t>达25%~30%时，可引起头痛、头晕、乏力、注意力不集中、呼吸和心跳加速、共济失调</w:t>
            </w:r>
            <w:r>
              <w:rPr>
                <w:rFonts w:hint="eastAsia"/>
                <w:bCs/>
                <w:szCs w:val="21"/>
                <w:highlight w:val="none"/>
                <w:lang w:eastAsia="zh-CN"/>
              </w:rPr>
              <w:t>等症状</w:t>
            </w:r>
            <w:r>
              <w:rPr>
                <w:bCs/>
                <w:szCs w:val="21"/>
                <w:highlight w:val="none"/>
              </w:rPr>
              <w:t>。若不及时脱离，可致窒息死亡。皮肤接触液化本品，可致冻伤。</w:t>
            </w:r>
          </w:p>
        </w:tc>
      </w:tr>
      <w:tr w14:paraId="65BD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restart"/>
            <w:tcMar>
              <w:left w:w="108" w:type="dxa"/>
              <w:right w:w="108" w:type="dxa"/>
            </w:tcMar>
            <w:vAlign w:val="center"/>
          </w:tcPr>
          <w:p w14:paraId="29778500">
            <w:pPr>
              <w:jc w:val="center"/>
              <w:rPr>
                <w:bCs/>
                <w:szCs w:val="21"/>
                <w:highlight w:val="none"/>
              </w:rPr>
            </w:pPr>
            <w:r>
              <w:rPr>
                <w:bCs/>
                <w:szCs w:val="21"/>
                <w:highlight w:val="none"/>
              </w:rPr>
              <w:t>燃烧爆炸危险性</w:t>
            </w:r>
          </w:p>
        </w:tc>
        <w:tc>
          <w:tcPr>
            <w:tcW w:w="0" w:type="auto"/>
            <w:tcMar>
              <w:left w:w="108" w:type="dxa"/>
              <w:right w:w="108" w:type="dxa"/>
            </w:tcMar>
            <w:vAlign w:val="center"/>
          </w:tcPr>
          <w:p w14:paraId="4DD248F0">
            <w:pPr>
              <w:jc w:val="center"/>
              <w:rPr>
                <w:bCs/>
                <w:szCs w:val="21"/>
                <w:highlight w:val="none"/>
              </w:rPr>
            </w:pPr>
            <w:r>
              <w:rPr>
                <w:bCs/>
                <w:szCs w:val="21"/>
                <w:highlight w:val="none"/>
              </w:rPr>
              <w:t>燃烧性</w:t>
            </w:r>
          </w:p>
        </w:tc>
        <w:tc>
          <w:tcPr>
            <w:tcW w:w="0" w:type="auto"/>
            <w:tcMar>
              <w:left w:w="108" w:type="dxa"/>
              <w:right w:w="108" w:type="dxa"/>
            </w:tcMar>
            <w:vAlign w:val="center"/>
          </w:tcPr>
          <w:p w14:paraId="091ADB34">
            <w:pPr>
              <w:jc w:val="center"/>
              <w:rPr>
                <w:bCs/>
                <w:szCs w:val="21"/>
                <w:highlight w:val="none"/>
              </w:rPr>
            </w:pPr>
            <w:r>
              <w:rPr>
                <w:bCs/>
                <w:szCs w:val="21"/>
                <w:highlight w:val="none"/>
              </w:rPr>
              <w:t>可燃</w:t>
            </w:r>
          </w:p>
        </w:tc>
        <w:tc>
          <w:tcPr>
            <w:tcW w:w="0" w:type="auto"/>
            <w:gridSpan w:val="2"/>
            <w:tcMar>
              <w:left w:w="108" w:type="dxa"/>
              <w:right w:w="108" w:type="dxa"/>
            </w:tcMar>
            <w:vAlign w:val="center"/>
          </w:tcPr>
          <w:p w14:paraId="2B144FD8">
            <w:pPr>
              <w:jc w:val="center"/>
              <w:rPr>
                <w:bCs/>
                <w:szCs w:val="21"/>
                <w:highlight w:val="none"/>
              </w:rPr>
            </w:pPr>
            <w:r>
              <w:rPr>
                <w:bCs/>
                <w:szCs w:val="21"/>
                <w:highlight w:val="none"/>
              </w:rPr>
              <w:t>燃烧分解物</w:t>
            </w:r>
          </w:p>
        </w:tc>
        <w:tc>
          <w:tcPr>
            <w:tcW w:w="0" w:type="auto"/>
            <w:gridSpan w:val="2"/>
            <w:tcMar>
              <w:left w:w="108" w:type="dxa"/>
              <w:right w:w="108" w:type="dxa"/>
            </w:tcMar>
            <w:vAlign w:val="center"/>
          </w:tcPr>
          <w:p w14:paraId="19367214">
            <w:pPr>
              <w:jc w:val="center"/>
              <w:rPr>
                <w:bCs/>
                <w:szCs w:val="21"/>
                <w:highlight w:val="none"/>
              </w:rPr>
            </w:pPr>
            <w:r>
              <w:rPr>
                <w:bCs/>
                <w:szCs w:val="21"/>
                <w:highlight w:val="none"/>
              </w:rPr>
              <w:t>一氧化碳、二氧化碳。</w:t>
            </w:r>
          </w:p>
        </w:tc>
      </w:tr>
      <w:tr w14:paraId="614C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tcMar>
              <w:left w:w="108" w:type="dxa"/>
              <w:right w:w="108" w:type="dxa"/>
            </w:tcMar>
            <w:vAlign w:val="center"/>
          </w:tcPr>
          <w:p w14:paraId="0245187A">
            <w:pPr>
              <w:jc w:val="center"/>
              <w:rPr>
                <w:bCs/>
                <w:szCs w:val="21"/>
                <w:highlight w:val="none"/>
              </w:rPr>
            </w:pPr>
          </w:p>
        </w:tc>
        <w:tc>
          <w:tcPr>
            <w:tcW w:w="0" w:type="auto"/>
            <w:tcMar>
              <w:left w:w="108" w:type="dxa"/>
              <w:right w:w="108" w:type="dxa"/>
            </w:tcMar>
            <w:vAlign w:val="center"/>
          </w:tcPr>
          <w:p w14:paraId="08E2CBE2">
            <w:pPr>
              <w:jc w:val="center"/>
              <w:rPr>
                <w:rFonts w:hint="eastAsia" w:eastAsia="宋体"/>
                <w:bCs/>
                <w:szCs w:val="21"/>
                <w:highlight w:val="none"/>
                <w:lang w:eastAsia="zh-CN"/>
              </w:rPr>
            </w:pPr>
            <w:r>
              <w:rPr>
                <w:bCs/>
                <w:szCs w:val="21"/>
                <w:highlight w:val="none"/>
              </w:rPr>
              <w:t>闪点</w:t>
            </w:r>
            <w:r>
              <w:rPr>
                <w:rFonts w:hint="eastAsia"/>
                <w:bCs/>
                <w:szCs w:val="21"/>
                <w:highlight w:val="none"/>
                <w:lang w:eastAsia="zh-CN"/>
              </w:rPr>
              <w:t>（</w:t>
            </w:r>
            <w:r>
              <w:rPr>
                <w:bCs/>
                <w:szCs w:val="21"/>
                <w:highlight w:val="none"/>
              </w:rPr>
              <w:t>℃</w:t>
            </w:r>
            <w:r>
              <w:rPr>
                <w:rFonts w:hint="eastAsia"/>
                <w:bCs/>
                <w:szCs w:val="21"/>
                <w:highlight w:val="none"/>
                <w:lang w:eastAsia="zh-CN"/>
              </w:rPr>
              <w:t>）</w:t>
            </w:r>
          </w:p>
        </w:tc>
        <w:tc>
          <w:tcPr>
            <w:tcW w:w="0" w:type="auto"/>
            <w:tcMar>
              <w:left w:w="108" w:type="dxa"/>
              <w:right w:w="108" w:type="dxa"/>
            </w:tcMar>
            <w:vAlign w:val="center"/>
          </w:tcPr>
          <w:p w14:paraId="66682BFF">
            <w:pPr>
              <w:jc w:val="center"/>
              <w:rPr>
                <w:bCs/>
                <w:szCs w:val="21"/>
                <w:highlight w:val="none"/>
              </w:rPr>
            </w:pPr>
            <w:r>
              <w:rPr>
                <w:bCs/>
                <w:szCs w:val="21"/>
                <w:highlight w:val="none"/>
              </w:rPr>
              <w:t>-188</w:t>
            </w:r>
          </w:p>
        </w:tc>
        <w:tc>
          <w:tcPr>
            <w:tcW w:w="0" w:type="auto"/>
            <w:gridSpan w:val="2"/>
            <w:tcMar>
              <w:left w:w="108" w:type="dxa"/>
              <w:right w:w="108" w:type="dxa"/>
            </w:tcMar>
            <w:vAlign w:val="center"/>
          </w:tcPr>
          <w:p w14:paraId="19AB8B86">
            <w:pPr>
              <w:jc w:val="center"/>
              <w:rPr>
                <w:bCs/>
                <w:szCs w:val="21"/>
                <w:highlight w:val="none"/>
              </w:rPr>
            </w:pPr>
            <w:r>
              <w:rPr>
                <w:bCs/>
                <w:szCs w:val="21"/>
                <w:highlight w:val="none"/>
              </w:rPr>
              <w:t>爆炸上限（g/m</w:t>
            </w:r>
            <w:r>
              <w:rPr>
                <w:bCs/>
                <w:szCs w:val="21"/>
                <w:highlight w:val="none"/>
                <w:vertAlign w:val="superscript"/>
              </w:rPr>
              <w:t>3</w:t>
            </w:r>
            <w:r>
              <w:rPr>
                <w:bCs/>
                <w:szCs w:val="21"/>
                <w:highlight w:val="none"/>
              </w:rPr>
              <w:t>）</w:t>
            </w:r>
          </w:p>
        </w:tc>
        <w:tc>
          <w:tcPr>
            <w:tcW w:w="0" w:type="auto"/>
            <w:gridSpan w:val="2"/>
            <w:tcMar>
              <w:left w:w="108" w:type="dxa"/>
              <w:right w:w="108" w:type="dxa"/>
            </w:tcMar>
            <w:vAlign w:val="center"/>
          </w:tcPr>
          <w:p w14:paraId="0564E63C">
            <w:pPr>
              <w:jc w:val="center"/>
              <w:rPr>
                <w:bCs/>
                <w:szCs w:val="21"/>
                <w:highlight w:val="none"/>
              </w:rPr>
            </w:pPr>
            <w:r>
              <w:rPr>
                <w:bCs/>
                <w:szCs w:val="21"/>
                <w:highlight w:val="none"/>
              </w:rPr>
              <w:t>15</w:t>
            </w:r>
          </w:p>
        </w:tc>
      </w:tr>
      <w:tr w14:paraId="3DA3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tcMar>
              <w:left w:w="108" w:type="dxa"/>
              <w:right w:w="108" w:type="dxa"/>
            </w:tcMar>
            <w:vAlign w:val="center"/>
          </w:tcPr>
          <w:p w14:paraId="494E5C88">
            <w:pPr>
              <w:jc w:val="center"/>
              <w:rPr>
                <w:bCs/>
                <w:szCs w:val="21"/>
                <w:highlight w:val="none"/>
              </w:rPr>
            </w:pPr>
          </w:p>
        </w:tc>
        <w:tc>
          <w:tcPr>
            <w:tcW w:w="0" w:type="auto"/>
            <w:tcMar>
              <w:left w:w="108" w:type="dxa"/>
              <w:right w:w="108" w:type="dxa"/>
            </w:tcMar>
            <w:vAlign w:val="center"/>
          </w:tcPr>
          <w:p w14:paraId="2CAD5651">
            <w:pPr>
              <w:jc w:val="center"/>
              <w:rPr>
                <w:rFonts w:hint="eastAsia" w:eastAsia="宋体"/>
                <w:bCs/>
                <w:szCs w:val="21"/>
                <w:highlight w:val="none"/>
                <w:lang w:eastAsia="zh-CN"/>
              </w:rPr>
            </w:pPr>
            <w:r>
              <w:rPr>
                <w:bCs/>
                <w:szCs w:val="21"/>
                <w:highlight w:val="none"/>
              </w:rPr>
              <w:t>自燃温度</w:t>
            </w:r>
            <w:r>
              <w:rPr>
                <w:rFonts w:hint="eastAsia"/>
                <w:bCs/>
                <w:szCs w:val="21"/>
                <w:highlight w:val="none"/>
                <w:lang w:eastAsia="zh-CN"/>
              </w:rPr>
              <w:t>（</w:t>
            </w:r>
            <w:r>
              <w:rPr>
                <w:bCs/>
                <w:szCs w:val="21"/>
                <w:highlight w:val="none"/>
              </w:rPr>
              <w:t>℃</w:t>
            </w:r>
            <w:r>
              <w:rPr>
                <w:rFonts w:hint="eastAsia"/>
                <w:bCs/>
                <w:szCs w:val="21"/>
                <w:highlight w:val="none"/>
                <w:lang w:eastAsia="zh-CN"/>
              </w:rPr>
              <w:t>）</w:t>
            </w:r>
          </w:p>
        </w:tc>
        <w:tc>
          <w:tcPr>
            <w:tcW w:w="0" w:type="auto"/>
            <w:tcMar>
              <w:left w:w="108" w:type="dxa"/>
              <w:right w:w="108" w:type="dxa"/>
            </w:tcMar>
            <w:vAlign w:val="center"/>
          </w:tcPr>
          <w:p w14:paraId="67283B09">
            <w:pPr>
              <w:jc w:val="center"/>
              <w:rPr>
                <w:bCs/>
                <w:szCs w:val="21"/>
                <w:highlight w:val="none"/>
              </w:rPr>
            </w:pPr>
            <w:r>
              <w:rPr>
                <w:bCs/>
                <w:szCs w:val="21"/>
                <w:highlight w:val="none"/>
              </w:rPr>
              <w:t>538</w:t>
            </w:r>
          </w:p>
        </w:tc>
        <w:tc>
          <w:tcPr>
            <w:tcW w:w="0" w:type="auto"/>
            <w:gridSpan w:val="2"/>
            <w:tcMar>
              <w:left w:w="108" w:type="dxa"/>
              <w:right w:w="108" w:type="dxa"/>
            </w:tcMar>
            <w:vAlign w:val="center"/>
          </w:tcPr>
          <w:p w14:paraId="50E96CFD">
            <w:pPr>
              <w:jc w:val="center"/>
              <w:rPr>
                <w:bCs/>
                <w:szCs w:val="21"/>
                <w:highlight w:val="none"/>
              </w:rPr>
            </w:pPr>
            <w:r>
              <w:rPr>
                <w:bCs/>
                <w:szCs w:val="21"/>
                <w:highlight w:val="none"/>
              </w:rPr>
              <w:t>爆炸下限（g/m</w:t>
            </w:r>
            <w:r>
              <w:rPr>
                <w:bCs/>
                <w:szCs w:val="21"/>
                <w:highlight w:val="none"/>
                <w:vertAlign w:val="superscript"/>
              </w:rPr>
              <w:t>3</w:t>
            </w:r>
            <w:r>
              <w:rPr>
                <w:bCs/>
                <w:szCs w:val="21"/>
                <w:highlight w:val="none"/>
              </w:rPr>
              <w:t>）</w:t>
            </w:r>
          </w:p>
        </w:tc>
        <w:tc>
          <w:tcPr>
            <w:tcW w:w="0" w:type="auto"/>
            <w:gridSpan w:val="2"/>
            <w:tcMar>
              <w:left w:w="108" w:type="dxa"/>
              <w:right w:w="108" w:type="dxa"/>
            </w:tcMar>
            <w:vAlign w:val="center"/>
          </w:tcPr>
          <w:p w14:paraId="62D3B056">
            <w:pPr>
              <w:jc w:val="center"/>
              <w:rPr>
                <w:bCs/>
                <w:szCs w:val="21"/>
                <w:highlight w:val="none"/>
              </w:rPr>
            </w:pPr>
            <w:r>
              <w:rPr>
                <w:bCs/>
                <w:szCs w:val="21"/>
                <w:highlight w:val="none"/>
              </w:rPr>
              <w:t>5.3</w:t>
            </w:r>
          </w:p>
        </w:tc>
      </w:tr>
      <w:tr w14:paraId="7799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tcMar>
              <w:left w:w="108" w:type="dxa"/>
              <w:right w:w="108" w:type="dxa"/>
            </w:tcMar>
            <w:vAlign w:val="center"/>
          </w:tcPr>
          <w:p w14:paraId="7473E7F5">
            <w:pPr>
              <w:jc w:val="center"/>
              <w:rPr>
                <w:bCs/>
                <w:szCs w:val="21"/>
                <w:highlight w:val="none"/>
              </w:rPr>
            </w:pPr>
          </w:p>
        </w:tc>
        <w:tc>
          <w:tcPr>
            <w:tcW w:w="0" w:type="auto"/>
            <w:tcMar>
              <w:left w:w="108" w:type="dxa"/>
              <w:right w:w="108" w:type="dxa"/>
            </w:tcMar>
            <w:vAlign w:val="center"/>
          </w:tcPr>
          <w:p w14:paraId="55DB5AFA">
            <w:pPr>
              <w:jc w:val="center"/>
              <w:rPr>
                <w:bCs/>
                <w:szCs w:val="21"/>
                <w:highlight w:val="none"/>
              </w:rPr>
            </w:pPr>
            <w:r>
              <w:rPr>
                <w:bCs/>
                <w:szCs w:val="21"/>
                <w:highlight w:val="none"/>
              </w:rPr>
              <w:t>危险特性</w:t>
            </w:r>
          </w:p>
        </w:tc>
        <w:tc>
          <w:tcPr>
            <w:tcW w:w="0" w:type="auto"/>
            <w:gridSpan w:val="5"/>
            <w:tcMar>
              <w:left w:w="108" w:type="dxa"/>
              <w:right w:w="108" w:type="dxa"/>
            </w:tcMar>
            <w:vAlign w:val="center"/>
          </w:tcPr>
          <w:p w14:paraId="4CBD0158">
            <w:pPr>
              <w:jc w:val="center"/>
              <w:rPr>
                <w:bCs/>
                <w:szCs w:val="21"/>
                <w:highlight w:val="none"/>
              </w:rPr>
            </w:pPr>
            <w:r>
              <w:rPr>
                <w:bCs/>
                <w:szCs w:val="21"/>
                <w:highlight w:val="none"/>
              </w:rPr>
              <w:t>易燃。与空气混合能形成爆炸性混合物，遇热源和明火有燃烧爆炸的危险。</w:t>
            </w:r>
          </w:p>
        </w:tc>
      </w:tr>
      <w:tr w14:paraId="3220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tcMar>
              <w:left w:w="108" w:type="dxa"/>
              <w:right w:w="108" w:type="dxa"/>
            </w:tcMar>
            <w:vAlign w:val="center"/>
          </w:tcPr>
          <w:p w14:paraId="7F615C48">
            <w:pPr>
              <w:jc w:val="center"/>
              <w:rPr>
                <w:bCs/>
                <w:szCs w:val="21"/>
                <w:highlight w:val="none"/>
              </w:rPr>
            </w:pPr>
          </w:p>
        </w:tc>
        <w:tc>
          <w:tcPr>
            <w:tcW w:w="0" w:type="auto"/>
            <w:tcMar>
              <w:left w:w="108" w:type="dxa"/>
              <w:right w:w="108" w:type="dxa"/>
            </w:tcMar>
            <w:vAlign w:val="center"/>
          </w:tcPr>
          <w:p w14:paraId="107D6164">
            <w:pPr>
              <w:jc w:val="center"/>
              <w:rPr>
                <w:bCs/>
                <w:szCs w:val="21"/>
                <w:highlight w:val="none"/>
              </w:rPr>
            </w:pPr>
            <w:r>
              <w:rPr>
                <w:bCs/>
                <w:szCs w:val="21"/>
                <w:highlight w:val="none"/>
              </w:rPr>
              <w:t>建筑火灾分级</w:t>
            </w:r>
          </w:p>
        </w:tc>
        <w:tc>
          <w:tcPr>
            <w:tcW w:w="0" w:type="auto"/>
            <w:tcMar>
              <w:left w:w="108" w:type="dxa"/>
              <w:right w:w="108" w:type="dxa"/>
            </w:tcMar>
            <w:vAlign w:val="center"/>
          </w:tcPr>
          <w:p w14:paraId="6D6D755D">
            <w:pPr>
              <w:jc w:val="center"/>
              <w:rPr>
                <w:bCs/>
                <w:szCs w:val="21"/>
                <w:highlight w:val="none"/>
              </w:rPr>
            </w:pPr>
            <w:r>
              <w:rPr>
                <w:bCs/>
                <w:szCs w:val="21"/>
                <w:highlight w:val="none"/>
              </w:rPr>
              <w:t>甲类</w:t>
            </w:r>
          </w:p>
        </w:tc>
        <w:tc>
          <w:tcPr>
            <w:tcW w:w="0" w:type="auto"/>
            <w:tcMar>
              <w:left w:w="108" w:type="dxa"/>
              <w:right w:w="108" w:type="dxa"/>
            </w:tcMar>
            <w:vAlign w:val="center"/>
          </w:tcPr>
          <w:p w14:paraId="29016891">
            <w:pPr>
              <w:jc w:val="center"/>
              <w:rPr>
                <w:bCs/>
                <w:szCs w:val="21"/>
                <w:highlight w:val="none"/>
              </w:rPr>
            </w:pPr>
            <w:r>
              <w:rPr>
                <w:bCs/>
                <w:szCs w:val="21"/>
                <w:highlight w:val="none"/>
              </w:rPr>
              <w:t>稳定性</w:t>
            </w:r>
          </w:p>
        </w:tc>
        <w:tc>
          <w:tcPr>
            <w:tcW w:w="0" w:type="auto"/>
            <w:tcMar>
              <w:left w:w="108" w:type="dxa"/>
              <w:right w:w="108" w:type="dxa"/>
            </w:tcMar>
            <w:vAlign w:val="center"/>
          </w:tcPr>
          <w:p w14:paraId="7366688F">
            <w:pPr>
              <w:jc w:val="center"/>
              <w:rPr>
                <w:bCs/>
                <w:szCs w:val="21"/>
                <w:highlight w:val="none"/>
              </w:rPr>
            </w:pPr>
            <w:r>
              <w:rPr>
                <w:bCs/>
                <w:szCs w:val="21"/>
                <w:highlight w:val="none"/>
              </w:rPr>
              <w:t>稳定</w:t>
            </w:r>
          </w:p>
        </w:tc>
        <w:tc>
          <w:tcPr>
            <w:tcW w:w="0" w:type="auto"/>
            <w:tcMar>
              <w:left w:w="108" w:type="dxa"/>
              <w:right w:w="108" w:type="dxa"/>
            </w:tcMar>
            <w:vAlign w:val="center"/>
          </w:tcPr>
          <w:p w14:paraId="1EC2A18A">
            <w:pPr>
              <w:jc w:val="center"/>
              <w:rPr>
                <w:bCs/>
                <w:szCs w:val="21"/>
                <w:highlight w:val="none"/>
              </w:rPr>
            </w:pPr>
            <w:r>
              <w:rPr>
                <w:bCs/>
                <w:szCs w:val="21"/>
                <w:highlight w:val="none"/>
              </w:rPr>
              <w:t>聚合危害</w:t>
            </w:r>
          </w:p>
        </w:tc>
        <w:tc>
          <w:tcPr>
            <w:tcW w:w="0" w:type="auto"/>
            <w:tcMar>
              <w:left w:w="108" w:type="dxa"/>
              <w:right w:w="108" w:type="dxa"/>
            </w:tcMar>
            <w:vAlign w:val="center"/>
          </w:tcPr>
          <w:p w14:paraId="3C43B44B">
            <w:pPr>
              <w:jc w:val="center"/>
              <w:rPr>
                <w:bCs/>
                <w:szCs w:val="21"/>
                <w:highlight w:val="none"/>
              </w:rPr>
            </w:pPr>
            <w:r>
              <w:rPr>
                <w:bCs/>
                <w:szCs w:val="21"/>
                <w:highlight w:val="none"/>
              </w:rPr>
              <w:t>不聚合</w:t>
            </w:r>
          </w:p>
        </w:tc>
      </w:tr>
      <w:tr w14:paraId="468D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tcMar>
              <w:left w:w="108" w:type="dxa"/>
              <w:right w:w="108" w:type="dxa"/>
            </w:tcMar>
            <w:vAlign w:val="center"/>
          </w:tcPr>
          <w:p w14:paraId="4202A1A7">
            <w:pPr>
              <w:jc w:val="center"/>
              <w:rPr>
                <w:bCs/>
                <w:szCs w:val="21"/>
                <w:highlight w:val="none"/>
              </w:rPr>
            </w:pPr>
          </w:p>
        </w:tc>
        <w:tc>
          <w:tcPr>
            <w:tcW w:w="0" w:type="auto"/>
            <w:tcMar>
              <w:left w:w="108" w:type="dxa"/>
              <w:right w:w="108" w:type="dxa"/>
            </w:tcMar>
            <w:vAlign w:val="center"/>
          </w:tcPr>
          <w:p w14:paraId="75AD1D3A">
            <w:pPr>
              <w:jc w:val="center"/>
              <w:rPr>
                <w:bCs/>
                <w:szCs w:val="21"/>
                <w:highlight w:val="none"/>
              </w:rPr>
            </w:pPr>
            <w:r>
              <w:rPr>
                <w:bCs/>
                <w:szCs w:val="21"/>
                <w:highlight w:val="none"/>
              </w:rPr>
              <w:t>禁忌物</w:t>
            </w:r>
          </w:p>
        </w:tc>
        <w:tc>
          <w:tcPr>
            <w:tcW w:w="0" w:type="auto"/>
            <w:gridSpan w:val="5"/>
            <w:tcMar>
              <w:left w:w="108" w:type="dxa"/>
              <w:right w:w="108" w:type="dxa"/>
            </w:tcMar>
            <w:vAlign w:val="center"/>
          </w:tcPr>
          <w:p w14:paraId="0DC0007C">
            <w:pPr>
              <w:jc w:val="center"/>
              <w:rPr>
                <w:bCs/>
                <w:szCs w:val="21"/>
                <w:highlight w:val="none"/>
              </w:rPr>
            </w:pPr>
            <w:r>
              <w:rPr>
                <w:bCs/>
                <w:szCs w:val="21"/>
                <w:highlight w:val="none"/>
              </w:rPr>
              <w:t>强氧化剂、卤素、强酸、强碱等。</w:t>
            </w:r>
          </w:p>
        </w:tc>
      </w:tr>
      <w:tr w14:paraId="3299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tcMar>
              <w:left w:w="108" w:type="dxa"/>
              <w:right w:w="108" w:type="dxa"/>
            </w:tcMar>
            <w:vAlign w:val="center"/>
          </w:tcPr>
          <w:p w14:paraId="24524525">
            <w:pPr>
              <w:jc w:val="center"/>
              <w:rPr>
                <w:bCs/>
                <w:szCs w:val="21"/>
                <w:highlight w:val="none"/>
              </w:rPr>
            </w:pPr>
          </w:p>
        </w:tc>
        <w:tc>
          <w:tcPr>
            <w:tcW w:w="0" w:type="auto"/>
            <w:tcMar>
              <w:left w:w="108" w:type="dxa"/>
              <w:right w:w="108" w:type="dxa"/>
            </w:tcMar>
            <w:vAlign w:val="center"/>
          </w:tcPr>
          <w:p w14:paraId="430EE957">
            <w:pPr>
              <w:jc w:val="center"/>
              <w:rPr>
                <w:bCs/>
                <w:szCs w:val="21"/>
                <w:highlight w:val="none"/>
              </w:rPr>
            </w:pPr>
            <w:r>
              <w:rPr>
                <w:bCs/>
                <w:szCs w:val="21"/>
                <w:highlight w:val="none"/>
              </w:rPr>
              <w:t>灭火方法</w:t>
            </w:r>
          </w:p>
        </w:tc>
        <w:tc>
          <w:tcPr>
            <w:tcW w:w="0" w:type="auto"/>
            <w:gridSpan w:val="5"/>
            <w:tcMar>
              <w:left w:w="108" w:type="dxa"/>
              <w:right w:w="108" w:type="dxa"/>
            </w:tcMar>
            <w:vAlign w:val="center"/>
          </w:tcPr>
          <w:p w14:paraId="08AA0088">
            <w:pPr>
              <w:jc w:val="center"/>
              <w:rPr>
                <w:bCs/>
                <w:szCs w:val="21"/>
                <w:highlight w:val="none"/>
              </w:rPr>
            </w:pPr>
            <w:r>
              <w:rPr>
                <w:bCs/>
                <w:szCs w:val="21"/>
                <w:highlight w:val="none"/>
              </w:rPr>
              <w:t>切断气源。若不能切断气源，则不允许熄灭泄漏处的火焰。喷水冷却容器，可能的话将容器从火场移至空旷处。</w:t>
            </w:r>
          </w:p>
        </w:tc>
      </w:tr>
      <w:tr w14:paraId="3B4C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Mar>
              <w:left w:w="108" w:type="dxa"/>
              <w:right w:w="108" w:type="dxa"/>
            </w:tcMar>
            <w:vAlign w:val="center"/>
          </w:tcPr>
          <w:p w14:paraId="2B43C5FD">
            <w:pPr>
              <w:jc w:val="center"/>
              <w:rPr>
                <w:bCs/>
                <w:szCs w:val="21"/>
                <w:highlight w:val="none"/>
              </w:rPr>
            </w:pPr>
            <w:r>
              <w:rPr>
                <w:bCs/>
                <w:szCs w:val="21"/>
                <w:highlight w:val="none"/>
              </w:rPr>
              <w:t>急救措施</w:t>
            </w:r>
          </w:p>
        </w:tc>
        <w:tc>
          <w:tcPr>
            <w:tcW w:w="0" w:type="auto"/>
            <w:gridSpan w:val="6"/>
            <w:tcMar>
              <w:left w:w="108" w:type="dxa"/>
              <w:right w:w="108" w:type="dxa"/>
            </w:tcMar>
            <w:vAlign w:val="center"/>
          </w:tcPr>
          <w:p w14:paraId="7AD53877">
            <w:pPr>
              <w:jc w:val="center"/>
              <w:rPr>
                <w:bCs/>
                <w:szCs w:val="21"/>
                <w:highlight w:val="none"/>
              </w:rPr>
            </w:pPr>
            <w:r>
              <w:rPr>
                <w:bCs/>
                <w:szCs w:val="21"/>
                <w:highlight w:val="none"/>
              </w:rPr>
              <w:t>吸入：新鲜空气，休息。必要时进行人工呼吸，给予医疗护理。皮肤接触：冻伤时，用大量水冲洗。不要脱去衣服，给予医疗护理。眼睛接触：先用大量水冲洗几分钟（如可能易行，摘除隐形眼镜），然后就医。食入：漱口，禁止催吐，立即就医。</w:t>
            </w:r>
          </w:p>
        </w:tc>
      </w:tr>
      <w:tr w14:paraId="4B46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Mar>
              <w:left w:w="108" w:type="dxa"/>
              <w:right w:w="108" w:type="dxa"/>
            </w:tcMar>
            <w:vAlign w:val="center"/>
          </w:tcPr>
          <w:p w14:paraId="5FC70137">
            <w:pPr>
              <w:jc w:val="center"/>
              <w:rPr>
                <w:bCs/>
                <w:szCs w:val="21"/>
                <w:highlight w:val="none"/>
              </w:rPr>
            </w:pPr>
            <w:r>
              <w:rPr>
                <w:bCs/>
                <w:szCs w:val="21"/>
                <w:highlight w:val="none"/>
              </w:rPr>
              <w:t>泄漏处置</w:t>
            </w:r>
          </w:p>
        </w:tc>
        <w:tc>
          <w:tcPr>
            <w:tcW w:w="0" w:type="auto"/>
            <w:gridSpan w:val="6"/>
            <w:tcMar>
              <w:left w:w="108" w:type="dxa"/>
              <w:right w:w="108" w:type="dxa"/>
            </w:tcMar>
            <w:vAlign w:val="center"/>
          </w:tcPr>
          <w:p w14:paraId="3A185A2E">
            <w:pPr>
              <w:jc w:val="center"/>
              <w:rPr>
                <w:bCs/>
                <w:szCs w:val="21"/>
                <w:highlight w:val="none"/>
              </w:rPr>
            </w:pPr>
            <w:r>
              <w:rPr>
                <w:bCs/>
                <w:szCs w:val="21"/>
                <w:highlight w:val="none"/>
              </w:rPr>
              <w:t>隔离泄漏区，限制出入。建议应急处理人员穿戴自给正压式呼吸器，穿防酸碱工作服。不要轻易直接接触泄漏物。小量泄漏：尽可能将泄漏液体收集在可密闭的容器中。用沙土、活性炭或其</w:t>
            </w:r>
            <w:r>
              <w:rPr>
                <w:rFonts w:hint="eastAsia"/>
                <w:bCs/>
                <w:szCs w:val="21"/>
                <w:highlight w:val="none"/>
                <w:lang w:eastAsia="zh-CN"/>
              </w:rPr>
              <w:t>他</w:t>
            </w:r>
            <w:r>
              <w:rPr>
                <w:bCs/>
                <w:szCs w:val="21"/>
                <w:highlight w:val="none"/>
              </w:rPr>
              <w:t>惰性材料吸收，并转移至安全场所。不断输入下水道。大量泄漏：构筑围堤或挖坑收容。封闭排水管道，用泡沫覆盖，抑制蒸发。用防爆泵转移至槽车或专用收集器内，回收</w:t>
            </w:r>
            <w:r>
              <w:rPr>
                <w:rFonts w:hint="eastAsia"/>
                <w:bCs/>
                <w:szCs w:val="21"/>
                <w:highlight w:val="none"/>
                <w:lang w:eastAsia="zh-CN"/>
              </w:rPr>
              <w:t>运输</w:t>
            </w:r>
            <w:r>
              <w:rPr>
                <w:bCs/>
                <w:szCs w:val="21"/>
                <w:highlight w:val="none"/>
              </w:rPr>
              <w:t>至或废物处理场所处置。</w:t>
            </w:r>
          </w:p>
        </w:tc>
      </w:tr>
      <w:tr w14:paraId="22A7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Mar>
              <w:left w:w="108" w:type="dxa"/>
              <w:right w:w="108" w:type="dxa"/>
            </w:tcMar>
            <w:vAlign w:val="center"/>
          </w:tcPr>
          <w:p w14:paraId="0536673B">
            <w:pPr>
              <w:jc w:val="center"/>
              <w:rPr>
                <w:bCs/>
                <w:szCs w:val="21"/>
                <w:highlight w:val="none"/>
              </w:rPr>
            </w:pPr>
            <w:r>
              <w:rPr>
                <w:bCs/>
                <w:szCs w:val="21"/>
                <w:highlight w:val="none"/>
              </w:rPr>
              <w:t>储运注意事项</w:t>
            </w:r>
          </w:p>
        </w:tc>
        <w:tc>
          <w:tcPr>
            <w:tcW w:w="0" w:type="auto"/>
            <w:gridSpan w:val="6"/>
            <w:tcMar>
              <w:left w:w="108" w:type="dxa"/>
              <w:right w:w="108" w:type="dxa"/>
            </w:tcMar>
            <w:vAlign w:val="center"/>
          </w:tcPr>
          <w:p w14:paraId="26B00D19">
            <w:pPr>
              <w:jc w:val="center"/>
              <w:rPr>
                <w:bCs/>
                <w:szCs w:val="21"/>
                <w:highlight w:val="none"/>
              </w:rPr>
            </w:pPr>
            <w:r>
              <w:rPr>
                <w:bCs/>
                <w:szCs w:val="21"/>
                <w:highlight w:val="none"/>
              </w:rPr>
              <w:t>储存：储存于阴凉、通风的库房。远离火种、热源。库温不宜超过30℃。应与氧化剂等分开存放，切忌混储。采用防爆照明、通风设施。禁止使用产生火花的机械设备和工具。储区应备有泄漏应急处理设备。运输：运输车辆应有危险货物运输标志、安装具有行驶记录功能的卫星定位装置。未经公安机关批准，运输车辆不得进入危险化学品运输车辆限制通行的区域。槽车和运输卡车要有静电拖线；槽车上要备有2只以上干粉或二氧化碳灭火器和防爆工具；要有遮阳措施，防止阳光直射。车辆运输钢瓶时，瓶口一律朝向车辆行驶方向的右方。堆放高度不得超过车辆的</w:t>
            </w:r>
            <w:r>
              <w:rPr>
                <w:rFonts w:hint="eastAsia"/>
                <w:bCs/>
                <w:szCs w:val="21"/>
                <w:highlight w:val="none"/>
              </w:rPr>
              <w:t>防护栏板，并用三角木垫卡牢，防止滚动。不准同车混装有抵触性质的物品和让无关人员搭车运输途中远离火种，不准在有明火地点或人多地段停车，停车时要有人看管。发生</w:t>
            </w:r>
            <w:r>
              <w:rPr>
                <w:rFonts w:hint="eastAsia"/>
                <w:bCs/>
                <w:szCs w:val="21"/>
                <w:highlight w:val="none"/>
                <w:lang w:eastAsia="zh-CN"/>
              </w:rPr>
              <w:t>泄漏</w:t>
            </w:r>
            <w:r>
              <w:rPr>
                <w:rFonts w:hint="eastAsia"/>
                <w:bCs/>
                <w:szCs w:val="21"/>
                <w:highlight w:val="none"/>
              </w:rPr>
              <w:t>或火灾</w:t>
            </w:r>
            <w:r>
              <w:rPr>
                <w:rFonts w:hint="eastAsia"/>
                <w:bCs/>
                <w:szCs w:val="21"/>
                <w:highlight w:val="none"/>
                <w:lang w:eastAsia="zh-CN"/>
              </w:rPr>
              <w:t>要</w:t>
            </w:r>
            <w:r>
              <w:rPr>
                <w:rFonts w:hint="eastAsia"/>
                <w:bCs/>
                <w:szCs w:val="21"/>
                <w:highlight w:val="none"/>
              </w:rPr>
              <w:t>到安全地方进行灭火或堵漏。</w:t>
            </w:r>
          </w:p>
        </w:tc>
      </w:tr>
    </w:tbl>
    <w:p w14:paraId="081CFCB7">
      <w:pPr>
        <w:spacing w:line="360" w:lineRule="auto"/>
        <w:jc w:val="center"/>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表</w:t>
      </w:r>
      <w:r>
        <w:rPr>
          <w:rFonts w:hint="eastAsia" w:cs="Times New Roman"/>
          <w:b/>
          <w:bCs/>
          <w:sz w:val="21"/>
          <w:szCs w:val="21"/>
          <w:highlight w:val="none"/>
          <w:lang w:val="en-US" w:eastAsia="zh-CN"/>
        </w:rPr>
        <w:t>3.2</w:t>
      </w:r>
      <w:r>
        <w:rPr>
          <w:rFonts w:hint="eastAsia" w:ascii="Times New Roman" w:hAnsi="Times New Roman" w:eastAsia="宋体" w:cs="Times New Roman"/>
          <w:b/>
          <w:bCs/>
          <w:sz w:val="21"/>
          <w:szCs w:val="21"/>
          <w:highlight w:val="none"/>
          <w:lang w:val="en-US" w:eastAsia="zh-CN"/>
        </w:rPr>
        <w:t>-4   丁醇的化学性质及危险特性</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9"/>
        <w:gridCol w:w="1436"/>
        <w:gridCol w:w="1170"/>
        <w:gridCol w:w="3195"/>
        <w:gridCol w:w="2300"/>
      </w:tblGrid>
      <w:tr w14:paraId="1397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499EFE56">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标识</w:t>
            </w:r>
          </w:p>
        </w:tc>
        <w:tc>
          <w:tcPr>
            <w:tcW w:w="0" w:type="auto"/>
            <w:gridSpan w:val="3"/>
            <w:tcMar>
              <w:left w:w="108" w:type="dxa"/>
              <w:right w:w="108" w:type="dxa"/>
            </w:tcMar>
            <w:vAlign w:val="center"/>
          </w:tcPr>
          <w:p w14:paraId="11BD31FD">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中文别名：正丁醇 英文名：butyl alcohol</w:t>
            </w:r>
          </w:p>
        </w:tc>
        <w:tc>
          <w:tcPr>
            <w:tcW w:w="0" w:type="auto"/>
            <w:tcMar>
              <w:left w:w="108" w:type="dxa"/>
              <w:right w:w="108" w:type="dxa"/>
            </w:tcMar>
            <w:vAlign w:val="center"/>
          </w:tcPr>
          <w:p w14:paraId="1A12936E">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UN编号：1120</w:t>
            </w:r>
          </w:p>
        </w:tc>
      </w:tr>
      <w:tr w14:paraId="4DC9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4C71F037">
            <w:pPr>
              <w:jc w:val="center"/>
              <w:rPr>
                <w:rFonts w:ascii="Times New Roman" w:hAnsi="Times New Roman" w:eastAsia="宋体" w:cs="Times New Roman"/>
                <w:bCs/>
                <w:szCs w:val="21"/>
                <w:highlight w:val="none"/>
              </w:rPr>
            </w:pPr>
          </w:p>
        </w:tc>
        <w:tc>
          <w:tcPr>
            <w:tcW w:w="0" w:type="auto"/>
            <w:gridSpan w:val="2"/>
            <w:tcMar>
              <w:left w:w="108" w:type="dxa"/>
              <w:right w:w="108" w:type="dxa"/>
            </w:tcMar>
            <w:vAlign w:val="center"/>
          </w:tcPr>
          <w:p w14:paraId="44D56090">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CAS号：71-36-3</w:t>
            </w:r>
          </w:p>
        </w:tc>
        <w:tc>
          <w:tcPr>
            <w:tcW w:w="0" w:type="auto"/>
            <w:tcMar>
              <w:left w:w="108" w:type="dxa"/>
              <w:right w:w="108" w:type="dxa"/>
            </w:tcMar>
            <w:vAlign w:val="center"/>
          </w:tcPr>
          <w:p w14:paraId="4A06519C">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危险化学品编号：33552</w:t>
            </w:r>
          </w:p>
        </w:tc>
        <w:tc>
          <w:tcPr>
            <w:tcW w:w="0" w:type="auto"/>
            <w:tcMar>
              <w:left w:w="108" w:type="dxa"/>
              <w:right w:w="108" w:type="dxa"/>
            </w:tcMar>
            <w:vAlign w:val="center"/>
          </w:tcPr>
          <w:p w14:paraId="115C1024">
            <w:pPr>
              <w:jc w:val="center"/>
              <w:rPr>
                <w:rFonts w:hint="eastAsia" w:ascii="Times New Roman" w:hAnsi="Times New Roman" w:eastAsia="宋体" w:cs="Times New Roman"/>
                <w:bCs/>
                <w:szCs w:val="21"/>
                <w:highlight w:val="none"/>
                <w:lang w:val="en-US" w:eastAsia="zh-CN"/>
              </w:rPr>
            </w:pPr>
            <w:r>
              <w:rPr>
                <w:rFonts w:hint="eastAsia" w:cs="Times New Roman"/>
                <w:bCs/>
                <w:szCs w:val="21"/>
                <w:highlight w:val="none"/>
                <w:lang w:val="en-US" w:eastAsia="zh-CN"/>
              </w:rPr>
              <w:t>/</w:t>
            </w:r>
          </w:p>
        </w:tc>
      </w:tr>
      <w:tr w14:paraId="1BF4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1EE84495">
            <w:pPr>
              <w:jc w:val="center"/>
              <w:rPr>
                <w:rFonts w:ascii="Times New Roman" w:hAnsi="Times New Roman" w:eastAsia="宋体" w:cs="Times New Roman"/>
                <w:bCs/>
                <w:szCs w:val="21"/>
                <w:highlight w:val="none"/>
              </w:rPr>
            </w:pPr>
          </w:p>
        </w:tc>
        <w:tc>
          <w:tcPr>
            <w:tcW w:w="0" w:type="auto"/>
            <w:gridSpan w:val="2"/>
            <w:tcMar>
              <w:left w:w="108" w:type="dxa"/>
              <w:right w:w="108" w:type="dxa"/>
            </w:tcMar>
            <w:vAlign w:val="center"/>
          </w:tcPr>
          <w:p w14:paraId="694CA1D4">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分子式：C</w:t>
            </w:r>
            <w:r>
              <w:rPr>
                <w:rFonts w:ascii="Times New Roman" w:hAnsi="Times New Roman" w:eastAsia="宋体" w:cs="Times New Roman"/>
                <w:bCs/>
                <w:szCs w:val="21"/>
                <w:highlight w:val="none"/>
                <w:vertAlign w:val="subscript"/>
              </w:rPr>
              <w:t>4</w:t>
            </w:r>
            <w:r>
              <w:rPr>
                <w:rFonts w:ascii="Times New Roman" w:hAnsi="Times New Roman" w:eastAsia="宋体" w:cs="Times New Roman"/>
                <w:bCs/>
                <w:szCs w:val="21"/>
                <w:highlight w:val="none"/>
              </w:rPr>
              <w:t>H</w:t>
            </w:r>
            <w:r>
              <w:rPr>
                <w:rFonts w:ascii="Times New Roman" w:hAnsi="Times New Roman" w:eastAsia="宋体" w:cs="Times New Roman"/>
                <w:bCs/>
                <w:szCs w:val="21"/>
                <w:highlight w:val="none"/>
                <w:vertAlign w:val="subscript"/>
              </w:rPr>
              <w:t>10</w:t>
            </w:r>
            <w:r>
              <w:rPr>
                <w:rFonts w:ascii="Times New Roman" w:hAnsi="Times New Roman" w:eastAsia="宋体" w:cs="Times New Roman"/>
                <w:bCs/>
                <w:szCs w:val="21"/>
                <w:highlight w:val="none"/>
              </w:rPr>
              <w:t>O</w:t>
            </w:r>
          </w:p>
        </w:tc>
        <w:tc>
          <w:tcPr>
            <w:tcW w:w="0" w:type="auto"/>
            <w:tcMar>
              <w:left w:w="108" w:type="dxa"/>
              <w:right w:w="108" w:type="dxa"/>
            </w:tcMar>
            <w:vAlign w:val="center"/>
          </w:tcPr>
          <w:p w14:paraId="5CD4B803">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分子量：74.12</w:t>
            </w:r>
          </w:p>
        </w:tc>
        <w:tc>
          <w:tcPr>
            <w:tcW w:w="0" w:type="auto"/>
            <w:tcMar>
              <w:left w:w="108" w:type="dxa"/>
              <w:right w:w="108" w:type="dxa"/>
            </w:tcMar>
            <w:vAlign w:val="center"/>
          </w:tcPr>
          <w:p w14:paraId="50FC6EE8">
            <w:pPr>
              <w:jc w:val="center"/>
              <w:rPr>
                <w:rFonts w:hint="eastAsia" w:ascii="Times New Roman" w:hAnsi="Times New Roman" w:eastAsia="宋体" w:cs="Times New Roman"/>
                <w:bCs/>
                <w:szCs w:val="21"/>
                <w:highlight w:val="none"/>
                <w:lang w:val="en-US" w:eastAsia="zh-CN"/>
              </w:rPr>
            </w:pPr>
            <w:r>
              <w:rPr>
                <w:rFonts w:hint="eastAsia" w:cs="Times New Roman"/>
                <w:bCs/>
                <w:szCs w:val="21"/>
                <w:highlight w:val="none"/>
                <w:lang w:val="en-US" w:eastAsia="zh-CN"/>
              </w:rPr>
              <w:t>/</w:t>
            </w:r>
          </w:p>
        </w:tc>
      </w:tr>
      <w:tr w14:paraId="6B7E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2EFF21F4">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理化性质</w:t>
            </w:r>
          </w:p>
        </w:tc>
        <w:tc>
          <w:tcPr>
            <w:tcW w:w="0" w:type="auto"/>
            <w:tcMar>
              <w:left w:w="108" w:type="dxa"/>
              <w:right w:w="108" w:type="dxa"/>
            </w:tcMar>
            <w:vAlign w:val="center"/>
          </w:tcPr>
          <w:p w14:paraId="73EEF83C">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外观与形状</w:t>
            </w:r>
          </w:p>
        </w:tc>
        <w:tc>
          <w:tcPr>
            <w:tcW w:w="0" w:type="auto"/>
            <w:gridSpan w:val="3"/>
            <w:tcMar>
              <w:left w:w="108" w:type="dxa"/>
              <w:right w:w="108" w:type="dxa"/>
            </w:tcMar>
            <w:vAlign w:val="center"/>
          </w:tcPr>
          <w:p w14:paraId="13F40F4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无色透明液体，具有特殊气味。</w:t>
            </w:r>
          </w:p>
        </w:tc>
      </w:tr>
      <w:tr w14:paraId="1997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4D839E56">
            <w:pPr>
              <w:jc w:val="center"/>
              <w:rPr>
                <w:rFonts w:ascii="Times New Roman" w:hAnsi="Times New Roman" w:eastAsia="宋体" w:cs="Times New Roman"/>
                <w:bCs/>
                <w:szCs w:val="21"/>
                <w:highlight w:val="none"/>
              </w:rPr>
            </w:pPr>
          </w:p>
        </w:tc>
        <w:tc>
          <w:tcPr>
            <w:tcW w:w="0" w:type="auto"/>
            <w:tcMar>
              <w:left w:w="108" w:type="dxa"/>
              <w:right w:w="108" w:type="dxa"/>
            </w:tcMar>
            <w:vAlign w:val="center"/>
          </w:tcPr>
          <w:p w14:paraId="130203B5">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熔点（℃）</w:t>
            </w:r>
          </w:p>
        </w:tc>
        <w:tc>
          <w:tcPr>
            <w:tcW w:w="0" w:type="auto"/>
            <w:tcMar>
              <w:left w:w="108" w:type="dxa"/>
              <w:right w:w="108" w:type="dxa"/>
            </w:tcMar>
            <w:vAlign w:val="center"/>
          </w:tcPr>
          <w:p w14:paraId="20DFFF3E">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-88.9</w:t>
            </w:r>
          </w:p>
        </w:tc>
        <w:tc>
          <w:tcPr>
            <w:tcW w:w="0" w:type="auto"/>
            <w:tcMar>
              <w:left w:w="108" w:type="dxa"/>
              <w:right w:w="108" w:type="dxa"/>
            </w:tcMar>
            <w:vAlign w:val="center"/>
          </w:tcPr>
          <w:p w14:paraId="42021D44">
            <w:pPr>
              <w:jc w:val="center"/>
              <w:rPr>
                <w:rFonts w:hint="eastAsia" w:ascii="Times New Roman" w:hAnsi="Times New Roman" w:eastAsia="宋体" w:cs="Times New Roman"/>
                <w:bCs/>
                <w:szCs w:val="21"/>
                <w:highlight w:val="none"/>
                <w:lang w:eastAsia="zh-CN"/>
              </w:rPr>
            </w:pPr>
            <w:r>
              <w:rPr>
                <w:rFonts w:ascii="Times New Roman" w:hAnsi="Times New Roman" w:eastAsia="宋体" w:cs="Times New Roman"/>
                <w:bCs/>
                <w:szCs w:val="21"/>
                <w:highlight w:val="none"/>
              </w:rPr>
              <w:t>相对密度</w:t>
            </w:r>
            <w:r>
              <w:rPr>
                <w:rFonts w:hint="eastAsia" w:cs="Times New Roman"/>
                <w:bCs/>
                <w:szCs w:val="21"/>
                <w:highlight w:val="none"/>
                <w:lang w:eastAsia="zh-CN"/>
              </w:rPr>
              <w:t>（</w:t>
            </w:r>
            <w:r>
              <w:rPr>
                <w:rFonts w:ascii="Times New Roman" w:hAnsi="Times New Roman" w:eastAsia="宋体" w:cs="Times New Roman"/>
                <w:bCs/>
                <w:szCs w:val="21"/>
                <w:highlight w:val="none"/>
              </w:rPr>
              <w:t>水=1</w:t>
            </w:r>
            <w:r>
              <w:rPr>
                <w:rFonts w:hint="eastAsia" w:cs="Times New Roman"/>
                <w:bCs/>
                <w:szCs w:val="21"/>
                <w:highlight w:val="none"/>
                <w:lang w:eastAsia="zh-CN"/>
              </w:rPr>
              <w:t>）</w:t>
            </w:r>
          </w:p>
        </w:tc>
        <w:tc>
          <w:tcPr>
            <w:tcW w:w="0" w:type="auto"/>
            <w:tcMar>
              <w:left w:w="108" w:type="dxa"/>
              <w:right w:w="108" w:type="dxa"/>
            </w:tcMar>
            <w:vAlign w:val="center"/>
          </w:tcPr>
          <w:p w14:paraId="0F1A2BF9">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0.81</w:t>
            </w:r>
          </w:p>
        </w:tc>
      </w:tr>
      <w:tr w14:paraId="6027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1665FF60">
            <w:pPr>
              <w:jc w:val="center"/>
              <w:rPr>
                <w:rFonts w:ascii="Times New Roman" w:hAnsi="Times New Roman" w:eastAsia="宋体" w:cs="Times New Roman"/>
                <w:bCs/>
                <w:szCs w:val="21"/>
                <w:highlight w:val="none"/>
              </w:rPr>
            </w:pPr>
          </w:p>
        </w:tc>
        <w:tc>
          <w:tcPr>
            <w:tcW w:w="0" w:type="auto"/>
            <w:tcMar>
              <w:left w:w="108" w:type="dxa"/>
              <w:right w:w="108" w:type="dxa"/>
            </w:tcMar>
            <w:vAlign w:val="center"/>
          </w:tcPr>
          <w:p w14:paraId="5012B1DF">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沸点（℃）</w:t>
            </w:r>
          </w:p>
        </w:tc>
        <w:tc>
          <w:tcPr>
            <w:tcW w:w="0" w:type="auto"/>
            <w:tcMar>
              <w:left w:w="108" w:type="dxa"/>
              <w:right w:w="108" w:type="dxa"/>
            </w:tcMar>
            <w:vAlign w:val="center"/>
          </w:tcPr>
          <w:p w14:paraId="64959563">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117.5</w:t>
            </w:r>
          </w:p>
        </w:tc>
        <w:tc>
          <w:tcPr>
            <w:tcW w:w="0" w:type="auto"/>
            <w:tcMar>
              <w:left w:w="108" w:type="dxa"/>
              <w:right w:w="108" w:type="dxa"/>
            </w:tcMar>
            <w:vAlign w:val="center"/>
          </w:tcPr>
          <w:p w14:paraId="44333EE6">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相对蒸汽密度（空气=1）</w:t>
            </w:r>
          </w:p>
        </w:tc>
        <w:tc>
          <w:tcPr>
            <w:tcW w:w="0" w:type="auto"/>
            <w:tcMar>
              <w:left w:w="108" w:type="dxa"/>
              <w:right w:w="108" w:type="dxa"/>
            </w:tcMar>
            <w:vAlign w:val="center"/>
          </w:tcPr>
          <w:p w14:paraId="1FBB34DD">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2.55</w:t>
            </w:r>
          </w:p>
        </w:tc>
      </w:tr>
      <w:tr w14:paraId="1977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7D0CAD6B">
            <w:pPr>
              <w:jc w:val="center"/>
              <w:rPr>
                <w:rFonts w:ascii="Times New Roman" w:hAnsi="Times New Roman" w:eastAsia="宋体" w:cs="Times New Roman"/>
                <w:bCs/>
                <w:szCs w:val="21"/>
                <w:highlight w:val="none"/>
              </w:rPr>
            </w:pPr>
          </w:p>
        </w:tc>
        <w:tc>
          <w:tcPr>
            <w:tcW w:w="0" w:type="auto"/>
            <w:tcMar>
              <w:left w:w="108" w:type="dxa"/>
              <w:right w:w="108" w:type="dxa"/>
            </w:tcMar>
            <w:vAlign w:val="center"/>
          </w:tcPr>
          <w:p w14:paraId="69120219">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闪点（℃）</w:t>
            </w:r>
          </w:p>
        </w:tc>
        <w:tc>
          <w:tcPr>
            <w:tcW w:w="0" w:type="auto"/>
            <w:tcMar>
              <w:left w:w="108" w:type="dxa"/>
              <w:right w:w="108" w:type="dxa"/>
            </w:tcMar>
            <w:vAlign w:val="center"/>
          </w:tcPr>
          <w:p w14:paraId="2B3450B4">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35</w:t>
            </w:r>
          </w:p>
        </w:tc>
        <w:tc>
          <w:tcPr>
            <w:tcW w:w="0" w:type="auto"/>
            <w:tcMar>
              <w:left w:w="108" w:type="dxa"/>
              <w:right w:w="108" w:type="dxa"/>
            </w:tcMar>
            <w:vAlign w:val="center"/>
          </w:tcPr>
          <w:p w14:paraId="755E45AF">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饱和</w:t>
            </w:r>
            <w:r>
              <w:rPr>
                <w:rFonts w:hint="eastAsia" w:cs="Times New Roman"/>
                <w:bCs/>
                <w:szCs w:val="21"/>
                <w:highlight w:val="none"/>
                <w:lang w:eastAsia="zh-CN"/>
              </w:rPr>
              <w:t>蒸汽</w:t>
            </w:r>
            <w:r>
              <w:rPr>
                <w:rFonts w:ascii="Times New Roman" w:hAnsi="Times New Roman" w:eastAsia="宋体" w:cs="Times New Roman"/>
                <w:bCs/>
                <w:szCs w:val="21"/>
                <w:highlight w:val="none"/>
              </w:rPr>
              <w:t>压（kPa）</w:t>
            </w:r>
          </w:p>
        </w:tc>
        <w:tc>
          <w:tcPr>
            <w:tcW w:w="0" w:type="auto"/>
            <w:tcMar>
              <w:left w:w="108" w:type="dxa"/>
              <w:right w:w="108" w:type="dxa"/>
            </w:tcMar>
            <w:vAlign w:val="center"/>
          </w:tcPr>
          <w:p w14:paraId="0BCD4CAD">
            <w:pPr>
              <w:jc w:val="center"/>
              <w:rPr>
                <w:rFonts w:hint="eastAsia" w:ascii="Times New Roman" w:hAnsi="Times New Roman" w:eastAsia="宋体" w:cs="Times New Roman"/>
                <w:bCs/>
                <w:szCs w:val="21"/>
                <w:highlight w:val="none"/>
                <w:lang w:eastAsia="zh-CN"/>
              </w:rPr>
            </w:pPr>
            <w:r>
              <w:rPr>
                <w:rFonts w:ascii="Times New Roman" w:hAnsi="Times New Roman" w:eastAsia="宋体" w:cs="Times New Roman"/>
                <w:bCs/>
                <w:szCs w:val="21"/>
                <w:highlight w:val="none"/>
              </w:rPr>
              <w:t>0.82</w:t>
            </w:r>
            <w:r>
              <w:rPr>
                <w:rFonts w:hint="eastAsia" w:cs="Times New Roman"/>
                <w:bCs/>
                <w:szCs w:val="21"/>
                <w:highlight w:val="none"/>
                <w:lang w:eastAsia="zh-CN"/>
              </w:rPr>
              <w:t>（</w:t>
            </w:r>
            <w:r>
              <w:rPr>
                <w:rFonts w:ascii="Times New Roman" w:hAnsi="Times New Roman" w:eastAsia="宋体" w:cs="Times New Roman"/>
                <w:bCs/>
                <w:szCs w:val="21"/>
                <w:highlight w:val="none"/>
              </w:rPr>
              <w:t>25℃</w:t>
            </w:r>
            <w:r>
              <w:rPr>
                <w:rFonts w:hint="eastAsia" w:cs="Times New Roman"/>
                <w:bCs/>
                <w:szCs w:val="21"/>
                <w:highlight w:val="none"/>
                <w:lang w:eastAsia="zh-CN"/>
              </w:rPr>
              <w:t>）</w:t>
            </w:r>
          </w:p>
        </w:tc>
      </w:tr>
      <w:tr w14:paraId="6854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18174F38">
            <w:pPr>
              <w:jc w:val="center"/>
              <w:rPr>
                <w:rFonts w:ascii="Times New Roman" w:hAnsi="Times New Roman" w:eastAsia="宋体" w:cs="Times New Roman"/>
                <w:bCs/>
                <w:szCs w:val="21"/>
                <w:highlight w:val="none"/>
              </w:rPr>
            </w:pPr>
          </w:p>
        </w:tc>
        <w:tc>
          <w:tcPr>
            <w:tcW w:w="0" w:type="auto"/>
            <w:tcMar>
              <w:left w:w="108" w:type="dxa"/>
              <w:right w:w="108" w:type="dxa"/>
            </w:tcMar>
            <w:vAlign w:val="center"/>
          </w:tcPr>
          <w:p w14:paraId="5F198267">
            <w:pPr>
              <w:jc w:val="center"/>
              <w:rPr>
                <w:rFonts w:hint="eastAsia" w:ascii="Times New Roman" w:hAnsi="Times New Roman" w:eastAsia="宋体" w:cs="Times New Roman"/>
                <w:bCs/>
                <w:szCs w:val="21"/>
                <w:highlight w:val="none"/>
                <w:lang w:eastAsia="zh-CN"/>
              </w:rPr>
            </w:pPr>
            <w:r>
              <w:rPr>
                <w:rFonts w:ascii="Times New Roman" w:hAnsi="Times New Roman" w:eastAsia="宋体" w:cs="Times New Roman"/>
                <w:bCs/>
                <w:szCs w:val="21"/>
                <w:highlight w:val="none"/>
              </w:rPr>
              <w:t>引燃温度</w:t>
            </w:r>
            <w:r>
              <w:rPr>
                <w:rFonts w:hint="eastAsia" w:cs="Times New Roman"/>
                <w:bCs/>
                <w:szCs w:val="21"/>
                <w:highlight w:val="none"/>
                <w:lang w:eastAsia="zh-CN"/>
              </w:rPr>
              <w:t>（</w:t>
            </w:r>
            <w:r>
              <w:rPr>
                <w:rFonts w:ascii="Times New Roman" w:hAnsi="Times New Roman" w:eastAsia="宋体" w:cs="Times New Roman"/>
                <w:bCs/>
                <w:szCs w:val="21"/>
                <w:highlight w:val="none"/>
              </w:rPr>
              <w:t>℃</w:t>
            </w:r>
            <w:r>
              <w:rPr>
                <w:rFonts w:hint="eastAsia" w:cs="Times New Roman"/>
                <w:bCs/>
                <w:szCs w:val="21"/>
                <w:highlight w:val="none"/>
                <w:lang w:eastAsia="zh-CN"/>
              </w:rPr>
              <w:t>）</w:t>
            </w:r>
          </w:p>
        </w:tc>
        <w:tc>
          <w:tcPr>
            <w:tcW w:w="0" w:type="auto"/>
            <w:tcMar>
              <w:left w:w="108" w:type="dxa"/>
              <w:right w:w="108" w:type="dxa"/>
            </w:tcMar>
            <w:vAlign w:val="center"/>
          </w:tcPr>
          <w:p w14:paraId="7BFBF17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340</w:t>
            </w:r>
          </w:p>
        </w:tc>
        <w:tc>
          <w:tcPr>
            <w:tcW w:w="0" w:type="auto"/>
            <w:tcMar>
              <w:left w:w="108" w:type="dxa"/>
              <w:right w:w="108" w:type="dxa"/>
            </w:tcMar>
            <w:vAlign w:val="center"/>
          </w:tcPr>
          <w:p w14:paraId="5DF1E692">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爆炸上限/下限[%</w:t>
            </w:r>
            <w:r>
              <w:rPr>
                <w:rFonts w:hint="eastAsia" w:cs="Times New Roman"/>
                <w:bCs/>
                <w:szCs w:val="21"/>
                <w:highlight w:val="none"/>
                <w:lang w:eastAsia="zh-CN"/>
              </w:rPr>
              <w:t>（</w:t>
            </w:r>
            <w:r>
              <w:rPr>
                <w:rFonts w:ascii="Times New Roman" w:hAnsi="Times New Roman" w:eastAsia="宋体" w:cs="Times New Roman"/>
                <w:bCs/>
                <w:szCs w:val="21"/>
                <w:highlight w:val="none"/>
              </w:rPr>
              <w:t>V/V</w:t>
            </w:r>
            <w:r>
              <w:rPr>
                <w:rFonts w:hint="eastAsia" w:cs="Times New Roman"/>
                <w:bCs/>
                <w:szCs w:val="21"/>
                <w:highlight w:val="none"/>
                <w:lang w:eastAsia="zh-CN"/>
              </w:rPr>
              <w:t>）</w:t>
            </w:r>
            <w:r>
              <w:rPr>
                <w:rFonts w:ascii="Times New Roman" w:hAnsi="Times New Roman" w:eastAsia="宋体" w:cs="Times New Roman"/>
                <w:bCs/>
                <w:szCs w:val="21"/>
                <w:highlight w:val="none"/>
              </w:rPr>
              <w:t>]</w:t>
            </w:r>
          </w:p>
        </w:tc>
        <w:tc>
          <w:tcPr>
            <w:tcW w:w="0" w:type="auto"/>
            <w:tcMar>
              <w:left w:w="108" w:type="dxa"/>
              <w:right w:w="108" w:type="dxa"/>
            </w:tcMar>
            <w:vAlign w:val="center"/>
          </w:tcPr>
          <w:p w14:paraId="5F12BC8E">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11.2/1.4</w:t>
            </w:r>
          </w:p>
        </w:tc>
      </w:tr>
      <w:tr w14:paraId="7BFB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09A8B710">
            <w:pPr>
              <w:jc w:val="center"/>
              <w:rPr>
                <w:rFonts w:ascii="Times New Roman" w:hAnsi="Times New Roman" w:eastAsia="宋体" w:cs="Times New Roman"/>
                <w:bCs/>
                <w:szCs w:val="21"/>
                <w:highlight w:val="none"/>
              </w:rPr>
            </w:pPr>
          </w:p>
        </w:tc>
        <w:tc>
          <w:tcPr>
            <w:tcW w:w="0" w:type="auto"/>
            <w:tcMar>
              <w:left w:w="108" w:type="dxa"/>
              <w:right w:w="108" w:type="dxa"/>
            </w:tcMar>
            <w:vAlign w:val="center"/>
          </w:tcPr>
          <w:p w14:paraId="47EF57A9">
            <w:pPr>
              <w:jc w:val="center"/>
              <w:rPr>
                <w:rFonts w:hint="eastAsia" w:ascii="Times New Roman" w:hAnsi="Times New Roman" w:eastAsia="宋体" w:cs="Times New Roman"/>
                <w:bCs/>
                <w:szCs w:val="21"/>
                <w:highlight w:val="none"/>
                <w:lang w:eastAsia="zh-CN"/>
              </w:rPr>
            </w:pPr>
            <w:r>
              <w:rPr>
                <w:rFonts w:ascii="Times New Roman" w:hAnsi="Times New Roman" w:eastAsia="宋体" w:cs="Times New Roman"/>
                <w:bCs/>
                <w:szCs w:val="21"/>
                <w:highlight w:val="none"/>
              </w:rPr>
              <w:t>临界压力</w:t>
            </w:r>
            <w:r>
              <w:rPr>
                <w:rFonts w:hint="eastAsia" w:cs="Times New Roman"/>
                <w:bCs/>
                <w:szCs w:val="21"/>
                <w:highlight w:val="none"/>
                <w:lang w:eastAsia="zh-CN"/>
              </w:rPr>
              <w:t>（</w:t>
            </w:r>
            <w:r>
              <w:rPr>
                <w:rFonts w:ascii="Times New Roman" w:hAnsi="Times New Roman" w:eastAsia="宋体" w:cs="Times New Roman"/>
                <w:bCs/>
                <w:szCs w:val="21"/>
                <w:highlight w:val="none"/>
              </w:rPr>
              <w:t>MPa</w:t>
            </w:r>
            <w:r>
              <w:rPr>
                <w:rFonts w:hint="eastAsia" w:cs="Times New Roman"/>
                <w:bCs/>
                <w:szCs w:val="21"/>
                <w:highlight w:val="none"/>
                <w:lang w:eastAsia="zh-CN"/>
              </w:rPr>
              <w:t>）</w:t>
            </w:r>
          </w:p>
        </w:tc>
        <w:tc>
          <w:tcPr>
            <w:tcW w:w="0" w:type="auto"/>
            <w:tcMar>
              <w:left w:w="108" w:type="dxa"/>
              <w:right w:w="108" w:type="dxa"/>
            </w:tcMar>
            <w:vAlign w:val="center"/>
          </w:tcPr>
          <w:p w14:paraId="61266069">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4.90</w:t>
            </w:r>
          </w:p>
        </w:tc>
        <w:tc>
          <w:tcPr>
            <w:tcW w:w="0" w:type="auto"/>
            <w:tcMar>
              <w:left w:w="108" w:type="dxa"/>
              <w:right w:w="108" w:type="dxa"/>
            </w:tcMar>
            <w:vAlign w:val="center"/>
          </w:tcPr>
          <w:p w14:paraId="38129D9E">
            <w:pPr>
              <w:jc w:val="center"/>
              <w:rPr>
                <w:rFonts w:hint="eastAsia" w:ascii="Times New Roman" w:hAnsi="Times New Roman" w:eastAsia="宋体" w:cs="Times New Roman"/>
                <w:bCs/>
                <w:szCs w:val="21"/>
                <w:highlight w:val="none"/>
                <w:lang w:eastAsia="zh-CN"/>
              </w:rPr>
            </w:pPr>
            <w:r>
              <w:rPr>
                <w:rFonts w:ascii="Times New Roman" w:hAnsi="Times New Roman" w:eastAsia="宋体" w:cs="Times New Roman"/>
                <w:bCs/>
                <w:szCs w:val="21"/>
                <w:highlight w:val="none"/>
              </w:rPr>
              <w:t>临界温度</w:t>
            </w:r>
            <w:r>
              <w:rPr>
                <w:rFonts w:hint="eastAsia" w:cs="Times New Roman"/>
                <w:bCs/>
                <w:szCs w:val="21"/>
                <w:highlight w:val="none"/>
                <w:lang w:eastAsia="zh-CN"/>
              </w:rPr>
              <w:t>（</w:t>
            </w:r>
            <w:r>
              <w:rPr>
                <w:rFonts w:ascii="Times New Roman" w:hAnsi="Times New Roman" w:eastAsia="宋体" w:cs="Times New Roman"/>
                <w:bCs/>
                <w:szCs w:val="21"/>
                <w:highlight w:val="none"/>
              </w:rPr>
              <w:t>℃</w:t>
            </w:r>
            <w:r>
              <w:rPr>
                <w:rFonts w:hint="eastAsia" w:cs="Times New Roman"/>
                <w:bCs/>
                <w:szCs w:val="21"/>
                <w:highlight w:val="none"/>
                <w:lang w:eastAsia="zh-CN"/>
              </w:rPr>
              <w:t>）</w:t>
            </w:r>
          </w:p>
        </w:tc>
        <w:tc>
          <w:tcPr>
            <w:tcW w:w="0" w:type="auto"/>
            <w:tcMar>
              <w:left w:w="108" w:type="dxa"/>
              <w:right w:w="108" w:type="dxa"/>
            </w:tcMar>
            <w:vAlign w:val="center"/>
          </w:tcPr>
          <w:p w14:paraId="36372A19">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287</w:t>
            </w:r>
          </w:p>
        </w:tc>
      </w:tr>
      <w:tr w14:paraId="08C4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21FED377">
            <w:pPr>
              <w:jc w:val="center"/>
              <w:rPr>
                <w:rFonts w:ascii="Times New Roman" w:hAnsi="Times New Roman" w:eastAsia="宋体" w:cs="Times New Roman"/>
                <w:bCs/>
                <w:szCs w:val="21"/>
                <w:highlight w:val="none"/>
              </w:rPr>
            </w:pPr>
          </w:p>
        </w:tc>
        <w:tc>
          <w:tcPr>
            <w:tcW w:w="0" w:type="auto"/>
            <w:tcMar>
              <w:left w:w="108" w:type="dxa"/>
              <w:right w:w="108" w:type="dxa"/>
            </w:tcMar>
            <w:vAlign w:val="center"/>
          </w:tcPr>
          <w:p w14:paraId="5665E09A">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主要用途</w:t>
            </w:r>
          </w:p>
        </w:tc>
        <w:tc>
          <w:tcPr>
            <w:tcW w:w="0" w:type="auto"/>
            <w:gridSpan w:val="3"/>
            <w:tcMar>
              <w:left w:w="108" w:type="dxa"/>
              <w:right w:w="108" w:type="dxa"/>
            </w:tcMar>
            <w:vAlign w:val="center"/>
          </w:tcPr>
          <w:p w14:paraId="48067A5D">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用于制取浆料、塑料增塑剂、医药、喷漆</w:t>
            </w:r>
            <w:r>
              <w:rPr>
                <w:rFonts w:hint="eastAsia" w:cs="Times New Roman"/>
                <w:bCs/>
                <w:szCs w:val="21"/>
                <w:highlight w:val="none"/>
                <w:lang w:eastAsia="zh-CN"/>
              </w:rPr>
              <w:t>等</w:t>
            </w:r>
            <w:r>
              <w:rPr>
                <w:rFonts w:ascii="Times New Roman" w:hAnsi="Times New Roman" w:eastAsia="宋体" w:cs="Times New Roman"/>
                <w:bCs/>
                <w:szCs w:val="21"/>
                <w:highlight w:val="none"/>
              </w:rPr>
              <w:t>，以及用作溶剂。</w:t>
            </w:r>
          </w:p>
        </w:tc>
      </w:tr>
      <w:tr w14:paraId="2D5F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57CD461F">
            <w:pPr>
              <w:jc w:val="center"/>
              <w:rPr>
                <w:rFonts w:ascii="Times New Roman" w:hAnsi="Times New Roman" w:eastAsia="宋体" w:cs="Times New Roman"/>
                <w:bCs/>
                <w:szCs w:val="21"/>
                <w:highlight w:val="none"/>
              </w:rPr>
            </w:pPr>
          </w:p>
        </w:tc>
        <w:tc>
          <w:tcPr>
            <w:tcW w:w="0" w:type="auto"/>
            <w:tcMar>
              <w:left w:w="108" w:type="dxa"/>
              <w:right w:w="108" w:type="dxa"/>
            </w:tcMar>
            <w:vAlign w:val="center"/>
          </w:tcPr>
          <w:p w14:paraId="049D8E6D">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溶解性</w:t>
            </w:r>
          </w:p>
        </w:tc>
        <w:tc>
          <w:tcPr>
            <w:tcW w:w="0" w:type="auto"/>
            <w:gridSpan w:val="3"/>
            <w:tcMar>
              <w:left w:w="108" w:type="dxa"/>
              <w:right w:w="108" w:type="dxa"/>
            </w:tcMar>
            <w:vAlign w:val="center"/>
          </w:tcPr>
          <w:p w14:paraId="30BFF8D9">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微溶于水，溶于乙醇、醚、多数有机溶剂。</w:t>
            </w:r>
          </w:p>
        </w:tc>
      </w:tr>
      <w:tr w14:paraId="0A71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0A4E1C10">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毒性及健康危害</w:t>
            </w:r>
          </w:p>
        </w:tc>
        <w:tc>
          <w:tcPr>
            <w:tcW w:w="0" w:type="auto"/>
            <w:tcMar>
              <w:left w:w="108" w:type="dxa"/>
              <w:right w:w="108" w:type="dxa"/>
            </w:tcMar>
            <w:vAlign w:val="center"/>
          </w:tcPr>
          <w:p w14:paraId="563A5254">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急性毒性</w:t>
            </w:r>
          </w:p>
        </w:tc>
        <w:tc>
          <w:tcPr>
            <w:tcW w:w="0" w:type="auto"/>
            <w:gridSpan w:val="3"/>
            <w:tcMar>
              <w:left w:w="108" w:type="dxa"/>
              <w:right w:w="108" w:type="dxa"/>
            </w:tcMar>
            <w:vAlign w:val="center"/>
          </w:tcPr>
          <w:p w14:paraId="234639AC">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LD50：4360 mg/kg（大鼠经口）；3400 mg/kg（兔经皮） LC50：24240mg/m</w:t>
            </w:r>
            <w:r>
              <w:rPr>
                <w:rFonts w:ascii="Times New Roman" w:hAnsi="Times New Roman" w:eastAsia="宋体" w:cs="Times New Roman"/>
                <w:bCs/>
                <w:szCs w:val="21"/>
                <w:highlight w:val="none"/>
                <w:vertAlign w:val="superscript"/>
              </w:rPr>
              <w:t>3</w:t>
            </w:r>
            <w:r>
              <w:rPr>
                <w:rFonts w:ascii="Times New Roman" w:hAnsi="Times New Roman" w:eastAsia="宋体" w:cs="Times New Roman"/>
                <w:bCs/>
                <w:szCs w:val="21"/>
                <w:highlight w:val="none"/>
              </w:rPr>
              <w:t>，4小时（大鼠吸入）</w:t>
            </w:r>
          </w:p>
        </w:tc>
      </w:tr>
      <w:tr w14:paraId="453D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69503035">
            <w:pPr>
              <w:jc w:val="center"/>
              <w:rPr>
                <w:rFonts w:ascii="Times New Roman" w:hAnsi="Times New Roman" w:eastAsia="宋体" w:cs="Times New Roman"/>
                <w:bCs/>
                <w:szCs w:val="21"/>
                <w:highlight w:val="none"/>
              </w:rPr>
            </w:pPr>
          </w:p>
        </w:tc>
        <w:tc>
          <w:tcPr>
            <w:tcW w:w="0" w:type="auto"/>
            <w:tcMar>
              <w:left w:w="108" w:type="dxa"/>
              <w:right w:w="108" w:type="dxa"/>
            </w:tcMar>
            <w:vAlign w:val="center"/>
          </w:tcPr>
          <w:p w14:paraId="2704BC7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健康危害</w:t>
            </w:r>
          </w:p>
        </w:tc>
        <w:tc>
          <w:tcPr>
            <w:tcW w:w="0" w:type="auto"/>
            <w:gridSpan w:val="3"/>
            <w:tcMar>
              <w:left w:w="108" w:type="dxa"/>
              <w:right w:w="108" w:type="dxa"/>
            </w:tcMar>
            <w:vAlign w:val="center"/>
          </w:tcPr>
          <w:p w14:paraId="3AE3AF2C">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本品具有刺激和麻醉作用。主要症状为眼、鼻、喉部</w:t>
            </w:r>
            <w:r>
              <w:rPr>
                <w:rFonts w:hint="eastAsia" w:cs="Times New Roman"/>
                <w:bCs/>
                <w:szCs w:val="21"/>
                <w:highlight w:val="none"/>
                <w:lang w:eastAsia="zh-CN"/>
              </w:rPr>
              <w:t>受</w:t>
            </w:r>
            <w:r>
              <w:rPr>
                <w:rFonts w:ascii="Times New Roman" w:hAnsi="Times New Roman" w:eastAsia="宋体" w:cs="Times New Roman"/>
                <w:bCs/>
                <w:szCs w:val="21"/>
                <w:highlight w:val="none"/>
              </w:rPr>
              <w:t>刺激，在角膜浅层形成半透明的空泡，头痛、头晕和嗜睡。手部可发生接触性皮炎。</w:t>
            </w:r>
          </w:p>
        </w:tc>
      </w:tr>
      <w:tr w14:paraId="771D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037221AE">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燃烧爆炸危险性</w:t>
            </w:r>
          </w:p>
        </w:tc>
        <w:tc>
          <w:tcPr>
            <w:tcW w:w="0" w:type="auto"/>
            <w:tcMar>
              <w:left w:w="108" w:type="dxa"/>
              <w:right w:w="108" w:type="dxa"/>
            </w:tcMar>
            <w:vAlign w:val="center"/>
          </w:tcPr>
          <w:p w14:paraId="13A05C79">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燃爆危险</w:t>
            </w:r>
          </w:p>
        </w:tc>
        <w:tc>
          <w:tcPr>
            <w:tcW w:w="0" w:type="auto"/>
            <w:gridSpan w:val="3"/>
            <w:tcMar>
              <w:left w:w="108" w:type="dxa"/>
              <w:right w:w="108" w:type="dxa"/>
            </w:tcMar>
            <w:vAlign w:val="center"/>
          </w:tcPr>
          <w:p w14:paraId="15EBEF72">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本品易燃，</w:t>
            </w:r>
            <w:r>
              <w:rPr>
                <w:rFonts w:hint="eastAsia" w:cs="Times New Roman"/>
                <w:bCs/>
                <w:szCs w:val="21"/>
                <w:highlight w:val="none"/>
                <w:lang w:eastAsia="zh-CN"/>
              </w:rPr>
              <w:t>具有</w:t>
            </w:r>
            <w:r>
              <w:rPr>
                <w:rFonts w:ascii="Times New Roman" w:hAnsi="Times New Roman" w:eastAsia="宋体" w:cs="Times New Roman"/>
                <w:bCs/>
                <w:szCs w:val="21"/>
                <w:highlight w:val="none"/>
              </w:rPr>
              <w:t>刺激性。</w:t>
            </w:r>
          </w:p>
        </w:tc>
      </w:tr>
      <w:tr w14:paraId="45FA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5CF773A2">
            <w:pPr>
              <w:jc w:val="center"/>
              <w:rPr>
                <w:rFonts w:ascii="Times New Roman" w:hAnsi="Times New Roman" w:eastAsia="宋体" w:cs="Times New Roman"/>
                <w:bCs/>
                <w:szCs w:val="21"/>
                <w:highlight w:val="none"/>
              </w:rPr>
            </w:pPr>
          </w:p>
        </w:tc>
        <w:tc>
          <w:tcPr>
            <w:tcW w:w="0" w:type="auto"/>
            <w:tcMar>
              <w:left w:w="108" w:type="dxa"/>
              <w:right w:w="108" w:type="dxa"/>
            </w:tcMar>
            <w:vAlign w:val="center"/>
          </w:tcPr>
          <w:p w14:paraId="7326D2A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危险特性</w:t>
            </w:r>
          </w:p>
        </w:tc>
        <w:tc>
          <w:tcPr>
            <w:tcW w:w="0" w:type="auto"/>
            <w:gridSpan w:val="3"/>
            <w:tcMar>
              <w:left w:w="108" w:type="dxa"/>
              <w:right w:w="108" w:type="dxa"/>
            </w:tcMar>
            <w:vAlign w:val="center"/>
          </w:tcPr>
          <w:p w14:paraId="1D6A4587">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易燃，其</w:t>
            </w:r>
            <w:r>
              <w:rPr>
                <w:rFonts w:hint="eastAsia" w:cs="Times New Roman"/>
                <w:bCs/>
                <w:szCs w:val="21"/>
                <w:highlight w:val="none"/>
                <w:lang w:eastAsia="zh-CN"/>
              </w:rPr>
              <w:t>蒸汽</w:t>
            </w:r>
            <w:r>
              <w:rPr>
                <w:rFonts w:ascii="Times New Roman" w:hAnsi="Times New Roman" w:eastAsia="宋体" w:cs="Times New Roman"/>
                <w:bCs/>
                <w:szCs w:val="21"/>
                <w:highlight w:val="none"/>
              </w:rPr>
              <w:t>与空气可形成爆炸性混合物，遇明火、高热能引起燃烧爆炸。与氧化剂接触会起反应。在火焰中，受热的容器有破裂危险。</w:t>
            </w:r>
          </w:p>
        </w:tc>
      </w:tr>
      <w:tr w14:paraId="6625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5A2CEE33">
            <w:pPr>
              <w:jc w:val="center"/>
              <w:rPr>
                <w:rFonts w:ascii="Times New Roman" w:hAnsi="Times New Roman" w:eastAsia="宋体" w:cs="Times New Roman"/>
                <w:bCs/>
                <w:szCs w:val="21"/>
                <w:highlight w:val="none"/>
              </w:rPr>
            </w:pPr>
          </w:p>
        </w:tc>
        <w:tc>
          <w:tcPr>
            <w:tcW w:w="0" w:type="auto"/>
            <w:tcMar>
              <w:left w:w="108" w:type="dxa"/>
              <w:right w:w="108" w:type="dxa"/>
            </w:tcMar>
            <w:vAlign w:val="center"/>
          </w:tcPr>
          <w:p w14:paraId="68613D56">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灭火方法</w:t>
            </w:r>
          </w:p>
        </w:tc>
        <w:tc>
          <w:tcPr>
            <w:tcW w:w="0" w:type="auto"/>
            <w:gridSpan w:val="3"/>
            <w:tcMar>
              <w:left w:w="108" w:type="dxa"/>
              <w:right w:w="108" w:type="dxa"/>
            </w:tcMar>
            <w:vAlign w:val="center"/>
          </w:tcPr>
          <w:p w14:paraId="0DFA0B6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用雾状</w:t>
            </w:r>
            <w:r>
              <w:rPr>
                <w:rFonts w:hint="eastAsia" w:cs="Times New Roman"/>
                <w:bCs/>
                <w:szCs w:val="21"/>
                <w:highlight w:val="none"/>
                <w:lang w:eastAsia="zh-CN"/>
              </w:rPr>
              <w:t>水</w:t>
            </w:r>
            <w:r>
              <w:rPr>
                <w:rFonts w:ascii="Times New Roman" w:hAnsi="Times New Roman" w:eastAsia="宋体" w:cs="Times New Roman"/>
                <w:bCs/>
                <w:szCs w:val="21"/>
                <w:highlight w:val="none"/>
              </w:rPr>
              <w:t>喷射逸出液体，使其稀释成不燃性混合物，并用雾状水保护消防人员。灭火剂：抗溶性泡沫、干粉、二氧化碳、雾状水、1211灭火剂、砂土</w:t>
            </w:r>
            <w:r>
              <w:rPr>
                <w:rFonts w:hint="eastAsia" w:cs="Times New Roman"/>
                <w:bCs/>
                <w:szCs w:val="21"/>
                <w:highlight w:val="none"/>
                <w:lang w:eastAsia="zh-CN"/>
              </w:rPr>
              <w:t>等</w:t>
            </w:r>
            <w:r>
              <w:rPr>
                <w:rFonts w:ascii="Times New Roman" w:hAnsi="Times New Roman" w:eastAsia="宋体" w:cs="Times New Roman"/>
                <w:bCs/>
                <w:szCs w:val="21"/>
                <w:highlight w:val="none"/>
              </w:rPr>
              <w:t>。</w:t>
            </w:r>
          </w:p>
        </w:tc>
      </w:tr>
      <w:tr w14:paraId="4F6CD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761CA26A">
            <w:pPr>
              <w:jc w:val="center"/>
              <w:rPr>
                <w:rFonts w:ascii="Times New Roman" w:hAnsi="Times New Roman" w:eastAsia="宋体" w:cs="Times New Roman"/>
                <w:bCs/>
                <w:szCs w:val="21"/>
                <w:highlight w:val="none"/>
              </w:rPr>
            </w:pPr>
          </w:p>
        </w:tc>
        <w:tc>
          <w:tcPr>
            <w:tcW w:w="0" w:type="auto"/>
            <w:tcMar>
              <w:left w:w="108" w:type="dxa"/>
              <w:right w:w="108" w:type="dxa"/>
            </w:tcMar>
            <w:vAlign w:val="center"/>
          </w:tcPr>
          <w:p w14:paraId="65E772CF">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有害分解产物</w:t>
            </w:r>
          </w:p>
        </w:tc>
        <w:tc>
          <w:tcPr>
            <w:tcW w:w="0" w:type="auto"/>
            <w:gridSpan w:val="3"/>
            <w:tcMar>
              <w:left w:w="108" w:type="dxa"/>
              <w:right w:w="108" w:type="dxa"/>
            </w:tcMar>
            <w:vAlign w:val="center"/>
          </w:tcPr>
          <w:p w14:paraId="32F71EFD">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一氧化碳、二氧化碳。</w:t>
            </w:r>
          </w:p>
        </w:tc>
      </w:tr>
      <w:tr w14:paraId="56C6E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8" w:hRule="atLeast"/>
          <w:jc w:val="center"/>
        </w:trPr>
        <w:tc>
          <w:tcPr>
            <w:tcW w:w="0" w:type="auto"/>
            <w:tcMar>
              <w:left w:w="108" w:type="dxa"/>
              <w:right w:w="108" w:type="dxa"/>
            </w:tcMar>
            <w:vAlign w:val="center"/>
          </w:tcPr>
          <w:p w14:paraId="6DC4510C">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急救措施</w:t>
            </w:r>
          </w:p>
        </w:tc>
        <w:tc>
          <w:tcPr>
            <w:tcW w:w="0" w:type="auto"/>
            <w:gridSpan w:val="4"/>
            <w:tcMar>
              <w:left w:w="108" w:type="dxa"/>
              <w:right w:w="108" w:type="dxa"/>
            </w:tcMar>
            <w:vAlign w:val="center"/>
          </w:tcPr>
          <w:p w14:paraId="745CCC69">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皮肤接触</w:t>
            </w:r>
            <w:r>
              <w:rPr>
                <w:rFonts w:hint="eastAsia" w:ascii="Times New Roman" w:hAnsi="Times New Roman" w:eastAsia="宋体" w:cs="Times New Roman"/>
                <w:bCs/>
                <w:szCs w:val="21"/>
                <w:highlight w:val="none"/>
                <w:lang w:eastAsia="zh-CN"/>
              </w:rPr>
              <w:t>：</w:t>
            </w:r>
            <w:r>
              <w:rPr>
                <w:rFonts w:ascii="Times New Roman" w:hAnsi="Times New Roman" w:eastAsia="宋体" w:cs="Times New Roman"/>
                <w:bCs/>
                <w:szCs w:val="21"/>
                <w:highlight w:val="none"/>
              </w:rPr>
              <w:t>脱去</w:t>
            </w:r>
            <w:r>
              <w:rPr>
                <w:rFonts w:hint="eastAsia" w:cs="Times New Roman"/>
                <w:bCs/>
                <w:szCs w:val="21"/>
                <w:highlight w:val="none"/>
                <w:lang w:eastAsia="zh-CN"/>
              </w:rPr>
              <w:t>被</w:t>
            </w:r>
            <w:r>
              <w:rPr>
                <w:rFonts w:ascii="Times New Roman" w:hAnsi="Times New Roman" w:eastAsia="宋体" w:cs="Times New Roman"/>
                <w:bCs/>
                <w:szCs w:val="21"/>
                <w:highlight w:val="none"/>
              </w:rPr>
              <w:t>污染的衣着，用肥皂水和清水彻底冲洗干净。</w:t>
            </w:r>
          </w:p>
          <w:p w14:paraId="59D21CE4">
            <w:pPr>
              <w:jc w:val="center"/>
              <w:rPr>
                <w:rFonts w:hint="eastAsia" w:ascii="Times New Roman" w:hAnsi="Times New Roman" w:eastAsia="宋体" w:cs="Times New Roman"/>
                <w:bCs/>
                <w:szCs w:val="21"/>
                <w:highlight w:val="none"/>
                <w:lang w:eastAsia="zh-CN"/>
              </w:rPr>
            </w:pPr>
            <w:r>
              <w:rPr>
                <w:rFonts w:ascii="Times New Roman" w:hAnsi="Times New Roman" w:eastAsia="宋体" w:cs="Times New Roman"/>
                <w:bCs/>
                <w:szCs w:val="21"/>
                <w:highlight w:val="none"/>
              </w:rPr>
              <w:t>眼睛接触</w:t>
            </w:r>
            <w:r>
              <w:rPr>
                <w:rFonts w:hint="eastAsia" w:ascii="Times New Roman" w:hAnsi="Times New Roman" w:eastAsia="宋体" w:cs="Times New Roman"/>
                <w:bCs/>
                <w:szCs w:val="21"/>
                <w:highlight w:val="none"/>
                <w:lang w:eastAsia="zh-CN"/>
              </w:rPr>
              <w:t>：</w:t>
            </w:r>
            <w:r>
              <w:rPr>
                <w:rFonts w:ascii="Times New Roman" w:hAnsi="Times New Roman" w:eastAsia="宋体" w:cs="Times New Roman"/>
                <w:bCs/>
                <w:szCs w:val="21"/>
                <w:highlight w:val="none"/>
              </w:rPr>
              <w:t>立即提起眼睑，用大量流动水或生理盐水彻底冲洗至少15分钟。就医。</w:t>
            </w:r>
          </w:p>
          <w:p w14:paraId="7A0CACA3">
            <w:pPr>
              <w:jc w:val="center"/>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lang w:val="en-US" w:eastAsia="zh-CN"/>
              </w:rPr>
              <w:t>吸入：</w:t>
            </w:r>
            <w:r>
              <w:rPr>
                <w:rFonts w:ascii="Times New Roman" w:hAnsi="Times New Roman" w:eastAsia="宋体" w:cs="Times New Roman"/>
                <w:bCs/>
                <w:szCs w:val="21"/>
                <w:highlight w:val="none"/>
              </w:rPr>
              <w:t>迅速脱离现场至空气新鲜处。保持呼吸道通畅。</w:t>
            </w:r>
            <w:r>
              <w:rPr>
                <w:rFonts w:hint="eastAsia" w:cs="Times New Roman"/>
                <w:bCs/>
                <w:szCs w:val="21"/>
                <w:highlight w:val="none"/>
                <w:lang w:eastAsia="zh-CN"/>
              </w:rPr>
              <w:t>如果患者感到呼吸困难，应该给患者输氧。</w:t>
            </w:r>
            <w:r>
              <w:rPr>
                <w:rFonts w:ascii="Times New Roman" w:hAnsi="Times New Roman" w:eastAsia="宋体" w:cs="Times New Roman"/>
                <w:bCs/>
                <w:szCs w:val="21"/>
                <w:highlight w:val="none"/>
              </w:rPr>
              <w:t>如呼吸停止，立即进行人工呼吸、就医。</w:t>
            </w:r>
          </w:p>
          <w:p w14:paraId="42CE80F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食入：饮大量温水，催吐。就医。</w:t>
            </w:r>
          </w:p>
        </w:tc>
      </w:tr>
      <w:tr w14:paraId="516DA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64DA7F7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泄漏处置</w:t>
            </w:r>
          </w:p>
        </w:tc>
        <w:tc>
          <w:tcPr>
            <w:tcW w:w="0" w:type="auto"/>
            <w:gridSpan w:val="4"/>
            <w:tcMar>
              <w:left w:w="108" w:type="dxa"/>
              <w:right w:w="108" w:type="dxa"/>
            </w:tcMar>
            <w:vAlign w:val="center"/>
          </w:tcPr>
          <w:p w14:paraId="767F547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迅速撤离泄漏区人员至安全区，并在</w:t>
            </w:r>
            <w:r>
              <w:rPr>
                <w:rFonts w:hint="eastAsia" w:cs="Times New Roman"/>
                <w:bCs/>
                <w:szCs w:val="21"/>
                <w:highlight w:val="none"/>
                <w:lang w:eastAsia="zh-CN"/>
              </w:rPr>
              <w:t>安全区</w:t>
            </w:r>
            <w:r>
              <w:rPr>
                <w:rFonts w:ascii="Times New Roman" w:hAnsi="Times New Roman" w:eastAsia="宋体" w:cs="Times New Roman"/>
                <w:bCs/>
                <w:szCs w:val="21"/>
                <w:highlight w:val="none"/>
              </w:rPr>
              <w:t>隔离，严格限制出入。切断火源。建议应急处理人员穿戴自给正压呼吸器，穿防静电工作服。尽可能切断泄漏源。防止流入下水道、排洪沟等限制空间。小量泄漏：用活性炭或其他惰性材料吸收</w:t>
            </w:r>
            <w:r>
              <w:rPr>
                <w:rFonts w:hint="eastAsia" w:cs="Times New Roman"/>
                <w:bCs/>
                <w:szCs w:val="21"/>
                <w:highlight w:val="none"/>
                <w:lang w:eastAsia="zh-CN"/>
              </w:rPr>
              <w:t>，</w:t>
            </w:r>
            <w:r>
              <w:rPr>
                <w:rFonts w:ascii="Times New Roman" w:hAnsi="Times New Roman" w:eastAsia="宋体" w:cs="Times New Roman"/>
                <w:bCs/>
                <w:szCs w:val="21"/>
                <w:highlight w:val="none"/>
              </w:rPr>
              <w:t>也可用大量水冲洗，洗水稀释后放入废水系统。大量泄漏：构筑围堤或挖坑收容。用泡沫覆盖，降低</w:t>
            </w:r>
            <w:r>
              <w:rPr>
                <w:rFonts w:hint="eastAsia" w:cs="Times New Roman"/>
                <w:bCs/>
                <w:szCs w:val="21"/>
                <w:highlight w:val="none"/>
                <w:lang w:eastAsia="zh-CN"/>
              </w:rPr>
              <w:t>蒸汽</w:t>
            </w:r>
            <w:r>
              <w:rPr>
                <w:rFonts w:ascii="Times New Roman" w:hAnsi="Times New Roman" w:eastAsia="宋体" w:cs="Times New Roman"/>
                <w:bCs/>
                <w:szCs w:val="21"/>
                <w:highlight w:val="none"/>
              </w:rPr>
              <w:t>灾害。用防爆泵转移至槽车或专用收集器内，回收或运至废物处理场所处置。</w:t>
            </w:r>
          </w:p>
        </w:tc>
      </w:tr>
      <w:tr w14:paraId="13D0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23C3E275">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储运注意事项</w:t>
            </w:r>
          </w:p>
        </w:tc>
        <w:tc>
          <w:tcPr>
            <w:tcW w:w="0" w:type="auto"/>
            <w:gridSpan w:val="4"/>
            <w:tcMar>
              <w:left w:w="108" w:type="dxa"/>
              <w:right w:w="108" w:type="dxa"/>
            </w:tcMar>
            <w:vAlign w:val="center"/>
          </w:tcPr>
          <w:p w14:paraId="580DC1D2">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①储存注意事项：</w:t>
            </w:r>
            <w:r>
              <w:rPr>
                <w:rFonts w:ascii="Times New Roman" w:hAnsi="Times New Roman" w:eastAsia="宋体" w:cs="Times New Roman"/>
                <w:bCs/>
                <w:szCs w:val="21"/>
                <w:highlight w:val="none"/>
              </w:rPr>
              <w:br w:type="textWrapping"/>
            </w:r>
            <w:r>
              <w:rPr>
                <w:rFonts w:ascii="Times New Roman" w:hAnsi="Times New Roman" w:eastAsia="宋体" w:cs="Times New Roman"/>
                <w:bCs/>
                <w:szCs w:val="21"/>
                <w:highlight w:val="none"/>
              </w:rPr>
              <w:t>储存于阴凉、通风的库房。远离火种、热源。库温不宜超过30℃。保持容器密封。应与氧化剂、酸类等分开存放，切忌混储。采用防爆型照明、通风设施。禁止使用易产生火花的机械设备和工具。储存区应备有泄漏应急处理设备和合适的收容材料。</w:t>
            </w:r>
          </w:p>
        </w:tc>
      </w:tr>
      <w:tr w14:paraId="0E3F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66C0D9AD">
            <w:pPr>
              <w:jc w:val="center"/>
              <w:rPr>
                <w:rFonts w:ascii="Times New Roman" w:hAnsi="Times New Roman" w:eastAsia="宋体" w:cs="Times New Roman"/>
                <w:bCs/>
                <w:szCs w:val="21"/>
                <w:highlight w:val="none"/>
              </w:rPr>
            </w:pPr>
          </w:p>
        </w:tc>
        <w:tc>
          <w:tcPr>
            <w:tcW w:w="0" w:type="auto"/>
            <w:gridSpan w:val="4"/>
            <w:tcMar>
              <w:left w:w="108" w:type="dxa"/>
              <w:right w:w="108" w:type="dxa"/>
            </w:tcMar>
            <w:vAlign w:val="center"/>
          </w:tcPr>
          <w:p w14:paraId="65E1EEB6">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②运输注意事项：</w:t>
            </w:r>
            <w:r>
              <w:rPr>
                <w:rFonts w:ascii="Times New Roman" w:hAnsi="Times New Roman" w:eastAsia="宋体" w:cs="Times New Roman"/>
                <w:bCs/>
                <w:szCs w:val="21"/>
                <w:highlight w:val="none"/>
              </w:rPr>
              <w:br w:type="textWrapping"/>
            </w:r>
            <w:r>
              <w:rPr>
                <w:rFonts w:ascii="Times New Roman" w:hAnsi="Times New Roman" w:eastAsia="宋体" w:cs="Times New Roman"/>
                <w:bCs/>
                <w:szCs w:val="21"/>
                <w:highlight w:val="none"/>
              </w:rPr>
              <w:t>运输时运输车辆应配备相应品种和数量的消防器材及泄漏应急处理设备。夏季最好早晚运输。运输时所用的槽（罐）车应接地良好，槽内应设孔板分区减少蒸馏生产静电。严禁与氧化剂、酸类、食用化学品等混装混运。运输途中应防雨淋、曝晒、防高温。中途停留时应远离火种、热源、高温区。装运过产品的车辆在管道充气</w:t>
            </w:r>
            <w:r>
              <w:rPr>
                <w:rFonts w:hint="eastAsia" w:cs="Times New Roman"/>
                <w:bCs/>
                <w:szCs w:val="21"/>
                <w:highlight w:val="none"/>
                <w:lang w:eastAsia="zh-CN"/>
              </w:rPr>
              <w:t>时</w:t>
            </w:r>
            <w:r>
              <w:rPr>
                <w:rFonts w:ascii="Times New Roman" w:hAnsi="Times New Roman" w:eastAsia="宋体" w:cs="Times New Roman"/>
                <w:bCs/>
                <w:szCs w:val="21"/>
                <w:highlight w:val="none"/>
              </w:rPr>
              <w:t>必须装备阻火装置。禁止使用易产生火花的机械设备和工具装卸。公路运输时应按指定路线行驶，勿在居民区和人口稠密区停留。铁路运输时要禁止溜放。严禁用木船、水泥船</w:t>
            </w:r>
            <w:r>
              <w:rPr>
                <w:rFonts w:hint="eastAsia" w:cs="Times New Roman"/>
                <w:bCs/>
                <w:szCs w:val="21"/>
                <w:highlight w:val="none"/>
                <w:lang w:eastAsia="zh-CN"/>
              </w:rPr>
              <w:t>等方式</w:t>
            </w:r>
            <w:r>
              <w:rPr>
                <w:rFonts w:ascii="Times New Roman" w:hAnsi="Times New Roman" w:eastAsia="宋体" w:cs="Times New Roman"/>
                <w:bCs/>
                <w:szCs w:val="21"/>
                <w:highlight w:val="none"/>
              </w:rPr>
              <w:t>散装运输。</w:t>
            </w:r>
          </w:p>
        </w:tc>
      </w:tr>
    </w:tbl>
    <w:p w14:paraId="61ED84A1">
      <w:pPr>
        <w:spacing w:line="360" w:lineRule="auto"/>
        <w:jc w:val="center"/>
        <w:rPr>
          <w:highlight w:val="none"/>
        </w:rPr>
      </w:pPr>
      <w:r>
        <w:rPr>
          <w:rFonts w:hint="eastAsia" w:cs="Times New Roman"/>
          <w:b/>
          <w:bCs/>
          <w:sz w:val="21"/>
          <w:szCs w:val="21"/>
          <w:highlight w:val="none"/>
          <w:lang w:val="en-US" w:eastAsia="zh-CN"/>
        </w:rPr>
        <w:t>3.2</w:t>
      </w:r>
      <w:r>
        <w:rPr>
          <w:rFonts w:hint="eastAsia" w:ascii="Times New Roman" w:hAnsi="Times New Roman" w:eastAsia="宋体" w:cs="Times New Roman"/>
          <w:b/>
          <w:bCs/>
          <w:sz w:val="21"/>
          <w:szCs w:val="21"/>
          <w:highlight w:val="none"/>
          <w:lang w:val="en-US" w:eastAsia="zh-CN"/>
        </w:rPr>
        <w:t xml:space="preserve">-5   </w:t>
      </w:r>
      <w:r>
        <w:rPr>
          <w:rFonts w:hint="eastAsia" w:cs="Times New Roman"/>
          <w:b/>
          <w:bCs/>
          <w:sz w:val="21"/>
          <w:szCs w:val="21"/>
          <w:highlight w:val="none"/>
          <w:lang w:val="en-US" w:eastAsia="zh-CN"/>
        </w:rPr>
        <w:t>氨气的理化性质与危险特性表</w:t>
      </w:r>
    </w:p>
    <w:tbl>
      <w:tblPr>
        <w:tblStyle w:val="19"/>
        <w:tblW w:w="48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1"/>
        <w:gridCol w:w="827"/>
        <w:gridCol w:w="540"/>
        <w:gridCol w:w="765"/>
        <w:gridCol w:w="1213"/>
        <w:gridCol w:w="387"/>
        <w:gridCol w:w="1153"/>
        <w:gridCol w:w="2096"/>
        <w:gridCol w:w="675"/>
      </w:tblGrid>
      <w:tr w14:paraId="4199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restart"/>
            <w:tcMar>
              <w:left w:w="108" w:type="dxa"/>
              <w:right w:w="108" w:type="dxa"/>
            </w:tcMar>
            <w:vAlign w:val="center"/>
          </w:tcPr>
          <w:p w14:paraId="5C50CEB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标识</w:t>
            </w:r>
          </w:p>
        </w:tc>
        <w:tc>
          <w:tcPr>
            <w:tcW w:w="827" w:type="dxa"/>
            <w:tcMar>
              <w:left w:w="108" w:type="dxa"/>
              <w:right w:w="108" w:type="dxa"/>
            </w:tcMar>
            <w:vAlign w:val="center"/>
          </w:tcPr>
          <w:p w14:paraId="1B8D10D3">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中文名称：</w:t>
            </w:r>
          </w:p>
        </w:tc>
        <w:tc>
          <w:tcPr>
            <w:tcW w:w="6829" w:type="dxa"/>
            <w:gridSpan w:val="7"/>
            <w:tcMar>
              <w:left w:w="108" w:type="dxa"/>
              <w:right w:w="108" w:type="dxa"/>
            </w:tcMar>
            <w:vAlign w:val="center"/>
          </w:tcPr>
          <w:p w14:paraId="3878E6E9">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氨；液氨；氢气</w:t>
            </w:r>
          </w:p>
        </w:tc>
      </w:tr>
      <w:tr w14:paraId="6DB1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0D703C30">
            <w:pPr>
              <w:jc w:val="center"/>
              <w:rPr>
                <w:rFonts w:ascii="Times New Roman" w:hAnsi="Times New Roman" w:eastAsia="宋体" w:cs="Times New Roman"/>
                <w:bCs/>
                <w:szCs w:val="21"/>
                <w:highlight w:val="none"/>
              </w:rPr>
            </w:pPr>
          </w:p>
        </w:tc>
        <w:tc>
          <w:tcPr>
            <w:tcW w:w="827" w:type="dxa"/>
            <w:tcMar>
              <w:left w:w="108" w:type="dxa"/>
              <w:right w:w="108" w:type="dxa"/>
            </w:tcMar>
            <w:vAlign w:val="center"/>
          </w:tcPr>
          <w:p w14:paraId="56BF107B">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英文名称：</w:t>
            </w:r>
          </w:p>
        </w:tc>
        <w:tc>
          <w:tcPr>
            <w:tcW w:w="6829" w:type="dxa"/>
            <w:gridSpan w:val="7"/>
            <w:tcMar>
              <w:left w:w="108" w:type="dxa"/>
              <w:right w:w="108" w:type="dxa"/>
            </w:tcMar>
            <w:vAlign w:val="center"/>
          </w:tcPr>
          <w:p w14:paraId="6794FE62">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ammonia;ammonia</w:t>
            </w:r>
            <w:r>
              <w:rPr>
                <w:rFonts w:hint="eastAsia" w:cs="Times New Roman"/>
                <w:bCs/>
                <w:szCs w:val="21"/>
                <w:highlight w:val="none"/>
                <w:lang w:eastAsia="zh-CN"/>
              </w:rPr>
              <w:t>（</w:t>
            </w:r>
            <w:r>
              <w:rPr>
                <w:rFonts w:ascii="Times New Roman" w:hAnsi="Times New Roman" w:eastAsia="宋体" w:cs="Times New Roman"/>
                <w:bCs/>
                <w:szCs w:val="21"/>
                <w:highlight w:val="none"/>
              </w:rPr>
              <w:t>methyl</w:t>
            </w:r>
            <w:r>
              <w:rPr>
                <w:rFonts w:hint="eastAsia" w:cs="Times New Roman"/>
                <w:bCs/>
                <w:szCs w:val="21"/>
                <w:highlight w:val="none"/>
                <w:lang w:eastAsia="zh-CN"/>
              </w:rPr>
              <w:t>）</w:t>
            </w:r>
            <w:r>
              <w:rPr>
                <w:rFonts w:ascii="Times New Roman" w:hAnsi="Times New Roman" w:eastAsia="宋体" w:cs="Times New Roman"/>
                <w:bCs/>
                <w:szCs w:val="21"/>
                <w:highlight w:val="none"/>
              </w:rPr>
              <w:t>;mammogas</w:t>
            </w:r>
          </w:p>
        </w:tc>
      </w:tr>
      <w:tr w14:paraId="1D9BA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410335DD">
            <w:pPr>
              <w:jc w:val="center"/>
              <w:rPr>
                <w:rFonts w:ascii="Times New Roman" w:hAnsi="Times New Roman" w:eastAsia="宋体" w:cs="Times New Roman"/>
                <w:bCs/>
                <w:szCs w:val="21"/>
                <w:highlight w:val="none"/>
              </w:rPr>
            </w:pPr>
          </w:p>
        </w:tc>
        <w:tc>
          <w:tcPr>
            <w:tcW w:w="827" w:type="dxa"/>
            <w:tcMar>
              <w:left w:w="108" w:type="dxa"/>
              <w:right w:w="108" w:type="dxa"/>
            </w:tcMar>
            <w:vAlign w:val="center"/>
          </w:tcPr>
          <w:p w14:paraId="6AF75DE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分子式：</w:t>
            </w:r>
          </w:p>
        </w:tc>
        <w:tc>
          <w:tcPr>
            <w:tcW w:w="1305" w:type="dxa"/>
            <w:gridSpan w:val="2"/>
            <w:tcMar>
              <w:left w:w="108" w:type="dxa"/>
              <w:right w:w="108" w:type="dxa"/>
            </w:tcMar>
            <w:vAlign w:val="center"/>
          </w:tcPr>
          <w:p w14:paraId="778825A0">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NH3</w:t>
            </w:r>
          </w:p>
        </w:tc>
        <w:tc>
          <w:tcPr>
            <w:tcW w:w="5524" w:type="dxa"/>
            <w:gridSpan w:val="5"/>
            <w:tcMar>
              <w:left w:w="108" w:type="dxa"/>
              <w:right w:w="108" w:type="dxa"/>
            </w:tcMar>
            <w:vAlign w:val="center"/>
          </w:tcPr>
          <w:p w14:paraId="3C1114D2">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相对分子质量：17.03</w:t>
            </w:r>
          </w:p>
        </w:tc>
      </w:tr>
      <w:tr w14:paraId="349B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6180435C">
            <w:pPr>
              <w:jc w:val="center"/>
              <w:rPr>
                <w:rFonts w:ascii="Times New Roman" w:hAnsi="Times New Roman" w:eastAsia="宋体" w:cs="Times New Roman"/>
                <w:bCs/>
                <w:szCs w:val="21"/>
                <w:highlight w:val="none"/>
              </w:rPr>
            </w:pPr>
          </w:p>
        </w:tc>
        <w:tc>
          <w:tcPr>
            <w:tcW w:w="827" w:type="dxa"/>
            <w:tcMar>
              <w:left w:w="108" w:type="dxa"/>
              <w:right w:w="108" w:type="dxa"/>
            </w:tcMar>
            <w:vAlign w:val="center"/>
          </w:tcPr>
          <w:p w14:paraId="59DBEAD9">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用途：</w:t>
            </w:r>
          </w:p>
        </w:tc>
        <w:tc>
          <w:tcPr>
            <w:tcW w:w="6829" w:type="dxa"/>
            <w:gridSpan w:val="7"/>
            <w:tcMar>
              <w:left w:w="108" w:type="dxa"/>
              <w:right w:w="108" w:type="dxa"/>
            </w:tcMar>
            <w:vAlign w:val="center"/>
          </w:tcPr>
          <w:p w14:paraId="2C33DDCD">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用作制冷剂及制取铵盐和氮肥。</w:t>
            </w:r>
          </w:p>
        </w:tc>
      </w:tr>
      <w:tr w14:paraId="59DC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restart"/>
            <w:tcMar>
              <w:left w:w="108" w:type="dxa"/>
              <w:right w:w="108" w:type="dxa"/>
            </w:tcMar>
            <w:vAlign w:val="center"/>
          </w:tcPr>
          <w:p w14:paraId="200F963A">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危险 概述</w:t>
            </w:r>
          </w:p>
        </w:tc>
        <w:tc>
          <w:tcPr>
            <w:tcW w:w="827" w:type="dxa"/>
            <w:tcMar>
              <w:left w:w="108" w:type="dxa"/>
              <w:right w:w="108" w:type="dxa"/>
            </w:tcMar>
            <w:vAlign w:val="center"/>
          </w:tcPr>
          <w:p w14:paraId="2A4667FB">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概述：</w:t>
            </w:r>
          </w:p>
        </w:tc>
        <w:tc>
          <w:tcPr>
            <w:tcW w:w="6829" w:type="dxa"/>
            <w:gridSpan w:val="7"/>
            <w:tcMar>
              <w:left w:w="108" w:type="dxa"/>
              <w:right w:w="108" w:type="dxa"/>
            </w:tcMar>
            <w:vAlign w:val="center"/>
          </w:tcPr>
          <w:p w14:paraId="6F61D5A2">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易燃气体，内装加压气体；</w:t>
            </w:r>
            <w:r>
              <w:rPr>
                <w:rFonts w:ascii="afanti_latex_font" w:hAnsi="afanti_latex_font" w:eastAsia="afanti_latex_font" w:cs="afanti_latex_font"/>
                <w:i w:val="0"/>
                <w:iCs w:val="0"/>
                <w:caps w:val="0"/>
                <w:color w:val="242424"/>
                <w:spacing w:val="0"/>
                <w:sz w:val="21"/>
                <w:szCs w:val="21"/>
                <w:shd w:val="clear" w:fill="FFFFFF"/>
              </w:rPr>
              <w:t>遇明火、高热会引起爆炸燃烧</w:t>
            </w:r>
            <w:r>
              <w:rPr>
                <w:rFonts w:ascii="Times New Roman" w:hAnsi="Times New Roman" w:eastAsia="宋体" w:cs="Times New Roman"/>
                <w:bCs/>
                <w:szCs w:val="21"/>
                <w:highlight w:val="none"/>
              </w:rPr>
              <w:t>，</w:t>
            </w:r>
            <w:r>
              <w:rPr>
                <w:rFonts w:hint="eastAsia" w:ascii="Times New Roman" w:hAnsi="Times New Roman" w:eastAsia="宋体" w:cs="Times New Roman"/>
                <w:bCs/>
                <w:szCs w:val="21"/>
                <w:highlight w:val="none"/>
              </w:rPr>
              <w:t>具有毒性、强刺激性和腐蚀性</w:t>
            </w:r>
            <w:r>
              <w:rPr>
                <w:rFonts w:hint="eastAsia" w:cs="Times New Roman"/>
                <w:bCs/>
                <w:szCs w:val="21"/>
                <w:highlight w:val="none"/>
                <w:lang w:eastAsia="zh-CN"/>
              </w:rPr>
              <w:t>，</w:t>
            </w:r>
            <w:r>
              <w:rPr>
                <w:rFonts w:ascii="Times New Roman" w:hAnsi="Times New Roman" w:eastAsia="宋体" w:cs="Times New Roman"/>
                <w:bCs/>
                <w:szCs w:val="21"/>
                <w:highlight w:val="none"/>
              </w:rPr>
              <w:t>吸入会中毒，造成严重的皮肤灼伤和眼损伤。</w:t>
            </w:r>
          </w:p>
        </w:tc>
      </w:tr>
      <w:tr w14:paraId="17E7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13A6DE92">
            <w:pPr>
              <w:jc w:val="center"/>
              <w:rPr>
                <w:rFonts w:ascii="Times New Roman" w:hAnsi="Times New Roman" w:eastAsia="宋体" w:cs="Times New Roman"/>
                <w:bCs/>
                <w:szCs w:val="21"/>
                <w:highlight w:val="none"/>
              </w:rPr>
            </w:pPr>
          </w:p>
        </w:tc>
        <w:tc>
          <w:tcPr>
            <w:tcW w:w="827" w:type="dxa"/>
            <w:tcMar>
              <w:left w:w="108" w:type="dxa"/>
              <w:right w:w="108" w:type="dxa"/>
            </w:tcMar>
            <w:vAlign w:val="center"/>
          </w:tcPr>
          <w:p w14:paraId="76A18C84">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危险性类别：</w:t>
            </w:r>
          </w:p>
        </w:tc>
        <w:tc>
          <w:tcPr>
            <w:tcW w:w="6829" w:type="dxa"/>
            <w:gridSpan w:val="7"/>
            <w:tcMar>
              <w:left w:w="108" w:type="dxa"/>
              <w:right w:w="108" w:type="dxa"/>
            </w:tcMar>
            <w:vAlign w:val="center"/>
          </w:tcPr>
          <w:p w14:paraId="65FEA46F">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易燃气体，类别2；加压气体；急性毒性-吸入，类别3；皮肤腐蚀/刺激，类别1B；严重眼损伤/眼刺激，类别1；危害水生环境-急性危害，类别1</w:t>
            </w:r>
          </w:p>
        </w:tc>
      </w:tr>
      <w:tr w14:paraId="2704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7D1DCB80">
            <w:pPr>
              <w:jc w:val="center"/>
              <w:rPr>
                <w:rFonts w:ascii="Times New Roman" w:hAnsi="Times New Roman" w:eastAsia="宋体" w:cs="Times New Roman"/>
                <w:bCs/>
                <w:szCs w:val="21"/>
                <w:highlight w:val="none"/>
              </w:rPr>
            </w:pPr>
          </w:p>
        </w:tc>
        <w:tc>
          <w:tcPr>
            <w:tcW w:w="827" w:type="dxa"/>
            <w:vMerge w:val="restart"/>
            <w:tcMar>
              <w:left w:w="108" w:type="dxa"/>
              <w:right w:w="108" w:type="dxa"/>
            </w:tcMar>
            <w:vAlign w:val="center"/>
          </w:tcPr>
          <w:p w14:paraId="35C63595">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防范说明：</w:t>
            </w:r>
          </w:p>
        </w:tc>
        <w:tc>
          <w:tcPr>
            <w:tcW w:w="6829" w:type="dxa"/>
            <w:gridSpan w:val="7"/>
            <w:tcMar>
              <w:left w:w="108" w:type="dxa"/>
              <w:right w:w="108" w:type="dxa"/>
            </w:tcMar>
            <w:vAlign w:val="center"/>
          </w:tcPr>
          <w:p w14:paraId="6EF30A46">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预防措施：</w:t>
            </w:r>
            <w:r>
              <w:rPr>
                <w:rFonts w:ascii="Times New Roman" w:hAnsi="Times New Roman" w:eastAsia="宋体" w:cs="Times New Roman"/>
                <w:bCs/>
                <w:szCs w:val="21"/>
                <w:highlight w:val="none"/>
              </w:rPr>
              <w:br w:type="textWrapping"/>
            </w:r>
            <w:r>
              <w:rPr>
                <w:rFonts w:ascii="Times New Roman" w:hAnsi="Times New Roman" w:eastAsia="宋体" w:cs="Times New Roman"/>
                <w:bCs/>
                <w:szCs w:val="21"/>
                <w:highlight w:val="none"/>
              </w:rPr>
              <w:t>远离热源、火花、明火和热表面。禁止吸烟。避免吸入</w:t>
            </w:r>
            <w:r>
              <w:rPr>
                <w:rFonts w:hint="eastAsia" w:cs="Times New Roman"/>
                <w:bCs/>
                <w:szCs w:val="21"/>
                <w:highlight w:val="none"/>
                <w:lang w:eastAsia="zh-CN"/>
              </w:rPr>
              <w:t>有毒</w:t>
            </w:r>
            <w:r>
              <w:rPr>
                <w:rFonts w:ascii="Times New Roman" w:hAnsi="Times New Roman" w:eastAsia="宋体" w:cs="Times New Roman"/>
                <w:bCs/>
                <w:szCs w:val="21"/>
                <w:highlight w:val="none"/>
              </w:rPr>
              <w:t>气体。仅在室外或通风良好处操作。避免接触眼睛、皮肤。操作后彻底清洗。戴防护手套、穿防护服、戴防护眼镜及防护面罩。禁止排入环境。</w:t>
            </w:r>
            <w:r>
              <w:rPr>
                <w:rFonts w:ascii="Times New Roman" w:hAnsi="Times New Roman" w:eastAsia="宋体" w:cs="Times New Roman"/>
                <w:bCs/>
                <w:szCs w:val="21"/>
                <w:highlight w:val="none"/>
              </w:rPr>
              <w:br w:type="textWrapping"/>
            </w:r>
            <w:r>
              <w:rPr>
                <w:rFonts w:ascii="Times New Roman" w:hAnsi="Times New Roman" w:eastAsia="宋体" w:cs="Times New Roman"/>
                <w:bCs/>
                <w:szCs w:val="21"/>
                <w:highlight w:val="none"/>
              </w:rPr>
              <w:t>事故响应：</w:t>
            </w:r>
            <w:r>
              <w:rPr>
                <w:rFonts w:ascii="Times New Roman" w:hAnsi="Times New Roman" w:eastAsia="宋体" w:cs="Times New Roman"/>
                <w:bCs/>
                <w:szCs w:val="21"/>
                <w:highlight w:val="none"/>
              </w:rPr>
              <w:br w:type="textWrapping"/>
            </w:r>
            <w:r>
              <w:rPr>
                <w:rFonts w:ascii="Times New Roman" w:hAnsi="Times New Roman" w:eastAsia="宋体" w:cs="Times New Roman"/>
                <w:bCs/>
                <w:szCs w:val="21"/>
                <w:highlight w:val="none"/>
              </w:rPr>
              <w:t>如遇着火：切勿灭火，除非漏气能够安全地制止。如果没有危险，消除一切火源</w:t>
            </w:r>
            <w:r>
              <w:rPr>
                <w:rFonts w:hint="eastAsia" w:cs="Times New Roman"/>
                <w:bCs/>
                <w:szCs w:val="21"/>
                <w:highlight w:val="none"/>
                <w:lang w:eastAsia="zh-CN"/>
              </w:rPr>
              <w:t>。</w:t>
            </w:r>
            <w:r>
              <w:rPr>
                <w:rFonts w:ascii="Times New Roman" w:hAnsi="Times New Roman" w:eastAsia="宋体" w:cs="Times New Roman"/>
                <w:bCs/>
                <w:szCs w:val="21"/>
                <w:highlight w:val="none"/>
              </w:rPr>
              <w:t>如吸入：将患者转移到空气新鲜处休息，保持</w:t>
            </w:r>
            <w:r>
              <w:rPr>
                <w:rFonts w:hint="default" w:ascii="Times New Roman" w:hAnsi="Times New Roman" w:eastAsia="宋体" w:cs="Times New Roman"/>
                <w:bCs/>
                <w:szCs w:val="21"/>
                <w:highlight w:val="none"/>
              </w:rPr>
              <w:t>有利于呼吸的体位</w:t>
            </w:r>
            <w:r>
              <w:rPr>
                <w:rFonts w:ascii="Times New Roman" w:hAnsi="Times New Roman" w:eastAsia="宋体" w:cs="Times New Roman"/>
                <w:bCs/>
                <w:szCs w:val="21"/>
                <w:highlight w:val="none"/>
              </w:rPr>
              <w:t>。呼叫中毒控制中心或就医。皮肤（或头发）接触：立即脱掉所有被污染的衣服。用水冲洗皮肤，淋浴。污染的衣服须洗净后方可重新使用。眼睛接触：用水</w:t>
            </w:r>
            <w:r>
              <w:rPr>
                <w:rFonts w:hint="eastAsia" w:cs="Times New Roman"/>
                <w:bCs/>
                <w:szCs w:val="21"/>
                <w:highlight w:val="none"/>
                <w:lang w:eastAsia="zh-CN"/>
              </w:rPr>
              <w:t>细心地</w:t>
            </w:r>
            <w:r>
              <w:rPr>
                <w:rFonts w:ascii="Times New Roman" w:hAnsi="Times New Roman" w:eastAsia="宋体" w:cs="Times New Roman"/>
                <w:bCs/>
                <w:szCs w:val="21"/>
                <w:highlight w:val="none"/>
              </w:rPr>
              <w:t>冲洗数分钟。如戴隐形眼镜并可方便地取出，则取出隐形眼镜继而冲洗。收集泄漏物。</w:t>
            </w:r>
            <w:r>
              <w:rPr>
                <w:rFonts w:ascii="Times New Roman" w:hAnsi="Times New Roman" w:eastAsia="宋体" w:cs="Times New Roman"/>
                <w:bCs/>
                <w:szCs w:val="21"/>
                <w:highlight w:val="none"/>
              </w:rPr>
              <w:br w:type="textWrapping"/>
            </w:r>
            <w:r>
              <w:rPr>
                <w:rFonts w:ascii="Times New Roman" w:hAnsi="Times New Roman" w:eastAsia="宋体" w:cs="Times New Roman"/>
                <w:bCs/>
                <w:szCs w:val="21"/>
                <w:highlight w:val="none"/>
              </w:rPr>
              <w:t>安全储存：</w:t>
            </w:r>
            <w:r>
              <w:rPr>
                <w:rFonts w:ascii="Times New Roman" w:hAnsi="Times New Roman" w:eastAsia="宋体" w:cs="Times New Roman"/>
                <w:bCs/>
                <w:szCs w:val="21"/>
                <w:highlight w:val="none"/>
              </w:rPr>
              <w:br w:type="textWrapping"/>
            </w:r>
            <w:r>
              <w:rPr>
                <w:rFonts w:ascii="Times New Roman" w:hAnsi="Times New Roman" w:eastAsia="宋体" w:cs="Times New Roman"/>
                <w:bCs/>
                <w:szCs w:val="21"/>
                <w:highlight w:val="none"/>
              </w:rPr>
              <w:t>防日晒。存放在通风良好的地方。保持容器密闭。上锁保管。</w:t>
            </w:r>
            <w:r>
              <w:rPr>
                <w:rFonts w:ascii="Times New Roman" w:hAnsi="Times New Roman" w:eastAsia="宋体" w:cs="Times New Roman"/>
                <w:bCs/>
                <w:szCs w:val="21"/>
                <w:highlight w:val="none"/>
              </w:rPr>
              <w:br w:type="textWrapping"/>
            </w:r>
            <w:r>
              <w:rPr>
                <w:rFonts w:ascii="Times New Roman" w:hAnsi="Times New Roman" w:eastAsia="宋体" w:cs="Times New Roman"/>
                <w:bCs/>
                <w:szCs w:val="21"/>
                <w:highlight w:val="none"/>
              </w:rPr>
              <w:t>废弃处置：</w:t>
            </w:r>
            <w:r>
              <w:rPr>
                <w:rFonts w:ascii="Times New Roman" w:hAnsi="Times New Roman" w:eastAsia="宋体" w:cs="Times New Roman"/>
                <w:bCs/>
                <w:szCs w:val="21"/>
                <w:highlight w:val="none"/>
              </w:rPr>
              <w:br w:type="textWrapping"/>
            </w:r>
            <w:r>
              <w:rPr>
                <w:rFonts w:ascii="Times New Roman" w:hAnsi="Times New Roman" w:eastAsia="宋体" w:cs="Times New Roman"/>
                <w:bCs/>
                <w:szCs w:val="21"/>
                <w:highlight w:val="none"/>
              </w:rPr>
              <w:t>本品及内装物、容器</w:t>
            </w:r>
            <w:r>
              <w:rPr>
                <w:rFonts w:hint="eastAsia" w:cs="Times New Roman"/>
                <w:bCs/>
                <w:szCs w:val="21"/>
                <w:highlight w:val="none"/>
                <w:lang w:eastAsia="zh-CN"/>
              </w:rPr>
              <w:t>应</w:t>
            </w:r>
            <w:r>
              <w:rPr>
                <w:rFonts w:ascii="Times New Roman" w:hAnsi="Times New Roman" w:eastAsia="宋体" w:cs="Times New Roman"/>
                <w:bCs/>
                <w:szCs w:val="21"/>
                <w:highlight w:val="none"/>
              </w:rPr>
              <w:t>依据国家和</w:t>
            </w:r>
            <w:r>
              <w:rPr>
                <w:rFonts w:hint="eastAsia" w:cs="Times New Roman"/>
                <w:bCs/>
                <w:szCs w:val="21"/>
                <w:highlight w:val="none"/>
                <w:lang w:eastAsia="zh-CN"/>
              </w:rPr>
              <w:t>地方性法规</w:t>
            </w:r>
            <w:r>
              <w:rPr>
                <w:rFonts w:ascii="Times New Roman" w:hAnsi="Times New Roman" w:eastAsia="宋体" w:cs="Times New Roman"/>
                <w:bCs/>
                <w:szCs w:val="21"/>
                <w:highlight w:val="none"/>
              </w:rPr>
              <w:t>处置。</w:t>
            </w:r>
          </w:p>
        </w:tc>
      </w:tr>
      <w:tr w14:paraId="4D84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184B1126">
            <w:pPr>
              <w:jc w:val="center"/>
              <w:rPr>
                <w:rFonts w:ascii="Times New Roman" w:hAnsi="Times New Roman" w:eastAsia="宋体" w:cs="Times New Roman"/>
                <w:bCs/>
                <w:szCs w:val="21"/>
                <w:highlight w:val="none"/>
              </w:rPr>
            </w:pPr>
          </w:p>
        </w:tc>
        <w:tc>
          <w:tcPr>
            <w:tcW w:w="827" w:type="dxa"/>
            <w:vMerge w:val="continue"/>
            <w:tcMar>
              <w:left w:w="108" w:type="dxa"/>
              <w:right w:w="108" w:type="dxa"/>
            </w:tcMar>
            <w:vAlign w:val="center"/>
          </w:tcPr>
          <w:p w14:paraId="16B5E01C">
            <w:pPr>
              <w:jc w:val="center"/>
              <w:rPr>
                <w:rFonts w:ascii="Times New Roman" w:hAnsi="Times New Roman" w:eastAsia="宋体" w:cs="Times New Roman"/>
                <w:bCs/>
                <w:szCs w:val="21"/>
                <w:highlight w:val="none"/>
              </w:rPr>
            </w:pPr>
          </w:p>
        </w:tc>
        <w:tc>
          <w:tcPr>
            <w:tcW w:w="1305" w:type="dxa"/>
            <w:gridSpan w:val="2"/>
            <w:tcMar>
              <w:left w:w="108" w:type="dxa"/>
              <w:right w:w="108" w:type="dxa"/>
            </w:tcMar>
            <w:vAlign w:val="center"/>
          </w:tcPr>
          <w:p w14:paraId="13BF87E6">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物理和化学危险：</w:t>
            </w:r>
          </w:p>
        </w:tc>
        <w:tc>
          <w:tcPr>
            <w:tcW w:w="5524" w:type="dxa"/>
            <w:gridSpan w:val="5"/>
            <w:tcMar>
              <w:left w:w="108" w:type="dxa"/>
              <w:right w:w="108" w:type="dxa"/>
            </w:tcMar>
            <w:vAlign w:val="center"/>
          </w:tcPr>
          <w:p w14:paraId="4691594B">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易燃，与空气混合能形成爆炸性混合物。</w:t>
            </w:r>
          </w:p>
        </w:tc>
      </w:tr>
      <w:tr w14:paraId="6EF4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5D6E1365">
            <w:pPr>
              <w:jc w:val="center"/>
              <w:rPr>
                <w:rFonts w:ascii="Times New Roman" w:hAnsi="Times New Roman" w:eastAsia="宋体" w:cs="Times New Roman"/>
                <w:bCs/>
                <w:szCs w:val="21"/>
                <w:highlight w:val="none"/>
              </w:rPr>
            </w:pPr>
          </w:p>
        </w:tc>
        <w:tc>
          <w:tcPr>
            <w:tcW w:w="827" w:type="dxa"/>
            <w:vMerge w:val="continue"/>
            <w:tcMar>
              <w:left w:w="108" w:type="dxa"/>
              <w:right w:w="108" w:type="dxa"/>
            </w:tcMar>
            <w:vAlign w:val="center"/>
          </w:tcPr>
          <w:p w14:paraId="786562E1">
            <w:pPr>
              <w:jc w:val="center"/>
              <w:rPr>
                <w:rFonts w:ascii="Times New Roman" w:hAnsi="Times New Roman" w:eastAsia="宋体" w:cs="Times New Roman"/>
                <w:bCs/>
                <w:szCs w:val="21"/>
                <w:highlight w:val="none"/>
              </w:rPr>
            </w:pPr>
          </w:p>
        </w:tc>
        <w:tc>
          <w:tcPr>
            <w:tcW w:w="1305" w:type="dxa"/>
            <w:gridSpan w:val="2"/>
            <w:tcMar>
              <w:left w:w="108" w:type="dxa"/>
              <w:right w:w="108" w:type="dxa"/>
            </w:tcMar>
            <w:vAlign w:val="center"/>
          </w:tcPr>
          <w:p w14:paraId="1831D4F6">
            <w:pPr>
              <w:jc w:val="center"/>
              <w:rPr>
                <w:rFonts w:hint="eastAsia" w:ascii="Times New Roman" w:hAnsi="Times New Roman" w:eastAsia="宋体" w:cs="Times New Roman"/>
                <w:bCs/>
                <w:szCs w:val="21"/>
                <w:highlight w:val="none"/>
                <w:lang w:eastAsia="zh-CN"/>
              </w:rPr>
            </w:pPr>
            <w:r>
              <w:rPr>
                <w:rFonts w:ascii="Times New Roman" w:hAnsi="Times New Roman" w:eastAsia="宋体" w:cs="Times New Roman"/>
                <w:bCs/>
                <w:szCs w:val="21"/>
                <w:highlight w:val="none"/>
              </w:rPr>
              <w:t>健康危害</w:t>
            </w:r>
            <w:r>
              <w:rPr>
                <w:rFonts w:hint="eastAsia" w:ascii="Times New Roman" w:hAnsi="Times New Roman" w:eastAsia="宋体" w:cs="Times New Roman"/>
                <w:bCs/>
                <w:szCs w:val="21"/>
                <w:highlight w:val="none"/>
                <w:lang w:eastAsia="zh-CN"/>
              </w:rPr>
              <w:t>：</w:t>
            </w:r>
          </w:p>
        </w:tc>
        <w:tc>
          <w:tcPr>
            <w:tcW w:w="5524" w:type="dxa"/>
            <w:gridSpan w:val="5"/>
            <w:tcMar>
              <w:left w:w="108" w:type="dxa"/>
              <w:right w:w="108" w:type="dxa"/>
            </w:tcMar>
            <w:vAlign w:val="center"/>
          </w:tcPr>
          <w:p w14:paraId="51849B9B">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低浓度氨对黏膜有刺激作用，高浓度可造成组织溶解坏死。轻度中毒者出现流泪、咽痛、声音嘶哑、咳嗽、</w:t>
            </w:r>
            <w:r>
              <w:rPr>
                <w:rFonts w:hint="eastAsia" w:cs="Times New Roman"/>
                <w:bCs/>
                <w:szCs w:val="21"/>
                <w:highlight w:val="none"/>
                <w:lang w:eastAsia="zh-CN"/>
              </w:rPr>
              <w:t>咳痰</w:t>
            </w:r>
            <w:r>
              <w:rPr>
                <w:rFonts w:ascii="Times New Roman" w:hAnsi="Times New Roman" w:eastAsia="宋体" w:cs="Times New Roman"/>
                <w:bCs/>
                <w:szCs w:val="21"/>
                <w:highlight w:val="none"/>
              </w:rPr>
              <w:t>等；眼结膜、鼻黏膜、咽部充血、水肿；胸部X线征象符合支气管炎或支气管周围炎中度中毒上述症状加剧，出现呼吸困难、紫绀；胸部X线征象符合肺炎或间质性肺炎。重度中毒</w:t>
            </w:r>
            <w:r>
              <w:rPr>
                <w:rFonts w:hint="eastAsia" w:cs="Times New Roman"/>
                <w:bCs/>
                <w:szCs w:val="21"/>
                <w:highlight w:val="none"/>
                <w:lang w:eastAsia="zh-CN"/>
              </w:rPr>
              <w:t>会</w:t>
            </w:r>
            <w:r>
              <w:rPr>
                <w:rFonts w:ascii="Times New Roman" w:hAnsi="Times New Roman" w:eastAsia="宋体" w:cs="Times New Roman"/>
                <w:bCs/>
                <w:szCs w:val="21"/>
                <w:highlight w:val="none"/>
              </w:rPr>
              <w:t>发生中毒性肺水肿，或有呼吸窘迫综合征。患者剧烈咳嗽、咯大量粉红色泡沫痰、呼吸困难、谵妄、昏迷、休克等</w:t>
            </w:r>
            <w:r>
              <w:rPr>
                <w:rFonts w:hint="eastAsia" w:cs="Times New Roman"/>
                <w:bCs/>
                <w:szCs w:val="21"/>
                <w:highlight w:val="none"/>
                <w:lang w:eastAsia="zh-CN"/>
              </w:rPr>
              <w:t>，</w:t>
            </w:r>
            <w:r>
              <w:rPr>
                <w:rFonts w:ascii="Times New Roman" w:hAnsi="Times New Roman" w:eastAsia="宋体" w:cs="Times New Roman"/>
                <w:bCs/>
                <w:szCs w:val="21"/>
                <w:highlight w:val="none"/>
              </w:rPr>
              <w:t>可发生喉水肿或支气管黏膜坏死脱落窒息。可并发气胸或纵隔气肿。高浓度氨可引起反射性呼吸停止和心脏停搏。液氨或高浓度氨气可致眼灼伤；液氨可致皮肤灼伤。</w:t>
            </w:r>
          </w:p>
        </w:tc>
      </w:tr>
      <w:tr w14:paraId="62EC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1343934A">
            <w:pPr>
              <w:jc w:val="center"/>
              <w:rPr>
                <w:rFonts w:ascii="Times New Roman" w:hAnsi="Times New Roman" w:eastAsia="宋体" w:cs="Times New Roman"/>
                <w:bCs/>
                <w:szCs w:val="21"/>
                <w:highlight w:val="none"/>
              </w:rPr>
            </w:pPr>
          </w:p>
        </w:tc>
        <w:tc>
          <w:tcPr>
            <w:tcW w:w="827" w:type="dxa"/>
            <w:vMerge w:val="continue"/>
            <w:tcMar>
              <w:left w:w="108" w:type="dxa"/>
              <w:right w:w="108" w:type="dxa"/>
            </w:tcMar>
            <w:vAlign w:val="center"/>
          </w:tcPr>
          <w:p w14:paraId="373B7267">
            <w:pPr>
              <w:jc w:val="center"/>
              <w:rPr>
                <w:rFonts w:ascii="Times New Roman" w:hAnsi="Times New Roman" w:eastAsia="宋体" w:cs="Times New Roman"/>
                <w:bCs/>
                <w:szCs w:val="21"/>
                <w:highlight w:val="none"/>
              </w:rPr>
            </w:pPr>
          </w:p>
        </w:tc>
        <w:tc>
          <w:tcPr>
            <w:tcW w:w="1305" w:type="dxa"/>
            <w:gridSpan w:val="2"/>
            <w:tcMar>
              <w:left w:w="108" w:type="dxa"/>
              <w:right w:w="108" w:type="dxa"/>
            </w:tcMar>
            <w:vAlign w:val="center"/>
          </w:tcPr>
          <w:p w14:paraId="313805B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环境危害：</w:t>
            </w:r>
          </w:p>
        </w:tc>
        <w:tc>
          <w:tcPr>
            <w:tcW w:w="5524" w:type="dxa"/>
            <w:gridSpan w:val="5"/>
            <w:tcMar>
              <w:left w:w="108" w:type="dxa"/>
              <w:right w:w="108" w:type="dxa"/>
            </w:tcMar>
            <w:vAlign w:val="center"/>
          </w:tcPr>
          <w:p w14:paraId="7323A5B5">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对水生生物毒性非常大。</w:t>
            </w:r>
          </w:p>
        </w:tc>
      </w:tr>
      <w:tr w14:paraId="2522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507F79DD">
            <w:pPr>
              <w:jc w:val="center"/>
              <w:rPr>
                <w:rFonts w:ascii="Times New Roman" w:hAnsi="Times New Roman" w:eastAsia="宋体" w:cs="Times New Roman"/>
                <w:bCs/>
                <w:szCs w:val="21"/>
                <w:highlight w:val="none"/>
              </w:rPr>
            </w:pPr>
          </w:p>
        </w:tc>
        <w:tc>
          <w:tcPr>
            <w:tcW w:w="827" w:type="dxa"/>
            <w:vMerge w:val="continue"/>
            <w:tcMar>
              <w:left w:w="108" w:type="dxa"/>
              <w:right w:w="108" w:type="dxa"/>
            </w:tcMar>
            <w:vAlign w:val="center"/>
          </w:tcPr>
          <w:p w14:paraId="607DE1CC">
            <w:pPr>
              <w:jc w:val="center"/>
              <w:rPr>
                <w:rFonts w:ascii="Times New Roman" w:hAnsi="Times New Roman" w:eastAsia="宋体" w:cs="Times New Roman"/>
                <w:bCs/>
                <w:szCs w:val="21"/>
                <w:highlight w:val="none"/>
              </w:rPr>
            </w:pPr>
          </w:p>
        </w:tc>
        <w:tc>
          <w:tcPr>
            <w:tcW w:w="1305" w:type="dxa"/>
            <w:gridSpan w:val="2"/>
            <w:tcMar>
              <w:left w:w="108" w:type="dxa"/>
              <w:right w:w="108" w:type="dxa"/>
            </w:tcMar>
            <w:vAlign w:val="center"/>
          </w:tcPr>
          <w:p w14:paraId="282E886D">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成分/组成信息</w:t>
            </w:r>
          </w:p>
        </w:tc>
        <w:tc>
          <w:tcPr>
            <w:tcW w:w="5524" w:type="dxa"/>
            <w:gridSpan w:val="5"/>
            <w:tcMar>
              <w:left w:w="108" w:type="dxa"/>
              <w:right w:w="108" w:type="dxa"/>
            </w:tcMar>
            <w:vAlign w:val="center"/>
          </w:tcPr>
          <w:p w14:paraId="224EFB5A">
            <w:pPr>
              <w:jc w:val="center"/>
              <w:rPr>
                <w:rFonts w:ascii="Times New Roman" w:hAnsi="Times New Roman" w:eastAsia="宋体" w:cs="Times New Roman"/>
                <w:bCs/>
                <w:szCs w:val="21"/>
                <w:highlight w:val="none"/>
              </w:rPr>
            </w:pPr>
            <w:r>
              <w:rPr>
                <w:rFonts w:hint="eastAsia" w:ascii="Times New Roman" w:hAnsi="Times New Roman" w:eastAsia="宋体" w:cs="Times New Roman"/>
                <w:bCs/>
                <w:szCs w:val="21"/>
                <w:highlight w:val="none"/>
                <w:lang w:eastAsia="zh-CN"/>
              </w:rPr>
              <w:t>☑</w:t>
            </w:r>
            <w:r>
              <w:rPr>
                <w:rFonts w:ascii="Times New Roman" w:hAnsi="Times New Roman" w:eastAsia="宋体" w:cs="Times New Roman"/>
                <w:bCs/>
                <w:szCs w:val="21"/>
                <w:highlight w:val="none"/>
              </w:rPr>
              <w:t>物质</w:t>
            </w:r>
            <w:r>
              <w:rPr>
                <w:rFonts w:hint="eastAsia" w:cs="Times New Roman"/>
                <w:bCs/>
                <w:szCs w:val="21"/>
                <w:highlight w:val="none"/>
                <w:lang w:eastAsia="zh-CN"/>
              </w:rPr>
              <w:t>□</w:t>
            </w:r>
            <w:r>
              <w:rPr>
                <w:rFonts w:ascii="Times New Roman" w:hAnsi="Times New Roman" w:eastAsia="宋体" w:cs="Times New Roman"/>
                <w:bCs/>
                <w:szCs w:val="21"/>
                <w:highlight w:val="none"/>
              </w:rPr>
              <w:t>混合物</w:t>
            </w:r>
          </w:p>
        </w:tc>
      </w:tr>
      <w:tr w14:paraId="5852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restart"/>
            <w:tcMar>
              <w:left w:w="108" w:type="dxa"/>
              <w:right w:w="108" w:type="dxa"/>
            </w:tcMar>
            <w:vAlign w:val="center"/>
          </w:tcPr>
          <w:p w14:paraId="4560C951">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急救措施</w:t>
            </w:r>
          </w:p>
        </w:tc>
        <w:tc>
          <w:tcPr>
            <w:tcW w:w="827" w:type="dxa"/>
            <w:tcMar>
              <w:left w:w="108" w:type="dxa"/>
              <w:right w:w="108" w:type="dxa"/>
            </w:tcMar>
            <w:vAlign w:val="center"/>
          </w:tcPr>
          <w:p w14:paraId="4EC02AFB">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吸入：</w:t>
            </w:r>
          </w:p>
        </w:tc>
        <w:tc>
          <w:tcPr>
            <w:tcW w:w="6829" w:type="dxa"/>
            <w:gridSpan w:val="7"/>
            <w:tcMar>
              <w:left w:w="108" w:type="dxa"/>
              <w:right w:w="108" w:type="dxa"/>
            </w:tcMar>
            <w:vAlign w:val="center"/>
          </w:tcPr>
          <w:p w14:paraId="6A73CF24">
            <w:pPr>
              <w:jc w:val="center"/>
              <w:rPr>
                <w:rFonts w:hint="eastAsia" w:ascii="Times New Roman" w:hAnsi="Times New Roman" w:eastAsia="宋体" w:cs="Times New Roman"/>
                <w:bCs/>
                <w:szCs w:val="21"/>
                <w:highlight w:val="none"/>
                <w:lang w:eastAsia="zh-CN"/>
              </w:rPr>
            </w:pPr>
            <w:r>
              <w:rPr>
                <w:rFonts w:ascii="Times New Roman" w:hAnsi="Times New Roman" w:eastAsia="宋体" w:cs="Times New Roman"/>
                <w:bCs/>
                <w:szCs w:val="21"/>
                <w:highlight w:val="none"/>
              </w:rPr>
              <w:t>迅速脱离现场至空气新鲜处。保持呼吸道通畅。</w:t>
            </w:r>
            <w:r>
              <w:rPr>
                <w:rFonts w:hint="eastAsia" w:cs="Times New Roman"/>
                <w:bCs/>
                <w:szCs w:val="21"/>
                <w:highlight w:val="none"/>
                <w:lang w:eastAsia="zh-CN"/>
              </w:rPr>
              <w:t>如果患者感到呼吸困难，应该给患者输氧。如果</w:t>
            </w:r>
            <w:r>
              <w:rPr>
                <w:rFonts w:ascii="Times New Roman" w:hAnsi="Times New Roman" w:eastAsia="宋体" w:cs="Times New Roman"/>
                <w:bCs/>
                <w:szCs w:val="21"/>
                <w:highlight w:val="none"/>
              </w:rPr>
              <w:t>呼吸、心跳停止，</w:t>
            </w:r>
            <w:r>
              <w:rPr>
                <w:rFonts w:hint="eastAsia" w:cs="Times New Roman"/>
                <w:bCs/>
                <w:szCs w:val="21"/>
                <w:highlight w:val="none"/>
                <w:lang w:eastAsia="zh-CN"/>
              </w:rPr>
              <w:t>应</w:t>
            </w:r>
            <w:r>
              <w:rPr>
                <w:rFonts w:ascii="Times New Roman" w:hAnsi="Times New Roman" w:eastAsia="宋体" w:cs="Times New Roman"/>
                <w:bCs/>
                <w:szCs w:val="21"/>
                <w:highlight w:val="none"/>
              </w:rPr>
              <w:t>立即进行心肺复苏术</w:t>
            </w:r>
            <w:r>
              <w:rPr>
                <w:rFonts w:hint="eastAsia" w:cs="Times New Roman"/>
                <w:bCs/>
                <w:szCs w:val="21"/>
                <w:highlight w:val="none"/>
                <w:lang w:eastAsia="zh-CN"/>
              </w:rPr>
              <w:t>，并及时</w:t>
            </w:r>
            <w:r>
              <w:rPr>
                <w:rFonts w:ascii="Times New Roman" w:hAnsi="Times New Roman" w:eastAsia="宋体" w:cs="Times New Roman"/>
                <w:bCs/>
                <w:szCs w:val="21"/>
                <w:highlight w:val="none"/>
              </w:rPr>
              <w:t>就医</w:t>
            </w:r>
            <w:r>
              <w:rPr>
                <w:rFonts w:hint="eastAsia" w:cs="Times New Roman"/>
                <w:bCs/>
                <w:szCs w:val="21"/>
                <w:highlight w:val="none"/>
                <w:lang w:eastAsia="zh-CN"/>
              </w:rPr>
              <w:t>。</w:t>
            </w:r>
          </w:p>
        </w:tc>
      </w:tr>
      <w:tr w14:paraId="3241A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28C9B674">
            <w:pPr>
              <w:jc w:val="center"/>
              <w:rPr>
                <w:rFonts w:ascii="Times New Roman" w:hAnsi="Times New Roman" w:eastAsia="宋体" w:cs="Times New Roman"/>
                <w:bCs/>
                <w:szCs w:val="21"/>
                <w:highlight w:val="none"/>
              </w:rPr>
            </w:pPr>
          </w:p>
        </w:tc>
        <w:tc>
          <w:tcPr>
            <w:tcW w:w="827" w:type="dxa"/>
            <w:tcMar>
              <w:left w:w="108" w:type="dxa"/>
              <w:right w:w="108" w:type="dxa"/>
            </w:tcMar>
            <w:vAlign w:val="center"/>
          </w:tcPr>
          <w:p w14:paraId="4FC2545D">
            <w:pPr>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皮肤接触</w:t>
            </w:r>
          </w:p>
        </w:tc>
        <w:tc>
          <w:tcPr>
            <w:tcW w:w="6829" w:type="dxa"/>
            <w:gridSpan w:val="7"/>
            <w:tcMar>
              <w:left w:w="108" w:type="dxa"/>
              <w:right w:w="108" w:type="dxa"/>
            </w:tcMar>
            <w:vAlign w:val="center"/>
          </w:tcPr>
          <w:p w14:paraId="51AB21A0">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立即脱去污染的衣物，用大量流动清水彻底冲洗至少15min就医。</w:t>
            </w:r>
          </w:p>
        </w:tc>
      </w:tr>
      <w:tr w14:paraId="3958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32D4EF85">
            <w:pPr>
              <w:jc w:val="center"/>
              <w:rPr>
                <w:rFonts w:ascii="Times New Roman" w:hAnsi="Times New Roman" w:eastAsia="宋体" w:cs="Times New Roman"/>
                <w:bCs/>
                <w:szCs w:val="21"/>
                <w:highlight w:val="none"/>
              </w:rPr>
            </w:pPr>
          </w:p>
        </w:tc>
        <w:tc>
          <w:tcPr>
            <w:tcW w:w="827" w:type="dxa"/>
            <w:tcMar>
              <w:left w:w="108" w:type="dxa"/>
              <w:right w:w="108" w:type="dxa"/>
            </w:tcMar>
            <w:vAlign w:val="center"/>
          </w:tcPr>
          <w:p w14:paraId="5A25C3FB">
            <w:pPr>
              <w:jc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眼睛接触</w:t>
            </w:r>
          </w:p>
        </w:tc>
        <w:tc>
          <w:tcPr>
            <w:tcW w:w="6829" w:type="dxa"/>
            <w:gridSpan w:val="7"/>
            <w:tcMar>
              <w:left w:w="108" w:type="dxa"/>
              <w:right w:w="108" w:type="dxa"/>
            </w:tcMar>
            <w:vAlign w:val="center"/>
          </w:tcPr>
          <w:p w14:paraId="1EF22C93">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立即分开眼睑，用流动清水或生理盐水彻底冲洗5~10min就医。</w:t>
            </w:r>
          </w:p>
        </w:tc>
      </w:tr>
      <w:tr w14:paraId="541C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6703CC99">
            <w:pPr>
              <w:jc w:val="center"/>
              <w:rPr>
                <w:rFonts w:ascii="Times New Roman" w:hAnsi="Times New Roman" w:eastAsia="宋体" w:cs="Times New Roman"/>
                <w:bCs/>
                <w:szCs w:val="21"/>
                <w:highlight w:val="none"/>
              </w:rPr>
            </w:pPr>
          </w:p>
        </w:tc>
        <w:tc>
          <w:tcPr>
            <w:tcW w:w="827" w:type="dxa"/>
            <w:tcMar>
              <w:left w:w="108" w:type="dxa"/>
              <w:right w:w="108" w:type="dxa"/>
            </w:tcMar>
            <w:vAlign w:val="center"/>
          </w:tcPr>
          <w:p w14:paraId="26603A39">
            <w:pPr>
              <w:jc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食入</w:t>
            </w:r>
          </w:p>
        </w:tc>
        <w:tc>
          <w:tcPr>
            <w:tcW w:w="6829" w:type="dxa"/>
            <w:gridSpan w:val="7"/>
            <w:tcMar>
              <w:left w:w="108" w:type="dxa"/>
              <w:right w:w="108" w:type="dxa"/>
            </w:tcMar>
            <w:vAlign w:val="center"/>
          </w:tcPr>
          <w:p w14:paraId="3852261F">
            <w:pPr>
              <w:jc w:val="center"/>
              <w:rPr>
                <w:rFonts w:hint="eastAsia" w:ascii="Times New Roman" w:hAnsi="Times New Roman" w:eastAsia="宋体" w:cs="Times New Roman"/>
                <w:bCs/>
                <w:szCs w:val="21"/>
                <w:highlight w:val="none"/>
                <w:lang w:val="en-US" w:eastAsia="zh-CN"/>
              </w:rPr>
            </w:pPr>
            <w:r>
              <w:rPr>
                <w:rFonts w:hint="eastAsia" w:cs="Times New Roman"/>
                <w:bCs/>
                <w:szCs w:val="21"/>
                <w:highlight w:val="none"/>
                <w:lang w:val="en-US" w:eastAsia="zh-CN"/>
              </w:rPr>
              <w:t>/</w:t>
            </w:r>
          </w:p>
        </w:tc>
      </w:tr>
      <w:tr w14:paraId="3321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restart"/>
            <w:tcMar>
              <w:left w:w="108" w:type="dxa"/>
              <w:right w:w="108" w:type="dxa"/>
            </w:tcMar>
            <w:vAlign w:val="center"/>
          </w:tcPr>
          <w:p w14:paraId="5356B0F2">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消防措施</w:t>
            </w:r>
          </w:p>
        </w:tc>
        <w:tc>
          <w:tcPr>
            <w:tcW w:w="827" w:type="dxa"/>
            <w:tcMar>
              <w:left w:w="108" w:type="dxa"/>
              <w:right w:w="108" w:type="dxa"/>
            </w:tcMar>
            <w:vAlign w:val="center"/>
          </w:tcPr>
          <w:p w14:paraId="6EC1FA65">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灭火剂：</w:t>
            </w:r>
          </w:p>
        </w:tc>
        <w:tc>
          <w:tcPr>
            <w:tcW w:w="6829" w:type="dxa"/>
            <w:gridSpan w:val="7"/>
            <w:tcMar>
              <w:left w:w="108" w:type="dxa"/>
              <w:right w:w="108" w:type="dxa"/>
            </w:tcMar>
            <w:vAlign w:val="center"/>
          </w:tcPr>
          <w:p w14:paraId="2B98DE70">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用雾状水、抗溶性泡沫、二氧化碳、砂土</w:t>
            </w:r>
            <w:r>
              <w:rPr>
                <w:rFonts w:hint="eastAsia" w:cs="Times New Roman"/>
                <w:bCs/>
                <w:szCs w:val="21"/>
                <w:highlight w:val="none"/>
                <w:lang w:eastAsia="zh-CN"/>
              </w:rPr>
              <w:t>等</w:t>
            </w:r>
            <w:r>
              <w:rPr>
                <w:rFonts w:ascii="Times New Roman" w:hAnsi="Times New Roman" w:eastAsia="宋体" w:cs="Times New Roman"/>
                <w:bCs/>
                <w:szCs w:val="21"/>
                <w:highlight w:val="none"/>
              </w:rPr>
              <w:t>灭火。</w:t>
            </w:r>
          </w:p>
        </w:tc>
      </w:tr>
      <w:tr w14:paraId="1412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56C92178">
            <w:pPr>
              <w:jc w:val="center"/>
              <w:rPr>
                <w:rFonts w:ascii="Times New Roman" w:hAnsi="Times New Roman" w:eastAsia="宋体" w:cs="Times New Roman"/>
                <w:bCs/>
                <w:szCs w:val="21"/>
                <w:highlight w:val="none"/>
              </w:rPr>
            </w:pPr>
          </w:p>
        </w:tc>
        <w:tc>
          <w:tcPr>
            <w:tcW w:w="827" w:type="dxa"/>
            <w:tcMar>
              <w:left w:w="108" w:type="dxa"/>
              <w:right w:w="108" w:type="dxa"/>
            </w:tcMar>
            <w:vAlign w:val="center"/>
          </w:tcPr>
          <w:p w14:paraId="33EB036E">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特别危险性：</w:t>
            </w:r>
          </w:p>
        </w:tc>
        <w:tc>
          <w:tcPr>
            <w:tcW w:w="6829" w:type="dxa"/>
            <w:gridSpan w:val="7"/>
            <w:tcMar>
              <w:left w:w="108" w:type="dxa"/>
              <w:right w:w="108" w:type="dxa"/>
            </w:tcMar>
            <w:vAlign w:val="center"/>
          </w:tcPr>
          <w:p w14:paraId="0B2993F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与氟、氯等接触会发生强烈的化学反应。燃烧</w:t>
            </w:r>
            <w:r>
              <w:rPr>
                <w:rFonts w:hint="eastAsia" w:cs="Times New Roman"/>
                <w:bCs/>
                <w:szCs w:val="21"/>
                <w:highlight w:val="none"/>
                <w:lang w:eastAsia="zh-CN"/>
              </w:rPr>
              <w:t>会</w:t>
            </w:r>
            <w:r>
              <w:rPr>
                <w:rFonts w:ascii="Times New Roman" w:hAnsi="Times New Roman" w:eastAsia="宋体" w:cs="Times New Roman"/>
                <w:bCs/>
                <w:szCs w:val="21"/>
                <w:highlight w:val="none"/>
              </w:rPr>
              <w:t>生成有害的氮氧化物。</w:t>
            </w:r>
          </w:p>
        </w:tc>
      </w:tr>
      <w:tr w14:paraId="6924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0" w:hRule="atLeast"/>
          <w:jc w:val="center"/>
        </w:trPr>
        <w:tc>
          <w:tcPr>
            <w:tcW w:w="791" w:type="dxa"/>
            <w:vMerge w:val="continue"/>
            <w:tcMar>
              <w:left w:w="108" w:type="dxa"/>
              <w:right w:w="108" w:type="dxa"/>
            </w:tcMar>
            <w:vAlign w:val="center"/>
          </w:tcPr>
          <w:p w14:paraId="5D164843">
            <w:pPr>
              <w:jc w:val="center"/>
              <w:rPr>
                <w:rFonts w:ascii="Times New Roman" w:hAnsi="Times New Roman" w:eastAsia="宋体" w:cs="Times New Roman"/>
                <w:bCs/>
                <w:szCs w:val="21"/>
                <w:highlight w:val="none"/>
              </w:rPr>
            </w:pPr>
          </w:p>
        </w:tc>
        <w:tc>
          <w:tcPr>
            <w:tcW w:w="7656" w:type="dxa"/>
            <w:gridSpan w:val="8"/>
            <w:tcMar>
              <w:left w:w="108" w:type="dxa"/>
              <w:right w:w="108" w:type="dxa"/>
            </w:tcMar>
            <w:vAlign w:val="center"/>
          </w:tcPr>
          <w:p w14:paraId="6BD9BD1B">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注意事项及防护措施：</w:t>
            </w:r>
          </w:p>
          <w:p w14:paraId="1E9FDFF5">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切断气源。若不能切断气源，则不允许熄灭泄漏处的火焰。消防人员必须佩戴空气呼吸器、穿全身防火防毒服，在上风向灭火。尽可能将容器从火场移至空旷处。喷水保持火场容器冷却，直至灭火结束。</w:t>
            </w:r>
          </w:p>
        </w:tc>
      </w:tr>
      <w:tr w14:paraId="42DE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5" w:hRule="atLeast"/>
          <w:jc w:val="center"/>
        </w:trPr>
        <w:tc>
          <w:tcPr>
            <w:tcW w:w="791" w:type="dxa"/>
            <w:tcMar>
              <w:left w:w="108" w:type="dxa"/>
              <w:right w:w="108" w:type="dxa"/>
            </w:tcMar>
            <w:vAlign w:val="center"/>
          </w:tcPr>
          <w:p w14:paraId="4CA8C663">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泄漏应急处理</w:t>
            </w:r>
          </w:p>
          <w:p w14:paraId="0AE45A96">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理</w:t>
            </w:r>
          </w:p>
        </w:tc>
        <w:tc>
          <w:tcPr>
            <w:tcW w:w="7656" w:type="dxa"/>
            <w:gridSpan w:val="8"/>
            <w:tcMar>
              <w:left w:w="108" w:type="dxa"/>
              <w:right w:w="108" w:type="dxa"/>
            </w:tcMar>
            <w:vAlign w:val="center"/>
          </w:tcPr>
          <w:p w14:paraId="252EEE53">
            <w:pPr>
              <w:jc w:val="left"/>
              <w:rPr>
                <w:rFonts w:ascii="Times New Roman" w:hAnsi="Times New Roman" w:eastAsia="宋体" w:cs="Times New Roman"/>
                <w:bCs/>
                <w:szCs w:val="21"/>
                <w:highlight w:val="none"/>
              </w:rPr>
            </w:pPr>
            <w:r>
              <w:rPr>
                <w:rFonts w:hint="eastAsia" w:cs="Times New Roman"/>
                <w:bCs/>
                <w:szCs w:val="21"/>
                <w:highlight w:val="none"/>
                <w:lang w:val="en-US" w:eastAsia="zh-CN"/>
              </w:rPr>
              <w:t>1.</w:t>
            </w:r>
            <w:r>
              <w:rPr>
                <w:rFonts w:ascii="Times New Roman" w:hAnsi="Times New Roman" w:eastAsia="宋体" w:cs="Times New Roman"/>
                <w:bCs/>
                <w:szCs w:val="21"/>
                <w:highlight w:val="none"/>
              </w:rPr>
              <w:t>作业人员防护措施、防护装备和应急处置程序：消除所有火源。根据气体的影响区域划定警戒区，</w:t>
            </w:r>
            <w:r>
              <w:rPr>
                <w:rFonts w:hint="eastAsia" w:cs="Times New Roman"/>
                <w:bCs/>
                <w:szCs w:val="21"/>
                <w:highlight w:val="none"/>
                <w:lang w:eastAsia="zh-CN"/>
              </w:rPr>
              <w:t>并将</w:t>
            </w:r>
            <w:r>
              <w:rPr>
                <w:rFonts w:ascii="Times New Roman" w:hAnsi="Times New Roman" w:eastAsia="宋体" w:cs="Times New Roman"/>
                <w:bCs/>
                <w:szCs w:val="21"/>
                <w:highlight w:val="none"/>
              </w:rPr>
              <w:t>无关人员从侧风、上风向撤离至安全区。建议应急处理人员穿内置正压自给式呼吸器的隔绝式防护服。如果是液化气体泄漏，还应注意防冻伤。尽可能切断泄漏源。</w:t>
            </w:r>
            <w:r>
              <w:rPr>
                <w:rFonts w:ascii="Times New Roman" w:hAnsi="Times New Roman" w:eastAsia="宋体" w:cs="Times New Roman"/>
                <w:bCs/>
                <w:szCs w:val="21"/>
                <w:highlight w:val="none"/>
              </w:rPr>
              <w:br w:type="textWrapping"/>
            </w:r>
            <w:r>
              <w:rPr>
                <w:rFonts w:hint="eastAsia" w:cs="Times New Roman"/>
                <w:bCs/>
                <w:szCs w:val="21"/>
                <w:highlight w:val="none"/>
                <w:lang w:val="en-US" w:eastAsia="zh-CN"/>
              </w:rPr>
              <w:t>2.</w:t>
            </w:r>
            <w:r>
              <w:rPr>
                <w:rFonts w:ascii="Times New Roman" w:hAnsi="Times New Roman" w:eastAsia="宋体" w:cs="Times New Roman"/>
                <w:bCs/>
                <w:szCs w:val="21"/>
                <w:highlight w:val="none"/>
              </w:rPr>
              <w:t>环境保护措施：</w:t>
            </w:r>
            <w:r>
              <w:rPr>
                <w:rFonts w:hint="eastAsia" w:cs="Times New Roman"/>
                <w:bCs/>
                <w:szCs w:val="21"/>
                <w:highlight w:val="none"/>
                <w:lang w:eastAsia="zh-CN"/>
              </w:rPr>
              <w:t>防止气体通过下水道、通风系统和有限空间等方式</w:t>
            </w:r>
            <w:r>
              <w:rPr>
                <w:rFonts w:ascii="Times New Roman" w:hAnsi="Times New Roman" w:eastAsia="宋体" w:cs="Times New Roman"/>
                <w:bCs/>
                <w:szCs w:val="21"/>
                <w:highlight w:val="none"/>
              </w:rPr>
              <w:t>扩散。</w:t>
            </w:r>
            <w:r>
              <w:rPr>
                <w:rFonts w:ascii="Times New Roman" w:hAnsi="Times New Roman" w:eastAsia="宋体" w:cs="Times New Roman"/>
                <w:bCs/>
                <w:szCs w:val="21"/>
                <w:highlight w:val="none"/>
              </w:rPr>
              <w:br w:type="textWrapping"/>
            </w:r>
            <w:r>
              <w:rPr>
                <w:rFonts w:hint="eastAsia" w:cs="Times New Roman"/>
                <w:bCs/>
                <w:szCs w:val="21"/>
                <w:highlight w:val="none"/>
                <w:lang w:val="en-US" w:eastAsia="zh-CN"/>
              </w:rPr>
              <w:t>3.</w:t>
            </w:r>
            <w:r>
              <w:rPr>
                <w:rFonts w:ascii="Times New Roman" w:hAnsi="Times New Roman" w:eastAsia="宋体" w:cs="Times New Roman"/>
                <w:bCs/>
                <w:szCs w:val="21"/>
                <w:highlight w:val="none"/>
              </w:rPr>
              <w:t>泄漏化学品的收容、清除方法及所使用的处置材料：若可能翻转容器，使之逸出气体而非液体。</w:t>
            </w:r>
            <w:r>
              <w:rPr>
                <w:rFonts w:hint="eastAsia" w:cs="Times New Roman"/>
                <w:bCs/>
                <w:szCs w:val="21"/>
                <w:highlight w:val="none"/>
                <w:lang w:eastAsia="zh-CN"/>
              </w:rPr>
              <w:t>采用</w:t>
            </w:r>
            <w:r>
              <w:rPr>
                <w:rFonts w:ascii="Times New Roman" w:hAnsi="Times New Roman" w:eastAsia="宋体" w:cs="Times New Roman"/>
                <w:bCs/>
                <w:szCs w:val="21"/>
                <w:highlight w:val="none"/>
              </w:rPr>
              <w:t>喷雾状水稀释</w:t>
            </w:r>
            <w:r>
              <w:rPr>
                <w:rFonts w:hint="eastAsia" w:cs="Times New Roman"/>
                <w:bCs/>
                <w:szCs w:val="21"/>
                <w:highlight w:val="none"/>
                <w:lang w:eastAsia="zh-CN"/>
              </w:rPr>
              <w:t>和</w:t>
            </w:r>
            <w:r>
              <w:rPr>
                <w:rFonts w:ascii="Times New Roman" w:hAnsi="Times New Roman" w:eastAsia="宋体" w:cs="Times New Roman"/>
                <w:bCs/>
                <w:szCs w:val="21"/>
                <w:highlight w:val="none"/>
              </w:rPr>
              <w:t>溶解，同时构筑围堤或挖坑收容产生的大量废水。如果钢瓶发生泄漏，无法关闭时可浸入水中。储罐区最好</w:t>
            </w:r>
            <w:r>
              <w:rPr>
                <w:rFonts w:hint="eastAsia" w:cs="Times New Roman"/>
                <w:bCs/>
                <w:szCs w:val="21"/>
                <w:highlight w:val="none"/>
                <w:lang w:eastAsia="zh-CN"/>
              </w:rPr>
              <w:t>设置</w:t>
            </w:r>
            <w:r>
              <w:rPr>
                <w:rFonts w:ascii="Times New Roman" w:hAnsi="Times New Roman" w:eastAsia="宋体" w:cs="Times New Roman"/>
                <w:bCs/>
                <w:szCs w:val="21"/>
                <w:highlight w:val="none"/>
              </w:rPr>
              <w:t>稀酸</w:t>
            </w:r>
            <w:r>
              <w:rPr>
                <w:rFonts w:hint="eastAsia" w:cs="Times New Roman"/>
                <w:bCs/>
                <w:szCs w:val="21"/>
                <w:highlight w:val="none"/>
                <w:lang w:eastAsia="zh-CN"/>
              </w:rPr>
              <w:t>喷洒</w:t>
            </w:r>
            <w:r>
              <w:rPr>
                <w:rFonts w:ascii="Times New Roman" w:hAnsi="Times New Roman" w:eastAsia="宋体" w:cs="Times New Roman"/>
                <w:bCs/>
                <w:szCs w:val="21"/>
                <w:highlight w:val="none"/>
              </w:rPr>
              <w:t>设施。隔离泄漏区直至气体散尽。</w:t>
            </w:r>
          </w:p>
        </w:tc>
      </w:tr>
      <w:tr w14:paraId="7534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restart"/>
            <w:tcMar>
              <w:left w:w="108" w:type="dxa"/>
              <w:right w:w="108" w:type="dxa"/>
            </w:tcMar>
            <w:vAlign w:val="center"/>
          </w:tcPr>
          <w:p w14:paraId="3BDD4E59">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操作与储存</w:t>
            </w:r>
          </w:p>
        </w:tc>
        <w:tc>
          <w:tcPr>
            <w:tcW w:w="1367" w:type="dxa"/>
            <w:gridSpan w:val="2"/>
            <w:tcMar>
              <w:left w:w="108" w:type="dxa"/>
              <w:right w:w="108" w:type="dxa"/>
            </w:tcMar>
            <w:vAlign w:val="center"/>
          </w:tcPr>
          <w:p w14:paraId="255CDCF1">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操作注意事项：</w:t>
            </w:r>
          </w:p>
        </w:tc>
        <w:tc>
          <w:tcPr>
            <w:tcW w:w="6289" w:type="dxa"/>
            <w:gridSpan w:val="6"/>
            <w:tcMar>
              <w:left w:w="108" w:type="dxa"/>
              <w:right w:w="108" w:type="dxa"/>
            </w:tcMar>
            <w:vAlign w:val="center"/>
          </w:tcPr>
          <w:p w14:paraId="050046A2">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严加密闭，提供充分的局部排风和全面通风。操作人员必须经过专门培训，严格遵守操作规程。建议操作人员佩戴过滤式防毒面具（半面罩），戴化学安全防护眼镜，穿防静电工作服，戴橡胶手套。远离火种、热源。工作场所严禁吸烟。使用防爆型的通风系统和设备。防止气体泄漏到工作场所空气中。避免与氧化剂、酸类、碱类接触。搬运时轻装轻卸，防止钢瓶及附件破损。配备相应品种和数量的消防器材及泄漏应急处理设备。</w:t>
            </w:r>
          </w:p>
        </w:tc>
      </w:tr>
      <w:tr w14:paraId="0E2E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0370AE9B">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23CFFDD3">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储存注意事项：</w:t>
            </w:r>
          </w:p>
        </w:tc>
        <w:tc>
          <w:tcPr>
            <w:tcW w:w="6289" w:type="dxa"/>
            <w:gridSpan w:val="6"/>
            <w:tcMar>
              <w:left w:w="108" w:type="dxa"/>
              <w:right w:w="108" w:type="dxa"/>
            </w:tcMar>
            <w:vAlign w:val="center"/>
          </w:tcPr>
          <w:p w14:paraId="1750050C">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储存于阴凉、干燥、通风的有毒品专用库房。远离火种、热源。库温不宜超过30℃。应与氧化剂、酸类、碱类、食用化学品</w:t>
            </w:r>
            <w:r>
              <w:rPr>
                <w:rFonts w:hint="eastAsia" w:cs="Times New Roman"/>
                <w:bCs/>
                <w:szCs w:val="21"/>
                <w:highlight w:val="none"/>
                <w:lang w:eastAsia="zh-CN"/>
              </w:rPr>
              <w:t>等</w:t>
            </w:r>
            <w:r>
              <w:rPr>
                <w:rFonts w:ascii="Times New Roman" w:hAnsi="Times New Roman" w:eastAsia="宋体" w:cs="Times New Roman"/>
                <w:bCs/>
                <w:szCs w:val="21"/>
                <w:highlight w:val="none"/>
              </w:rPr>
              <w:t>分开存放，切忌混放。采用防爆型照明、通风设施。禁止使用易产生火花的机械设备和工具。储区应备有泄漏应急处理设备。</w:t>
            </w:r>
          </w:p>
        </w:tc>
      </w:tr>
      <w:tr w14:paraId="148D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restart"/>
            <w:tcMar>
              <w:left w:w="108" w:type="dxa"/>
              <w:right w:w="108" w:type="dxa"/>
            </w:tcMar>
            <w:vAlign w:val="center"/>
          </w:tcPr>
          <w:p w14:paraId="4F9D6BC1">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接触控制和防护</w:t>
            </w:r>
          </w:p>
        </w:tc>
        <w:tc>
          <w:tcPr>
            <w:tcW w:w="1367" w:type="dxa"/>
            <w:gridSpan w:val="2"/>
            <w:tcMar>
              <w:left w:w="108" w:type="dxa"/>
              <w:right w:w="108" w:type="dxa"/>
            </w:tcMar>
            <w:vAlign w:val="center"/>
          </w:tcPr>
          <w:p w14:paraId="31BD8099">
            <w:pPr>
              <w:jc w:val="left"/>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职业接触限值：</w:t>
            </w:r>
          </w:p>
        </w:tc>
        <w:tc>
          <w:tcPr>
            <w:tcW w:w="1978" w:type="dxa"/>
            <w:gridSpan w:val="2"/>
            <w:tcMar>
              <w:left w:w="108" w:type="dxa"/>
              <w:right w:w="108" w:type="dxa"/>
            </w:tcMar>
            <w:vAlign w:val="center"/>
          </w:tcPr>
          <w:p w14:paraId="6816C66F">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PC-TWA:20mg/m</w:t>
            </w:r>
            <w:r>
              <w:rPr>
                <w:rFonts w:ascii="Times New Roman" w:hAnsi="Times New Roman" w:eastAsia="宋体" w:cs="Times New Roman"/>
                <w:bCs/>
                <w:szCs w:val="21"/>
                <w:highlight w:val="none"/>
                <w:vertAlign w:val="superscript"/>
              </w:rPr>
              <w:t>3</w:t>
            </w:r>
            <w:r>
              <w:rPr>
                <w:rFonts w:ascii="Times New Roman" w:hAnsi="Times New Roman" w:eastAsia="宋体" w:cs="Times New Roman"/>
                <w:bCs/>
                <w:szCs w:val="21"/>
                <w:highlight w:val="none"/>
              </w:rPr>
              <w:t>；</w:t>
            </w:r>
            <w:r>
              <w:rPr>
                <w:rFonts w:ascii="Times New Roman" w:hAnsi="Times New Roman" w:eastAsia="宋体" w:cs="Times New Roman"/>
                <w:bCs/>
                <w:szCs w:val="21"/>
                <w:highlight w:val="none"/>
              </w:rPr>
              <w:br w:type="textWrapping"/>
            </w:r>
            <w:r>
              <w:rPr>
                <w:rFonts w:ascii="Times New Roman" w:hAnsi="Times New Roman" w:eastAsia="宋体" w:cs="Times New Roman"/>
                <w:bCs/>
                <w:szCs w:val="21"/>
                <w:highlight w:val="none"/>
              </w:rPr>
              <w:t>PC-STEL:30mg/m</w:t>
            </w:r>
            <w:r>
              <w:rPr>
                <w:rFonts w:ascii="Times New Roman" w:hAnsi="Times New Roman" w:eastAsia="宋体" w:cs="Times New Roman"/>
                <w:bCs/>
                <w:szCs w:val="21"/>
                <w:highlight w:val="none"/>
                <w:vertAlign w:val="superscript"/>
              </w:rPr>
              <w:t>3</w:t>
            </w:r>
          </w:p>
        </w:tc>
        <w:tc>
          <w:tcPr>
            <w:tcW w:w="1540" w:type="dxa"/>
            <w:gridSpan w:val="2"/>
            <w:tcMar>
              <w:left w:w="108" w:type="dxa"/>
              <w:right w:w="108" w:type="dxa"/>
            </w:tcMar>
            <w:vAlign w:val="center"/>
          </w:tcPr>
          <w:p w14:paraId="28F1923C">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生物接触限值：</w:t>
            </w:r>
          </w:p>
        </w:tc>
        <w:tc>
          <w:tcPr>
            <w:tcW w:w="2771" w:type="dxa"/>
            <w:gridSpan w:val="2"/>
            <w:tcMar>
              <w:left w:w="108" w:type="dxa"/>
              <w:right w:w="108" w:type="dxa"/>
            </w:tcMar>
            <w:vAlign w:val="center"/>
          </w:tcPr>
          <w:p w14:paraId="1F1A8E81">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未制定标准</w:t>
            </w:r>
          </w:p>
        </w:tc>
      </w:tr>
      <w:tr w14:paraId="472F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1BA6A4EB">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419FB9A0">
            <w:pPr>
              <w:jc w:val="left"/>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监测方法：</w:t>
            </w:r>
          </w:p>
        </w:tc>
        <w:tc>
          <w:tcPr>
            <w:tcW w:w="6289" w:type="dxa"/>
            <w:gridSpan w:val="6"/>
            <w:tcMar>
              <w:left w:w="108" w:type="dxa"/>
              <w:right w:w="108" w:type="dxa"/>
            </w:tcMar>
            <w:vAlign w:val="center"/>
          </w:tcPr>
          <w:p w14:paraId="09C801CD">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空气中有毒物质测定方法：纳氏试剂分光光度法。生物监测检验方法：未制定标准</w:t>
            </w:r>
          </w:p>
        </w:tc>
      </w:tr>
      <w:tr w14:paraId="6A1F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5BE10E91">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281A6DEB">
            <w:pPr>
              <w:jc w:val="left"/>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工程控制：</w:t>
            </w:r>
          </w:p>
        </w:tc>
        <w:tc>
          <w:tcPr>
            <w:tcW w:w="6289" w:type="dxa"/>
            <w:gridSpan w:val="6"/>
            <w:tcMar>
              <w:left w:w="108" w:type="dxa"/>
              <w:right w:w="108" w:type="dxa"/>
            </w:tcMar>
            <w:vAlign w:val="center"/>
          </w:tcPr>
          <w:p w14:paraId="23412275">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严加密闭，提供充分的局部排风和全面通风。提供安全淋浴和洗眼设备。</w:t>
            </w:r>
          </w:p>
        </w:tc>
      </w:tr>
      <w:tr w14:paraId="5886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4D8137B3">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704DE9B0">
            <w:pPr>
              <w:jc w:val="left"/>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个体防护装备：</w:t>
            </w:r>
          </w:p>
        </w:tc>
        <w:tc>
          <w:tcPr>
            <w:tcW w:w="6289" w:type="dxa"/>
            <w:gridSpan w:val="6"/>
            <w:tcMar>
              <w:left w:w="108" w:type="dxa"/>
              <w:right w:w="108" w:type="dxa"/>
            </w:tcMar>
            <w:vAlign w:val="center"/>
          </w:tcPr>
          <w:p w14:paraId="00DD5CF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呼吸系统防护：</w:t>
            </w:r>
            <w:r>
              <w:rPr>
                <w:rFonts w:hint="eastAsia" w:cs="Times New Roman"/>
                <w:bCs/>
                <w:szCs w:val="21"/>
                <w:highlight w:val="none"/>
                <w:lang w:eastAsia="zh-CN"/>
              </w:rPr>
              <w:t>在</w:t>
            </w:r>
            <w:r>
              <w:rPr>
                <w:rFonts w:ascii="Times New Roman" w:hAnsi="Times New Roman" w:eastAsia="宋体" w:cs="Times New Roman"/>
                <w:bCs/>
                <w:szCs w:val="21"/>
                <w:highlight w:val="none"/>
              </w:rPr>
              <w:t>空气中浓度超标</w:t>
            </w:r>
            <w:r>
              <w:rPr>
                <w:rFonts w:hint="eastAsia" w:cs="Times New Roman"/>
                <w:bCs/>
                <w:szCs w:val="21"/>
                <w:highlight w:val="none"/>
                <w:lang w:eastAsia="zh-CN"/>
              </w:rPr>
              <w:t>的情况下</w:t>
            </w:r>
            <w:r>
              <w:rPr>
                <w:rFonts w:ascii="Times New Roman" w:hAnsi="Times New Roman" w:eastAsia="宋体" w:cs="Times New Roman"/>
                <w:bCs/>
                <w:szCs w:val="21"/>
                <w:highlight w:val="none"/>
              </w:rPr>
              <w:t>，建议佩戴过滤式防毒面具（半面罩）。</w:t>
            </w:r>
            <w:r>
              <w:rPr>
                <w:rFonts w:ascii="Times New Roman" w:hAnsi="Times New Roman" w:eastAsia="宋体" w:cs="Times New Roman"/>
                <w:bCs/>
                <w:szCs w:val="21"/>
                <w:highlight w:val="none"/>
              </w:rPr>
              <w:br w:type="textWrapping"/>
            </w:r>
            <w:r>
              <w:rPr>
                <w:rFonts w:ascii="Times New Roman" w:hAnsi="Times New Roman" w:eastAsia="宋体" w:cs="Times New Roman"/>
                <w:bCs/>
                <w:szCs w:val="21"/>
                <w:highlight w:val="none"/>
              </w:rPr>
              <w:t>紧急事态抢救或撤离时，必须佩戴空气呼吸器。</w:t>
            </w:r>
            <w:r>
              <w:rPr>
                <w:rFonts w:ascii="Times New Roman" w:hAnsi="Times New Roman" w:eastAsia="宋体" w:cs="Times New Roman"/>
                <w:bCs/>
                <w:szCs w:val="21"/>
                <w:highlight w:val="none"/>
              </w:rPr>
              <w:br w:type="textWrapping"/>
            </w:r>
            <w:r>
              <w:rPr>
                <w:rFonts w:ascii="Times New Roman" w:hAnsi="Times New Roman" w:eastAsia="宋体" w:cs="Times New Roman"/>
                <w:bCs/>
                <w:szCs w:val="21"/>
                <w:highlight w:val="none"/>
              </w:rPr>
              <w:t>眼睛防护：戴化学安全防护眼镜。</w:t>
            </w:r>
            <w:r>
              <w:rPr>
                <w:rFonts w:ascii="Times New Roman" w:hAnsi="Times New Roman" w:eastAsia="宋体" w:cs="Times New Roman"/>
                <w:bCs/>
                <w:szCs w:val="21"/>
                <w:highlight w:val="none"/>
              </w:rPr>
              <w:br w:type="textWrapping"/>
            </w:r>
            <w:r>
              <w:rPr>
                <w:rFonts w:ascii="Times New Roman" w:hAnsi="Times New Roman" w:eastAsia="宋体" w:cs="Times New Roman"/>
                <w:bCs/>
                <w:szCs w:val="21"/>
                <w:highlight w:val="none"/>
              </w:rPr>
              <w:t>皮肤和身体防护：穿防静电工作服；处理液氨时，穿防寒</w:t>
            </w:r>
            <w:r>
              <w:rPr>
                <w:rFonts w:hint="eastAsia" w:cs="Times New Roman"/>
                <w:bCs/>
                <w:szCs w:val="21"/>
                <w:highlight w:val="none"/>
                <w:lang w:eastAsia="zh-CN"/>
              </w:rPr>
              <w:t>服</w:t>
            </w:r>
            <w:r>
              <w:rPr>
                <w:rFonts w:ascii="Times New Roman" w:hAnsi="Times New Roman" w:eastAsia="宋体" w:cs="Times New Roman"/>
                <w:bCs/>
                <w:szCs w:val="21"/>
                <w:highlight w:val="none"/>
              </w:rPr>
              <w:t>。</w:t>
            </w:r>
            <w:r>
              <w:rPr>
                <w:rFonts w:ascii="Times New Roman" w:hAnsi="Times New Roman" w:eastAsia="宋体" w:cs="Times New Roman"/>
                <w:bCs/>
                <w:szCs w:val="21"/>
                <w:highlight w:val="none"/>
              </w:rPr>
              <w:br w:type="textWrapping"/>
            </w:r>
            <w:r>
              <w:rPr>
                <w:rFonts w:ascii="Times New Roman" w:hAnsi="Times New Roman" w:eastAsia="宋体" w:cs="Times New Roman"/>
                <w:bCs/>
                <w:szCs w:val="21"/>
                <w:highlight w:val="none"/>
              </w:rPr>
              <w:t>手防护：戴橡胶手套。</w:t>
            </w:r>
          </w:p>
        </w:tc>
      </w:tr>
      <w:tr w14:paraId="532F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restart"/>
            <w:tcMar>
              <w:left w:w="108" w:type="dxa"/>
              <w:right w:w="108" w:type="dxa"/>
            </w:tcMar>
            <w:vAlign w:val="center"/>
          </w:tcPr>
          <w:p w14:paraId="15230A85">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理化特性</w:t>
            </w:r>
          </w:p>
        </w:tc>
        <w:tc>
          <w:tcPr>
            <w:tcW w:w="1367" w:type="dxa"/>
            <w:gridSpan w:val="2"/>
            <w:tcMar>
              <w:left w:w="108" w:type="dxa"/>
              <w:right w:w="108" w:type="dxa"/>
            </w:tcMar>
            <w:vAlign w:val="center"/>
          </w:tcPr>
          <w:p w14:paraId="4EB8999E">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外观与性状：</w:t>
            </w:r>
          </w:p>
        </w:tc>
        <w:tc>
          <w:tcPr>
            <w:tcW w:w="6289" w:type="dxa"/>
            <w:gridSpan w:val="6"/>
            <w:tcMar>
              <w:left w:w="108" w:type="dxa"/>
              <w:right w:w="108" w:type="dxa"/>
            </w:tcMar>
            <w:vAlign w:val="center"/>
          </w:tcPr>
          <w:p w14:paraId="3C9C651E">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无色、有刺激性臭味的气体。</w:t>
            </w:r>
          </w:p>
        </w:tc>
      </w:tr>
      <w:tr w14:paraId="1836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2DCB7726">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37ABA1A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pH值：</w:t>
            </w:r>
          </w:p>
        </w:tc>
        <w:tc>
          <w:tcPr>
            <w:tcW w:w="1978" w:type="dxa"/>
            <w:gridSpan w:val="2"/>
            <w:tcMar>
              <w:left w:w="108" w:type="dxa"/>
              <w:right w:w="108" w:type="dxa"/>
            </w:tcMar>
            <w:vAlign w:val="center"/>
          </w:tcPr>
          <w:p w14:paraId="7F63CD66">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11.7（1%溶液）</w:t>
            </w:r>
          </w:p>
        </w:tc>
        <w:tc>
          <w:tcPr>
            <w:tcW w:w="1540" w:type="dxa"/>
            <w:gridSpan w:val="2"/>
            <w:tcMar>
              <w:left w:w="108" w:type="dxa"/>
              <w:right w:w="108" w:type="dxa"/>
            </w:tcMar>
            <w:vAlign w:val="center"/>
          </w:tcPr>
          <w:p w14:paraId="3658E1D5">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熔点（℃）：</w:t>
            </w:r>
          </w:p>
        </w:tc>
        <w:tc>
          <w:tcPr>
            <w:tcW w:w="2771" w:type="dxa"/>
            <w:gridSpan w:val="2"/>
            <w:tcMar>
              <w:left w:w="108" w:type="dxa"/>
              <w:right w:w="108" w:type="dxa"/>
            </w:tcMar>
            <w:vAlign w:val="center"/>
          </w:tcPr>
          <w:p w14:paraId="21F8485B">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-77.7</w:t>
            </w:r>
          </w:p>
        </w:tc>
      </w:tr>
      <w:tr w14:paraId="2576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4D3BB1E1">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30AB157F">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沸点（℃）：</w:t>
            </w:r>
          </w:p>
        </w:tc>
        <w:tc>
          <w:tcPr>
            <w:tcW w:w="1978" w:type="dxa"/>
            <w:gridSpan w:val="2"/>
            <w:tcMar>
              <w:left w:w="108" w:type="dxa"/>
              <w:right w:w="108" w:type="dxa"/>
            </w:tcMar>
            <w:vAlign w:val="center"/>
          </w:tcPr>
          <w:p w14:paraId="4A0D0BBB">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-33.5</w:t>
            </w:r>
          </w:p>
        </w:tc>
        <w:tc>
          <w:tcPr>
            <w:tcW w:w="1540" w:type="dxa"/>
            <w:gridSpan w:val="2"/>
            <w:tcMar>
              <w:left w:w="108" w:type="dxa"/>
              <w:right w:w="108" w:type="dxa"/>
            </w:tcMar>
            <w:vAlign w:val="center"/>
          </w:tcPr>
          <w:p w14:paraId="5FD6E84A">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相对水密度（水=1）：</w:t>
            </w:r>
          </w:p>
        </w:tc>
        <w:tc>
          <w:tcPr>
            <w:tcW w:w="2771" w:type="dxa"/>
            <w:gridSpan w:val="2"/>
            <w:tcMar>
              <w:left w:w="108" w:type="dxa"/>
              <w:right w:w="108" w:type="dxa"/>
            </w:tcMar>
            <w:vAlign w:val="center"/>
          </w:tcPr>
          <w:p w14:paraId="51D0F6E6">
            <w:pPr>
              <w:jc w:val="center"/>
              <w:rPr>
                <w:rFonts w:hint="eastAsia" w:ascii="Times New Roman" w:hAnsi="Times New Roman" w:eastAsia="宋体" w:cs="Times New Roman"/>
                <w:bCs/>
                <w:szCs w:val="21"/>
                <w:highlight w:val="none"/>
                <w:lang w:eastAsia="zh-CN"/>
              </w:rPr>
            </w:pPr>
            <w:r>
              <w:rPr>
                <w:rFonts w:ascii="Times New Roman" w:hAnsi="Times New Roman" w:eastAsia="宋体" w:cs="Times New Roman"/>
                <w:bCs/>
                <w:szCs w:val="21"/>
                <w:highlight w:val="none"/>
              </w:rPr>
              <w:t>0.7</w:t>
            </w:r>
            <w:r>
              <w:rPr>
                <w:rFonts w:hint="eastAsia" w:cs="Times New Roman"/>
                <w:bCs/>
                <w:szCs w:val="21"/>
                <w:highlight w:val="none"/>
                <w:lang w:eastAsia="zh-CN"/>
              </w:rPr>
              <w:t>（</w:t>
            </w:r>
            <w:r>
              <w:rPr>
                <w:rFonts w:ascii="Times New Roman" w:hAnsi="Times New Roman" w:eastAsia="宋体" w:cs="Times New Roman"/>
                <w:bCs/>
                <w:szCs w:val="21"/>
                <w:highlight w:val="none"/>
              </w:rPr>
              <w:t>-33℃</w:t>
            </w:r>
            <w:r>
              <w:rPr>
                <w:rFonts w:hint="eastAsia" w:cs="Times New Roman"/>
                <w:bCs/>
                <w:szCs w:val="21"/>
                <w:highlight w:val="none"/>
                <w:lang w:eastAsia="zh-CN"/>
              </w:rPr>
              <w:t>）</w:t>
            </w:r>
          </w:p>
        </w:tc>
      </w:tr>
      <w:tr w14:paraId="24CB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63E40E48">
            <w:pPr>
              <w:jc w:val="center"/>
              <w:rPr>
                <w:rFonts w:ascii="Times New Roman" w:hAnsi="Times New Roman" w:eastAsia="宋体" w:cs="Times New Roman"/>
                <w:bCs/>
                <w:szCs w:val="21"/>
                <w:highlight w:val="none"/>
              </w:rPr>
            </w:pPr>
          </w:p>
        </w:tc>
        <w:tc>
          <w:tcPr>
            <w:tcW w:w="3345" w:type="dxa"/>
            <w:gridSpan w:val="4"/>
            <w:tcMar>
              <w:left w:w="108" w:type="dxa"/>
              <w:right w:w="108" w:type="dxa"/>
            </w:tcMar>
            <w:vAlign w:val="center"/>
          </w:tcPr>
          <w:p w14:paraId="53EA041A">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相对空气密度（空气=1）：</w:t>
            </w:r>
          </w:p>
        </w:tc>
        <w:tc>
          <w:tcPr>
            <w:tcW w:w="4311" w:type="dxa"/>
            <w:gridSpan w:val="4"/>
            <w:tcMar>
              <w:left w:w="108" w:type="dxa"/>
              <w:right w:w="108" w:type="dxa"/>
            </w:tcMar>
            <w:vAlign w:val="center"/>
          </w:tcPr>
          <w:p w14:paraId="3CC6DA5F">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0.59</w:t>
            </w:r>
          </w:p>
        </w:tc>
      </w:tr>
      <w:tr w14:paraId="6CF8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256A13CE">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3A0B7412">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饱和蒸汽压（KPa）：</w:t>
            </w:r>
          </w:p>
        </w:tc>
        <w:tc>
          <w:tcPr>
            <w:tcW w:w="6289" w:type="dxa"/>
            <w:gridSpan w:val="6"/>
            <w:tcMar>
              <w:left w:w="108" w:type="dxa"/>
              <w:right w:w="108" w:type="dxa"/>
            </w:tcMar>
            <w:vAlign w:val="center"/>
          </w:tcPr>
          <w:p w14:paraId="315239FB">
            <w:pPr>
              <w:jc w:val="center"/>
              <w:rPr>
                <w:rFonts w:hint="eastAsia" w:ascii="Times New Roman" w:hAnsi="Times New Roman" w:eastAsia="宋体" w:cs="Times New Roman"/>
                <w:bCs/>
                <w:szCs w:val="21"/>
                <w:highlight w:val="none"/>
                <w:lang w:eastAsia="zh-CN"/>
              </w:rPr>
            </w:pPr>
            <w:r>
              <w:rPr>
                <w:rFonts w:ascii="Times New Roman" w:hAnsi="Times New Roman" w:eastAsia="宋体" w:cs="Times New Roman"/>
                <w:bCs/>
                <w:szCs w:val="21"/>
                <w:highlight w:val="none"/>
              </w:rPr>
              <w:t>506.62</w:t>
            </w:r>
            <w:r>
              <w:rPr>
                <w:rFonts w:hint="eastAsia" w:cs="Times New Roman"/>
                <w:bCs/>
                <w:szCs w:val="21"/>
                <w:highlight w:val="none"/>
                <w:lang w:eastAsia="zh-CN"/>
              </w:rPr>
              <w:t>（</w:t>
            </w:r>
            <w:r>
              <w:rPr>
                <w:rFonts w:ascii="Times New Roman" w:hAnsi="Times New Roman" w:eastAsia="宋体" w:cs="Times New Roman"/>
                <w:bCs/>
                <w:szCs w:val="21"/>
                <w:highlight w:val="none"/>
              </w:rPr>
              <w:t>4.7℃</w:t>
            </w:r>
            <w:r>
              <w:rPr>
                <w:rFonts w:hint="eastAsia" w:cs="Times New Roman"/>
                <w:bCs/>
                <w:szCs w:val="21"/>
                <w:highlight w:val="none"/>
                <w:lang w:eastAsia="zh-CN"/>
              </w:rPr>
              <w:t>）</w:t>
            </w:r>
          </w:p>
        </w:tc>
      </w:tr>
      <w:tr w14:paraId="3F76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0AA17337">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13427909">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燃烧热（kJ/mol）：</w:t>
            </w:r>
          </w:p>
        </w:tc>
        <w:tc>
          <w:tcPr>
            <w:tcW w:w="1978" w:type="dxa"/>
            <w:gridSpan w:val="2"/>
            <w:tcMar>
              <w:left w:w="108" w:type="dxa"/>
              <w:right w:w="108" w:type="dxa"/>
            </w:tcMar>
            <w:vAlign w:val="center"/>
          </w:tcPr>
          <w:p w14:paraId="31ECB195">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316.25</w:t>
            </w:r>
          </w:p>
        </w:tc>
        <w:tc>
          <w:tcPr>
            <w:tcW w:w="1540" w:type="dxa"/>
            <w:gridSpan w:val="2"/>
            <w:tcMar>
              <w:left w:w="108" w:type="dxa"/>
              <w:right w:w="108" w:type="dxa"/>
            </w:tcMar>
            <w:vAlign w:val="center"/>
          </w:tcPr>
          <w:p w14:paraId="1434D6B9">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临界温度（℃）：</w:t>
            </w:r>
          </w:p>
        </w:tc>
        <w:tc>
          <w:tcPr>
            <w:tcW w:w="2771" w:type="dxa"/>
            <w:gridSpan w:val="2"/>
            <w:tcMar>
              <w:left w:w="108" w:type="dxa"/>
              <w:right w:w="108" w:type="dxa"/>
            </w:tcMar>
            <w:vAlign w:val="center"/>
          </w:tcPr>
          <w:p w14:paraId="4BC5F262">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132.5</w:t>
            </w:r>
          </w:p>
        </w:tc>
      </w:tr>
      <w:tr w14:paraId="02E3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0B9B504F">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1F5825D4">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临界压力（MPa）：</w:t>
            </w:r>
          </w:p>
        </w:tc>
        <w:tc>
          <w:tcPr>
            <w:tcW w:w="1978" w:type="dxa"/>
            <w:gridSpan w:val="2"/>
            <w:tcMar>
              <w:left w:w="108" w:type="dxa"/>
              <w:right w:w="108" w:type="dxa"/>
            </w:tcMar>
            <w:vAlign w:val="center"/>
          </w:tcPr>
          <w:p w14:paraId="3FC33C49">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11.40</w:t>
            </w:r>
          </w:p>
        </w:tc>
        <w:tc>
          <w:tcPr>
            <w:tcW w:w="1540" w:type="dxa"/>
            <w:gridSpan w:val="2"/>
            <w:tcMar>
              <w:left w:w="108" w:type="dxa"/>
              <w:right w:w="108" w:type="dxa"/>
            </w:tcMar>
            <w:vAlign w:val="center"/>
          </w:tcPr>
          <w:p w14:paraId="09085821">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辛醇/水分配系数：</w:t>
            </w:r>
          </w:p>
        </w:tc>
        <w:tc>
          <w:tcPr>
            <w:tcW w:w="2771" w:type="dxa"/>
            <w:gridSpan w:val="2"/>
            <w:tcMar>
              <w:left w:w="108" w:type="dxa"/>
              <w:right w:w="108" w:type="dxa"/>
            </w:tcMar>
            <w:vAlign w:val="center"/>
          </w:tcPr>
          <w:p w14:paraId="047BA0CA">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0.230</w:t>
            </w:r>
          </w:p>
        </w:tc>
      </w:tr>
      <w:tr w14:paraId="655C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0F6EA41C">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62151BD3">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闪点（℃）：</w:t>
            </w:r>
          </w:p>
        </w:tc>
        <w:tc>
          <w:tcPr>
            <w:tcW w:w="1978" w:type="dxa"/>
            <w:gridSpan w:val="2"/>
            <w:tcMar>
              <w:left w:w="108" w:type="dxa"/>
              <w:right w:w="108" w:type="dxa"/>
            </w:tcMar>
            <w:vAlign w:val="center"/>
          </w:tcPr>
          <w:p w14:paraId="5443301E">
            <w:pPr>
              <w:jc w:val="center"/>
              <w:rPr>
                <w:rFonts w:hint="eastAsia" w:ascii="Times New Roman" w:hAnsi="Times New Roman" w:eastAsia="宋体" w:cs="Times New Roman"/>
                <w:bCs/>
                <w:szCs w:val="21"/>
                <w:highlight w:val="none"/>
                <w:lang w:eastAsia="zh-CN"/>
              </w:rPr>
            </w:pPr>
            <w:r>
              <w:rPr>
                <w:rFonts w:ascii="Times New Roman" w:hAnsi="Times New Roman" w:eastAsia="宋体" w:cs="Times New Roman"/>
                <w:bCs/>
                <w:szCs w:val="21"/>
                <w:highlight w:val="none"/>
              </w:rPr>
              <w:t>-54</w:t>
            </w:r>
            <w:r>
              <w:rPr>
                <w:rFonts w:hint="eastAsia" w:cs="Times New Roman"/>
                <w:bCs/>
                <w:szCs w:val="21"/>
                <w:highlight w:val="none"/>
                <w:lang w:eastAsia="zh-CN"/>
              </w:rPr>
              <w:t>（</w:t>
            </w:r>
            <w:r>
              <w:rPr>
                <w:rFonts w:ascii="Times New Roman" w:hAnsi="Times New Roman" w:eastAsia="宋体" w:cs="Times New Roman"/>
                <w:bCs/>
                <w:szCs w:val="21"/>
                <w:highlight w:val="none"/>
              </w:rPr>
              <w:t>CC</w:t>
            </w:r>
            <w:r>
              <w:rPr>
                <w:rFonts w:hint="eastAsia" w:cs="Times New Roman"/>
                <w:bCs/>
                <w:szCs w:val="21"/>
                <w:highlight w:val="none"/>
                <w:lang w:eastAsia="zh-CN"/>
              </w:rPr>
              <w:t>）</w:t>
            </w:r>
          </w:p>
        </w:tc>
        <w:tc>
          <w:tcPr>
            <w:tcW w:w="1540" w:type="dxa"/>
            <w:gridSpan w:val="2"/>
            <w:tcMar>
              <w:left w:w="108" w:type="dxa"/>
              <w:right w:w="108" w:type="dxa"/>
            </w:tcMar>
            <w:vAlign w:val="center"/>
          </w:tcPr>
          <w:p w14:paraId="18D8F134">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自然温度（℃）：</w:t>
            </w:r>
          </w:p>
        </w:tc>
        <w:tc>
          <w:tcPr>
            <w:tcW w:w="2771" w:type="dxa"/>
            <w:gridSpan w:val="2"/>
            <w:tcMar>
              <w:left w:w="108" w:type="dxa"/>
              <w:right w:w="108" w:type="dxa"/>
            </w:tcMar>
            <w:vAlign w:val="center"/>
          </w:tcPr>
          <w:p w14:paraId="18A026F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651</w:t>
            </w:r>
          </w:p>
        </w:tc>
      </w:tr>
      <w:tr w14:paraId="19C7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08704690">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46F0ECAB">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爆炸下限（%）：</w:t>
            </w:r>
          </w:p>
        </w:tc>
        <w:tc>
          <w:tcPr>
            <w:tcW w:w="1978" w:type="dxa"/>
            <w:gridSpan w:val="2"/>
            <w:tcMar>
              <w:left w:w="108" w:type="dxa"/>
              <w:right w:w="108" w:type="dxa"/>
            </w:tcMar>
            <w:vAlign w:val="center"/>
          </w:tcPr>
          <w:p w14:paraId="0D08FAA6">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15</w:t>
            </w:r>
          </w:p>
        </w:tc>
        <w:tc>
          <w:tcPr>
            <w:tcW w:w="1540" w:type="dxa"/>
            <w:gridSpan w:val="2"/>
            <w:tcMar>
              <w:left w:w="108" w:type="dxa"/>
              <w:right w:w="108" w:type="dxa"/>
            </w:tcMar>
            <w:vAlign w:val="center"/>
          </w:tcPr>
          <w:p w14:paraId="23B46857">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爆炸上限（%）：</w:t>
            </w:r>
          </w:p>
        </w:tc>
        <w:tc>
          <w:tcPr>
            <w:tcW w:w="2771" w:type="dxa"/>
            <w:gridSpan w:val="2"/>
            <w:tcMar>
              <w:left w:w="108" w:type="dxa"/>
              <w:right w:w="108" w:type="dxa"/>
            </w:tcMar>
            <w:vAlign w:val="center"/>
          </w:tcPr>
          <w:p w14:paraId="674D045E">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28</w:t>
            </w:r>
          </w:p>
        </w:tc>
      </w:tr>
      <w:tr w14:paraId="3000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1E069473">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2B33FEA2">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分解温度（℃）：</w:t>
            </w:r>
          </w:p>
        </w:tc>
        <w:tc>
          <w:tcPr>
            <w:tcW w:w="1978" w:type="dxa"/>
            <w:gridSpan w:val="2"/>
            <w:tcMar>
              <w:left w:w="108" w:type="dxa"/>
              <w:right w:w="108" w:type="dxa"/>
            </w:tcMar>
            <w:vAlign w:val="center"/>
          </w:tcPr>
          <w:p w14:paraId="2F7F5ECF">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无资料</w:t>
            </w:r>
          </w:p>
        </w:tc>
        <w:tc>
          <w:tcPr>
            <w:tcW w:w="1540" w:type="dxa"/>
            <w:gridSpan w:val="2"/>
            <w:tcMar>
              <w:left w:w="108" w:type="dxa"/>
              <w:right w:w="108" w:type="dxa"/>
            </w:tcMar>
            <w:vAlign w:val="center"/>
          </w:tcPr>
          <w:p w14:paraId="7E49E71A">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黏度（MPa·s）：</w:t>
            </w:r>
          </w:p>
        </w:tc>
        <w:tc>
          <w:tcPr>
            <w:tcW w:w="2771" w:type="dxa"/>
            <w:gridSpan w:val="2"/>
            <w:tcMar>
              <w:left w:w="108" w:type="dxa"/>
              <w:right w:w="108" w:type="dxa"/>
            </w:tcMar>
            <w:vAlign w:val="center"/>
          </w:tcPr>
          <w:p w14:paraId="6907C643">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无资料</w:t>
            </w:r>
          </w:p>
        </w:tc>
      </w:tr>
      <w:tr w14:paraId="050D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30F6DF80">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6ECA8BF4">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溶解性：</w:t>
            </w:r>
          </w:p>
        </w:tc>
        <w:tc>
          <w:tcPr>
            <w:tcW w:w="6289" w:type="dxa"/>
            <w:gridSpan w:val="6"/>
            <w:tcMar>
              <w:left w:w="108" w:type="dxa"/>
              <w:right w:w="108" w:type="dxa"/>
            </w:tcMar>
            <w:vAlign w:val="center"/>
          </w:tcPr>
          <w:p w14:paraId="7F66BF36">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易溶于水、乙醇</w:t>
            </w:r>
            <w:r>
              <w:rPr>
                <w:rFonts w:hint="eastAsia" w:cs="Times New Roman"/>
                <w:bCs/>
                <w:szCs w:val="21"/>
                <w:highlight w:val="none"/>
                <w:lang w:eastAsia="zh-CN"/>
              </w:rPr>
              <w:t>和</w:t>
            </w:r>
            <w:r>
              <w:rPr>
                <w:rFonts w:ascii="Times New Roman" w:hAnsi="Times New Roman" w:eastAsia="宋体" w:cs="Times New Roman"/>
                <w:bCs/>
                <w:szCs w:val="21"/>
                <w:highlight w:val="none"/>
              </w:rPr>
              <w:t>乙醚。</w:t>
            </w:r>
          </w:p>
        </w:tc>
      </w:tr>
      <w:tr w14:paraId="2846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restart"/>
            <w:tcMar>
              <w:left w:w="108" w:type="dxa"/>
              <w:right w:w="108" w:type="dxa"/>
            </w:tcMar>
            <w:vAlign w:val="center"/>
          </w:tcPr>
          <w:p w14:paraId="506ABEE9">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稳定性和反应性</w:t>
            </w:r>
          </w:p>
        </w:tc>
        <w:tc>
          <w:tcPr>
            <w:tcW w:w="1367" w:type="dxa"/>
            <w:gridSpan w:val="2"/>
            <w:tcMar>
              <w:left w:w="108" w:type="dxa"/>
              <w:right w:w="108" w:type="dxa"/>
            </w:tcMar>
            <w:vAlign w:val="center"/>
          </w:tcPr>
          <w:p w14:paraId="66C083B4">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稳定性：</w:t>
            </w:r>
          </w:p>
        </w:tc>
        <w:tc>
          <w:tcPr>
            <w:tcW w:w="6289" w:type="dxa"/>
            <w:gridSpan w:val="6"/>
            <w:tcMar>
              <w:left w:w="108" w:type="dxa"/>
              <w:right w:w="108" w:type="dxa"/>
            </w:tcMar>
            <w:vAlign w:val="center"/>
          </w:tcPr>
          <w:p w14:paraId="49F88963">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稳定</w:t>
            </w:r>
          </w:p>
        </w:tc>
      </w:tr>
      <w:tr w14:paraId="5B8A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285F81C2">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7339FDDF">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危险性：</w:t>
            </w:r>
          </w:p>
        </w:tc>
        <w:tc>
          <w:tcPr>
            <w:tcW w:w="6289" w:type="dxa"/>
            <w:gridSpan w:val="6"/>
            <w:tcMar>
              <w:left w:w="108" w:type="dxa"/>
              <w:right w:w="108" w:type="dxa"/>
            </w:tcMar>
            <w:vAlign w:val="center"/>
          </w:tcPr>
          <w:p w14:paraId="7CCFAD62">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与强氧化剂、卤素、酸类等禁配物接触发生剧烈反应。</w:t>
            </w:r>
          </w:p>
        </w:tc>
      </w:tr>
      <w:tr w14:paraId="3CE6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0533CF81">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395379B5">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避免接触的条件：</w:t>
            </w:r>
          </w:p>
        </w:tc>
        <w:tc>
          <w:tcPr>
            <w:tcW w:w="6289" w:type="dxa"/>
            <w:gridSpan w:val="6"/>
            <w:tcMar>
              <w:left w:w="108" w:type="dxa"/>
              <w:right w:w="108" w:type="dxa"/>
            </w:tcMar>
            <w:vAlign w:val="center"/>
          </w:tcPr>
          <w:p w14:paraId="016305EF">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无资料</w:t>
            </w:r>
          </w:p>
        </w:tc>
      </w:tr>
      <w:tr w14:paraId="4D6BC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61B51FC2">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29D870D2">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禁配物：</w:t>
            </w:r>
          </w:p>
        </w:tc>
        <w:tc>
          <w:tcPr>
            <w:tcW w:w="6289" w:type="dxa"/>
            <w:gridSpan w:val="6"/>
            <w:tcMar>
              <w:left w:w="108" w:type="dxa"/>
              <w:right w:w="108" w:type="dxa"/>
            </w:tcMar>
            <w:vAlign w:val="center"/>
          </w:tcPr>
          <w:p w14:paraId="3BD08C4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卤素、酰基氯、氯仿、强氧化剂</w:t>
            </w:r>
          </w:p>
        </w:tc>
      </w:tr>
      <w:tr w14:paraId="3257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024E56F2">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5BF10F29">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危险的分解产物：</w:t>
            </w:r>
          </w:p>
        </w:tc>
        <w:tc>
          <w:tcPr>
            <w:tcW w:w="6289" w:type="dxa"/>
            <w:gridSpan w:val="6"/>
            <w:tcMar>
              <w:left w:w="108" w:type="dxa"/>
              <w:right w:w="108" w:type="dxa"/>
            </w:tcMar>
            <w:vAlign w:val="center"/>
          </w:tcPr>
          <w:p w14:paraId="55888F30">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无资料</w:t>
            </w:r>
          </w:p>
        </w:tc>
      </w:tr>
      <w:tr w14:paraId="5508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restart"/>
            <w:tcMar>
              <w:left w:w="108" w:type="dxa"/>
              <w:right w:w="108" w:type="dxa"/>
            </w:tcMar>
            <w:vAlign w:val="center"/>
          </w:tcPr>
          <w:p w14:paraId="47BCAF83">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毒理学信息</w:t>
            </w:r>
          </w:p>
        </w:tc>
        <w:tc>
          <w:tcPr>
            <w:tcW w:w="1367" w:type="dxa"/>
            <w:gridSpan w:val="2"/>
            <w:tcMar>
              <w:left w:w="108" w:type="dxa"/>
              <w:right w:w="108" w:type="dxa"/>
            </w:tcMar>
            <w:vAlign w:val="center"/>
          </w:tcPr>
          <w:p w14:paraId="55EAF1F9">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急性中毒：</w:t>
            </w:r>
          </w:p>
        </w:tc>
        <w:tc>
          <w:tcPr>
            <w:tcW w:w="6289" w:type="dxa"/>
            <w:gridSpan w:val="6"/>
            <w:tcMar>
              <w:left w:w="108" w:type="dxa"/>
              <w:right w:w="108" w:type="dxa"/>
            </w:tcMar>
            <w:vAlign w:val="center"/>
          </w:tcPr>
          <w:p w14:paraId="3EF2B7C7">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LD4230ppm（小鼠吸入，1h）；2000ppm（大鼠吸入，4h）</w:t>
            </w:r>
            <w:r>
              <w:rPr>
                <w:rFonts w:hint="eastAsia" w:cs="Times New Roman"/>
                <w:bCs/>
                <w:szCs w:val="21"/>
                <w:highlight w:val="none"/>
                <w:lang w:eastAsia="zh-CN"/>
              </w:rPr>
              <w:t>；</w:t>
            </w:r>
            <w:r>
              <w:rPr>
                <w:rFonts w:ascii="Times New Roman" w:hAnsi="Times New Roman" w:eastAsia="宋体" w:cs="Times New Roman"/>
                <w:bCs/>
                <w:szCs w:val="21"/>
                <w:highlight w:val="none"/>
              </w:rPr>
              <w:t>LCLo：5000ppm（人吸入，5min）</w:t>
            </w:r>
          </w:p>
        </w:tc>
      </w:tr>
      <w:tr w14:paraId="4F50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60BC1008">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7F526A1F">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皮肤刺激或腐蚀：</w:t>
            </w:r>
          </w:p>
        </w:tc>
        <w:tc>
          <w:tcPr>
            <w:tcW w:w="1978" w:type="dxa"/>
            <w:gridSpan w:val="2"/>
            <w:tcMar>
              <w:left w:w="108" w:type="dxa"/>
              <w:right w:w="108" w:type="dxa"/>
            </w:tcMar>
            <w:vAlign w:val="center"/>
          </w:tcPr>
          <w:p w14:paraId="6CE1D465">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无资料</w:t>
            </w:r>
          </w:p>
        </w:tc>
        <w:tc>
          <w:tcPr>
            <w:tcW w:w="1540" w:type="dxa"/>
            <w:gridSpan w:val="2"/>
            <w:tcMar>
              <w:left w:w="108" w:type="dxa"/>
              <w:right w:w="108" w:type="dxa"/>
            </w:tcMar>
            <w:vAlign w:val="center"/>
          </w:tcPr>
          <w:p w14:paraId="3725707F">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眼睛刺激或腐蚀：</w:t>
            </w:r>
          </w:p>
        </w:tc>
        <w:tc>
          <w:tcPr>
            <w:tcW w:w="2771" w:type="dxa"/>
            <w:gridSpan w:val="2"/>
            <w:tcMar>
              <w:left w:w="108" w:type="dxa"/>
              <w:right w:w="108" w:type="dxa"/>
            </w:tcMar>
            <w:vAlign w:val="center"/>
          </w:tcPr>
          <w:p w14:paraId="1093938D">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家兔经眼：100mg，重度刺激</w:t>
            </w:r>
          </w:p>
        </w:tc>
      </w:tr>
      <w:tr w14:paraId="3657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2DAA6FD0">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15F876A4">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呼吸</w:t>
            </w:r>
            <w:r>
              <w:rPr>
                <w:rFonts w:hint="eastAsia" w:cs="Times New Roman"/>
                <w:bCs/>
                <w:szCs w:val="21"/>
                <w:highlight w:val="none"/>
                <w:lang w:eastAsia="zh-CN"/>
              </w:rPr>
              <w:t>道</w:t>
            </w:r>
            <w:r>
              <w:rPr>
                <w:rFonts w:ascii="Times New Roman" w:hAnsi="Times New Roman" w:eastAsia="宋体" w:cs="Times New Roman"/>
                <w:bCs/>
                <w:szCs w:val="21"/>
                <w:highlight w:val="none"/>
              </w:rPr>
              <w:t>或皮肤过敏：</w:t>
            </w:r>
          </w:p>
        </w:tc>
        <w:tc>
          <w:tcPr>
            <w:tcW w:w="1978" w:type="dxa"/>
            <w:gridSpan w:val="2"/>
            <w:tcMar>
              <w:left w:w="108" w:type="dxa"/>
              <w:right w:w="108" w:type="dxa"/>
            </w:tcMar>
            <w:vAlign w:val="center"/>
          </w:tcPr>
          <w:p w14:paraId="3B0895FE">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无资料</w:t>
            </w:r>
          </w:p>
        </w:tc>
        <w:tc>
          <w:tcPr>
            <w:tcW w:w="1540" w:type="dxa"/>
            <w:gridSpan w:val="2"/>
            <w:tcMar>
              <w:left w:w="108" w:type="dxa"/>
              <w:right w:w="108" w:type="dxa"/>
            </w:tcMar>
            <w:vAlign w:val="center"/>
          </w:tcPr>
          <w:p w14:paraId="1B092858">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生殖细胞</w:t>
            </w:r>
            <w:r>
              <w:rPr>
                <w:rFonts w:hint="eastAsia" w:cs="Times New Roman"/>
                <w:bCs/>
                <w:szCs w:val="21"/>
                <w:highlight w:val="none"/>
                <w:lang w:eastAsia="zh-CN"/>
              </w:rPr>
              <w:t>致</w:t>
            </w:r>
            <w:r>
              <w:rPr>
                <w:rFonts w:ascii="Times New Roman" w:hAnsi="Times New Roman" w:eastAsia="宋体" w:cs="Times New Roman"/>
                <w:bCs/>
                <w:szCs w:val="21"/>
                <w:highlight w:val="none"/>
              </w:rPr>
              <w:t>突变性：</w:t>
            </w:r>
          </w:p>
        </w:tc>
        <w:tc>
          <w:tcPr>
            <w:tcW w:w="2771" w:type="dxa"/>
            <w:gridSpan w:val="2"/>
            <w:tcMar>
              <w:left w:w="108" w:type="dxa"/>
              <w:right w:w="108" w:type="dxa"/>
            </w:tcMar>
            <w:vAlign w:val="center"/>
          </w:tcPr>
          <w:p w14:paraId="39A7341B">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微生物</w:t>
            </w:r>
            <w:r>
              <w:rPr>
                <w:rFonts w:hint="eastAsia" w:cs="Times New Roman"/>
                <w:bCs/>
                <w:szCs w:val="21"/>
                <w:highlight w:val="none"/>
                <w:lang w:eastAsia="zh-CN"/>
              </w:rPr>
              <w:t>具有</w:t>
            </w:r>
            <w:r>
              <w:rPr>
                <w:rFonts w:ascii="Times New Roman" w:hAnsi="Times New Roman" w:eastAsia="宋体" w:cs="Times New Roman"/>
                <w:bCs/>
                <w:szCs w:val="21"/>
                <w:highlight w:val="none"/>
              </w:rPr>
              <w:t>致突变性。大肠杆菌1500μg/m</w:t>
            </w:r>
            <w:r>
              <w:rPr>
                <w:rFonts w:ascii="Times New Roman" w:hAnsi="Times New Roman" w:eastAsia="宋体" w:cs="Times New Roman"/>
                <w:bCs/>
                <w:szCs w:val="21"/>
                <w:highlight w:val="none"/>
                <w:vertAlign w:val="superscript"/>
              </w:rPr>
              <w:t>3</w:t>
            </w:r>
            <w:r>
              <w:rPr>
                <w:rFonts w:hint="eastAsia" w:cs="Times New Roman"/>
                <w:bCs/>
                <w:szCs w:val="21"/>
                <w:highlight w:val="none"/>
                <w:lang w:eastAsia="zh-CN"/>
              </w:rPr>
              <w:t>（</w:t>
            </w:r>
            <w:r>
              <w:rPr>
                <w:rFonts w:ascii="Times New Roman" w:hAnsi="Times New Roman" w:eastAsia="宋体" w:cs="Times New Roman"/>
                <w:bCs/>
                <w:szCs w:val="21"/>
                <w:highlight w:val="none"/>
              </w:rPr>
              <w:t>3h</w:t>
            </w:r>
            <w:r>
              <w:rPr>
                <w:rFonts w:hint="eastAsia" w:cs="Times New Roman"/>
                <w:bCs/>
                <w:szCs w:val="21"/>
                <w:highlight w:val="none"/>
                <w:lang w:eastAsia="zh-CN"/>
              </w:rPr>
              <w:t>）</w:t>
            </w:r>
            <w:r>
              <w:rPr>
                <w:rFonts w:ascii="Times New Roman" w:hAnsi="Times New Roman" w:eastAsia="宋体" w:cs="Times New Roman"/>
                <w:bCs/>
                <w:szCs w:val="21"/>
                <w:highlight w:val="none"/>
              </w:rPr>
              <w:t>。细胞遗传学分析：大鼠吸入19800μg/m</w:t>
            </w:r>
            <w:r>
              <w:rPr>
                <w:rFonts w:ascii="Times New Roman" w:hAnsi="Times New Roman" w:eastAsia="宋体" w:cs="Times New Roman"/>
                <w:bCs/>
                <w:szCs w:val="21"/>
                <w:highlight w:val="none"/>
                <w:vertAlign w:val="superscript"/>
              </w:rPr>
              <w:t>3</w:t>
            </w:r>
            <w:r>
              <w:rPr>
                <w:rFonts w:ascii="Times New Roman" w:hAnsi="Times New Roman" w:eastAsia="宋体" w:cs="Times New Roman"/>
                <w:bCs/>
                <w:szCs w:val="21"/>
                <w:highlight w:val="none"/>
              </w:rPr>
              <w:t>（16周）</w:t>
            </w:r>
          </w:p>
        </w:tc>
      </w:tr>
      <w:tr w14:paraId="4873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7487F63A">
            <w:pPr>
              <w:jc w:val="center"/>
              <w:rPr>
                <w:rFonts w:ascii="Times New Roman" w:hAnsi="Times New Roman" w:eastAsia="宋体" w:cs="Times New Roman"/>
                <w:bCs/>
                <w:szCs w:val="21"/>
                <w:highlight w:val="none"/>
              </w:rPr>
            </w:pPr>
          </w:p>
        </w:tc>
        <w:tc>
          <w:tcPr>
            <w:tcW w:w="1367" w:type="dxa"/>
            <w:gridSpan w:val="2"/>
            <w:tcMar>
              <w:left w:w="108" w:type="dxa"/>
              <w:right w:w="108" w:type="dxa"/>
            </w:tcMar>
            <w:vAlign w:val="center"/>
          </w:tcPr>
          <w:p w14:paraId="7C609891">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致癌性：</w:t>
            </w:r>
          </w:p>
        </w:tc>
        <w:tc>
          <w:tcPr>
            <w:tcW w:w="1978" w:type="dxa"/>
            <w:gridSpan w:val="2"/>
            <w:tcMar>
              <w:left w:w="108" w:type="dxa"/>
              <w:right w:w="108" w:type="dxa"/>
            </w:tcMar>
            <w:vAlign w:val="center"/>
          </w:tcPr>
          <w:p w14:paraId="15165816">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无资料</w:t>
            </w:r>
          </w:p>
        </w:tc>
        <w:tc>
          <w:tcPr>
            <w:tcW w:w="1540" w:type="dxa"/>
            <w:gridSpan w:val="2"/>
            <w:tcMar>
              <w:left w:w="108" w:type="dxa"/>
              <w:right w:w="108" w:type="dxa"/>
            </w:tcMar>
            <w:vAlign w:val="center"/>
          </w:tcPr>
          <w:p w14:paraId="7ADB0EEF">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生殖毒性：</w:t>
            </w:r>
          </w:p>
        </w:tc>
        <w:tc>
          <w:tcPr>
            <w:tcW w:w="2771" w:type="dxa"/>
            <w:gridSpan w:val="2"/>
            <w:tcMar>
              <w:left w:w="108" w:type="dxa"/>
              <w:right w:w="108" w:type="dxa"/>
            </w:tcMar>
            <w:vAlign w:val="center"/>
          </w:tcPr>
          <w:p w14:paraId="7C90A3BD">
            <w:pPr>
              <w:jc w:val="center"/>
              <w:rPr>
                <w:rFonts w:ascii="Times New Roman" w:hAnsi="Times New Roman" w:eastAsia="宋体" w:cs="Times New Roman"/>
                <w:bCs/>
                <w:szCs w:val="21"/>
                <w:highlight w:val="none"/>
              </w:rPr>
            </w:pPr>
            <w:r>
              <w:rPr>
                <w:rFonts w:ascii="Times New Roman" w:hAnsi="Times New Roman" w:eastAsia="宋体" w:cs="Times New Roman"/>
                <w:bCs/>
                <w:szCs w:val="21"/>
                <w:highlight w:val="none"/>
              </w:rPr>
              <w:t>无资料</w:t>
            </w:r>
          </w:p>
        </w:tc>
      </w:tr>
      <w:tr w14:paraId="4278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289411E3">
            <w:pPr>
              <w:jc w:val="center"/>
              <w:rPr>
                <w:highlight w:val="none"/>
              </w:rPr>
            </w:pPr>
          </w:p>
        </w:tc>
        <w:tc>
          <w:tcPr>
            <w:tcW w:w="1367" w:type="dxa"/>
            <w:gridSpan w:val="2"/>
            <w:tcMar>
              <w:left w:w="108" w:type="dxa"/>
              <w:right w:w="108" w:type="dxa"/>
            </w:tcMar>
            <w:vAlign w:val="center"/>
          </w:tcPr>
          <w:p w14:paraId="2E635C22">
            <w:pPr>
              <w:rPr>
                <w:highlight w:val="none"/>
              </w:rPr>
            </w:pPr>
            <w:r>
              <w:rPr>
                <w:highlight w:val="none"/>
              </w:rPr>
              <w:t>特异性靶器官系统毒性——一次接触：</w:t>
            </w:r>
          </w:p>
        </w:tc>
        <w:tc>
          <w:tcPr>
            <w:tcW w:w="6289" w:type="dxa"/>
            <w:gridSpan w:val="6"/>
            <w:tcMar>
              <w:left w:w="108" w:type="dxa"/>
              <w:right w:w="108" w:type="dxa"/>
            </w:tcMar>
            <w:vAlign w:val="center"/>
          </w:tcPr>
          <w:p w14:paraId="4D6DA665">
            <w:pPr>
              <w:jc w:val="center"/>
              <w:rPr>
                <w:highlight w:val="none"/>
              </w:rPr>
            </w:pPr>
            <w:r>
              <w:rPr>
                <w:highlight w:val="none"/>
              </w:rPr>
              <w:t>无资料</w:t>
            </w:r>
          </w:p>
        </w:tc>
      </w:tr>
      <w:tr w14:paraId="327A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08B739F5">
            <w:pPr>
              <w:jc w:val="center"/>
              <w:rPr>
                <w:highlight w:val="none"/>
              </w:rPr>
            </w:pPr>
          </w:p>
        </w:tc>
        <w:tc>
          <w:tcPr>
            <w:tcW w:w="1367" w:type="dxa"/>
            <w:gridSpan w:val="2"/>
            <w:tcMar>
              <w:left w:w="108" w:type="dxa"/>
              <w:right w:w="108" w:type="dxa"/>
            </w:tcMar>
            <w:vAlign w:val="center"/>
          </w:tcPr>
          <w:p w14:paraId="2912E31C">
            <w:pPr>
              <w:jc w:val="center"/>
              <w:rPr>
                <w:highlight w:val="none"/>
              </w:rPr>
            </w:pPr>
            <w:r>
              <w:rPr>
                <w:highlight w:val="none"/>
              </w:rPr>
              <w:t>特异性靶器官系统毒性——反复接触：</w:t>
            </w:r>
          </w:p>
        </w:tc>
        <w:tc>
          <w:tcPr>
            <w:tcW w:w="6289" w:type="dxa"/>
            <w:gridSpan w:val="6"/>
            <w:tcMar>
              <w:left w:w="108" w:type="dxa"/>
              <w:right w:w="108" w:type="dxa"/>
            </w:tcMar>
            <w:vAlign w:val="center"/>
          </w:tcPr>
          <w:p w14:paraId="7A98DF46">
            <w:pPr>
              <w:jc w:val="center"/>
              <w:rPr>
                <w:highlight w:val="none"/>
              </w:rPr>
            </w:pPr>
            <w:r>
              <w:rPr>
                <w:highlight w:val="none"/>
              </w:rPr>
              <w:t>大鼠，20mg/m</w:t>
            </w:r>
            <w:r>
              <w:rPr>
                <w:highlight w:val="none"/>
                <w:vertAlign w:val="superscript"/>
              </w:rPr>
              <w:t>3</w:t>
            </w:r>
            <w:r>
              <w:rPr>
                <w:highlight w:val="none"/>
              </w:rPr>
              <w:t>，每天24h，84d，或每天5~6h，7个月，出现神经系统功能紊乱。</w:t>
            </w:r>
          </w:p>
        </w:tc>
      </w:tr>
      <w:tr w14:paraId="2950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6B412C5D">
            <w:pPr>
              <w:jc w:val="center"/>
              <w:rPr>
                <w:highlight w:val="none"/>
              </w:rPr>
            </w:pPr>
          </w:p>
        </w:tc>
        <w:tc>
          <w:tcPr>
            <w:tcW w:w="1367" w:type="dxa"/>
            <w:gridSpan w:val="2"/>
            <w:tcMar>
              <w:left w:w="108" w:type="dxa"/>
              <w:right w:w="108" w:type="dxa"/>
            </w:tcMar>
            <w:vAlign w:val="center"/>
          </w:tcPr>
          <w:p w14:paraId="5A820175">
            <w:pPr>
              <w:jc w:val="center"/>
              <w:rPr>
                <w:highlight w:val="none"/>
              </w:rPr>
            </w:pPr>
            <w:r>
              <w:rPr>
                <w:highlight w:val="none"/>
              </w:rPr>
              <w:t>吸入危害：</w:t>
            </w:r>
          </w:p>
        </w:tc>
        <w:tc>
          <w:tcPr>
            <w:tcW w:w="6289" w:type="dxa"/>
            <w:gridSpan w:val="6"/>
            <w:tcMar>
              <w:left w:w="108" w:type="dxa"/>
              <w:right w:w="108" w:type="dxa"/>
            </w:tcMar>
            <w:vAlign w:val="center"/>
          </w:tcPr>
          <w:p w14:paraId="48384BBF">
            <w:pPr>
              <w:jc w:val="center"/>
              <w:rPr>
                <w:highlight w:val="none"/>
              </w:rPr>
            </w:pPr>
            <w:r>
              <w:rPr>
                <w:highlight w:val="none"/>
              </w:rPr>
              <w:t>无资料</w:t>
            </w:r>
          </w:p>
        </w:tc>
      </w:tr>
      <w:tr w14:paraId="3D93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restart"/>
            <w:tcMar>
              <w:left w:w="108" w:type="dxa"/>
              <w:right w:w="108" w:type="dxa"/>
            </w:tcMar>
            <w:vAlign w:val="center"/>
          </w:tcPr>
          <w:p w14:paraId="6450D139">
            <w:pPr>
              <w:jc w:val="center"/>
              <w:rPr>
                <w:highlight w:val="none"/>
              </w:rPr>
            </w:pPr>
            <w:r>
              <w:rPr>
                <w:highlight w:val="none"/>
              </w:rPr>
              <w:t>生态学信息</w:t>
            </w:r>
          </w:p>
        </w:tc>
        <w:tc>
          <w:tcPr>
            <w:tcW w:w="1367" w:type="dxa"/>
            <w:gridSpan w:val="2"/>
            <w:tcMar>
              <w:left w:w="108" w:type="dxa"/>
              <w:right w:w="108" w:type="dxa"/>
            </w:tcMar>
            <w:vAlign w:val="center"/>
          </w:tcPr>
          <w:p w14:paraId="79B6C6E6">
            <w:pPr>
              <w:jc w:val="center"/>
              <w:rPr>
                <w:highlight w:val="none"/>
              </w:rPr>
            </w:pPr>
            <w:r>
              <w:rPr>
                <w:highlight w:val="none"/>
              </w:rPr>
              <w:t>生态毒性：</w:t>
            </w:r>
          </w:p>
        </w:tc>
        <w:tc>
          <w:tcPr>
            <w:tcW w:w="6289" w:type="dxa"/>
            <w:gridSpan w:val="6"/>
            <w:tcMar>
              <w:left w:w="108" w:type="dxa"/>
              <w:right w:w="108" w:type="dxa"/>
            </w:tcMar>
            <w:vAlign w:val="center"/>
          </w:tcPr>
          <w:p w14:paraId="0B5B62E6">
            <w:pPr>
              <w:jc w:val="center"/>
              <w:rPr>
                <w:highlight w:val="none"/>
              </w:rPr>
            </w:pPr>
            <w:r>
              <w:rPr>
                <w:highlight w:val="none"/>
              </w:rPr>
              <w:t>生态毒性LC50:3.58mg/1</w:t>
            </w:r>
            <w:r>
              <w:rPr>
                <w:rFonts w:hint="eastAsia"/>
                <w:highlight w:val="none"/>
                <w:lang w:eastAsia="zh-CN"/>
              </w:rPr>
              <w:t>（</w:t>
            </w:r>
            <w:r>
              <w:rPr>
                <w:highlight w:val="none"/>
              </w:rPr>
              <w:t>24h</w:t>
            </w:r>
            <w:r>
              <w:rPr>
                <w:rFonts w:hint="eastAsia"/>
                <w:highlight w:val="none"/>
                <w:lang w:eastAsia="zh-CN"/>
              </w:rPr>
              <w:t>）</w:t>
            </w:r>
            <w:r>
              <w:rPr>
                <w:highlight w:val="none"/>
              </w:rPr>
              <w:t>（彩鲑，已受精的）；3.58mg/L</w:t>
            </w:r>
            <w:r>
              <w:rPr>
                <w:rFonts w:hint="eastAsia"/>
                <w:highlight w:val="none"/>
                <w:lang w:eastAsia="zh-CN"/>
              </w:rPr>
              <w:t>（</w:t>
            </w:r>
            <w:r>
              <w:rPr>
                <w:highlight w:val="none"/>
              </w:rPr>
              <w:t>24h</w:t>
            </w:r>
            <w:r>
              <w:rPr>
                <w:rFonts w:hint="eastAsia"/>
                <w:highlight w:val="none"/>
                <w:lang w:eastAsia="zh-CN"/>
              </w:rPr>
              <w:t>）</w:t>
            </w:r>
            <w:r>
              <w:rPr>
                <w:highlight w:val="none"/>
              </w:rPr>
              <w:t>（彩鲑，幼年的）；0.068mg/L</w:t>
            </w:r>
            <w:r>
              <w:rPr>
                <w:rFonts w:hint="eastAsia"/>
                <w:highlight w:val="none"/>
                <w:lang w:eastAsia="zh-CN"/>
              </w:rPr>
              <w:t>（</w:t>
            </w:r>
            <w:r>
              <w:rPr>
                <w:highlight w:val="none"/>
              </w:rPr>
              <w:t>24h</w:t>
            </w:r>
            <w:r>
              <w:rPr>
                <w:rFonts w:hint="eastAsia"/>
                <w:highlight w:val="none"/>
                <w:lang w:eastAsia="zh-CN"/>
              </w:rPr>
              <w:t>）</w:t>
            </w:r>
            <w:r>
              <w:rPr>
                <w:highlight w:val="none"/>
              </w:rPr>
              <w:t>（彩鲑，85d的鱼苗）；0.097mg/L</w:t>
            </w:r>
            <w:r>
              <w:rPr>
                <w:rFonts w:hint="eastAsia"/>
                <w:highlight w:val="none"/>
                <w:lang w:eastAsia="zh-CN"/>
              </w:rPr>
              <w:t>（</w:t>
            </w:r>
            <w:r>
              <w:rPr>
                <w:highlight w:val="none"/>
              </w:rPr>
              <w:t>24h</w:t>
            </w:r>
            <w:r>
              <w:rPr>
                <w:rFonts w:hint="eastAsia"/>
                <w:highlight w:val="none"/>
                <w:lang w:eastAsia="zh-CN"/>
              </w:rPr>
              <w:t>）</w:t>
            </w:r>
            <w:r>
              <w:rPr>
                <w:highlight w:val="none"/>
              </w:rPr>
              <w:t>（彩鲑，成年的）；24mg/L</w:t>
            </w:r>
            <w:r>
              <w:rPr>
                <w:rFonts w:hint="eastAsia"/>
                <w:highlight w:val="none"/>
                <w:lang w:eastAsia="zh-CN"/>
              </w:rPr>
              <w:t>（</w:t>
            </w:r>
            <w:r>
              <w:rPr>
                <w:highlight w:val="none"/>
              </w:rPr>
              <w:t>48h）（水蚤）</w:t>
            </w:r>
          </w:p>
        </w:tc>
      </w:tr>
      <w:tr w14:paraId="6B18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03460D0A">
            <w:pPr>
              <w:rPr>
                <w:highlight w:val="none"/>
              </w:rPr>
            </w:pPr>
          </w:p>
        </w:tc>
        <w:tc>
          <w:tcPr>
            <w:tcW w:w="1367" w:type="dxa"/>
            <w:gridSpan w:val="2"/>
            <w:tcMar>
              <w:left w:w="108" w:type="dxa"/>
              <w:right w:w="108" w:type="dxa"/>
            </w:tcMar>
            <w:vAlign w:val="center"/>
          </w:tcPr>
          <w:p w14:paraId="3C749E45">
            <w:pPr>
              <w:jc w:val="center"/>
              <w:rPr>
                <w:highlight w:val="none"/>
              </w:rPr>
            </w:pPr>
            <w:r>
              <w:rPr>
                <w:highlight w:val="none"/>
              </w:rPr>
              <w:t>持久性和降解性：</w:t>
            </w:r>
          </w:p>
        </w:tc>
        <w:tc>
          <w:tcPr>
            <w:tcW w:w="6289" w:type="dxa"/>
            <w:gridSpan w:val="6"/>
            <w:tcMar>
              <w:left w:w="108" w:type="dxa"/>
              <w:right w:w="108" w:type="dxa"/>
            </w:tcMar>
            <w:vAlign w:val="center"/>
          </w:tcPr>
          <w:p w14:paraId="638C3D4C">
            <w:pPr>
              <w:jc w:val="center"/>
              <w:rPr>
                <w:highlight w:val="none"/>
              </w:rPr>
            </w:pPr>
            <w:r>
              <w:rPr>
                <w:highlight w:val="none"/>
              </w:rPr>
              <w:t>生物</w:t>
            </w:r>
            <w:r>
              <w:rPr>
                <w:rFonts w:hint="eastAsia"/>
                <w:highlight w:val="none"/>
                <w:lang w:eastAsia="zh-CN"/>
              </w:rPr>
              <w:t>可</w:t>
            </w:r>
            <w:r>
              <w:rPr>
                <w:highlight w:val="none"/>
              </w:rPr>
              <w:t>降解性：无资料</w:t>
            </w:r>
            <w:r>
              <w:rPr>
                <w:rFonts w:hint="eastAsia"/>
                <w:highlight w:val="none"/>
                <w:lang w:eastAsia="zh-CN"/>
              </w:rPr>
              <w:t>。</w:t>
            </w:r>
            <w:r>
              <w:rPr>
                <w:highlight w:val="none"/>
              </w:rPr>
              <w:br w:type="textWrapping"/>
            </w:r>
            <w:r>
              <w:rPr>
                <w:highlight w:val="none"/>
              </w:rPr>
              <w:t>非生物</w:t>
            </w:r>
            <w:r>
              <w:rPr>
                <w:rFonts w:hint="eastAsia"/>
                <w:highlight w:val="none"/>
                <w:lang w:eastAsia="zh-CN"/>
              </w:rPr>
              <w:t>可</w:t>
            </w:r>
            <w:r>
              <w:rPr>
                <w:highlight w:val="none"/>
              </w:rPr>
              <w:t>降解性：能被臭氧氧化，反应速度与氨的浓度成正比例关系，当pH值为7~9时，OH-对反应有催化作用。</w:t>
            </w:r>
          </w:p>
        </w:tc>
      </w:tr>
      <w:tr w14:paraId="581F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7CF897D0">
            <w:pPr>
              <w:rPr>
                <w:highlight w:val="none"/>
              </w:rPr>
            </w:pPr>
          </w:p>
        </w:tc>
        <w:tc>
          <w:tcPr>
            <w:tcW w:w="1367" w:type="dxa"/>
            <w:gridSpan w:val="2"/>
            <w:tcMar>
              <w:left w:w="108" w:type="dxa"/>
              <w:right w:w="108" w:type="dxa"/>
            </w:tcMar>
            <w:vAlign w:val="center"/>
          </w:tcPr>
          <w:p w14:paraId="475CD83A">
            <w:pPr>
              <w:jc w:val="center"/>
              <w:rPr>
                <w:highlight w:val="none"/>
              </w:rPr>
            </w:pPr>
            <w:r>
              <w:rPr>
                <w:highlight w:val="none"/>
              </w:rPr>
              <w:t>潜在的生物累积性：</w:t>
            </w:r>
          </w:p>
        </w:tc>
        <w:tc>
          <w:tcPr>
            <w:tcW w:w="6289" w:type="dxa"/>
            <w:gridSpan w:val="6"/>
            <w:tcMar>
              <w:left w:w="108" w:type="dxa"/>
              <w:right w:w="108" w:type="dxa"/>
            </w:tcMar>
            <w:vAlign w:val="center"/>
          </w:tcPr>
          <w:p w14:paraId="70E230CF">
            <w:pPr>
              <w:jc w:val="center"/>
              <w:rPr>
                <w:highlight w:val="none"/>
              </w:rPr>
            </w:pPr>
            <w:r>
              <w:rPr>
                <w:highlight w:val="none"/>
              </w:rPr>
              <w:t>无资料</w:t>
            </w:r>
          </w:p>
        </w:tc>
      </w:tr>
      <w:tr w14:paraId="712F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14EF4057">
            <w:pPr>
              <w:rPr>
                <w:highlight w:val="none"/>
              </w:rPr>
            </w:pPr>
          </w:p>
        </w:tc>
        <w:tc>
          <w:tcPr>
            <w:tcW w:w="1367" w:type="dxa"/>
            <w:gridSpan w:val="2"/>
            <w:tcMar>
              <w:left w:w="108" w:type="dxa"/>
              <w:right w:w="108" w:type="dxa"/>
            </w:tcMar>
            <w:vAlign w:val="center"/>
          </w:tcPr>
          <w:p w14:paraId="63D5B9BC">
            <w:pPr>
              <w:jc w:val="center"/>
              <w:rPr>
                <w:highlight w:val="none"/>
              </w:rPr>
            </w:pPr>
            <w:r>
              <w:rPr>
                <w:highlight w:val="none"/>
              </w:rPr>
              <w:t>土壤中的迁移性：</w:t>
            </w:r>
          </w:p>
        </w:tc>
        <w:tc>
          <w:tcPr>
            <w:tcW w:w="6289" w:type="dxa"/>
            <w:gridSpan w:val="6"/>
            <w:tcMar>
              <w:left w:w="108" w:type="dxa"/>
              <w:right w:w="108" w:type="dxa"/>
            </w:tcMar>
            <w:vAlign w:val="center"/>
          </w:tcPr>
          <w:p w14:paraId="3B573234">
            <w:pPr>
              <w:jc w:val="center"/>
              <w:rPr>
                <w:highlight w:val="none"/>
              </w:rPr>
            </w:pPr>
            <w:r>
              <w:rPr>
                <w:highlight w:val="none"/>
              </w:rPr>
              <w:t>易被土壤吸附，迁移性较低。</w:t>
            </w:r>
          </w:p>
        </w:tc>
      </w:tr>
      <w:tr w14:paraId="354E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restart"/>
            <w:tcMar>
              <w:left w:w="108" w:type="dxa"/>
              <w:right w:w="108" w:type="dxa"/>
            </w:tcMar>
            <w:vAlign w:val="center"/>
          </w:tcPr>
          <w:p w14:paraId="7172AE6D">
            <w:pPr>
              <w:jc w:val="center"/>
              <w:rPr>
                <w:highlight w:val="none"/>
              </w:rPr>
            </w:pPr>
            <w:r>
              <w:rPr>
                <w:highlight w:val="none"/>
              </w:rPr>
              <w:t>废弃处置</w:t>
            </w:r>
          </w:p>
        </w:tc>
        <w:tc>
          <w:tcPr>
            <w:tcW w:w="1367" w:type="dxa"/>
            <w:gridSpan w:val="2"/>
            <w:tcMar>
              <w:left w:w="108" w:type="dxa"/>
              <w:right w:w="108" w:type="dxa"/>
            </w:tcMar>
            <w:vAlign w:val="center"/>
          </w:tcPr>
          <w:p w14:paraId="3C4DD792">
            <w:pPr>
              <w:jc w:val="center"/>
              <w:rPr>
                <w:rFonts w:ascii="Times New Roman" w:hAnsi="Times New Roman" w:eastAsia="宋体" w:cs="Times New Roman"/>
                <w:highlight w:val="none"/>
              </w:rPr>
            </w:pPr>
            <w:r>
              <w:rPr>
                <w:rFonts w:ascii="Times New Roman" w:hAnsi="Times New Roman" w:eastAsia="宋体" w:cs="Times New Roman"/>
                <w:highlight w:val="none"/>
              </w:rPr>
              <w:t>废弃化学品：</w:t>
            </w:r>
          </w:p>
        </w:tc>
        <w:tc>
          <w:tcPr>
            <w:tcW w:w="6289" w:type="dxa"/>
            <w:gridSpan w:val="6"/>
            <w:tcMar>
              <w:left w:w="108" w:type="dxa"/>
              <w:right w:w="108" w:type="dxa"/>
            </w:tcMar>
            <w:vAlign w:val="center"/>
          </w:tcPr>
          <w:p w14:paraId="1DD8AC6E">
            <w:pPr>
              <w:jc w:val="center"/>
              <w:rPr>
                <w:rFonts w:ascii="Times New Roman" w:hAnsi="Times New Roman" w:eastAsia="宋体" w:cs="Times New Roman"/>
                <w:highlight w:val="none"/>
              </w:rPr>
            </w:pPr>
            <w:r>
              <w:rPr>
                <w:rFonts w:ascii="Times New Roman" w:hAnsi="Times New Roman" w:eastAsia="宋体" w:cs="Times New Roman"/>
                <w:highlight w:val="none"/>
              </w:rPr>
              <w:t>先用水稀释，再加盐酸中和，然后放入废水系统。</w:t>
            </w:r>
          </w:p>
        </w:tc>
      </w:tr>
      <w:tr w14:paraId="5DA0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1D7BCF85">
            <w:pPr>
              <w:rPr>
                <w:highlight w:val="none"/>
              </w:rPr>
            </w:pPr>
          </w:p>
        </w:tc>
        <w:tc>
          <w:tcPr>
            <w:tcW w:w="1367" w:type="dxa"/>
            <w:gridSpan w:val="2"/>
            <w:tcMar>
              <w:left w:w="108" w:type="dxa"/>
              <w:right w:w="108" w:type="dxa"/>
            </w:tcMar>
            <w:vAlign w:val="center"/>
          </w:tcPr>
          <w:p w14:paraId="4AC98168">
            <w:pPr>
              <w:jc w:val="center"/>
              <w:rPr>
                <w:rFonts w:ascii="Times New Roman" w:hAnsi="Times New Roman" w:eastAsia="宋体" w:cs="Times New Roman"/>
                <w:highlight w:val="none"/>
              </w:rPr>
            </w:pPr>
            <w:r>
              <w:rPr>
                <w:rFonts w:ascii="Times New Roman" w:hAnsi="Times New Roman" w:eastAsia="宋体" w:cs="Times New Roman"/>
                <w:highlight w:val="none"/>
              </w:rPr>
              <w:t>污染包装物：</w:t>
            </w:r>
          </w:p>
        </w:tc>
        <w:tc>
          <w:tcPr>
            <w:tcW w:w="6289" w:type="dxa"/>
            <w:gridSpan w:val="6"/>
            <w:tcMar>
              <w:left w:w="108" w:type="dxa"/>
              <w:right w:w="108" w:type="dxa"/>
            </w:tcMar>
            <w:vAlign w:val="center"/>
          </w:tcPr>
          <w:p w14:paraId="1AD3F6C9">
            <w:pPr>
              <w:jc w:val="center"/>
              <w:rPr>
                <w:rFonts w:ascii="Times New Roman" w:hAnsi="Times New Roman" w:eastAsia="宋体" w:cs="Times New Roman"/>
                <w:highlight w:val="none"/>
              </w:rPr>
            </w:pPr>
            <w:r>
              <w:rPr>
                <w:rFonts w:ascii="Times New Roman" w:hAnsi="Times New Roman" w:eastAsia="宋体" w:cs="Times New Roman"/>
                <w:highlight w:val="none"/>
              </w:rPr>
              <w:t>将容器返还生产商或按照国家和地方性法规处置。</w:t>
            </w:r>
          </w:p>
        </w:tc>
      </w:tr>
      <w:tr w14:paraId="7D957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28E9F578">
            <w:pPr>
              <w:rPr>
                <w:highlight w:val="none"/>
              </w:rPr>
            </w:pPr>
          </w:p>
        </w:tc>
        <w:tc>
          <w:tcPr>
            <w:tcW w:w="1367" w:type="dxa"/>
            <w:gridSpan w:val="2"/>
            <w:tcMar>
              <w:left w:w="108" w:type="dxa"/>
              <w:right w:w="108" w:type="dxa"/>
            </w:tcMar>
            <w:vAlign w:val="center"/>
          </w:tcPr>
          <w:p w14:paraId="720C1267">
            <w:pPr>
              <w:jc w:val="center"/>
              <w:rPr>
                <w:rFonts w:ascii="Times New Roman" w:hAnsi="Times New Roman" w:eastAsia="宋体" w:cs="Times New Roman"/>
                <w:highlight w:val="none"/>
              </w:rPr>
            </w:pPr>
            <w:r>
              <w:rPr>
                <w:rFonts w:ascii="Times New Roman" w:hAnsi="Times New Roman" w:eastAsia="宋体" w:cs="Times New Roman"/>
                <w:highlight w:val="none"/>
              </w:rPr>
              <w:t>废弃注意事项：</w:t>
            </w:r>
          </w:p>
        </w:tc>
        <w:tc>
          <w:tcPr>
            <w:tcW w:w="6289" w:type="dxa"/>
            <w:gridSpan w:val="6"/>
            <w:tcMar>
              <w:left w:w="108" w:type="dxa"/>
              <w:right w:w="108" w:type="dxa"/>
            </w:tcMar>
            <w:vAlign w:val="center"/>
          </w:tcPr>
          <w:p w14:paraId="3DCF13CE">
            <w:pPr>
              <w:jc w:val="center"/>
              <w:rPr>
                <w:rFonts w:ascii="Times New Roman" w:hAnsi="Times New Roman" w:eastAsia="宋体" w:cs="Times New Roman"/>
                <w:highlight w:val="none"/>
              </w:rPr>
            </w:pPr>
            <w:r>
              <w:rPr>
                <w:rFonts w:ascii="Times New Roman" w:hAnsi="Times New Roman" w:eastAsia="宋体" w:cs="Times New Roman"/>
                <w:highlight w:val="none"/>
              </w:rPr>
              <w:t>处置前应参阅国家和地方有关法规。</w:t>
            </w:r>
          </w:p>
        </w:tc>
      </w:tr>
      <w:tr w14:paraId="142D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restart"/>
            <w:tcMar>
              <w:left w:w="108" w:type="dxa"/>
              <w:right w:w="108" w:type="dxa"/>
            </w:tcMar>
            <w:vAlign w:val="center"/>
          </w:tcPr>
          <w:p w14:paraId="7C5545B3">
            <w:pPr>
              <w:rPr>
                <w:rFonts w:hint="eastAsia" w:eastAsia="宋体"/>
                <w:highlight w:val="none"/>
                <w:lang w:val="en-US" w:eastAsia="zh-CN"/>
              </w:rPr>
            </w:pPr>
            <w:r>
              <w:rPr>
                <w:rFonts w:hint="eastAsia"/>
                <w:highlight w:val="none"/>
                <w:lang w:val="en-US" w:eastAsia="zh-CN"/>
              </w:rPr>
              <w:t>运输信息</w:t>
            </w:r>
          </w:p>
        </w:tc>
        <w:tc>
          <w:tcPr>
            <w:tcW w:w="1367" w:type="dxa"/>
            <w:gridSpan w:val="2"/>
            <w:tcMar>
              <w:left w:w="108" w:type="dxa"/>
              <w:right w:w="108" w:type="dxa"/>
            </w:tcMar>
            <w:vAlign w:val="center"/>
          </w:tcPr>
          <w:p w14:paraId="314B49E0">
            <w:pPr>
              <w:rPr>
                <w:highlight w:val="none"/>
              </w:rPr>
            </w:pPr>
            <w:r>
              <w:rPr>
                <w:highlight w:val="none"/>
              </w:rPr>
              <w:t>联合国运输名称：</w:t>
            </w:r>
          </w:p>
        </w:tc>
        <w:tc>
          <w:tcPr>
            <w:tcW w:w="2365" w:type="dxa"/>
            <w:gridSpan w:val="3"/>
            <w:tcMar>
              <w:left w:w="108" w:type="dxa"/>
              <w:right w:w="108" w:type="dxa"/>
            </w:tcMar>
            <w:vAlign w:val="center"/>
          </w:tcPr>
          <w:p w14:paraId="510CF79F">
            <w:pPr>
              <w:jc w:val="center"/>
              <w:rPr>
                <w:highlight w:val="none"/>
              </w:rPr>
            </w:pPr>
            <w:r>
              <w:rPr>
                <w:highlight w:val="none"/>
              </w:rPr>
              <w:t>无水氨</w:t>
            </w:r>
          </w:p>
        </w:tc>
        <w:tc>
          <w:tcPr>
            <w:tcW w:w="3249" w:type="dxa"/>
            <w:gridSpan w:val="2"/>
            <w:tcMar>
              <w:left w:w="108" w:type="dxa"/>
              <w:right w:w="108" w:type="dxa"/>
            </w:tcMar>
            <w:vAlign w:val="center"/>
          </w:tcPr>
          <w:p w14:paraId="7C88756F">
            <w:pPr>
              <w:jc w:val="center"/>
              <w:rPr>
                <w:highlight w:val="none"/>
              </w:rPr>
            </w:pPr>
            <w:r>
              <w:rPr>
                <w:highlight w:val="none"/>
              </w:rPr>
              <w:t>联合国危险性类别：</w:t>
            </w:r>
          </w:p>
        </w:tc>
        <w:tc>
          <w:tcPr>
            <w:tcW w:w="675" w:type="dxa"/>
            <w:tcMar>
              <w:left w:w="108" w:type="dxa"/>
              <w:right w:w="108" w:type="dxa"/>
            </w:tcMar>
            <w:vAlign w:val="center"/>
          </w:tcPr>
          <w:p w14:paraId="57ED440C">
            <w:pPr>
              <w:jc w:val="center"/>
              <w:rPr>
                <w:highlight w:val="none"/>
              </w:rPr>
            </w:pPr>
            <w:r>
              <w:rPr>
                <w:highlight w:val="none"/>
              </w:rPr>
              <w:t>2.3.8</w:t>
            </w:r>
          </w:p>
        </w:tc>
      </w:tr>
      <w:tr w14:paraId="6E1D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1A2DABB5">
            <w:pPr>
              <w:rPr>
                <w:highlight w:val="none"/>
              </w:rPr>
            </w:pPr>
          </w:p>
        </w:tc>
        <w:tc>
          <w:tcPr>
            <w:tcW w:w="1367" w:type="dxa"/>
            <w:gridSpan w:val="2"/>
            <w:tcMar>
              <w:left w:w="108" w:type="dxa"/>
              <w:right w:w="108" w:type="dxa"/>
            </w:tcMar>
            <w:vAlign w:val="center"/>
          </w:tcPr>
          <w:p w14:paraId="7219D069">
            <w:pPr>
              <w:rPr>
                <w:highlight w:val="none"/>
              </w:rPr>
            </w:pPr>
            <w:r>
              <w:rPr>
                <w:highlight w:val="none"/>
              </w:rPr>
              <w:t>包装类别：</w:t>
            </w:r>
          </w:p>
        </w:tc>
        <w:tc>
          <w:tcPr>
            <w:tcW w:w="2365" w:type="dxa"/>
            <w:gridSpan w:val="3"/>
            <w:tcMar>
              <w:left w:w="108" w:type="dxa"/>
              <w:right w:w="108" w:type="dxa"/>
            </w:tcMar>
            <w:vAlign w:val="center"/>
          </w:tcPr>
          <w:p w14:paraId="46946AA3">
            <w:pPr>
              <w:jc w:val="center"/>
              <w:rPr>
                <w:highlight w:val="none"/>
              </w:rPr>
            </w:pPr>
            <w:r>
              <w:rPr>
                <w:highlight w:val="none"/>
              </w:rPr>
              <w:t>一</w:t>
            </w:r>
          </w:p>
        </w:tc>
        <w:tc>
          <w:tcPr>
            <w:tcW w:w="3249" w:type="dxa"/>
            <w:gridSpan w:val="2"/>
            <w:tcMar>
              <w:left w:w="108" w:type="dxa"/>
              <w:right w:w="108" w:type="dxa"/>
            </w:tcMar>
            <w:vAlign w:val="center"/>
          </w:tcPr>
          <w:p w14:paraId="5C737CDB">
            <w:pPr>
              <w:jc w:val="center"/>
              <w:rPr>
                <w:highlight w:val="none"/>
              </w:rPr>
            </w:pPr>
            <w:r>
              <w:rPr>
                <w:highlight w:val="none"/>
              </w:rPr>
              <w:t>海洋污染物：</w:t>
            </w:r>
          </w:p>
        </w:tc>
        <w:tc>
          <w:tcPr>
            <w:tcW w:w="675" w:type="dxa"/>
            <w:tcMar>
              <w:left w:w="108" w:type="dxa"/>
              <w:right w:w="108" w:type="dxa"/>
            </w:tcMar>
            <w:vAlign w:val="center"/>
          </w:tcPr>
          <w:p w14:paraId="6723FB88">
            <w:pPr>
              <w:jc w:val="center"/>
              <w:rPr>
                <w:highlight w:val="none"/>
              </w:rPr>
            </w:pPr>
            <w:r>
              <w:rPr>
                <w:highlight w:val="none"/>
              </w:rPr>
              <w:t>是</w:t>
            </w:r>
          </w:p>
        </w:tc>
      </w:tr>
      <w:tr w14:paraId="5215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3316713D">
            <w:pPr>
              <w:rPr>
                <w:highlight w:val="none"/>
              </w:rPr>
            </w:pPr>
          </w:p>
        </w:tc>
        <w:tc>
          <w:tcPr>
            <w:tcW w:w="1367" w:type="dxa"/>
            <w:gridSpan w:val="2"/>
            <w:tcMar>
              <w:left w:w="108" w:type="dxa"/>
              <w:right w:w="108" w:type="dxa"/>
            </w:tcMar>
            <w:vAlign w:val="center"/>
          </w:tcPr>
          <w:p w14:paraId="4D9B7284">
            <w:pPr>
              <w:jc w:val="center"/>
              <w:rPr>
                <w:highlight w:val="none"/>
              </w:rPr>
            </w:pPr>
            <w:r>
              <w:rPr>
                <w:highlight w:val="none"/>
              </w:rPr>
              <w:t>运输注意事项：</w:t>
            </w:r>
          </w:p>
        </w:tc>
        <w:tc>
          <w:tcPr>
            <w:tcW w:w="6289" w:type="dxa"/>
            <w:gridSpan w:val="6"/>
            <w:tcMar>
              <w:left w:w="108" w:type="dxa"/>
              <w:right w:w="108" w:type="dxa"/>
            </w:tcMar>
            <w:vAlign w:val="center"/>
          </w:tcPr>
          <w:p w14:paraId="65F213CF">
            <w:pPr>
              <w:jc w:val="center"/>
              <w:rPr>
                <w:highlight w:val="none"/>
              </w:rPr>
            </w:pPr>
            <w:r>
              <w:rPr>
                <w:highlight w:val="none"/>
              </w:rPr>
              <w:t>本品铁路运输时限使用耐压液化气企业自备罐车装运，装运前需报有关部门批准。采用钢瓶运输时必须戴好钢瓶上的安全帽。钢瓶一般平放，并应将瓶口朝同一方向，不可交叉。高度不超过车辆的护栏板，并用三角木垫卡牢，防止滚动。运输时运输车辆应配备相应品种和数量的消防器材及泄漏应急处理设备。装运该产品的车辆排气管必须配备阻火装置，禁止使用易产生火花的机械设备和工具装卸。严禁与氧化剂、酸类、卤素、食用化学药品等混装混运</w:t>
            </w:r>
            <w:r>
              <w:rPr>
                <w:rFonts w:hint="eastAsia"/>
                <w:highlight w:val="none"/>
                <w:lang w:eastAsia="zh-CN"/>
              </w:rPr>
              <w:t>。</w:t>
            </w:r>
            <w:r>
              <w:rPr>
                <w:highlight w:val="none"/>
              </w:rPr>
              <w:t>夏季应早晚运输，防止日光曝晒。中途停留时应远离火种、热源。公路运输时要按规定路线行驶，禁止在居民区和人口稠密区停车。铁路运输时要禁止溜放。</w:t>
            </w:r>
          </w:p>
        </w:tc>
      </w:tr>
      <w:tr w14:paraId="1517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restart"/>
            <w:tcMar>
              <w:left w:w="108" w:type="dxa"/>
              <w:right w:w="108" w:type="dxa"/>
            </w:tcMar>
            <w:vAlign w:val="center"/>
          </w:tcPr>
          <w:p w14:paraId="13C24B64">
            <w:pPr>
              <w:rPr>
                <w:highlight w:val="none"/>
              </w:rPr>
            </w:pPr>
            <w:r>
              <w:rPr>
                <w:highlight w:val="none"/>
              </w:rPr>
              <w:t>法规信息</w:t>
            </w:r>
          </w:p>
        </w:tc>
        <w:tc>
          <w:tcPr>
            <w:tcW w:w="7656" w:type="dxa"/>
            <w:gridSpan w:val="8"/>
            <w:tcMar>
              <w:left w:w="108" w:type="dxa"/>
              <w:right w:w="108" w:type="dxa"/>
            </w:tcMar>
            <w:vAlign w:val="center"/>
          </w:tcPr>
          <w:p w14:paraId="25D77C21">
            <w:pPr>
              <w:jc w:val="center"/>
              <w:rPr>
                <w:highlight w:val="none"/>
              </w:rPr>
            </w:pPr>
            <w:r>
              <w:rPr>
                <w:highlight w:val="none"/>
              </w:rPr>
              <w:t>危险化学品目录：</w:t>
            </w:r>
            <w:r>
              <w:rPr>
                <w:rFonts w:hint="eastAsia" w:cs="Times New Roman"/>
                <w:bCs/>
                <w:szCs w:val="21"/>
                <w:highlight w:val="none"/>
                <w:lang w:eastAsia="zh-CN"/>
              </w:rPr>
              <w:t>□</w:t>
            </w:r>
            <w:r>
              <w:rPr>
                <w:highlight w:val="none"/>
              </w:rPr>
              <w:t>未列入☑列入：高毒物品目录：☑列入</w:t>
            </w:r>
            <w:r>
              <w:rPr>
                <w:rFonts w:hint="eastAsia" w:cs="Times New Roman"/>
                <w:bCs/>
                <w:szCs w:val="21"/>
                <w:highlight w:val="none"/>
                <w:lang w:eastAsia="zh-CN"/>
              </w:rPr>
              <w:t>□</w:t>
            </w:r>
            <w:r>
              <w:rPr>
                <w:highlight w:val="none"/>
              </w:rPr>
              <w:t>未列入</w:t>
            </w:r>
          </w:p>
        </w:tc>
      </w:tr>
      <w:tr w14:paraId="3E77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56EF1680">
            <w:pPr>
              <w:rPr>
                <w:highlight w:val="none"/>
              </w:rPr>
            </w:pPr>
          </w:p>
        </w:tc>
        <w:tc>
          <w:tcPr>
            <w:tcW w:w="1367" w:type="dxa"/>
            <w:gridSpan w:val="2"/>
            <w:tcMar>
              <w:left w:w="108" w:type="dxa"/>
              <w:right w:w="108" w:type="dxa"/>
            </w:tcMar>
            <w:vAlign w:val="center"/>
          </w:tcPr>
          <w:p w14:paraId="62E5A029">
            <w:pPr>
              <w:jc w:val="center"/>
              <w:rPr>
                <w:highlight w:val="none"/>
              </w:rPr>
            </w:pPr>
            <w:r>
              <w:rPr>
                <w:highlight w:val="none"/>
              </w:rPr>
              <w:t>职业病分类和目录：</w:t>
            </w:r>
          </w:p>
        </w:tc>
        <w:tc>
          <w:tcPr>
            <w:tcW w:w="6289" w:type="dxa"/>
            <w:gridSpan w:val="6"/>
            <w:tcMar>
              <w:left w:w="108" w:type="dxa"/>
              <w:right w:w="108" w:type="dxa"/>
            </w:tcMar>
            <w:vAlign w:val="center"/>
          </w:tcPr>
          <w:p w14:paraId="18097F4A">
            <w:pPr>
              <w:jc w:val="center"/>
              <w:rPr>
                <w:rFonts w:hint="eastAsia" w:eastAsia="宋体"/>
                <w:highlight w:val="none"/>
                <w:lang w:eastAsia="zh-CN"/>
              </w:rPr>
            </w:pPr>
            <w:r>
              <w:rPr>
                <w:rFonts w:hint="eastAsia"/>
                <w:highlight w:val="none"/>
                <w:lang w:eastAsia="zh-CN"/>
              </w:rPr>
              <w:t>□</w:t>
            </w:r>
            <w:r>
              <w:rPr>
                <w:highlight w:val="none"/>
              </w:rPr>
              <w:t>未列入</w:t>
            </w:r>
            <w:r>
              <w:rPr>
                <w:rFonts w:hint="eastAsia"/>
                <w:highlight w:val="none"/>
                <w:lang w:eastAsia="zh-CN"/>
              </w:rPr>
              <w:t>，</w:t>
            </w:r>
            <w:r>
              <w:rPr>
                <w:highlight w:val="none"/>
              </w:rPr>
              <w:t>☑列入：氨中毒</w:t>
            </w:r>
            <w:r>
              <w:rPr>
                <w:rFonts w:hint="eastAsia"/>
                <w:highlight w:val="none"/>
                <w:lang w:eastAsia="zh-CN"/>
              </w:rPr>
              <w:t>。</w:t>
            </w:r>
          </w:p>
        </w:tc>
      </w:tr>
      <w:tr w14:paraId="302F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56314574">
            <w:pPr>
              <w:rPr>
                <w:highlight w:val="none"/>
              </w:rPr>
            </w:pPr>
          </w:p>
        </w:tc>
        <w:tc>
          <w:tcPr>
            <w:tcW w:w="1367" w:type="dxa"/>
            <w:gridSpan w:val="2"/>
            <w:tcMar>
              <w:left w:w="108" w:type="dxa"/>
              <w:right w:w="108" w:type="dxa"/>
            </w:tcMar>
            <w:vAlign w:val="center"/>
          </w:tcPr>
          <w:p w14:paraId="3064D410">
            <w:pPr>
              <w:jc w:val="center"/>
              <w:rPr>
                <w:highlight w:val="none"/>
              </w:rPr>
            </w:pPr>
            <w:r>
              <w:rPr>
                <w:highlight w:val="none"/>
              </w:rPr>
              <w:t>易制爆危险化学品名录：</w:t>
            </w:r>
          </w:p>
        </w:tc>
        <w:tc>
          <w:tcPr>
            <w:tcW w:w="6289" w:type="dxa"/>
            <w:gridSpan w:val="6"/>
            <w:tcMar>
              <w:left w:w="108" w:type="dxa"/>
              <w:right w:w="108" w:type="dxa"/>
            </w:tcMar>
            <w:vAlign w:val="center"/>
          </w:tcPr>
          <w:p w14:paraId="51E9FA41">
            <w:pPr>
              <w:jc w:val="center"/>
              <w:rPr>
                <w:rFonts w:hint="eastAsia" w:eastAsia="宋体"/>
                <w:highlight w:val="none"/>
                <w:lang w:eastAsia="zh-CN"/>
              </w:rPr>
            </w:pPr>
            <w:r>
              <w:rPr>
                <w:highlight w:val="none"/>
              </w:rPr>
              <w:t>☑未列入</w:t>
            </w:r>
            <w:r>
              <w:rPr>
                <w:rFonts w:hint="eastAsia"/>
                <w:highlight w:val="none"/>
                <w:lang w:eastAsia="zh-CN"/>
              </w:rPr>
              <w:t>，</w:t>
            </w:r>
            <w:r>
              <w:rPr>
                <w:rFonts w:hint="eastAsia" w:cs="Times New Roman"/>
                <w:bCs/>
                <w:szCs w:val="21"/>
                <w:highlight w:val="none"/>
                <w:lang w:eastAsia="zh-CN"/>
              </w:rPr>
              <w:t>□</w:t>
            </w:r>
            <w:r>
              <w:rPr>
                <w:highlight w:val="none"/>
              </w:rPr>
              <w:t>列入</w:t>
            </w:r>
            <w:r>
              <w:rPr>
                <w:rFonts w:hint="eastAsia"/>
                <w:highlight w:val="none"/>
                <w:lang w:eastAsia="zh-CN"/>
              </w:rPr>
              <w:t>：</w:t>
            </w:r>
          </w:p>
        </w:tc>
      </w:tr>
      <w:tr w14:paraId="4C7F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6EE039A2">
            <w:pPr>
              <w:rPr>
                <w:highlight w:val="none"/>
              </w:rPr>
            </w:pPr>
          </w:p>
        </w:tc>
        <w:tc>
          <w:tcPr>
            <w:tcW w:w="1367" w:type="dxa"/>
            <w:gridSpan w:val="2"/>
            <w:tcMar>
              <w:left w:w="108" w:type="dxa"/>
              <w:right w:w="108" w:type="dxa"/>
            </w:tcMar>
            <w:vAlign w:val="center"/>
          </w:tcPr>
          <w:p w14:paraId="68ED5510">
            <w:pPr>
              <w:jc w:val="center"/>
              <w:rPr>
                <w:highlight w:val="none"/>
              </w:rPr>
            </w:pPr>
            <w:r>
              <w:rPr>
                <w:highlight w:val="none"/>
              </w:rPr>
              <w:t>重点监管的危险化学品名录：</w:t>
            </w:r>
          </w:p>
        </w:tc>
        <w:tc>
          <w:tcPr>
            <w:tcW w:w="6289" w:type="dxa"/>
            <w:gridSpan w:val="6"/>
            <w:tcMar>
              <w:left w:w="108" w:type="dxa"/>
              <w:right w:w="108" w:type="dxa"/>
            </w:tcMar>
            <w:vAlign w:val="center"/>
          </w:tcPr>
          <w:p w14:paraId="3665A54B">
            <w:pPr>
              <w:jc w:val="center"/>
              <w:rPr>
                <w:highlight w:val="none"/>
              </w:rPr>
            </w:pPr>
            <w:r>
              <w:rPr>
                <w:rFonts w:hint="eastAsia" w:cs="Times New Roman"/>
                <w:bCs/>
                <w:szCs w:val="21"/>
                <w:highlight w:val="none"/>
                <w:lang w:eastAsia="zh-CN"/>
              </w:rPr>
              <w:t>□</w:t>
            </w:r>
            <w:r>
              <w:rPr>
                <w:highlight w:val="none"/>
              </w:rPr>
              <w:t>未列入</w:t>
            </w:r>
            <w:r>
              <w:rPr>
                <w:rFonts w:hint="eastAsia"/>
                <w:highlight w:val="none"/>
                <w:lang w:eastAsia="zh-CN"/>
              </w:rPr>
              <w:t>，</w:t>
            </w:r>
            <w:r>
              <w:rPr>
                <w:highlight w:val="none"/>
              </w:rPr>
              <w:t>☑列入：</w:t>
            </w:r>
          </w:p>
        </w:tc>
      </w:tr>
      <w:tr w14:paraId="0798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1" w:type="dxa"/>
            <w:vMerge w:val="continue"/>
            <w:tcMar>
              <w:left w:w="108" w:type="dxa"/>
              <w:right w:w="108" w:type="dxa"/>
            </w:tcMar>
            <w:vAlign w:val="center"/>
          </w:tcPr>
          <w:p w14:paraId="0BE86F5B">
            <w:pPr>
              <w:rPr>
                <w:highlight w:val="none"/>
              </w:rPr>
            </w:pPr>
          </w:p>
        </w:tc>
        <w:tc>
          <w:tcPr>
            <w:tcW w:w="1367" w:type="dxa"/>
            <w:gridSpan w:val="2"/>
            <w:tcMar>
              <w:left w:w="108" w:type="dxa"/>
              <w:right w:w="108" w:type="dxa"/>
            </w:tcMar>
            <w:vAlign w:val="center"/>
          </w:tcPr>
          <w:p w14:paraId="4873D55C">
            <w:pPr>
              <w:jc w:val="center"/>
              <w:rPr>
                <w:highlight w:val="none"/>
              </w:rPr>
            </w:pPr>
            <w:r>
              <w:rPr>
                <w:highlight w:val="none"/>
              </w:rPr>
              <w:t>《危险化学品重大危险源辨识》（表1）：</w:t>
            </w:r>
          </w:p>
        </w:tc>
        <w:tc>
          <w:tcPr>
            <w:tcW w:w="6289" w:type="dxa"/>
            <w:gridSpan w:val="6"/>
            <w:tcMar>
              <w:left w:w="108" w:type="dxa"/>
              <w:right w:w="108" w:type="dxa"/>
            </w:tcMar>
            <w:vAlign w:val="center"/>
          </w:tcPr>
          <w:p w14:paraId="31873B74">
            <w:pPr>
              <w:jc w:val="center"/>
              <w:rPr>
                <w:highlight w:val="none"/>
              </w:rPr>
            </w:pPr>
            <w:r>
              <w:rPr>
                <w:highlight w:val="none"/>
              </w:rPr>
              <w:t>☐未列入</w:t>
            </w:r>
            <w:r>
              <w:rPr>
                <w:rFonts w:hint="eastAsia"/>
                <w:highlight w:val="none"/>
                <w:lang w:eastAsia="zh-CN"/>
              </w:rPr>
              <w:t>，</w:t>
            </w:r>
            <w:r>
              <w:rPr>
                <w:highlight w:val="none"/>
              </w:rPr>
              <w:t>☑列入：</w:t>
            </w:r>
          </w:p>
        </w:tc>
      </w:tr>
    </w:tbl>
    <w:p w14:paraId="40B8EBD3">
      <w:pPr>
        <w:spacing w:line="360" w:lineRule="auto"/>
        <w:jc w:val="center"/>
        <w:rPr>
          <w:rFonts w:hint="eastAsia" w:ascii="Times New Roman" w:hAnsi="Times New Roman" w:eastAsia="宋体" w:cs="Times New Roman"/>
          <w:b/>
          <w:bCs/>
          <w:sz w:val="21"/>
          <w:szCs w:val="21"/>
          <w:highlight w:val="none"/>
          <w:lang w:val="en-US" w:eastAsia="zh-CN"/>
        </w:rPr>
      </w:pPr>
      <w:r>
        <w:rPr>
          <w:rFonts w:hint="eastAsia" w:cs="Times New Roman"/>
          <w:b/>
          <w:bCs/>
          <w:sz w:val="21"/>
          <w:szCs w:val="21"/>
          <w:highlight w:val="none"/>
          <w:lang w:val="en-US" w:eastAsia="zh-CN"/>
        </w:rPr>
        <w:t>3.2</w:t>
      </w:r>
      <w:r>
        <w:rPr>
          <w:rFonts w:hint="eastAsia" w:ascii="Times New Roman" w:hAnsi="Times New Roman" w:eastAsia="宋体" w:cs="Times New Roman"/>
          <w:b/>
          <w:bCs/>
          <w:sz w:val="21"/>
          <w:szCs w:val="21"/>
          <w:highlight w:val="none"/>
          <w:lang w:val="en-US" w:eastAsia="zh-CN"/>
        </w:rPr>
        <w:t>-6   乙酸乙酯</w:t>
      </w:r>
      <w:r>
        <w:rPr>
          <w:rFonts w:hint="eastAsia" w:cs="Times New Roman"/>
          <w:b/>
          <w:bCs/>
          <w:sz w:val="21"/>
          <w:szCs w:val="21"/>
          <w:highlight w:val="none"/>
          <w:lang w:val="en-US" w:eastAsia="zh-CN"/>
        </w:rPr>
        <w:t>的</w:t>
      </w:r>
      <w:r>
        <w:rPr>
          <w:rFonts w:hint="eastAsia" w:ascii="Times New Roman" w:hAnsi="Times New Roman" w:eastAsia="宋体" w:cs="Times New Roman"/>
          <w:b/>
          <w:bCs/>
          <w:sz w:val="21"/>
          <w:szCs w:val="21"/>
          <w:highlight w:val="none"/>
          <w:lang w:val="en-US" w:eastAsia="zh-CN"/>
        </w:rPr>
        <w:t>理化性质及危险特性表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86"/>
        <w:gridCol w:w="1420"/>
        <w:gridCol w:w="1147"/>
        <w:gridCol w:w="836"/>
        <w:gridCol w:w="1790"/>
        <w:gridCol w:w="979"/>
        <w:gridCol w:w="862"/>
      </w:tblGrid>
      <w:tr w14:paraId="1CAA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6C166F8B">
            <w:pPr>
              <w:jc w:val="center"/>
              <w:rPr>
                <w:highlight w:val="none"/>
              </w:rPr>
            </w:pPr>
            <w:r>
              <w:rPr>
                <w:highlight w:val="none"/>
              </w:rPr>
              <w:t>标识</w:t>
            </w:r>
          </w:p>
        </w:tc>
        <w:tc>
          <w:tcPr>
            <w:tcW w:w="0" w:type="auto"/>
            <w:tcMar>
              <w:left w:w="108" w:type="dxa"/>
              <w:right w:w="108" w:type="dxa"/>
            </w:tcMar>
            <w:vAlign w:val="center"/>
          </w:tcPr>
          <w:p w14:paraId="225A75A8">
            <w:pPr>
              <w:jc w:val="center"/>
              <w:rPr>
                <w:highlight w:val="none"/>
              </w:rPr>
            </w:pPr>
            <w:r>
              <w:rPr>
                <w:highlight w:val="none"/>
              </w:rPr>
              <w:t>别名：</w:t>
            </w:r>
          </w:p>
        </w:tc>
        <w:tc>
          <w:tcPr>
            <w:tcW w:w="0" w:type="auto"/>
            <w:gridSpan w:val="3"/>
            <w:tcMar>
              <w:left w:w="108" w:type="dxa"/>
              <w:right w:w="108" w:type="dxa"/>
            </w:tcMar>
            <w:vAlign w:val="center"/>
          </w:tcPr>
          <w:p w14:paraId="56E686D1">
            <w:pPr>
              <w:jc w:val="center"/>
              <w:rPr>
                <w:highlight w:val="none"/>
              </w:rPr>
            </w:pPr>
            <w:r>
              <w:rPr>
                <w:highlight w:val="none"/>
              </w:rPr>
              <w:t>醋酸乙酯</w:t>
            </w:r>
          </w:p>
        </w:tc>
        <w:tc>
          <w:tcPr>
            <w:tcW w:w="0" w:type="auto"/>
            <w:tcMar>
              <w:left w:w="108" w:type="dxa"/>
              <w:right w:w="108" w:type="dxa"/>
            </w:tcMar>
            <w:vAlign w:val="center"/>
          </w:tcPr>
          <w:p w14:paraId="74E634E8">
            <w:pPr>
              <w:jc w:val="center"/>
              <w:rPr>
                <w:highlight w:val="none"/>
              </w:rPr>
            </w:pPr>
            <w:r>
              <w:rPr>
                <w:highlight w:val="none"/>
              </w:rPr>
              <w:t>危险货物编号：</w:t>
            </w:r>
          </w:p>
        </w:tc>
        <w:tc>
          <w:tcPr>
            <w:tcW w:w="0" w:type="auto"/>
            <w:tcMar>
              <w:left w:w="108" w:type="dxa"/>
              <w:right w:w="108" w:type="dxa"/>
            </w:tcMar>
            <w:vAlign w:val="center"/>
          </w:tcPr>
          <w:p w14:paraId="6DA2BBD7">
            <w:pPr>
              <w:jc w:val="center"/>
              <w:rPr>
                <w:highlight w:val="none"/>
              </w:rPr>
            </w:pPr>
            <w:r>
              <w:rPr>
                <w:highlight w:val="none"/>
              </w:rPr>
              <w:t>32127</w:t>
            </w:r>
          </w:p>
        </w:tc>
      </w:tr>
      <w:tr w14:paraId="7F59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0DFDF857">
            <w:pPr>
              <w:jc w:val="center"/>
              <w:rPr>
                <w:highlight w:val="none"/>
              </w:rPr>
            </w:pPr>
          </w:p>
        </w:tc>
        <w:tc>
          <w:tcPr>
            <w:tcW w:w="0" w:type="auto"/>
            <w:tcMar>
              <w:left w:w="108" w:type="dxa"/>
              <w:right w:w="108" w:type="dxa"/>
            </w:tcMar>
            <w:vAlign w:val="center"/>
          </w:tcPr>
          <w:p w14:paraId="35094220">
            <w:pPr>
              <w:jc w:val="center"/>
              <w:rPr>
                <w:highlight w:val="none"/>
              </w:rPr>
            </w:pPr>
            <w:r>
              <w:rPr>
                <w:highlight w:val="none"/>
              </w:rPr>
              <w:t>英文名：</w:t>
            </w:r>
          </w:p>
        </w:tc>
        <w:tc>
          <w:tcPr>
            <w:tcW w:w="0" w:type="auto"/>
            <w:gridSpan w:val="3"/>
            <w:tcMar>
              <w:left w:w="108" w:type="dxa"/>
              <w:right w:w="108" w:type="dxa"/>
            </w:tcMar>
            <w:vAlign w:val="center"/>
          </w:tcPr>
          <w:p w14:paraId="149ABB1C">
            <w:pPr>
              <w:jc w:val="center"/>
              <w:rPr>
                <w:highlight w:val="none"/>
              </w:rPr>
            </w:pPr>
            <w:r>
              <w:rPr>
                <w:highlight w:val="none"/>
              </w:rPr>
              <w:t>ethyl acetate</w:t>
            </w:r>
          </w:p>
        </w:tc>
        <w:tc>
          <w:tcPr>
            <w:tcW w:w="0" w:type="auto"/>
            <w:tcMar>
              <w:left w:w="108" w:type="dxa"/>
              <w:right w:w="108" w:type="dxa"/>
            </w:tcMar>
            <w:vAlign w:val="center"/>
          </w:tcPr>
          <w:p w14:paraId="03C5E0CD">
            <w:pPr>
              <w:jc w:val="center"/>
              <w:rPr>
                <w:highlight w:val="none"/>
              </w:rPr>
            </w:pPr>
            <w:r>
              <w:rPr>
                <w:highlight w:val="none"/>
              </w:rPr>
              <w:t>UN编号：</w:t>
            </w:r>
          </w:p>
        </w:tc>
        <w:tc>
          <w:tcPr>
            <w:tcW w:w="0" w:type="auto"/>
            <w:tcMar>
              <w:left w:w="108" w:type="dxa"/>
              <w:right w:w="108" w:type="dxa"/>
            </w:tcMar>
            <w:vAlign w:val="center"/>
          </w:tcPr>
          <w:p w14:paraId="7705011D">
            <w:pPr>
              <w:jc w:val="center"/>
              <w:rPr>
                <w:highlight w:val="none"/>
              </w:rPr>
            </w:pPr>
            <w:r>
              <w:rPr>
                <w:highlight w:val="none"/>
              </w:rPr>
              <w:t>1173</w:t>
            </w:r>
          </w:p>
        </w:tc>
      </w:tr>
      <w:tr w14:paraId="1539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4D9672E5">
            <w:pPr>
              <w:jc w:val="center"/>
              <w:rPr>
                <w:highlight w:val="none"/>
              </w:rPr>
            </w:pPr>
          </w:p>
        </w:tc>
        <w:tc>
          <w:tcPr>
            <w:tcW w:w="0" w:type="auto"/>
            <w:tcMar>
              <w:left w:w="108" w:type="dxa"/>
              <w:right w:w="108" w:type="dxa"/>
            </w:tcMar>
            <w:vAlign w:val="center"/>
          </w:tcPr>
          <w:p w14:paraId="6D6DA9EB">
            <w:pPr>
              <w:jc w:val="center"/>
              <w:rPr>
                <w:highlight w:val="none"/>
              </w:rPr>
            </w:pPr>
            <w:r>
              <w:rPr>
                <w:highlight w:val="none"/>
              </w:rPr>
              <w:t>CAS号：</w:t>
            </w:r>
          </w:p>
        </w:tc>
        <w:tc>
          <w:tcPr>
            <w:tcW w:w="0" w:type="auto"/>
            <w:tcMar>
              <w:left w:w="108" w:type="dxa"/>
              <w:right w:w="108" w:type="dxa"/>
            </w:tcMar>
            <w:vAlign w:val="center"/>
          </w:tcPr>
          <w:p w14:paraId="0B7B534E">
            <w:pPr>
              <w:jc w:val="center"/>
              <w:rPr>
                <w:highlight w:val="none"/>
              </w:rPr>
            </w:pPr>
            <w:r>
              <w:rPr>
                <w:highlight w:val="none"/>
              </w:rPr>
              <w:t>141-78-6</w:t>
            </w:r>
          </w:p>
        </w:tc>
        <w:tc>
          <w:tcPr>
            <w:tcW w:w="0" w:type="auto"/>
            <w:tcMar>
              <w:left w:w="108" w:type="dxa"/>
              <w:right w:w="108" w:type="dxa"/>
            </w:tcMar>
            <w:vAlign w:val="center"/>
          </w:tcPr>
          <w:p w14:paraId="16070611">
            <w:pPr>
              <w:jc w:val="center"/>
              <w:rPr>
                <w:highlight w:val="none"/>
              </w:rPr>
            </w:pPr>
            <w:r>
              <w:rPr>
                <w:highlight w:val="none"/>
              </w:rPr>
              <w:t>分子式：</w:t>
            </w:r>
          </w:p>
        </w:tc>
        <w:tc>
          <w:tcPr>
            <w:tcW w:w="0" w:type="auto"/>
            <w:tcMar>
              <w:left w:w="108" w:type="dxa"/>
              <w:right w:w="108" w:type="dxa"/>
            </w:tcMar>
            <w:vAlign w:val="center"/>
          </w:tcPr>
          <w:p w14:paraId="196D4F98">
            <w:pPr>
              <w:jc w:val="center"/>
              <w:rPr>
                <w:highlight w:val="none"/>
              </w:rPr>
            </w:pPr>
            <w:r>
              <w:rPr>
                <w:highlight w:val="none"/>
              </w:rPr>
              <w:t>C</w:t>
            </w:r>
            <w:r>
              <w:rPr>
                <w:highlight w:val="none"/>
                <w:vertAlign w:val="subscript"/>
              </w:rPr>
              <w:t>4</w:t>
            </w:r>
            <w:r>
              <w:rPr>
                <w:highlight w:val="none"/>
              </w:rPr>
              <w:t>H</w:t>
            </w:r>
            <w:r>
              <w:rPr>
                <w:highlight w:val="none"/>
                <w:vertAlign w:val="subscript"/>
              </w:rPr>
              <w:t>8</w:t>
            </w:r>
            <w:r>
              <w:rPr>
                <w:highlight w:val="none"/>
              </w:rPr>
              <w:t>O</w:t>
            </w:r>
            <w:r>
              <w:rPr>
                <w:highlight w:val="none"/>
                <w:vertAlign w:val="subscript"/>
              </w:rPr>
              <w:t>2</w:t>
            </w:r>
          </w:p>
        </w:tc>
        <w:tc>
          <w:tcPr>
            <w:tcW w:w="0" w:type="auto"/>
            <w:tcMar>
              <w:left w:w="108" w:type="dxa"/>
              <w:right w:w="108" w:type="dxa"/>
            </w:tcMar>
            <w:vAlign w:val="center"/>
          </w:tcPr>
          <w:p w14:paraId="2897E799">
            <w:pPr>
              <w:jc w:val="center"/>
              <w:rPr>
                <w:highlight w:val="none"/>
              </w:rPr>
            </w:pPr>
            <w:r>
              <w:rPr>
                <w:highlight w:val="none"/>
              </w:rPr>
              <w:t>分子量：</w:t>
            </w:r>
          </w:p>
        </w:tc>
        <w:tc>
          <w:tcPr>
            <w:tcW w:w="0" w:type="auto"/>
            <w:tcMar>
              <w:left w:w="108" w:type="dxa"/>
              <w:right w:w="108" w:type="dxa"/>
            </w:tcMar>
            <w:vAlign w:val="center"/>
          </w:tcPr>
          <w:p w14:paraId="69A4B74E">
            <w:pPr>
              <w:jc w:val="center"/>
              <w:rPr>
                <w:highlight w:val="none"/>
              </w:rPr>
            </w:pPr>
            <w:r>
              <w:rPr>
                <w:highlight w:val="none"/>
              </w:rPr>
              <w:t>88.10</w:t>
            </w:r>
          </w:p>
        </w:tc>
      </w:tr>
      <w:tr w14:paraId="0492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091FF42F">
            <w:pPr>
              <w:jc w:val="center"/>
              <w:rPr>
                <w:highlight w:val="none"/>
              </w:rPr>
            </w:pPr>
            <w:r>
              <w:rPr>
                <w:highlight w:val="none"/>
              </w:rPr>
              <w:t>理化性质</w:t>
            </w:r>
          </w:p>
        </w:tc>
        <w:tc>
          <w:tcPr>
            <w:tcW w:w="0" w:type="auto"/>
            <w:tcMar>
              <w:left w:w="108" w:type="dxa"/>
              <w:right w:w="108" w:type="dxa"/>
            </w:tcMar>
            <w:vAlign w:val="center"/>
          </w:tcPr>
          <w:p w14:paraId="4CDFDD39">
            <w:pPr>
              <w:jc w:val="center"/>
              <w:rPr>
                <w:highlight w:val="none"/>
              </w:rPr>
            </w:pPr>
            <w:r>
              <w:rPr>
                <w:highlight w:val="none"/>
              </w:rPr>
              <w:t>外观与性状：</w:t>
            </w:r>
          </w:p>
        </w:tc>
        <w:tc>
          <w:tcPr>
            <w:tcW w:w="0" w:type="auto"/>
            <w:gridSpan w:val="5"/>
            <w:tcMar>
              <w:left w:w="108" w:type="dxa"/>
              <w:right w:w="108" w:type="dxa"/>
            </w:tcMar>
            <w:vAlign w:val="center"/>
          </w:tcPr>
          <w:p w14:paraId="72E8AF05">
            <w:pPr>
              <w:jc w:val="center"/>
              <w:rPr>
                <w:highlight w:val="none"/>
              </w:rPr>
            </w:pPr>
            <w:r>
              <w:rPr>
                <w:highlight w:val="none"/>
              </w:rPr>
              <w:t>无色澄澈液体，有芳香味，易挥发。</w:t>
            </w:r>
          </w:p>
        </w:tc>
      </w:tr>
      <w:tr w14:paraId="4B6F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4097DBE8">
            <w:pPr>
              <w:jc w:val="center"/>
              <w:rPr>
                <w:highlight w:val="none"/>
              </w:rPr>
            </w:pPr>
          </w:p>
        </w:tc>
        <w:tc>
          <w:tcPr>
            <w:tcW w:w="0" w:type="auto"/>
            <w:tcMar>
              <w:left w:w="108" w:type="dxa"/>
              <w:right w:w="108" w:type="dxa"/>
            </w:tcMar>
            <w:vAlign w:val="center"/>
          </w:tcPr>
          <w:p w14:paraId="7221DCFC">
            <w:pPr>
              <w:jc w:val="center"/>
              <w:rPr>
                <w:highlight w:val="none"/>
              </w:rPr>
            </w:pPr>
            <w:r>
              <w:rPr>
                <w:highlight w:val="none"/>
              </w:rPr>
              <w:t>主要用途：</w:t>
            </w:r>
          </w:p>
        </w:tc>
        <w:tc>
          <w:tcPr>
            <w:tcW w:w="0" w:type="auto"/>
            <w:gridSpan w:val="5"/>
            <w:tcMar>
              <w:left w:w="108" w:type="dxa"/>
              <w:right w:w="108" w:type="dxa"/>
            </w:tcMar>
            <w:vAlign w:val="center"/>
          </w:tcPr>
          <w:p w14:paraId="2E469E3D">
            <w:pPr>
              <w:jc w:val="center"/>
              <w:rPr>
                <w:highlight w:val="none"/>
              </w:rPr>
            </w:pPr>
            <w:r>
              <w:rPr>
                <w:highlight w:val="none"/>
              </w:rPr>
              <w:t>用途很广。主要用作溶剂，及用于涂料和一些医药中间体的合成。</w:t>
            </w:r>
          </w:p>
        </w:tc>
      </w:tr>
      <w:tr w14:paraId="53F6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34A5CE02">
            <w:pPr>
              <w:jc w:val="center"/>
              <w:rPr>
                <w:highlight w:val="none"/>
              </w:rPr>
            </w:pPr>
          </w:p>
        </w:tc>
        <w:tc>
          <w:tcPr>
            <w:tcW w:w="0" w:type="auto"/>
            <w:tcMar>
              <w:left w:w="108" w:type="dxa"/>
              <w:right w:w="108" w:type="dxa"/>
            </w:tcMar>
            <w:vAlign w:val="center"/>
          </w:tcPr>
          <w:p w14:paraId="3EBE40DF">
            <w:pPr>
              <w:jc w:val="center"/>
              <w:rPr>
                <w:highlight w:val="none"/>
              </w:rPr>
            </w:pPr>
            <w:r>
              <w:rPr>
                <w:highlight w:val="none"/>
              </w:rPr>
              <w:t>熔点</w:t>
            </w:r>
            <w:r>
              <w:rPr>
                <w:rFonts w:hint="eastAsia"/>
                <w:highlight w:val="none"/>
                <w:lang w:eastAsia="zh-CN"/>
              </w:rPr>
              <w:t>（</w:t>
            </w:r>
            <w:r>
              <w:rPr>
                <w:highlight w:val="none"/>
              </w:rPr>
              <w:t>℃</w:t>
            </w:r>
            <w:r>
              <w:rPr>
                <w:rFonts w:hint="eastAsia"/>
                <w:highlight w:val="none"/>
                <w:lang w:eastAsia="zh-CN"/>
              </w:rPr>
              <w:t>）</w:t>
            </w:r>
            <w:r>
              <w:rPr>
                <w:highlight w:val="none"/>
              </w:rPr>
              <w:t>：</w:t>
            </w:r>
          </w:p>
        </w:tc>
        <w:tc>
          <w:tcPr>
            <w:tcW w:w="0" w:type="auto"/>
            <w:gridSpan w:val="2"/>
            <w:tcMar>
              <w:left w:w="108" w:type="dxa"/>
              <w:right w:w="108" w:type="dxa"/>
            </w:tcMar>
            <w:vAlign w:val="center"/>
          </w:tcPr>
          <w:p w14:paraId="6482D1ED">
            <w:pPr>
              <w:jc w:val="center"/>
              <w:rPr>
                <w:highlight w:val="none"/>
              </w:rPr>
            </w:pPr>
            <w:r>
              <w:rPr>
                <w:highlight w:val="none"/>
              </w:rPr>
              <w:t>-83.6</w:t>
            </w:r>
          </w:p>
        </w:tc>
        <w:tc>
          <w:tcPr>
            <w:tcW w:w="0" w:type="auto"/>
            <w:tcMar>
              <w:left w:w="108" w:type="dxa"/>
              <w:right w:w="108" w:type="dxa"/>
            </w:tcMar>
            <w:vAlign w:val="center"/>
          </w:tcPr>
          <w:p w14:paraId="15CE5F6C">
            <w:pPr>
              <w:jc w:val="center"/>
              <w:rPr>
                <w:highlight w:val="none"/>
              </w:rPr>
            </w:pPr>
            <w:r>
              <w:rPr>
                <w:highlight w:val="none"/>
              </w:rPr>
              <w:t>相对密度</w:t>
            </w:r>
            <w:r>
              <w:rPr>
                <w:rFonts w:hint="eastAsia"/>
                <w:highlight w:val="none"/>
                <w:lang w:eastAsia="zh-CN"/>
              </w:rPr>
              <w:t>（</w:t>
            </w:r>
            <w:r>
              <w:rPr>
                <w:highlight w:val="none"/>
              </w:rPr>
              <w:t>水=1</w:t>
            </w:r>
            <w:r>
              <w:rPr>
                <w:rFonts w:hint="eastAsia"/>
                <w:highlight w:val="none"/>
                <w:lang w:eastAsia="zh-CN"/>
              </w:rPr>
              <w:t>）</w:t>
            </w:r>
            <w:r>
              <w:rPr>
                <w:highlight w:val="none"/>
              </w:rPr>
              <w:t>：</w:t>
            </w:r>
          </w:p>
        </w:tc>
        <w:tc>
          <w:tcPr>
            <w:tcW w:w="0" w:type="auto"/>
            <w:gridSpan w:val="2"/>
            <w:tcMar>
              <w:left w:w="108" w:type="dxa"/>
              <w:right w:w="108" w:type="dxa"/>
            </w:tcMar>
            <w:vAlign w:val="center"/>
          </w:tcPr>
          <w:p w14:paraId="542C05B4">
            <w:pPr>
              <w:jc w:val="center"/>
              <w:rPr>
                <w:highlight w:val="none"/>
              </w:rPr>
            </w:pPr>
            <w:r>
              <w:rPr>
                <w:highlight w:val="none"/>
              </w:rPr>
              <w:t>0.90</w:t>
            </w:r>
          </w:p>
        </w:tc>
      </w:tr>
      <w:tr w14:paraId="2C8B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24301E39">
            <w:pPr>
              <w:jc w:val="center"/>
              <w:rPr>
                <w:highlight w:val="none"/>
              </w:rPr>
            </w:pPr>
          </w:p>
        </w:tc>
        <w:tc>
          <w:tcPr>
            <w:tcW w:w="0" w:type="auto"/>
            <w:tcMar>
              <w:left w:w="108" w:type="dxa"/>
              <w:right w:w="108" w:type="dxa"/>
            </w:tcMar>
            <w:vAlign w:val="center"/>
          </w:tcPr>
          <w:p w14:paraId="2D43759B">
            <w:pPr>
              <w:jc w:val="center"/>
              <w:rPr>
                <w:highlight w:val="none"/>
              </w:rPr>
            </w:pPr>
            <w:r>
              <w:rPr>
                <w:highlight w:val="none"/>
              </w:rPr>
              <w:t>沸点</w:t>
            </w:r>
            <w:r>
              <w:rPr>
                <w:rFonts w:hint="eastAsia"/>
                <w:highlight w:val="none"/>
                <w:lang w:eastAsia="zh-CN"/>
              </w:rPr>
              <w:t>（</w:t>
            </w:r>
            <w:r>
              <w:rPr>
                <w:highlight w:val="none"/>
              </w:rPr>
              <w:t>℃</w:t>
            </w:r>
            <w:r>
              <w:rPr>
                <w:rFonts w:hint="eastAsia"/>
                <w:highlight w:val="none"/>
                <w:lang w:eastAsia="zh-CN"/>
              </w:rPr>
              <w:t>）</w:t>
            </w:r>
            <w:r>
              <w:rPr>
                <w:highlight w:val="none"/>
              </w:rPr>
              <w:t>：</w:t>
            </w:r>
          </w:p>
        </w:tc>
        <w:tc>
          <w:tcPr>
            <w:tcW w:w="0" w:type="auto"/>
            <w:gridSpan w:val="2"/>
            <w:tcMar>
              <w:left w:w="108" w:type="dxa"/>
              <w:right w:w="108" w:type="dxa"/>
            </w:tcMar>
            <w:vAlign w:val="center"/>
          </w:tcPr>
          <w:p w14:paraId="222E33D3">
            <w:pPr>
              <w:jc w:val="center"/>
              <w:rPr>
                <w:highlight w:val="none"/>
              </w:rPr>
            </w:pPr>
            <w:r>
              <w:rPr>
                <w:highlight w:val="none"/>
              </w:rPr>
              <w:t>77.2</w:t>
            </w:r>
          </w:p>
        </w:tc>
        <w:tc>
          <w:tcPr>
            <w:tcW w:w="0" w:type="auto"/>
            <w:tcMar>
              <w:left w:w="108" w:type="dxa"/>
              <w:right w:w="108" w:type="dxa"/>
            </w:tcMar>
            <w:vAlign w:val="center"/>
          </w:tcPr>
          <w:p w14:paraId="571C3AA2">
            <w:pPr>
              <w:jc w:val="center"/>
              <w:rPr>
                <w:highlight w:val="none"/>
              </w:rPr>
            </w:pPr>
            <w:r>
              <w:rPr>
                <w:highlight w:val="none"/>
              </w:rPr>
              <w:t>相对蒸汽密度</w:t>
            </w:r>
            <w:r>
              <w:rPr>
                <w:rFonts w:hint="eastAsia"/>
                <w:highlight w:val="none"/>
                <w:lang w:eastAsia="zh-CN"/>
              </w:rPr>
              <w:t>（</w:t>
            </w:r>
            <w:r>
              <w:rPr>
                <w:highlight w:val="none"/>
              </w:rPr>
              <w:t>空气=1</w:t>
            </w:r>
            <w:r>
              <w:rPr>
                <w:rFonts w:hint="eastAsia"/>
                <w:highlight w:val="none"/>
                <w:lang w:eastAsia="zh-CN"/>
              </w:rPr>
              <w:t>）</w:t>
            </w:r>
            <w:r>
              <w:rPr>
                <w:highlight w:val="none"/>
              </w:rPr>
              <w:t>：</w:t>
            </w:r>
          </w:p>
        </w:tc>
        <w:tc>
          <w:tcPr>
            <w:tcW w:w="0" w:type="auto"/>
            <w:gridSpan w:val="2"/>
            <w:tcMar>
              <w:left w:w="108" w:type="dxa"/>
              <w:right w:w="108" w:type="dxa"/>
            </w:tcMar>
            <w:vAlign w:val="center"/>
          </w:tcPr>
          <w:p w14:paraId="4CF18B6C">
            <w:pPr>
              <w:jc w:val="center"/>
              <w:rPr>
                <w:highlight w:val="none"/>
              </w:rPr>
            </w:pPr>
            <w:r>
              <w:rPr>
                <w:highlight w:val="none"/>
              </w:rPr>
              <w:t>3.04</w:t>
            </w:r>
          </w:p>
        </w:tc>
      </w:tr>
      <w:tr w14:paraId="23AC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46B9B85A">
            <w:pPr>
              <w:rPr>
                <w:highlight w:val="none"/>
              </w:rPr>
            </w:pPr>
          </w:p>
        </w:tc>
        <w:tc>
          <w:tcPr>
            <w:tcW w:w="0" w:type="auto"/>
            <w:tcMar>
              <w:left w:w="108" w:type="dxa"/>
              <w:right w:w="108" w:type="dxa"/>
            </w:tcMar>
            <w:vAlign w:val="center"/>
          </w:tcPr>
          <w:p w14:paraId="12B78BB9">
            <w:pPr>
              <w:jc w:val="center"/>
              <w:rPr>
                <w:highlight w:val="none"/>
              </w:rPr>
            </w:pPr>
            <w:r>
              <w:rPr>
                <w:highlight w:val="none"/>
              </w:rPr>
              <w:t>闪点</w:t>
            </w:r>
            <w:r>
              <w:rPr>
                <w:rFonts w:hint="eastAsia"/>
                <w:highlight w:val="none"/>
                <w:lang w:eastAsia="zh-CN"/>
              </w:rPr>
              <w:t>（</w:t>
            </w:r>
            <w:r>
              <w:rPr>
                <w:highlight w:val="none"/>
              </w:rPr>
              <w:t>℃</w:t>
            </w:r>
            <w:r>
              <w:rPr>
                <w:rFonts w:hint="eastAsia"/>
                <w:highlight w:val="none"/>
                <w:lang w:eastAsia="zh-CN"/>
              </w:rPr>
              <w:t>）</w:t>
            </w:r>
            <w:r>
              <w:rPr>
                <w:highlight w:val="none"/>
              </w:rPr>
              <w:t>：</w:t>
            </w:r>
          </w:p>
        </w:tc>
        <w:tc>
          <w:tcPr>
            <w:tcW w:w="0" w:type="auto"/>
            <w:gridSpan w:val="2"/>
            <w:tcMar>
              <w:left w:w="108" w:type="dxa"/>
              <w:right w:w="108" w:type="dxa"/>
            </w:tcMar>
            <w:vAlign w:val="center"/>
          </w:tcPr>
          <w:p w14:paraId="6E84A315">
            <w:pPr>
              <w:jc w:val="center"/>
              <w:rPr>
                <w:highlight w:val="none"/>
              </w:rPr>
            </w:pPr>
            <w:r>
              <w:rPr>
                <w:highlight w:val="none"/>
              </w:rPr>
              <w:t>-4</w:t>
            </w:r>
          </w:p>
        </w:tc>
        <w:tc>
          <w:tcPr>
            <w:tcW w:w="0" w:type="auto"/>
            <w:tcMar>
              <w:left w:w="108" w:type="dxa"/>
              <w:right w:w="108" w:type="dxa"/>
            </w:tcMar>
            <w:vAlign w:val="center"/>
          </w:tcPr>
          <w:p w14:paraId="14772646">
            <w:pPr>
              <w:jc w:val="center"/>
              <w:rPr>
                <w:highlight w:val="none"/>
              </w:rPr>
            </w:pPr>
            <w:r>
              <w:rPr>
                <w:highlight w:val="none"/>
              </w:rPr>
              <w:t>饱和蒸汽压</w:t>
            </w:r>
            <w:r>
              <w:rPr>
                <w:rFonts w:hint="eastAsia"/>
                <w:highlight w:val="none"/>
                <w:lang w:eastAsia="zh-CN"/>
              </w:rPr>
              <w:t>（</w:t>
            </w:r>
            <w:r>
              <w:rPr>
                <w:highlight w:val="none"/>
              </w:rPr>
              <w:t>kPa</w:t>
            </w:r>
            <w:r>
              <w:rPr>
                <w:rFonts w:hint="eastAsia"/>
                <w:highlight w:val="none"/>
                <w:lang w:eastAsia="zh-CN"/>
              </w:rPr>
              <w:t>）</w:t>
            </w:r>
            <w:r>
              <w:rPr>
                <w:highlight w:val="none"/>
              </w:rPr>
              <w:t>：</w:t>
            </w:r>
          </w:p>
        </w:tc>
        <w:tc>
          <w:tcPr>
            <w:tcW w:w="0" w:type="auto"/>
            <w:gridSpan w:val="2"/>
            <w:tcMar>
              <w:left w:w="108" w:type="dxa"/>
              <w:right w:w="108" w:type="dxa"/>
            </w:tcMar>
            <w:vAlign w:val="center"/>
          </w:tcPr>
          <w:p w14:paraId="549B84A6">
            <w:pPr>
              <w:jc w:val="center"/>
              <w:rPr>
                <w:rFonts w:hint="eastAsia" w:eastAsia="宋体"/>
                <w:highlight w:val="none"/>
                <w:lang w:eastAsia="zh-CN"/>
              </w:rPr>
            </w:pPr>
            <w:r>
              <w:rPr>
                <w:highlight w:val="none"/>
              </w:rPr>
              <w:t>13.33</w:t>
            </w:r>
            <w:r>
              <w:rPr>
                <w:rFonts w:hint="eastAsia"/>
                <w:highlight w:val="none"/>
                <w:lang w:eastAsia="zh-CN"/>
              </w:rPr>
              <w:t>（</w:t>
            </w:r>
            <w:r>
              <w:rPr>
                <w:highlight w:val="none"/>
              </w:rPr>
              <w:t>27℃</w:t>
            </w:r>
            <w:r>
              <w:rPr>
                <w:rFonts w:hint="eastAsia"/>
                <w:highlight w:val="none"/>
                <w:lang w:eastAsia="zh-CN"/>
              </w:rPr>
              <w:t>）</w:t>
            </w:r>
          </w:p>
        </w:tc>
      </w:tr>
      <w:tr w14:paraId="218F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11BB71CE">
            <w:pPr>
              <w:rPr>
                <w:highlight w:val="none"/>
              </w:rPr>
            </w:pPr>
          </w:p>
        </w:tc>
        <w:tc>
          <w:tcPr>
            <w:tcW w:w="0" w:type="auto"/>
            <w:tcMar>
              <w:left w:w="108" w:type="dxa"/>
              <w:right w:w="108" w:type="dxa"/>
            </w:tcMar>
            <w:vAlign w:val="center"/>
          </w:tcPr>
          <w:p w14:paraId="2025AE20">
            <w:pPr>
              <w:jc w:val="center"/>
              <w:rPr>
                <w:highlight w:val="none"/>
              </w:rPr>
            </w:pPr>
            <w:r>
              <w:rPr>
                <w:highlight w:val="none"/>
              </w:rPr>
              <w:t>引燃温度</w:t>
            </w:r>
            <w:r>
              <w:rPr>
                <w:rFonts w:hint="eastAsia"/>
                <w:highlight w:val="none"/>
                <w:lang w:eastAsia="zh-CN"/>
              </w:rPr>
              <w:t>（</w:t>
            </w:r>
            <w:r>
              <w:rPr>
                <w:highlight w:val="none"/>
              </w:rPr>
              <w:t>℃</w:t>
            </w:r>
            <w:r>
              <w:rPr>
                <w:rFonts w:hint="eastAsia"/>
                <w:highlight w:val="none"/>
                <w:lang w:eastAsia="zh-CN"/>
              </w:rPr>
              <w:t>）</w:t>
            </w:r>
            <w:r>
              <w:rPr>
                <w:highlight w:val="none"/>
              </w:rPr>
              <w:t>：</w:t>
            </w:r>
          </w:p>
        </w:tc>
        <w:tc>
          <w:tcPr>
            <w:tcW w:w="0" w:type="auto"/>
            <w:gridSpan w:val="2"/>
            <w:tcMar>
              <w:left w:w="108" w:type="dxa"/>
              <w:right w:w="108" w:type="dxa"/>
            </w:tcMar>
            <w:vAlign w:val="center"/>
          </w:tcPr>
          <w:p w14:paraId="2A6C6275">
            <w:pPr>
              <w:jc w:val="center"/>
              <w:rPr>
                <w:highlight w:val="none"/>
              </w:rPr>
            </w:pPr>
            <w:r>
              <w:rPr>
                <w:highlight w:val="none"/>
              </w:rPr>
              <w:t>426</w:t>
            </w:r>
          </w:p>
        </w:tc>
        <w:tc>
          <w:tcPr>
            <w:tcW w:w="0" w:type="auto"/>
            <w:tcMar>
              <w:left w:w="108" w:type="dxa"/>
              <w:right w:w="108" w:type="dxa"/>
            </w:tcMar>
            <w:vAlign w:val="center"/>
          </w:tcPr>
          <w:p w14:paraId="05E5E363">
            <w:pPr>
              <w:jc w:val="center"/>
              <w:rPr>
                <w:highlight w:val="none"/>
              </w:rPr>
            </w:pPr>
            <w:r>
              <w:rPr>
                <w:highlight w:val="none"/>
              </w:rPr>
              <w:t>爆炸上限/下限[%V/V]：</w:t>
            </w:r>
          </w:p>
        </w:tc>
        <w:tc>
          <w:tcPr>
            <w:tcW w:w="0" w:type="auto"/>
            <w:gridSpan w:val="2"/>
            <w:tcMar>
              <w:left w:w="108" w:type="dxa"/>
              <w:right w:w="108" w:type="dxa"/>
            </w:tcMar>
            <w:vAlign w:val="center"/>
          </w:tcPr>
          <w:p w14:paraId="79430473">
            <w:pPr>
              <w:jc w:val="center"/>
              <w:rPr>
                <w:highlight w:val="none"/>
              </w:rPr>
            </w:pPr>
            <w:r>
              <w:rPr>
                <w:highlight w:val="none"/>
              </w:rPr>
              <w:t>11.5/2.0</w:t>
            </w:r>
          </w:p>
        </w:tc>
      </w:tr>
      <w:tr w14:paraId="582D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1EB48DCA">
            <w:pPr>
              <w:rPr>
                <w:highlight w:val="none"/>
              </w:rPr>
            </w:pPr>
          </w:p>
        </w:tc>
        <w:tc>
          <w:tcPr>
            <w:tcW w:w="0" w:type="auto"/>
            <w:tcMar>
              <w:left w:w="108" w:type="dxa"/>
              <w:right w:w="108" w:type="dxa"/>
            </w:tcMar>
            <w:vAlign w:val="center"/>
          </w:tcPr>
          <w:p w14:paraId="4225FC8C">
            <w:pPr>
              <w:jc w:val="center"/>
              <w:rPr>
                <w:highlight w:val="none"/>
              </w:rPr>
            </w:pPr>
            <w:r>
              <w:rPr>
                <w:highlight w:val="none"/>
              </w:rPr>
              <w:t>临界温度</w:t>
            </w:r>
            <w:r>
              <w:rPr>
                <w:rFonts w:hint="eastAsia"/>
                <w:highlight w:val="none"/>
                <w:lang w:eastAsia="zh-CN"/>
              </w:rPr>
              <w:t>（</w:t>
            </w:r>
            <w:r>
              <w:rPr>
                <w:highlight w:val="none"/>
              </w:rPr>
              <w:t>℃</w:t>
            </w:r>
            <w:r>
              <w:rPr>
                <w:rFonts w:hint="eastAsia"/>
                <w:highlight w:val="none"/>
                <w:lang w:eastAsia="zh-CN"/>
              </w:rPr>
              <w:t>）</w:t>
            </w:r>
            <w:r>
              <w:rPr>
                <w:highlight w:val="none"/>
              </w:rPr>
              <w:t>：</w:t>
            </w:r>
          </w:p>
        </w:tc>
        <w:tc>
          <w:tcPr>
            <w:tcW w:w="0" w:type="auto"/>
            <w:gridSpan w:val="2"/>
            <w:tcMar>
              <w:left w:w="108" w:type="dxa"/>
              <w:right w:w="108" w:type="dxa"/>
            </w:tcMar>
            <w:vAlign w:val="center"/>
          </w:tcPr>
          <w:p w14:paraId="7A234BDE">
            <w:pPr>
              <w:jc w:val="center"/>
              <w:rPr>
                <w:highlight w:val="none"/>
              </w:rPr>
            </w:pPr>
            <w:r>
              <w:rPr>
                <w:highlight w:val="none"/>
              </w:rPr>
              <w:t>250.1</w:t>
            </w:r>
          </w:p>
        </w:tc>
        <w:tc>
          <w:tcPr>
            <w:tcW w:w="0" w:type="auto"/>
            <w:tcMar>
              <w:left w:w="108" w:type="dxa"/>
              <w:right w:w="108" w:type="dxa"/>
            </w:tcMar>
            <w:vAlign w:val="center"/>
          </w:tcPr>
          <w:p w14:paraId="59D366CE">
            <w:pPr>
              <w:jc w:val="center"/>
              <w:rPr>
                <w:highlight w:val="none"/>
              </w:rPr>
            </w:pPr>
            <w:r>
              <w:rPr>
                <w:highlight w:val="none"/>
              </w:rPr>
              <w:t>临界压力</w:t>
            </w:r>
            <w:r>
              <w:rPr>
                <w:rFonts w:hint="eastAsia"/>
                <w:highlight w:val="none"/>
                <w:lang w:eastAsia="zh-CN"/>
              </w:rPr>
              <w:t>（</w:t>
            </w:r>
            <w:r>
              <w:rPr>
                <w:highlight w:val="none"/>
              </w:rPr>
              <w:t>MPa</w:t>
            </w:r>
            <w:r>
              <w:rPr>
                <w:rFonts w:hint="eastAsia"/>
                <w:highlight w:val="none"/>
                <w:lang w:eastAsia="zh-CN"/>
              </w:rPr>
              <w:t>）</w:t>
            </w:r>
            <w:r>
              <w:rPr>
                <w:highlight w:val="none"/>
              </w:rPr>
              <w:t>：</w:t>
            </w:r>
          </w:p>
        </w:tc>
        <w:tc>
          <w:tcPr>
            <w:tcW w:w="0" w:type="auto"/>
            <w:gridSpan w:val="2"/>
            <w:tcMar>
              <w:left w:w="108" w:type="dxa"/>
              <w:right w:w="108" w:type="dxa"/>
            </w:tcMar>
            <w:vAlign w:val="center"/>
          </w:tcPr>
          <w:p w14:paraId="2C872D70">
            <w:pPr>
              <w:jc w:val="center"/>
              <w:rPr>
                <w:highlight w:val="none"/>
              </w:rPr>
            </w:pPr>
            <w:r>
              <w:rPr>
                <w:highlight w:val="none"/>
              </w:rPr>
              <w:t>3.83</w:t>
            </w:r>
          </w:p>
        </w:tc>
      </w:tr>
      <w:tr w14:paraId="2034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623EF501">
            <w:pPr>
              <w:jc w:val="center"/>
              <w:rPr>
                <w:highlight w:val="none"/>
              </w:rPr>
            </w:pPr>
            <w:r>
              <w:rPr>
                <w:highlight w:val="none"/>
              </w:rPr>
              <w:t>毒性</w:t>
            </w:r>
          </w:p>
        </w:tc>
        <w:tc>
          <w:tcPr>
            <w:tcW w:w="0" w:type="auto"/>
            <w:gridSpan w:val="6"/>
            <w:tcMar>
              <w:left w:w="108" w:type="dxa"/>
              <w:right w:w="108" w:type="dxa"/>
            </w:tcMar>
            <w:vAlign w:val="center"/>
          </w:tcPr>
          <w:p w14:paraId="1ECF7F89">
            <w:pPr>
              <w:jc w:val="center"/>
              <w:rPr>
                <w:rFonts w:hint="eastAsia" w:eastAsia="宋体"/>
                <w:highlight w:val="none"/>
                <w:lang w:eastAsia="zh-CN"/>
              </w:rPr>
            </w:pPr>
            <w:r>
              <w:rPr>
                <w:highlight w:val="none"/>
              </w:rPr>
              <w:t>LD50：5620 mg/kg</w:t>
            </w:r>
            <w:r>
              <w:rPr>
                <w:rFonts w:hint="eastAsia"/>
                <w:highlight w:val="none"/>
                <w:lang w:eastAsia="zh-CN"/>
              </w:rPr>
              <w:t>（</w:t>
            </w:r>
            <w:r>
              <w:rPr>
                <w:highlight w:val="none"/>
              </w:rPr>
              <w:t>大鼠经口</w:t>
            </w:r>
            <w:r>
              <w:rPr>
                <w:rFonts w:hint="eastAsia"/>
                <w:highlight w:val="none"/>
                <w:lang w:eastAsia="zh-CN"/>
              </w:rPr>
              <w:t>）</w:t>
            </w:r>
            <w:r>
              <w:rPr>
                <w:highlight w:val="none"/>
              </w:rPr>
              <w:t>；4940 mg/kg</w:t>
            </w:r>
            <w:r>
              <w:rPr>
                <w:rFonts w:hint="eastAsia"/>
                <w:highlight w:val="none"/>
                <w:lang w:eastAsia="zh-CN"/>
              </w:rPr>
              <w:t>（</w:t>
            </w:r>
            <w:r>
              <w:rPr>
                <w:highlight w:val="none"/>
              </w:rPr>
              <w:t>兔经口</w:t>
            </w:r>
            <w:r>
              <w:rPr>
                <w:rFonts w:hint="eastAsia"/>
                <w:highlight w:val="none"/>
                <w:lang w:eastAsia="zh-CN"/>
              </w:rPr>
              <w:t>）</w:t>
            </w:r>
            <w:r>
              <w:rPr>
                <w:highlight w:val="none"/>
              </w:rPr>
              <w:t xml:space="preserve"> LC50：5760mg/m3，8小时</w:t>
            </w:r>
            <w:r>
              <w:rPr>
                <w:rFonts w:hint="eastAsia"/>
                <w:highlight w:val="none"/>
                <w:lang w:eastAsia="zh-CN"/>
              </w:rPr>
              <w:t>（</w:t>
            </w:r>
            <w:r>
              <w:rPr>
                <w:highlight w:val="none"/>
              </w:rPr>
              <w:t>大鼠吸入</w:t>
            </w:r>
            <w:r>
              <w:rPr>
                <w:rFonts w:hint="eastAsia"/>
                <w:highlight w:val="none"/>
                <w:lang w:eastAsia="zh-CN"/>
              </w:rPr>
              <w:t>）</w:t>
            </w:r>
          </w:p>
        </w:tc>
      </w:tr>
      <w:tr w14:paraId="124B0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87" w:type="dxa"/>
            <w:tcMar>
              <w:left w:w="108" w:type="dxa"/>
              <w:right w:w="108" w:type="dxa"/>
            </w:tcMar>
            <w:vAlign w:val="center"/>
          </w:tcPr>
          <w:p w14:paraId="4F5D8EBB">
            <w:pPr>
              <w:jc w:val="center"/>
              <w:rPr>
                <w:highlight w:val="none"/>
              </w:rPr>
            </w:pPr>
            <w:r>
              <w:rPr>
                <w:highlight w:val="none"/>
              </w:rPr>
              <w:t>溶解性：</w:t>
            </w:r>
          </w:p>
        </w:tc>
        <w:tc>
          <w:tcPr>
            <w:tcW w:w="6835" w:type="dxa"/>
            <w:gridSpan w:val="6"/>
            <w:tcMar>
              <w:left w:w="108" w:type="dxa"/>
              <w:right w:w="108" w:type="dxa"/>
            </w:tcMar>
            <w:vAlign w:val="center"/>
          </w:tcPr>
          <w:p w14:paraId="2E7F0876">
            <w:pPr>
              <w:jc w:val="center"/>
              <w:rPr>
                <w:highlight w:val="none"/>
              </w:rPr>
            </w:pPr>
            <w:r>
              <w:rPr>
                <w:highlight w:val="none"/>
              </w:rPr>
              <w:t>微溶于水，溶于醇、酮、醚、氯仿等多</w:t>
            </w:r>
            <w:r>
              <w:rPr>
                <w:rFonts w:hint="eastAsia"/>
                <w:highlight w:val="none"/>
                <w:lang w:eastAsia="zh-CN"/>
              </w:rPr>
              <w:t>种</w:t>
            </w:r>
            <w:r>
              <w:rPr>
                <w:highlight w:val="none"/>
              </w:rPr>
              <w:t>有机溶剂。</w:t>
            </w:r>
          </w:p>
        </w:tc>
      </w:tr>
      <w:tr w14:paraId="4245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4D7789FD">
            <w:pPr>
              <w:jc w:val="center"/>
              <w:rPr>
                <w:highlight w:val="none"/>
              </w:rPr>
            </w:pPr>
            <w:r>
              <w:rPr>
                <w:highlight w:val="none"/>
              </w:rPr>
              <w:t>健康危害</w:t>
            </w:r>
          </w:p>
        </w:tc>
        <w:tc>
          <w:tcPr>
            <w:tcW w:w="0" w:type="auto"/>
            <w:gridSpan w:val="6"/>
            <w:tcMar>
              <w:left w:w="108" w:type="dxa"/>
              <w:right w:w="108" w:type="dxa"/>
            </w:tcMar>
            <w:vAlign w:val="center"/>
          </w:tcPr>
          <w:p w14:paraId="43938DF2">
            <w:pPr>
              <w:jc w:val="center"/>
              <w:rPr>
                <w:highlight w:val="none"/>
              </w:rPr>
            </w:pPr>
            <w:r>
              <w:rPr>
                <w:highlight w:val="none"/>
              </w:rPr>
              <w:t>对眼、鼻、咽喉有刺激作用。高浓度吸入可引起进行性麻醉作用，急性肺水肿，肝、肾损害。持续大剂量吸入，可致呼吸麻痹。误服者可产生恶心</w:t>
            </w:r>
            <w:r>
              <w:rPr>
                <w:rFonts w:hint="eastAsia"/>
                <w:highlight w:val="none"/>
                <w:lang w:eastAsia="zh-CN"/>
              </w:rPr>
              <w:t>、</w:t>
            </w:r>
            <w:r>
              <w:rPr>
                <w:highlight w:val="none"/>
              </w:rPr>
              <w:t>呕吐</w:t>
            </w:r>
            <w:r>
              <w:rPr>
                <w:rFonts w:hint="eastAsia"/>
                <w:highlight w:val="none"/>
                <w:lang w:eastAsia="zh-CN"/>
              </w:rPr>
              <w:t>、</w:t>
            </w:r>
            <w:r>
              <w:rPr>
                <w:highlight w:val="none"/>
              </w:rPr>
              <w:t>腹痛、腹泻等</w:t>
            </w:r>
            <w:r>
              <w:rPr>
                <w:rFonts w:hint="eastAsia"/>
                <w:highlight w:val="none"/>
                <w:lang w:eastAsia="zh-CN"/>
              </w:rPr>
              <w:t>症状</w:t>
            </w:r>
            <w:r>
              <w:rPr>
                <w:highlight w:val="none"/>
              </w:rPr>
              <w:t>。有</w:t>
            </w:r>
            <w:r>
              <w:rPr>
                <w:rFonts w:hint="eastAsia"/>
                <w:highlight w:val="none"/>
                <w:lang w:eastAsia="zh-CN"/>
              </w:rPr>
              <w:t>致敏</w:t>
            </w:r>
            <w:r>
              <w:rPr>
                <w:highlight w:val="none"/>
              </w:rPr>
              <w:t>作用，因血管神经障碍</w:t>
            </w:r>
            <w:r>
              <w:rPr>
                <w:rFonts w:hint="eastAsia"/>
                <w:highlight w:val="none"/>
                <w:lang w:eastAsia="zh-CN"/>
              </w:rPr>
              <w:t>而导</w:t>
            </w:r>
            <w:r>
              <w:rPr>
                <w:highlight w:val="none"/>
              </w:rPr>
              <w:t>致牙龈出血，导致湿疹样皮炎。慢性影响：长期接触本品有时可致角膜混浊、渗出性角膜炎、白细胞减少等。</w:t>
            </w:r>
          </w:p>
        </w:tc>
      </w:tr>
      <w:tr w14:paraId="62C3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31B3C4CF">
            <w:pPr>
              <w:jc w:val="center"/>
              <w:rPr>
                <w:highlight w:val="none"/>
              </w:rPr>
            </w:pPr>
            <w:r>
              <w:rPr>
                <w:highlight w:val="none"/>
              </w:rPr>
              <w:t>燃爆危险</w:t>
            </w:r>
          </w:p>
        </w:tc>
        <w:tc>
          <w:tcPr>
            <w:tcW w:w="0" w:type="auto"/>
            <w:gridSpan w:val="6"/>
            <w:tcMar>
              <w:left w:w="108" w:type="dxa"/>
              <w:right w:w="108" w:type="dxa"/>
            </w:tcMar>
            <w:vAlign w:val="center"/>
          </w:tcPr>
          <w:p w14:paraId="681CEE74">
            <w:pPr>
              <w:jc w:val="center"/>
              <w:rPr>
                <w:highlight w:val="none"/>
              </w:rPr>
            </w:pPr>
            <w:r>
              <w:rPr>
                <w:highlight w:val="none"/>
              </w:rPr>
              <w:t>本品易燃，</w:t>
            </w:r>
            <w:r>
              <w:rPr>
                <w:rFonts w:hint="eastAsia"/>
                <w:highlight w:val="none"/>
                <w:lang w:eastAsia="zh-CN"/>
              </w:rPr>
              <w:t>具有</w:t>
            </w:r>
            <w:r>
              <w:rPr>
                <w:highlight w:val="none"/>
              </w:rPr>
              <w:t>刺激性，具</w:t>
            </w:r>
            <w:r>
              <w:rPr>
                <w:rFonts w:hint="eastAsia"/>
                <w:highlight w:val="none"/>
                <w:lang w:val="en-US" w:eastAsia="zh-CN"/>
              </w:rPr>
              <w:t>有</w:t>
            </w:r>
            <w:r>
              <w:rPr>
                <w:highlight w:val="none"/>
              </w:rPr>
              <w:t>致敏性。</w:t>
            </w:r>
          </w:p>
        </w:tc>
      </w:tr>
      <w:tr w14:paraId="7729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11D4D4EB">
            <w:pPr>
              <w:jc w:val="center"/>
              <w:rPr>
                <w:highlight w:val="none"/>
              </w:rPr>
            </w:pPr>
            <w:r>
              <w:rPr>
                <w:highlight w:val="none"/>
              </w:rPr>
              <w:t>急救措施</w:t>
            </w:r>
          </w:p>
        </w:tc>
        <w:tc>
          <w:tcPr>
            <w:tcW w:w="0" w:type="auto"/>
            <w:tcMar>
              <w:left w:w="108" w:type="dxa"/>
              <w:right w:w="108" w:type="dxa"/>
            </w:tcMar>
            <w:vAlign w:val="center"/>
          </w:tcPr>
          <w:p w14:paraId="4D46C00F">
            <w:pPr>
              <w:jc w:val="center"/>
              <w:rPr>
                <w:highlight w:val="none"/>
              </w:rPr>
            </w:pPr>
            <w:r>
              <w:rPr>
                <w:highlight w:val="none"/>
              </w:rPr>
              <w:t>皮肤接触：</w:t>
            </w:r>
          </w:p>
        </w:tc>
        <w:tc>
          <w:tcPr>
            <w:tcW w:w="0" w:type="auto"/>
            <w:gridSpan w:val="5"/>
            <w:tcMar>
              <w:left w:w="108" w:type="dxa"/>
              <w:right w:w="108" w:type="dxa"/>
            </w:tcMar>
            <w:vAlign w:val="center"/>
          </w:tcPr>
          <w:p w14:paraId="58EE2D14">
            <w:pPr>
              <w:jc w:val="center"/>
              <w:rPr>
                <w:highlight w:val="none"/>
              </w:rPr>
            </w:pPr>
            <w:r>
              <w:rPr>
                <w:highlight w:val="none"/>
              </w:rPr>
              <w:t>脱去污染的衣物，用肥皂水和清水彻底冲洗皮肤。</w:t>
            </w:r>
          </w:p>
        </w:tc>
      </w:tr>
      <w:tr w14:paraId="4D3D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4350BB9C">
            <w:pPr>
              <w:jc w:val="center"/>
              <w:rPr>
                <w:highlight w:val="none"/>
              </w:rPr>
            </w:pPr>
          </w:p>
        </w:tc>
        <w:tc>
          <w:tcPr>
            <w:tcW w:w="0" w:type="auto"/>
            <w:tcMar>
              <w:left w:w="108" w:type="dxa"/>
              <w:right w:w="108" w:type="dxa"/>
            </w:tcMar>
            <w:vAlign w:val="center"/>
          </w:tcPr>
          <w:p w14:paraId="0A257751">
            <w:pPr>
              <w:jc w:val="center"/>
              <w:rPr>
                <w:highlight w:val="none"/>
              </w:rPr>
            </w:pPr>
            <w:r>
              <w:rPr>
                <w:highlight w:val="none"/>
              </w:rPr>
              <w:t>眼睛接触：</w:t>
            </w:r>
          </w:p>
        </w:tc>
        <w:tc>
          <w:tcPr>
            <w:tcW w:w="0" w:type="auto"/>
            <w:gridSpan w:val="5"/>
            <w:tcMar>
              <w:left w:w="108" w:type="dxa"/>
              <w:right w:w="108" w:type="dxa"/>
            </w:tcMar>
            <w:vAlign w:val="center"/>
          </w:tcPr>
          <w:p w14:paraId="661C6310">
            <w:pPr>
              <w:jc w:val="center"/>
              <w:rPr>
                <w:highlight w:val="none"/>
              </w:rPr>
            </w:pPr>
            <w:r>
              <w:rPr>
                <w:highlight w:val="none"/>
              </w:rPr>
              <w:t>提起眼睑，用流动清水或生理盐水冲洗。就医。</w:t>
            </w:r>
          </w:p>
        </w:tc>
      </w:tr>
      <w:tr w14:paraId="7627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5D3B4B03">
            <w:pPr>
              <w:jc w:val="center"/>
              <w:rPr>
                <w:highlight w:val="none"/>
              </w:rPr>
            </w:pPr>
          </w:p>
        </w:tc>
        <w:tc>
          <w:tcPr>
            <w:tcW w:w="0" w:type="auto"/>
            <w:tcMar>
              <w:left w:w="108" w:type="dxa"/>
              <w:right w:w="108" w:type="dxa"/>
            </w:tcMar>
            <w:vAlign w:val="center"/>
          </w:tcPr>
          <w:p w14:paraId="5C7704D7">
            <w:pPr>
              <w:jc w:val="center"/>
              <w:rPr>
                <w:highlight w:val="none"/>
              </w:rPr>
            </w:pPr>
            <w:r>
              <w:rPr>
                <w:highlight w:val="none"/>
              </w:rPr>
              <w:t>吸入：</w:t>
            </w:r>
          </w:p>
        </w:tc>
        <w:tc>
          <w:tcPr>
            <w:tcW w:w="0" w:type="auto"/>
            <w:gridSpan w:val="5"/>
            <w:tcMar>
              <w:left w:w="108" w:type="dxa"/>
              <w:right w:w="108" w:type="dxa"/>
            </w:tcMar>
            <w:vAlign w:val="center"/>
          </w:tcPr>
          <w:p w14:paraId="4EC642AE">
            <w:pPr>
              <w:jc w:val="center"/>
              <w:rPr>
                <w:highlight w:val="none"/>
              </w:rPr>
            </w:pPr>
            <w:r>
              <w:rPr>
                <w:highlight w:val="none"/>
              </w:rPr>
              <w:t>迅速脱离现场至空气新鲜处。保持呼吸道通畅。</w:t>
            </w:r>
            <w:r>
              <w:rPr>
                <w:rFonts w:hint="eastAsia"/>
                <w:highlight w:val="none"/>
                <w:lang w:eastAsia="zh-CN"/>
              </w:rPr>
              <w:t>如果</w:t>
            </w:r>
            <w:r>
              <w:rPr>
                <w:highlight w:val="none"/>
              </w:rPr>
              <w:t>呼吸困难，</w:t>
            </w:r>
            <w:r>
              <w:rPr>
                <w:rFonts w:hint="eastAsia"/>
                <w:highlight w:val="none"/>
                <w:lang w:eastAsia="zh-CN"/>
              </w:rPr>
              <w:t>应</w:t>
            </w:r>
            <w:r>
              <w:rPr>
                <w:highlight w:val="none"/>
              </w:rPr>
              <w:t>给</w:t>
            </w:r>
            <w:r>
              <w:rPr>
                <w:rFonts w:hint="eastAsia"/>
                <w:highlight w:val="none"/>
                <w:lang w:eastAsia="zh-CN"/>
              </w:rPr>
              <w:t>患者</w:t>
            </w:r>
            <w:r>
              <w:rPr>
                <w:highlight w:val="none"/>
              </w:rPr>
              <w:t>输氧。如呼吸停止，立即进行人工呼吸。就医。</w:t>
            </w:r>
          </w:p>
        </w:tc>
      </w:tr>
      <w:tr w14:paraId="221E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562DBD39">
            <w:pPr>
              <w:jc w:val="center"/>
              <w:rPr>
                <w:highlight w:val="none"/>
              </w:rPr>
            </w:pPr>
          </w:p>
        </w:tc>
        <w:tc>
          <w:tcPr>
            <w:tcW w:w="0" w:type="auto"/>
            <w:tcMar>
              <w:left w:w="108" w:type="dxa"/>
              <w:right w:w="108" w:type="dxa"/>
            </w:tcMar>
            <w:vAlign w:val="center"/>
          </w:tcPr>
          <w:p w14:paraId="11EF8709">
            <w:pPr>
              <w:jc w:val="center"/>
              <w:rPr>
                <w:highlight w:val="none"/>
              </w:rPr>
            </w:pPr>
            <w:r>
              <w:rPr>
                <w:highlight w:val="none"/>
              </w:rPr>
              <w:t>食入：</w:t>
            </w:r>
          </w:p>
        </w:tc>
        <w:tc>
          <w:tcPr>
            <w:tcW w:w="0" w:type="auto"/>
            <w:gridSpan w:val="5"/>
            <w:tcMar>
              <w:left w:w="108" w:type="dxa"/>
              <w:right w:w="108" w:type="dxa"/>
            </w:tcMar>
            <w:vAlign w:val="center"/>
          </w:tcPr>
          <w:p w14:paraId="337AD98A">
            <w:pPr>
              <w:jc w:val="center"/>
              <w:rPr>
                <w:highlight w:val="none"/>
              </w:rPr>
            </w:pPr>
            <w:r>
              <w:rPr>
                <w:highlight w:val="none"/>
              </w:rPr>
              <w:t>饮足量温水，催吐。就医。</w:t>
            </w:r>
          </w:p>
        </w:tc>
      </w:tr>
      <w:tr w14:paraId="7E28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0893E2A7">
            <w:pPr>
              <w:jc w:val="center"/>
              <w:rPr>
                <w:highlight w:val="none"/>
              </w:rPr>
            </w:pPr>
            <w:r>
              <w:rPr>
                <w:highlight w:val="none"/>
              </w:rPr>
              <w:t>燃烧爆炸危险性</w:t>
            </w:r>
          </w:p>
        </w:tc>
        <w:tc>
          <w:tcPr>
            <w:tcW w:w="0" w:type="auto"/>
            <w:tcMar>
              <w:left w:w="108" w:type="dxa"/>
              <w:right w:w="108" w:type="dxa"/>
            </w:tcMar>
            <w:vAlign w:val="center"/>
          </w:tcPr>
          <w:p w14:paraId="70096D4D">
            <w:pPr>
              <w:jc w:val="center"/>
              <w:rPr>
                <w:highlight w:val="none"/>
              </w:rPr>
            </w:pPr>
            <w:r>
              <w:rPr>
                <w:highlight w:val="none"/>
              </w:rPr>
              <w:t>危险特性：</w:t>
            </w:r>
          </w:p>
        </w:tc>
        <w:tc>
          <w:tcPr>
            <w:tcW w:w="0" w:type="auto"/>
            <w:gridSpan w:val="5"/>
            <w:tcMar>
              <w:left w:w="108" w:type="dxa"/>
              <w:right w:w="108" w:type="dxa"/>
            </w:tcMar>
            <w:vAlign w:val="center"/>
          </w:tcPr>
          <w:p w14:paraId="4F984D08">
            <w:pPr>
              <w:jc w:val="center"/>
              <w:rPr>
                <w:highlight w:val="none"/>
              </w:rPr>
            </w:pPr>
            <w:r>
              <w:rPr>
                <w:highlight w:val="none"/>
              </w:rPr>
              <w:t>易燃。其</w:t>
            </w:r>
            <w:r>
              <w:rPr>
                <w:rFonts w:hint="eastAsia"/>
                <w:highlight w:val="none"/>
                <w:lang w:eastAsia="zh-CN"/>
              </w:rPr>
              <w:t>蒸汽</w:t>
            </w:r>
            <w:r>
              <w:rPr>
                <w:highlight w:val="none"/>
              </w:rPr>
              <w:t>与空气可形成爆炸性混合物，遇明火、高热能引起燃烧爆炸。与氧化剂接触</w:t>
            </w:r>
            <w:r>
              <w:rPr>
                <w:rFonts w:hint="eastAsia"/>
                <w:highlight w:val="none"/>
                <w:lang w:eastAsia="zh-CN"/>
              </w:rPr>
              <w:t>会产生</w:t>
            </w:r>
            <w:r>
              <w:rPr>
                <w:highlight w:val="none"/>
              </w:rPr>
              <w:t>猛烈反应。其</w:t>
            </w:r>
            <w:r>
              <w:rPr>
                <w:rFonts w:hint="eastAsia"/>
                <w:highlight w:val="none"/>
                <w:lang w:eastAsia="zh-CN"/>
              </w:rPr>
              <w:t>蒸汽</w:t>
            </w:r>
            <w:r>
              <w:rPr>
                <w:highlight w:val="none"/>
              </w:rPr>
              <w:t>比空气重，能在较低处扩散到相当远的地方，遇火源会着火回燃。</w:t>
            </w:r>
          </w:p>
        </w:tc>
      </w:tr>
      <w:tr w14:paraId="4D28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4C5AAA6A">
            <w:pPr>
              <w:jc w:val="center"/>
              <w:rPr>
                <w:highlight w:val="none"/>
              </w:rPr>
            </w:pPr>
          </w:p>
        </w:tc>
        <w:tc>
          <w:tcPr>
            <w:tcW w:w="0" w:type="auto"/>
            <w:tcMar>
              <w:left w:w="108" w:type="dxa"/>
              <w:right w:w="108" w:type="dxa"/>
            </w:tcMar>
            <w:vAlign w:val="center"/>
          </w:tcPr>
          <w:p w14:paraId="2A87E9CE">
            <w:pPr>
              <w:jc w:val="center"/>
              <w:rPr>
                <w:highlight w:val="none"/>
              </w:rPr>
            </w:pPr>
            <w:r>
              <w:rPr>
                <w:highlight w:val="none"/>
              </w:rPr>
              <w:t>建筑火灾分级：</w:t>
            </w:r>
          </w:p>
        </w:tc>
        <w:tc>
          <w:tcPr>
            <w:tcW w:w="0" w:type="auto"/>
            <w:gridSpan w:val="5"/>
            <w:tcMar>
              <w:left w:w="108" w:type="dxa"/>
              <w:right w:w="108" w:type="dxa"/>
            </w:tcMar>
            <w:vAlign w:val="center"/>
          </w:tcPr>
          <w:p w14:paraId="6908E56A">
            <w:pPr>
              <w:jc w:val="center"/>
              <w:rPr>
                <w:highlight w:val="none"/>
              </w:rPr>
            </w:pPr>
            <w:r>
              <w:rPr>
                <w:highlight w:val="none"/>
              </w:rPr>
              <w:t>甲</w:t>
            </w:r>
          </w:p>
        </w:tc>
      </w:tr>
      <w:tr w14:paraId="0B42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47B838FD">
            <w:pPr>
              <w:jc w:val="center"/>
              <w:rPr>
                <w:highlight w:val="none"/>
              </w:rPr>
            </w:pPr>
          </w:p>
        </w:tc>
        <w:tc>
          <w:tcPr>
            <w:tcW w:w="0" w:type="auto"/>
            <w:tcMar>
              <w:left w:w="108" w:type="dxa"/>
              <w:right w:w="108" w:type="dxa"/>
            </w:tcMar>
            <w:vAlign w:val="center"/>
          </w:tcPr>
          <w:p w14:paraId="131FFD7E">
            <w:pPr>
              <w:jc w:val="center"/>
              <w:rPr>
                <w:highlight w:val="none"/>
              </w:rPr>
            </w:pPr>
            <w:r>
              <w:rPr>
                <w:highlight w:val="none"/>
              </w:rPr>
              <w:t>有害燃烧产物：</w:t>
            </w:r>
          </w:p>
        </w:tc>
        <w:tc>
          <w:tcPr>
            <w:tcW w:w="0" w:type="auto"/>
            <w:gridSpan w:val="5"/>
            <w:tcMar>
              <w:left w:w="108" w:type="dxa"/>
              <w:right w:w="108" w:type="dxa"/>
            </w:tcMar>
            <w:vAlign w:val="center"/>
          </w:tcPr>
          <w:p w14:paraId="380DF59F">
            <w:pPr>
              <w:jc w:val="center"/>
              <w:rPr>
                <w:highlight w:val="none"/>
              </w:rPr>
            </w:pPr>
            <w:r>
              <w:rPr>
                <w:highlight w:val="none"/>
              </w:rPr>
              <w:t>一氧化碳、二氧化碳。</w:t>
            </w:r>
          </w:p>
        </w:tc>
      </w:tr>
      <w:tr w14:paraId="2B7D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6988BCFA">
            <w:pPr>
              <w:jc w:val="center"/>
              <w:rPr>
                <w:highlight w:val="none"/>
              </w:rPr>
            </w:pPr>
          </w:p>
        </w:tc>
        <w:tc>
          <w:tcPr>
            <w:tcW w:w="0" w:type="auto"/>
            <w:tcMar>
              <w:left w:w="108" w:type="dxa"/>
              <w:right w:w="108" w:type="dxa"/>
            </w:tcMar>
            <w:vAlign w:val="center"/>
          </w:tcPr>
          <w:p w14:paraId="3F2BEB69">
            <w:pPr>
              <w:jc w:val="center"/>
              <w:rPr>
                <w:highlight w:val="none"/>
              </w:rPr>
            </w:pPr>
            <w:r>
              <w:rPr>
                <w:highlight w:val="none"/>
              </w:rPr>
              <w:t>灭火方法：</w:t>
            </w:r>
          </w:p>
        </w:tc>
        <w:tc>
          <w:tcPr>
            <w:tcW w:w="0" w:type="auto"/>
            <w:gridSpan w:val="5"/>
            <w:tcMar>
              <w:left w:w="108" w:type="dxa"/>
              <w:right w:w="108" w:type="dxa"/>
            </w:tcMar>
            <w:vAlign w:val="center"/>
          </w:tcPr>
          <w:p w14:paraId="63D7A501">
            <w:pPr>
              <w:jc w:val="center"/>
              <w:rPr>
                <w:highlight w:val="none"/>
              </w:rPr>
            </w:pPr>
            <w:r>
              <w:rPr>
                <w:highlight w:val="none"/>
              </w:rPr>
              <w:t>采用抗毒性泡沫、二氧化碳、干粉、砂土</w:t>
            </w:r>
            <w:r>
              <w:rPr>
                <w:rFonts w:hint="eastAsia"/>
                <w:highlight w:val="none"/>
                <w:lang w:eastAsia="zh-CN"/>
              </w:rPr>
              <w:t>等方式</w:t>
            </w:r>
            <w:r>
              <w:rPr>
                <w:highlight w:val="none"/>
              </w:rPr>
              <w:t>灭火。用水灭火无效，但可用雾状水保持火场中容器冷却。</w:t>
            </w:r>
          </w:p>
        </w:tc>
      </w:tr>
      <w:tr w14:paraId="2736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00F00CD9">
            <w:pPr>
              <w:jc w:val="center"/>
              <w:rPr>
                <w:highlight w:val="none"/>
              </w:rPr>
            </w:pPr>
            <w:r>
              <w:rPr>
                <w:highlight w:val="none"/>
              </w:rPr>
              <w:t>泄漏处置</w:t>
            </w:r>
          </w:p>
        </w:tc>
        <w:tc>
          <w:tcPr>
            <w:tcW w:w="0" w:type="auto"/>
            <w:gridSpan w:val="6"/>
            <w:tcMar>
              <w:left w:w="108" w:type="dxa"/>
              <w:right w:w="108" w:type="dxa"/>
            </w:tcMar>
            <w:vAlign w:val="center"/>
          </w:tcPr>
          <w:p w14:paraId="751CA585">
            <w:pPr>
              <w:jc w:val="center"/>
              <w:rPr>
                <w:highlight w:val="none"/>
              </w:rPr>
            </w:pPr>
            <w:r>
              <w:rPr>
                <w:highlight w:val="none"/>
              </w:rPr>
              <w:t>迅速撤离泄漏污染区人员至安全区，并进行隔离，严格限制出入。切断电源，建议应急处理人员戴自给正压式呼吸器，穿防静电工作服。尽可能切断泄漏源。防止</w:t>
            </w:r>
            <w:r>
              <w:rPr>
                <w:rFonts w:hint="eastAsia"/>
                <w:highlight w:val="none"/>
                <w:lang w:eastAsia="zh-CN"/>
              </w:rPr>
              <w:t>泄漏</w:t>
            </w:r>
            <w:r>
              <w:rPr>
                <w:highlight w:val="none"/>
              </w:rPr>
              <w:t>流入下水道、排洪沟等限制性空间。小量泄漏：用活性炭或其</w:t>
            </w:r>
            <w:r>
              <w:rPr>
                <w:rFonts w:hint="eastAsia"/>
                <w:highlight w:val="none"/>
                <w:lang w:eastAsia="zh-CN"/>
              </w:rPr>
              <w:t>他</w:t>
            </w:r>
            <w:r>
              <w:rPr>
                <w:highlight w:val="none"/>
              </w:rPr>
              <w:t>惰性材料吸收。也可以用大量水冲洗，洗水稀释后放入废水系统。大量泄漏：构筑围堤或挖坑收容。用泡沫覆盖，降低</w:t>
            </w:r>
            <w:r>
              <w:rPr>
                <w:rFonts w:hint="eastAsia"/>
                <w:highlight w:val="none"/>
                <w:lang w:eastAsia="zh-CN"/>
              </w:rPr>
              <w:t>蒸汽</w:t>
            </w:r>
            <w:r>
              <w:rPr>
                <w:highlight w:val="none"/>
              </w:rPr>
              <w:t>灾害。用消防栓转移至槽车或专用收集容器内，回收或运至废物处理场所处置。</w:t>
            </w:r>
          </w:p>
        </w:tc>
      </w:tr>
      <w:tr w14:paraId="36E8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48543880">
            <w:pPr>
              <w:jc w:val="center"/>
              <w:rPr>
                <w:highlight w:val="none"/>
              </w:rPr>
            </w:pPr>
            <w:r>
              <w:rPr>
                <w:highlight w:val="none"/>
              </w:rPr>
              <w:t>储运注意事项</w:t>
            </w:r>
          </w:p>
        </w:tc>
        <w:tc>
          <w:tcPr>
            <w:tcW w:w="0" w:type="auto"/>
            <w:gridSpan w:val="6"/>
            <w:tcMar>
              <w:left w:w="108" w:type="dxa"/>
              <w:right w:w="108" w:type="dxa"/>
            </w:tcMar>
            <w:vAlign w:val="center"/>
          </w:tcPr>
          <w:p w14:paraId="66680B24">
            <w:pPr>
              <w:jc w:val="center"/>
              <w:rPr>
                <w:highlight w:val="none"/>
              </w:rPr>
            </w:pPr>
            <w:r>
              <w:rPr>
                <w:highlight w:val="none"/>
              </w:rPr>
              <w:t>①操作注意事项：密闭操作，全面通风。操作人员必须经过专门培训，严格遵守操作规程。建议操作人员佩戴自吸过滤式防毒面具（半面罩），戴化学安全防护眼镜，穿防静电工作服，戴橡胶耐油手套。远离火种、热源，工作场所严禁吸烟。使用防爆型的通风系统和设备。防止</w:t>
            </w:r>
            <w:r>
              <w:rPr>
                <w:rFonts w:hint="eastAsia"/>
                <w:highlight w:val="none"/>
                <w:lang w:eastAsia="zh-CN"/>
              </w:rPr>
              <w:t>蒸汽</w:t>
            </w:r>
            <w:r>
              <w:rPr>
                <w:highlight w:val="none"/>
              </w:rPr>
              <w:t>泄漏到工作场所空气中。避免与酸类、碱类接触。灌装时应控制流速，且</w:t>
            </w:r>
            <w:r>
              <w:rPr>
                <w:rFonts w:hint="eastAsia"/>
                <w:highlight w:val="none"/>
                <w:lang w:eastAsia="zh-CN"/>
              </w:rPr>
              <w:t>设置</w:t>
            </w:r>
            <w:r>
              <w:rPr>
                <w:highlight w:val="none"/>
              </w:rPr>
              <w:t>接地装置，防止静电积聚。搬运时要轻装轻卸，防止包装及容器损坏。配备相应品种和数量的消防器材及泄漏应急处理设备。容器的容量可能残留有害物。</w:t>
            </w:r>
            <w:r>
              <w:rPr>
                <w:highlight w:val="none"/>
              </w:rPr>
              <w:br w:type="textWrapping"/>
            </w:r>
            <w:r>
              <w:rPr>
                <w:highlight w:val="none"/>
              </w:rPr>
              <w:t>②储存注意事项：储存于阴凉、通风的库房。远离火种、热源。库温不宜超过30℃。保持容器密封。与氧化剂、酸类、碱类分开存放，切忌混储。采用防爆照明、通风设施。禁止使用易产生火花的机械设备和工具。储区应备有泄漏应急处理设备和合适的收容材料。</w:t>
            </w:r>
            <w:r>
              <w:rPr>
                <w:highlight w:val="none"/>
              </w:rPr>
              <w:br w:type="textWrapping"/>
            </w:r>
            <w:r>
              <w:rPr>
                <w:highlight w:val="none"/>
              </w:rPr>
              <w:t>③运输注意事项：运输时运输车辆应配备相应种类和数量的消防器材及泄漏应急处理设备。夏季最好早晚运输。运输时所用的槽（罐）车应有接地链，槽内可设隔板以减少泄漏物的静电。避免与氧化剂、酸类、碱类、食用化学品和潮湿金属接触。运输途中应防</w:t>
            </w:r>
            <w:r>
              <w:rPr>
                <w:rFonts w:hint="eastAsia"/>
                <w:highlight w:val="none"/>
                <w:lang w:eastAsia="zh-CN"/>
              </w:rPr>
              <w:t>暴晒</w:t>
            </w:r>
            <w:r>
              <w:rPr>
                <w:highlight w:val="none"/>
              </w:rPr>
              <w:t>、雨淋、高温。中途停留时应远离火种、热源、高温区。装运该产品车辆的排气管等必须配备阻火装置。禁止使用易产生火花的机械设备和工具装卸。公路运输时要按规定路线行驶，勿在居民区和人口稠密区停留。铁路运输时要禁止溜放。严禁用木船、水泥船</w:t>
            </w:r>
            <w:r>
              <w:rPr>
                <w:rFonts w:hint="eastAsia"/>
                <w:highlight w:val="none"/>
                <w:lang w:eastAsia="zh-CN"/>
              </w:rPr>
              <w:t>等方式</w:t>
            </w:r>
            <w:r>
              <w:rPr>
                <w:highlight w:val="none"/>
              </w:rPr>
              <w:t>散装运输。</w:t>
            </w:r>
          </w:p>
        </w:tc>
      </w:tr>
    </w:tbl>
    <w:p w14:paraId="6EE4B3AC">
      <w:pPr>
        <w:spacing w:line="360" w:lineRule="auto"/>
        <w:jc w:val="center"/>
        <w:rPr>
          <w:rFonts w:hint="eastAsia" w:ascii="Times New Roman" w:hAnsi="Times New Roman" w:eastAsia="宋体" w:cs="Times New Roman"/>
          <w:b/>
          <w:bCs/>
          <w:sz w:val="21"/>
          <w:szCs w:val="21"/>
          <w:highlight w:val="none"/>
          <w:lang w:val="en-US" w:eastAsia="zh-CN"/>
        </w:rPr>
      </w:pPr>
      <w:r>
        <w:rPr>
          <w:rFonts w:hint="eastAsia" w:cs="Times New Roman"/>
          <w:b/>
          <w:bCs/>
          <w:sz w:val="21"/>
          <w:szCs w:val="21"/>
          <w:highlight w:val="none"/>
          <w:lang w:val="en-US" w:eastAsia="zh-CN"/>
        </w:rPr>
        <w:t>3.2</w:t>
      </w:r>
      <w:r>
        <w:rPr>
          <w:rFonts w:hint="eastAsia" w:ascii="Times New Roman" w:hAnsi="Times New Roman" w:eastAsia="宋体" w:cs="Times New Roman"/>
          <w:b/>
          <w:bCs/>
          <w:sz w:val="21"/>
          <w:szCs w:val="21"/>
          <w:highlight w:val="none"/>
          <w:lang w:val="en-US" w:eastAsia="zh-CN"/>
        </w:rPr>
        <w:t>-7   甲醇理化性质及危险特性表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4"/>
        <w:gridCol w:w="1836"/>
        <w:gridCol w:w="1417"/>
        <w:gridCol w:w="921"/>
        <w:gridCol w:w="921"/>
        <w:gridCol w:w="3011"/>
      </w:tblGrid>
      <w:tr w14:paraId="0E7E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7D9BC9F1">
            <w:pPr>
              <w:jc w:val="center"/>
              <w:rPr>
                <w:highlight w:val="none"/>
              </w:rPr>
            </w:pPr>
            <w:r>
              <w:rPr>
                <w:highlight w:val="none"/>
              </w:rPr>
              <w:t>标识</w:t>
            </w:r>
          </w:p>
        </w:tc>
        <w:tc>
          <w:tcPr>
            <w:tcW w:w="0" w:type="auto"/>
            <w:gridSpan w:val="2"/>
            <w:tcMar>
              <w:left w:w="108" w:type="dxa"/>
              <w:right w:w="108" w:type="dxa"/>
            </w:tcMar>
            <w:vAlign w:val="center"/>
          </w:tcPr>
          <w:p w14:paraId="4589AFA4">
            <w:pPr>
              <w:jc w:val="center"/>
              <w:rPr>
                <w:highlight w:val="none"/>
              </w:rPr>
            </w:pPr>
            <w:r>
              <w:rPr>
                <w:highlight w:val="none"/>
              </w:rPr>
              <w:t>中文名：甲醇，木精</w:t>
            </w:r>
          </w:p>
        </w:tc>
        <w:tc>
          <w:tcPr>
            <w:tcW w:w="0" w:type="auto"/>
            <w:gridSpan w:val="3"/>
            <w:tcMar>
              <w:left w:w="108" w:type="dxa"/>
              <w:right w:w="108" w:type="dxa"/>
            </w:tcMar>
            <w:vAlign w:val="center"/>
          </w:tcPr>
          <w:p w14:paraId="1A9BFF86">
            <w:pPr>
              <w:jc w:val="center"/>
              <w:rPr>
                <w:highlight w:val="none"/>
              </w:rPr>
            </w:pPr>
            <w:r>
              <w:rPr>
                <w:highlight w:val="none"/>
              </w:rPr>
              <w:t>英文名：methyl alcoholmethanol</w:t>
            </w:r>
          </w:p>
        </w:tc>
      </w:tr>
      <w:tr w14:paraId="534B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722E1FEA">
            <w:pPr>
              <w:jc w:val="center"/>
              <w:rPr>
                <w:highlight w:val="none"/>
              </w:rPr>
            </w:pPr>
          </w:p>
        </w:tc>
        <w:tc>
          <w:tcPr>
            <w:tcW w:w="0" w:type="auto"/>
            <w:gridSpan w:val="2"/>
            <w:tcMar>
              <w:left w:w="108" w:type="dxa"/>
              <w:right w:w="108" w:type="dxa"/>
            </w:tcMar>
            <w:vAlign w:val="center"/>
          </w:tcPr>
          <w:p w14:paraId="047C0DAB">
            <w:pPr>
              <w:jc w:val="center"/>
              <w:rPr>
                <w:highlight w:val="none"/>
              </w:rPr>
            </w:pPr>
            <w:r>
              <w:rPr>
                <w:highlight w:val="none"/>
              </w:rPr>
              <w:t>分子式：CH</w:t>
            </w:r>
            <w:r>
              <w:rPr>
                <w:highlight w:val="none"/>
                <w:vertAlign w:val="subscript"/>
              </w:rPr>
              <w:t>3</w:t>
            </w:r>
            <w:r>
              <w:rPr>
                <w:highlight w:val="none"/>
              </w:rPr>
              <w:t>OH</w:t>
            </w:r>
          </w:p>
        </w:tc>
        <w:tc>
          <w:tcPr>
            <w:tcW w:w="0" w:type="auto"/>
            <w:gridSpan w:val="3"/>
            <w:tcMar>
              <w:left w:w="108" w:type="dxa"/>
              <w:right w:w="108" w:type="dxa"/>
            </w:tcMar>
            <w:vAlign w:val="center"/>
          </w:tcPr>
          <w:p w14:paraId="61B4FFC8">
            <w:pPr>
              <w:jc w:val="center"/>
              <w:rPr>
                <w:highlight w:val="none"/>
              </w:rPr>
            </w:pPr>
            <w:r>
              <w:rPr>
                <w:highlight w:val="none"/>
              </w:rPr>
              <w:t>分子量：32.0</w:t>
            </w:r>
          </w:p>
        </w:tc>
      </w:tr>
      <w:tr w14:paraId="1CEA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6F29D46D">
            <w:pPr>
              <w:jc w:val="center"/>
              <w:rPr>
                <w:highlight w:val="none"/>
              </w:rPr>
            </w:pPr>
          </w:p>
        </w:tc>
        <w:tc>
          <w:tcPr>
            <w:tcW w:w="0" w:type="auto"/>
            <w:tcMar>
              <w:left w:w="108" w:type="dxa"/>
              <w:right w:w="108" w:type="dxa"/>
            </w:tcMar>
            <w:vAlign w:val="center"/>
          </w:tcPr>
          <w:p w14:paraId="5D78E62D">
            <w:pPr>
              <w:jc w:val="center"/>
              <w:rPr>
                <w:highlight w:val="none"/>
              </w:rPr>
            </w:pPr>
            <w:r>
              <w:rPr>
                <w:highlight w:val="none"/>
              </w:rPr>
              <w:t>危规编号：32058</w:t>
            </w:r>
          </w:p>
        </w:tc>
        <w:tc>
          <w:tcPr>
            <w:tcW w:w="0" w:type="auto"/>
            <w:gridSpan w:val="3"/>
            <w:tcMar>
              <w:left w:w="108" w:type="dxa"/>
              <w:right w:w="108" w:type="dxa"/>
            </w:tcMar>
            <w:vAlign w:val="center"/>
          </w:tcPr>
          <w:p w14:paraId="13300E68">
            <w:pPr>
              <w:jc w:val="center"/>
              <w:rPr>
                <w:highlight w:val="none"/>
              </w:rPr>
            </w:pPr>
            <w:r>
              <w:rPr>
                <w:highlight w:val="none"/>
              </w:rPr>
              <w:t>UN编号：1230</w:t>
            </w:r>
          </w:p>
        </w:tc>
        <w:tc>
          <w:tcPr>
            <w:tcW w:w="0" w:type="auto"/>
            <w:tcMar>
              <w:left w:w="108" w:type="dxa"/>
              <w:right w:w="108" w:type="dxa"/>
            </w:tcMar>
            <w:vAlign w:val="center"/>
          </w:tcPr>
          <w:p w14:paraId="4EC3BEF7">
            <w:pPr>
              <w:jc w:val="center"/>
              <w:rPr>
                <w:highlight w:val="none"/>
              </w:rPr>
            </w:pPr>
            <w:r>
              <w:rPr>
                <w:highlight w:val="none"/>
              </w:rPr>
              <w:t>CAS No.：67-56-1</w:t>
            </w:r>
          </w:p>
        </w:tc>
      </w:tr>
      <w:tr w14:paraId="527C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20C18C4B">
            <w:pPr>
              <w:jc w:val="center"/>
              <w:rPr>
                <w:highlight w:val="none"/>
              </w:rPr>
            </w:pPr>
          </w:p>
        </w:tc>
        <w:tc>
          <w:tcPr>
            <w:tcW w:w="0" w:type="auto"/>
            <w:gridSpan w:val="3"/>
            <w:tcMar>
              <w:left w:w="108" w:type="dxa"/>
              <w:right w:w="108" w:type="dxa"/>
            </w:tcMar>
            <w:vAlign w:val="center"/>
          </w:tcPr>
          <w:p w14:paraId="5C749ACC">
            <w:pPr>
              <w:jc w:val="center"/>
              <w:rPr>
                <w:highlight w:val="none"/>
              </w:rPr>
            </w:pPr>
            <w:r>
              <w:rPr>
                <w:highlight w:val="none"/>
              </w:rPr>
              <w:t>主要危险特性：第3</w:t>
            </w:r>
            <w:r>
              <w:rPr>
                <w:rFonts w:hint="eastAsia"/>
                <w:highlight w:val="none"/>
                <w:lang w:val="en-US" w:eastAsia="zh-CN"/>
              </w:rPr>
              <w:t>.</w:t>
            </w:r>
            <w:r>
              <w:rPr>
                <w:highlight w:val="none"/>
              </w:rPr>
              <w:t>2类中闪点液体。</w:t>
            </w:r>
          </w:p>
        </w:tc>
        <w:tc>
          <w:tcPr>
            <w:tcW w:w="0" w:type="auto"/>
            <w:gridSpan w:val="2"/>
            <w:tcMar>
              <w:left w:w="108" w:type="dxa"/>
              <w:right w:w="108" w:type="dxa"/>
            </w:tcMar>
            <w:vAlign w:val="center"/>
          </w:tcPr>
          <w:p w14:paraId="1829A57B">
            <w:pPr>
              <w:jc w:val="center"/>
              <w:rPr>
                <w:highlight w:val="none"/>
              </w:rPr>
            </w:pPr>
            <w:r>
              <w:rPr>
                <w:highlight w:val="none"/>
              </w:rPr>
              <w:t>中国危险货物标志：</w:t>
            </w:r>
          </w:p>
        </w:tc>
      </w:tr>
      <w:tr w14:paraId="5DE8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6F5D74F1">
            <w:pPr>
              <w:jc w:val="center"/>
              <w:rPr>
                <w:highlight w:val="none"/>
              </w:rPr>
            </w:pPr>
            <w:r>
              <w:rPr>
                <w:highlight w:val="none"/>
              </w:rPr>
              <w:t>理化性质</w:t>
            </w:r>
          </w:p>
        </w:tc>
        <w:tc>
          <w:tcPr>
            <w:tcW w:w="0" w:type="auto"/>
            <w:gridSpan w:val="5"/>
            <w:tcMar>
              <w:left w:w="108" w:type="dxa"/>
              <w:right w:w="108" w:type="dxa"/>
            </w:tcMar>
            <w:vAlign w:val="center"/>
          </w:tcPr>
          <w:p w14:paraId="7325DA8A">
            <w:pPr>
              <w:jc w:val="center"/>
              <w:rPr>
                <w:highlight w:val="none"/>
              </w:rPr>
            </w:pPr>
            <w:r>
              <w:rPr>
                <w:highlight w:val="none"/>
              </w:rPr>
              <w:t>外观与特性：无色透明液体，有刺激性气味。</w:t>
            </w:r>
          </w:p>
        </w:tc>
      </w:tr>
      <w:tr w14:paraId="3F34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094FD0A9">
            <w:pPr>
              <w:jc w:val="center"/>
              <w:rPr>
                <w:highlight w:val="none"/>
              </w:rPr>
            </w:pPr>
          </w:p>
        </w:tc>
        <w:tc>
          <w:tcPr>
            <w:tcW w:w="0" w:type="auto"/>
            <w:tcMar>
              <w:left w:w="108" w:type="dxa"/>
              <w:right w:w="108" w:type="dxa"/>
            </w:tcMar>
            <w:vAlign w:val="center"/>
          </w:tcPr>
          <w:p w14:paraId="4F18E95E">
            <w:pPr>
              <w:jc w:val="center"/>
              <w:rPr>
                <w:highlight w:val="none"/>
              </w:rPr>
            </w:pPr>
            <w:r>
              <w:rPr>
                <w:highlight w:val="none"/>
              </w:rPr>
              <w:t>熔点（℃）</w:t>
            </w:r>
          </w:p>
        </w:tc>
        <w:tc>
          <w:tcPr>
            <w:tcW w:w="0" w:type="auto"/>
            <w:tcMar>
              <w:left w:w="108" w:type="dxa"/>
              <w:right w:w="108" w:type="dxa"/>
            </w:tcMar>
            <w:vAlign w:val="center"/>
          </w:tcPr>
          <w:p w14:paraId="12945E6B">
            <w:pPr>
              <w:jc w:val="center"/>
              <w:rPr>
                <w:highlight w:val="none"/>
              </w:rPr>
            </w:pPr>
            <w:r>
              <w:rPr>
                <w:highlight w:val="none"/>
              </w:rPr>
              <w:t>-97.8</w:t>
            </w:r>
          </w:p>
        </w:tc>
        <w:tc>
          <w:tcPr>
            <w:tcW w:w="0" w:type="auto"/>
            <w:gridSpan w:val="2"/>
            <w:tcMar>
              <w:left w:w="108" w:type="dxa"/>
              <w:right w:w="108" w:type="dxa"/>
            </w:tcMar>
            <w:vAlign w:val="center"/>
          </w:tcPr>
          <w:p w14:paraId="6DF18618">
            <w:pPr>
              <w:jc w:val="center"/>
              <w:rPr>
                <w:highlight w:val="none"/>
              </w:rPr>
            </w:pPr>
            <w:r>
              <w:rPr>
                <w:highlight w:val="none"/>
              </w:rPr>
              <w:t>沸点（℃）</w:t>
            </w:r>
          </w:p>
        </w:tc>
        <w:tc>
          <w:tcPr>
            <w:tcW w:w="0" w:type="auto"/>
            <w:tcMar>
              <w:left w:w="108" w:type="dxa"/>
              <w:right w:w="108" w:type="dxa"/>
            </w:tcMar>
            <w:vAlign w:val="center"/>
          </w:tcPr>
          <w:p w14:paraId="2B4745F9">
            <w:pPr>
              <w:jc w:val="center"/>
              <w:rPr>
                <w:highlight w:val="none"/>
              </w:rPr>
            </w:pPr>
            <w:r>
              <w:rPr>
                <w:highlight w:val="none"/>
              </w:rPr>
              <w:t>64.7</w:t>
            </w:r>
          </w:p>
        </w:tc>
      </w:tr>
      <w:tr w14:paraId="51E1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729D5D64">
            <w:pPr>
              <w:jc w:val="center"/>
              <w:rPr>
                <w:highlight w:val="none"/>
              </w:rPr>
            </w:pPr>
          </w:p>
        </w:tc>
        <w:tc>
          <w:tcPr>
            <w:tcW w:w="0" w:type="auto"/>
            <w:tcMar>
              <w:left w:w="108" w:type="dxa"/>
              <w:right w:w="108" w:type="dxa"/>
            </w:tcMar>
            <w:vAlign w:val="center"/>
          </w:tcPr>
          <w:p w14:paraId="49006C9C">
            <w:pPr>
              <w:jc w:val="center"/>
              <w:rPr>
                <w:highlight w:val="none"/>
              </w:rPr>
            </w:pPr>
            <w:r>
              <w:rPr>
                <w:highlight w:val="none"/>
              </w:rPr>
              <w:t>相对密度（水=1）</w:t>
            </w:r>
          </w:p>
        </w:tc>
        <w:tc>
          <w:tcPr>
            <w:tcW w:w="0" w:type="auto"/>
            <w:tcMar>
              <w:left w:w="108" w:type="dxa"/>
              <w:right w:w="108" w:type="dxa"/>
            </w:tcMar>
            <w:vAlign w:val="center"/>
          </w:tcPr>
          <w:p w14:paraId="5B190ABD">
            <w:pPr>
              <w:jc w:val="center"/>
              <w:rPr>
                <w:highlight w:val="none"/>
              </w:rPr>
            </w:pPr>
            <w:r>
              <w:rPr>
                <w:highlight w:val="none"/>
              </w:rPr>
              <w:t>0.79</w:t>
            </w:r>
          </w:p>
        </w:tc>
        <w:tc>
          <w:tcPr>
            <w:tcW w:w="0" w:type="auto"/>
            <w:gridSpan w:val="2"/>
            <w:tcMar>
              <w:left w:w="108" w:type="dxa"/>
              <w:right w:w="108" w:type="dxa"/>
            </w:tcMar>
            <w:vAlign w:val="center"/>
          </w:tcPr>
          <w:p w14:paraId="4F466E64">
            <w:pPr>
              <w:jc w:val="center"/>
              <w:rPr>
                <w:highlight w:val="none"/>
              </w:rPr>
            </w:pPr>
            <w:r>
              <w:rPr>
                <w:highlight w:val="none"/>
              </w:rPr>
              <w:t>相对密度（空气=1）</w:t>
            </w:r>
          </w:p>
        </w:tc>
        <w:tc>
          <w:tcPr>
            <w:tcW w:w="0" w:type="auto"/>
            <w:tcMar>
              <w:left w:w="108" w:type="dxa"/>
              <w:right w:w="108" w:type="dxa"/>
            </w:tcMar>
            <w:vAlign w:val="center"/>
          </w:tcPr>
          <w:p w14:paraId="707C407C">
            <w:pPr>
              <w:jc w:val="center"/>
              <w:rPr>
                <w:highlight w:val="none"/>
              </w:rPr>
            </w:pPr>
            <w:r>
              <w:rPr>
                <w:highlight w:val="none"/>
              </w:rPr>
              <w:t>1.1</w:t>
            </w:r>
          </w:p>
        </w:tc>
      </w:tr>
      <w:tr w14:paraId="6BC1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385FDAEC">
            <w:pPr>
              <w:jc w:val="center"/>
              <w:rPr>
                <w:highlight w:val="none"/>
              </w:rPr>
            </w:pPr>
          </w:p>
        </w:tc>
        <w:tc>
          <w:tcPr>
            <w:tcW w:w="0" w:type="auto"/>
            <w:tcMar>
              <w:left w:w="108" w:type="dxa"/>
              <w:right w:w="108" w:type="dxa"/>
            </w:tcMar>
            <w:vAlign w:val="center"/>
          </w:tcPr>
          <w:p w14:paraId="42D62C11">
            <w:pPr>
              <w:jc w:val="center"/>
              <w:rPr>
                <w:highlight w:val="none"/>
              </w:rPr>
            </w:pPr>
            <w:r>
              <w:rPr>
                <w:highlight w:val="none"/>
              </w:rPr>
              <w:t>溶解性</w:t>
            </w:r>
          </w:p>
        </w:tc>
        <w:tc>
          <w:tcPr>
            <w:tcW w:w="0" w:type="auto"/>
            <w:gridSpan w:val="4"/>
            <w:tcMar>
              <w:left w:w="108" w:type="dxa"/>
              <w:right w:w="108" w:type="dxa"/>
            </w:tcMar>
            <w:vAlign w:val="center"/>
          </w:tcPr>
          <w:p w14:paraId="3D2C5BE6">
            <w:pPr>
              <w:jc w:val="center"/>
              <w:rPr>
                <w:highlight w:val="none"/>
              </w:rPr>
            </w:pPr>
            <w:r>
              <w:rPr>
                <w:highlight w:val="none"/>
              </w:rPr>
              <w:t>溶于水，可混溶于醇、醚等多</w:t>
            </w:r>
            <w:r>
              <w:rPr>
                <w:rFonts w:hint="eastAsia"/>
                <w:highlight w:val="none"/>
                <w:lang w:eastAsia="zh-CN"/>
              </w:rPr>
              <w:t>种</w:t>
            </w:r>
            <w:r>
              <w:rPr>
                <w:highlight w:val="none"/>
              </w:rPr>
              <w:t>有机溶剂。</w:t>
            </w:r>
          </w:p>
        </w:tc>
      </w:tr>
      <w:tr w14:paraId="61AD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14E747B3">
            <w:pPr>
              <w:jc w:val="center"/>
              <w:rPr>
                <w:highlight w:val="none"/>
              </w:rPr>
            </w:pPr>
            <w:r>
              <w:rPr>
                <w:highlight w:val="none"/>
              </w:rPr>
              <w:t>急性毒性</w:t>
            </w:r>
          </w:p>
        </w:tc>
        <w:tc>
          <w:tcPr>
            <w:tcW w:w="0" w:type="auto"/>
            <w:gridSpan w:val="5"/>
            <w:tcMar>
              <w:left w:w="108" w:type="dxa"/>
              <w:right w:w="108" w:type="dxa"/>
            </w:tcMar>
            <w:vAlign w:val="center"/>
          </w:tcPr>
          <w:p w14:paraId="2F8096E5">
            <w:pPr>
              <w:jc w:val="center"/>
              <w:rPr>
                <w:highlight w:val="none"/>
              </w:rPr>
            </w:pPr>
            <w:r>
              <w:rPr>
                <w:highlight w:val="none"/>
              </w:rPr>
              <w:t>LD50</w:t>
            </w:r>
            <w:r>
              <w:rPr>
                <w:rFonts w:hint="eastAsia"/>
                <w:highlight w:val="none"/>
                <w:lang w:eastAsia="zh-CN"/>
              </w:rPr>
              <w:t>:</w:t>
            </w:r>
            <w:r>
              <w:rPr>
                <w:highlight w:val="none"/>
              </w:rPr>
              <w:t>5628mg/kg</w:t>
            </w:r>
            <w:r>
              <w:rPr>
                <w:rFonts w:hint="eastAsia"/>
                <w:highlight w:val="none"/>
                <w:lang w:eastAsia="zh-CN"/>
              </w:rPr>
              <w:t>（</w:t>
            </w:r>
            <w:r>
              <w:rPr>
                <w:highlight w:val="none"/>
              </w:rPr>
              <w:t>大鼠经口</w:t>
            </w:r>
            <w:r>
              <w:rPr>
                <w:rFonts w:hint="eastAsia"/>
                <w:highlight w:val="none"/>
                <w:lang w:eastAsia="zh-CN"/>
              </w:rPr>
              <w:t>）</w:t>
            </w:r>
            <w:r>
              <w:rPr>
                <w:highlight w:val="none"/>
              </w:rPr>
              <w:t>；15800mg/kg</w:t>
            </w:r>
            <w:r>
              <w:rPr>
                <w:rFonts w:hint="eastAsia"/>
                <w:highlight w:val="none"/>
                <w:lang w:eastAsia="zh-CN"/>
              </w:rPr>
              <w:t>（</w:t>
            </w:r>
            <w:r>
              <w:rPr>
                <w:highlight w:val="none"/>
              </w:rPr>
              <w:t>兔经皮</w:t>
            </w:r>
            <w:r>
              <w:rPr>
                <w:rFonts w:hint="eastAsia"/>
                <w:highlight w:val="none"/>
                <w:lang w:eastAsia="zh-CN"/>
              </w:rPr>
              <w:t>）</w:t>
            </w:r>
            <w:r>
              <w:rPr>
                <w:highlight w:val="none"/>
              </w:rPr>
              <w:t>LC50</w:t>
            </w:r>
            <w:r>
              <w:rPr>
                <w:rFonts w:hint="eastAsia"/>
                <w:highlight w:val="none"/>
                <w:lang w:eastAsia="zh-CN"/>
              </w:rPr>
              <w:t>:</w:t>
            </w:r>
            <w:r>
              <w:rPr>
                <w:highlight w:val="none"/>
              </w:rPr>
              <w:t>83776mg/m</w:t>
            </w:r>
            <w:r>
              <w:rPr>
                <w:highlight w:val="none"/>
                <w:vertAlign w:val="superscript"/>
              </w:rPr>
              <w:t>3</w:t>
            </w:r>
            <w:r>
              <w:rPr>
                <w:highlight w:val="none"/>
              </w:rPr>
              <w:t>，4小时</w:t>
            </w:r>
            <w:r>
              <w:rPr>
                <w:rFonts w:hint="eastAsia"/>
                <w:highlight w:val="none"/>
                <w:lang w:eastAsia="zh-CN"/>
              </w:rPr>
              <w:t>（</w:t>
            </w:r>
            <w:r>
              <w:rPr>
                <w:highlight w:val="none"/>
              </w:rPr>
              <w:t>大鼠吸入</w:t>
            </w:r>
            <w:r>
              <w:rPr>
                <w:rFonts w:hint="eastAsia"/>
                <w:highlight w:val="none"/>
                <w:lang w:eastAsia="zh-CN"/>
              </w:rPr>
              <w:t>）</w:t>
            </w:r>
            <w:r>
              <w:rPr>
                <w:highlight w:val="none"/>
              </w:rPr>
              <w:t>。</w:t>
            </w:r>
          </w:p>
        </w:tc>
      </w:tr>
      <w:tr w14:paraId="7E18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5527E7FF">
            <w:pPr>
              <w:jc w:val="center"/>
              <w:rPr>
                <w:highlight w:val="none"/>
              </w:rPr>
            </w:pPr>
            <w:r>
              <w:rPr>
                <w:highlight w:val="none"/>
              </w:rPr>
              <w:t>健康危害</w:t>
            </w:r>
          </w:p>
        </w:tc>
        <w:tc>
          <w:tcPr>
            <w:tcW w:w="0" w:type="auto"/>
            <w:tcMar>
              <w:left w:w="108" w:type="dxa"/>
              <w:right w:w="108" w:type="dxa"/>
            </w:tcMar>
            <w:vAlign w:val="center"/>
          </w:tcPr>
          <w:p w14:paraId="03FCFF3B">
            <w:pPr>
              <w:jc w:val="center"/>
              <w:rPr>
                <w:highlight w:val="none"/>
              </w:rPr>
            </w:pPr>
            <w:r>
              <w:rPr>
                <w:highlight w:val="none"/>
              </w:rPr>
              <w:t>侵入途径</w:t>
            </w:r>
          </w:p>
        </w:tc>
        <w:tc>
          <w:tcPr>
            <w:tcW w:w="0" w:type="auto"/>
            <w:gridSpan w:val="4"/>
            <w:tcMar>
              <w:left w:w="108" w:type="dxa"/>
              <w:right w:w="108" w:type="dxa"/>
            </w:tcMar>
            <w:vAlign w:val="center"/>
          </w:tcPr>
          <w:p w14:paraId="55A0D894">
            <w:pPr>
              <w:jc w:val="center"/>
              <w:rPr>
                <w:highlight w:val="none"/>
              </w:rPr>
            </w:pPr>
            <w:r>
              <w:rPr>
                <w:highlight w:val="none"/>
              </w:rPr>
              <w:t>吸入、食入、经皮肤吸收。</w:t>
            </w:r>
          </w:p>
        </w:tc>
      </w:tr>
      <w:tr w14:paraId="7169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41D94B23">
            <w:pPr>
              <w:jc w:val="center"/>
              <w:rPr>
                <w:highlight w:val="none"/>
              </w:rPr>
            </w:pPr>
          </w:p>
        </w:tc>
        <w:tc>
          <w:tcPr>
            <w:tcW w:w="0" w:type="auto"/>
            <w:gridSpan w:val="5"/>
            <w:tcMar>
              <w:left w:w="108" w:type="dxa"/>
              <w:right w:w="108" w:type="dxa"/>
            </w:tcMar>
            <w:vAlign w:val="center"/>
          </w:tcPr>
          <w:p w14:paraId="6D6B78B2">
            <w:pPr>
              <w:jc w:val="center"/>
              <w:rPr>
                <w:highlight w:val="none"/>
              </w:rPr>
            </w:pPr>
            <w:r>
              <w:rPr>
                <w:highlight w:val="none"/>
              </w:rPr>
              <w:t>对中枢神经系统有麻醉作用；对视神经和视网膜有特殊选择作用，引起病变，可致</w:t>
            </w:r>
            <w:r>
              <w:rPr>
                <w:rFonts w:hint="eastAsia"/>
                <w:highlight w:val="none"/>
                <w:lang w:eastAsia="zh-CN"/>
              </w:rPr>
              <w:t>代谢性</w:t>
            </w:r>
            <w:r>
              <w:rPr>
                <w:highlight w:val="none"/>
              </w:rPr>
              <w:t>酸中毒。</w:t>
            </w:r>
            <w:r>
              <w:rPr>
                <w:highlight w:val="none"/>
              </w:rPr>
              <w:br w:type="textWrapping"/>
            </w:r>
            <w:r>
              <w:rPr>
                <w:highlight w:val="none"/>
              </w:rPr>
              <w:t>急性中毒：短时大量吸入出现轻度眼上呼吸道刺激症状（口服有胃肠道刺激症状）；</w:t>
            </w:r>
            <w:r>
              <w:rPr>
                <w:rFonts w:hint="eastAsia"/>
                <w:highlight w:val="none"/>
                <w:lang w:eastAsia="zh-CN"/>
              </w:rPr>
              <w:t>经过</w:t>
            </w:r>
            <w:r>
              <w:rPr>
                <w:highlight w:val="none"/>
              </w:rPr>
              <w:t>一段时间潜伏期后出现头痛、头晕、乏力、眩晕、酒醉感、意识</w:t>
            </w:r>
            <w:r>
              <w:rPr>
                <w:rFonts w:hint="eastAsia"/>
                <w:highlight w:val="none"/>
                <w:lang w:eastAsia="zh-CN"/>
              </w:rPr>
              <w:t>蒙眬</w:t>
            </w:r>
            <w:r>
              <w:rPr>
                <w:highlight w:val="none"/>
              </w:rPr>
              <w:t>、诡异</w:t>
            </w:r>
            <w:r>
              <w:rPr>
                <w:rFonts w:hint="eastAsia"/>
                <w:highlight w:val="none"/>
                <w:lang w:eastAsia="zh-CN"/>
              </w:rPr>
              <w:t>，甚至</w:t>
            </w:r>
            <w:r>
              <w:rPr>
                <w:highlight w:val="none"/>
              </w:rPr>
              <w:t>昏迷。视神经及视网膜病变，可有视物模糊、复视等，重者失明。代谢性酸中毒时出现二氧化碳结合力下降、呼吸加速等</w:t>
            </w:r>
            <w:r>
              <w:rPr>
                <w:rFonts w:hint="eastAsia"/>
                <w:highlight w:val="none"/>
                <w:lang w:eastAsia="zh-CN"/>
              </w:rPr>
              <w:t>症状</w:t>
            </w:r>
            <w:r>
              <w:rPr>
                <w:highlight w:val="none"/>
              </w:rPr>
              <w:t>。</w:t>
            </w:r>
            <w:r>
              <w:rPr>
                <w:highlight w:val="none"/>
              </w:rPr>
              <w:br w:type="textWrapping"/>
            </w:r>
            <w:r>
              <w:rPr>
                <w:highlight w:val="none"/>
              </w:rPr>
              <w:t>慢性影响：神经衰弱综合征，植物神经功能失调，</w:t>
            </w:r>
            <w:r>
              <w:rPr>
                <w:rFonts w:hint="eastAsia"/>
                <w:highlight w:val="none"/>
                <w:lang w:eastAsia="zh-CN"/>
              </w:rPr>
              <w:t>黏膜</w:t>
            </w:r>
            <w:r>
              <w:rPr>
                <w:highlight w:val="none"/>
              </w:rPr>
              <w:t>刺激，视力减退等。皮肤出现脱脂、皮炎等。</w:t>
            </w:r>
          </w:p>
        </w:tc>
      </w:tr>
      <w:tr w14:paraId="15D3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10CA6232">
            <w:pPr>
              <w:jc w:val="center"/>
              <w:rPr>
                <w:highlight w:val="none"/>
              </w:rPr>
            </w:pPr>
            <w:r>
              <w:rPr>
                <w:highlight w:val="none"/>
              </w:rPr>
              <w:t>燃烧爆炸危险性</w:t>
            </w:r>
          </w:p>
        </w:tc>
        <w:tc>
          <w:tcPr>
            <w:tcW w:w="0" w:type="auto"/>
            <w:gridSpan w:val="2"/>
            <w:tcMar>
              <w:left w:w="108" w:type="dxa"/>
              <w:right w:w="108" w:type="dxa"/>
            </w:tcMar>
            <w:vAlign w:val="center"/>
          </w:tcPr>
          <w:p w14:paraId="7F9B2EAC">
            <w:pPr>
              <w:jc w:val="center"/>
              <w:rPr>
                <w:highlight w:val="none"/>
              </w:rPr>
            </w:pPr>
            <w:r>
              <w:rPr>
                <w:highlight w:val="none"/>
              </w:rPr>
              <w:t>燃烧性：易燃</w:t>
            </w:r>
          </w:p>
        </w:tc>
        <w:tc>
          <w:tcPr>
            <w:tcW w:w="0" w:type="auto"/>
            <w:gridSpan w:val="3"/>
            <w:tcMar>
              <w:left w:w="108" w:type="dxa"/>
              <w:right w:w="108" w:type="dxa"/>
            </w:tcMar>
            <w:vAlign w:val="center"/>
          </w:tcPr>
          <w:p w14:paraId="55C15FF8">
            <w:pPr>
              <w:jc w:val="center"/>
              <w:rPr>
                <w:highlight w:val="none"/>
              </w:rPr>
            </w:pPr>
            <w:r>
              <w:rPr>
                <w:highlight w:val="none"/>
              </w:rPr>
              <w:t>引燃温度 （℃）：464</w:t>
            </w:r>
          </w:p>
        </w:tc>
      </w:tr>
      <w:tr w14:paraId="75FA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7454C7D2">
            <w:pPr>
              <w:jc w:val="center"/>
              <w:rPr>
                <w:highlight w:val="none"/>
              </w:rPr>
            </w:pPr>
          </w:p>
        </w:tc>
        <w:tc>
          <w:tcPr>
            <w:tcW w:w="0" w:type="auto"/>
            <w:gridSpan w:val="2"/>
            <w:tcMar>
              <w:left w:w="108" w:type="dxa"/>
              <w:right w:w="108" w:type="dxa"/>
            </w:tcMar>
            <w:vAlign w:val="center"/>
          </w:tcPr>
          <w:p w14:paraId="0D87BC05">
            <w:pPr>
              <w:jc w:val="center"/>
              <w:rPr>
                <w:highlight w:val="none"/>
              </w:rPr>
            </w:pPr>
            <w:r>
              <w:rPr>
                <w:highlight w:val="none"/>
              </w:rPr>
              <w:t>聚合危害：不聚合</w:t>
            </w:r>
          </w:p>
        </w:tc>
        <w:tc>
          <w:tcPr>
            <w:tcW w:w="0" w:type="auto"/>
            <w:gridSpan w:val="3"/>
            <w:tcMar>
              <w:left w:w="108" w:type="dxa"/>
              <w:right w:w="108" w:type="dxa"/>
            </w:tcMar>
            <w:vAlign w:val="center"/>
          </w:tcPr>
          <w:p w14:paraId="7767DF2A">
            <w:pPr>
              <w:jc w:val="center"/>
              <w:rPr>
                <w:highlight w:val="none"/>
              </w:rPr>
            </w:pPr>
            <w:r>
              <w:rPr>
                <w:highlight w:val="none"/>
              </w:rPr>
              <w:t>闪点（℃）（闭杯）：12</w:t>
            </w:r>
          </w:p>
        </w:tc>
      </w:tr>
      <w:tr w14:paraId="6233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442A13FD">
            <w:pPr>
              <w:jc w:val="center"/>
              <w:rPr>
                <w:highlight w:val="none"/>
              </w:rPr>
            </w:pPr>
          </w:p>
        </w:tc>
        <w:tc>
          <w:tcPr>
            <w:tcW w:w="0" w:type="auto"/>
            <w:gridSpan w:val="2"/>
            <w:tcMar>
              <w:left w:w="108" w:type="dxa"/>
              <w:right w:w="108" w:type="dxa"/>
            </w:tcMar>
            <w:vAlign w:val="center"/>
          </w:tcPr>
          <w:p w14:paraId="01A54711">
            <w:pPr>
              <w:jc w:val="center"/>
              <w:rPr>
                <w:highlight w:val="none"/>
              </w:rPr>
            </w:pPr>
            <w:r>
              <w:rPr>
                <w:highlight w:val="none"/>
              </w:rPr>
              <w:t>稳定性：稳定</w:t>
            </w:r>
          </w:p>
        </w:tc>
        <w:tc>
          <w:tcPr>
            <w:tcW w:w="0" w:type="auto"/>
            <w:gridSpan w:val="3"/>
            <w:tcMar>
              <w:left w:w="108" w:type="dxa"/>
              <w:right w:w="108" w:type="dxa"/>
            </w:tcMar>
            <w:vAlign w:val="center"/>
          </w:tcPr>
          <w:p w14:paraId="6352D3C3">
            <w:pPr>
              <w:jc w:val="center"/>
              <w:rPr>
                <w:rFonts w:hint="eastAsia" w:eastAsia="宋体"/>
                <w:highlight w:val="none"/>
                <w:lang w:eastAsia="zh-CN"/>
              </w:rPr>
            </w:pPr>
            <w:r>
              <w:rPr>
                <w:highlight w:val="none"/>
              </w:rPr>
              <w:t>爆炸极限</w:t>
            </w:r>
            <w:r>
              <w:rPr>
                <w:rFonts w:hint="eastAsia"/>
                <w:highlight w:val="none"/>
                <w:lang w:eastAsia="zh-CN"/>
              </w:rPr>
              <w:t>（</w:t>
            </w:r>
            <w:r>
              <w:rPr>
                <w:highlight w:val="none"/>
              </w:rPr>
              <w:t>V%</w:t>
            </w:r>
            <w:r>
              <w:rPr>
                <w:rFonts w:hint="eastAsia"/>
                <w:highlight w:val="none"/>
                <w:lang w:eastAsia="zh-CN"/>
              </w:rPr>
              <w:t>）</w:t>
            </w:r>
            <w:r>
              <w:rPr>
                <w:highlight w:val="none"/>
              </w:rPr>
              <w:t xml:space="preserve">：6 </w:t>
            </w:r>
            <w:r>
              <w:rPr>
                <w:rFonts w:hint="eastAsia"/>
                <w:highlight w:val="none"/>
                <w:lang w:eastAsia="zh-CN"/>
              </w:rPr>
              <w:t>（</w:t>
            </w:r>
            <w:r>
              <w:rPr>
                <w:highlight w:val="none"/>
              </w:rPr>
              <w:t>下限</w:t>
            </w:r>
            <w:r>
              <w:rPr>
                <w:rFonts w:hint="eastAsia"/>
                <w:highlight w:val="none"/>
                <w:lang w:eastAsia="zh-CN"/>
              </w:rPr>
              <w:t>）</w:t>
            </w:r>
            <w:r>
              <w:rPr>
                <w:highlight w:val="none"/>
              </w:rPr>
              <w:t xml:space="preserve">；36.5 </w:t>
            </w:r>
            <w:r>
              <w:rPr>
                <w:rFonts w:hint="eastAsia"/>
                <w:highlight w:val="none"/>
                <w:lang w:eastAsia="zh-CN"/>
              </w:rPr>
              <w:t>（</w:t>
            </w:r>
            <w:r>
              <w:rPr>
                <w:highlight w:val="none"/>
              </w:rPr>
              <w:t>上限</w:t>
            </w:r>
            <w:r>
              <w:rPr>
                <w:rFonts w:hint="eastAsia"/>
                <w:highlight w:val="none"/>
                <w:lang w:eastAsia="zh-CN"/>
              </w:rPr>
              <w:t>）</w:t>
            </w:r>
          </w:p>
        </w:tc>
      </w:tr>
      <w:tr w14:paraId="14C1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407F8512">
            <w:pPr>
              <w:jc w:val="center"/>
              <w:rPr>
                <w:highlight w:val="none"/>
              </w:rPr>
            </w:pPr>
          </w:p>
        </w:tc>
        <w:tc>
          <w:tcPr>
            <w:tcW w:w="0" w:type="auto"/>
            <w:tcMar>
              <w:left w:w="108" w:type="dxa"/>
              <w:right w:w="108" w:type="dxa"/>
            </w:tcMar>
            <w:vAlign w:val="center"/>
          </w:tcPr>
          <w:p w14:paraId="708B24EE">
            <w:pPr>
              <w:jc w:val="center"/>
              <w:rPr>
                <w:highlight w:val="none"/>
              </w:rPr>
            </w:pPr>
            <w:r>
              <w:rPr>
                <w:highlight w:val="none"/>
              </w:rPr>
              <w:t>危险特性</w:t>
            </w:r>
          </w:p>
        </w:tc>
        <w:tc>
          <w:tcPr>
            <w:tcW w:w="0" w:type="auto"/>
            <w:gridSpan w:val="4"/>
            <w:tcMar>
              <w:left w:w="108" w:type="dxa"/>
              <w:right w:w="108" w:type="dxa"/>
            </w:tcMar>
            <w:vAlign w:val="center"/>
          </w:tcPr>
          <w:p w14:paraId="433AE445">
            <w:pPr>
              <w:jc w:val="center"/>
              <w:rPr>
                <w:highlight w:val="none"/>
              </w:rPr>
            </w:pPr>
            <w:r>
              <w:rPr>
                <w:highlight w:val="none"/>
              </w:rPr>
              <w:t>易燃。其</w:t>
            </w:r>
            <w:r>
              <w:rPr>
                <w:rFonts w:hint="eastAsia"/>
                <w:highlight w:val="none"/>
                <w:lang w:eastAsia="zh-CN"/>
              </w:rPr>
              <w:t>蒸汽</w:t>
            </w:r>
            <w:r>
              <w:rPr>
                <w:highlight w:val="none"/>
              </w:rPr>
              <w:t>与空气可形成爆炸性混合物。遇明火、高热能引起燃烧爆炸。与氧化剂接触发生化学反应或引起燃烧。在火场中受热的容器有爆炸危险。其</w:t>
            </w:r>
            <w:r>
              <w:rPr>
                <w:rFonts w:hint="eastAsia"/>
                <w:highlight w:val="none"/>
                <w:lang w:eastAsia="zh-CN"/>
              </w:rPr>
              <w:t>蒸汽</w:t>
            </w:r>
            <w:r>
              <w:rPr>
                <w:highlight w:val="none"/>
              </w:rPr>
              <w:t>比空气重，能在较低处扩散到相当远的地方，遇火源会着火回燃。</w:t>
            </w:r>
          </w:p>
        </w:tc>
      </w:tr>
      <w:tr w14:paraId="7899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1EE514C6">
            <w:pPr>
              <w:jc w:val="center"/>
              <w:rPr>
                <w:highlight w:val="none"/>
              </w:rPr>
            </w:pPr>
          </w:p>
        </w:tc>
        <w:tc>
          <w:tcPr>
            <w:tcW w:w="0" w:type="auto"/>
            <w:tcMar>
              <w:left w:w="108" w:type="dxa"/>
              <w:right w:w="108" w:type="dxa"/>
            </w:tcMar>
            <w:vAlign w:val="center"/>
          </w:tcPr>
          <w:p w14:paraId="7F51CDA8">
            <w:pPr>
              <w:jc w:val="center"/>
              <w:rPr>
                <w:highlight w:val="none"/>
              </w:rPr>
            </w:pPr>
            <w:r>
              <w:rPr>
                <w:highlight w:val="none"/>
              </w:rPr>
              <w:t>燃烧产物：一氧化碳</w:t>
            </w:r>
          </w:p>
        </w:tc>
        <w:tc>
          <w:tcPr>
            <w:tcW w:w="0" w:type="auto"/>
            <w:gridSpan w:val="4"/>
            <w:tcMar>
              <w:left w:w="108" w:type="dxa"/>
              <w:right w:w="108" w:type="dxa"/>
            </w:tcMar>
            <w:vAlign w:val="center"/>
          </w:tcPr>
          <w:p w14:paraId="29D59B72">
            <w:pPr>
              <w:jc w:val="center"/>
              <w:rPr>
                <w:highlight w:val="none"/>
              </w:rPr>
            </w:pPr>
            <w:r>
              <w:rPr>
                <w:highlight w:val="none"/>
              </w:rPr>
              <w:t>禁忌物：酸类、酸酐、强氧化剂、碱金属</w:t>
            </w:r>
            <w:r>
              <w:rPr>
                <w:rFonts w:hint="eastAsia"/>
                <w:highlight w:val="none"/>
                <w:lang w:eastAsia="zh-CN"/>
              </w:rPr>
              <w:t>扥等</w:t>
            </w:r>
            <w:r>
              <w:rPr>
                <w:highlight w:val="none"/>
              </w:rPr>
              <w:t>。</w:t>
            </w:r>
          </w:p>
        </w:tc>
      </w:tr>
      <w:tr w14:paraId="296F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0D463368">
            <w:pPr>
              <w:jc w:val="center"/>
              <w:rPr>
                <w:highlight w:val="none"/>
              </w:rPr>
            </w:pPr>
            <w:r>
              <w:rPr>
                <w:highlight w:val="none"/>
              </w:rPr>
              <w:t>灭火方式</w:t>
            </w:r>
          </w:p>
        </w:tc>
        <w:tc>
          <w:tcPr>
            <w:tcW w:w="0" w:type="auto"/>
            <w:gridSpan w:val="5"/>
            <w:tcMar>
              <w:left w:w="108" w:type="dxa"/>
              <w:right w:w="108" w:type="dxa"/>
            </w:tcMar>
            <w:vAlign w:val="center"/>
          </w:tcPr>
          <w:p w14:paraId="08409013">
            <w:pPr>
              <w:jc w:val="center"/>
              <w:rPr>
                <w:highlight w:val="none"/>
              </w:rPr>
            </w:pPr>
            <w:r>
              <w:rPr>
                <w:highlight w:val="none"/>
              </w:rPr>
              <w:t>消防人员必须佩戴防毒面具、穿全身消防服，在上风向灭火。</w:t>
            </w:r>
          </w:p>
        </w:tc>
      </w:tr>
      <w:tr w14:paraId="772A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4DB94F38">
            <w:pPr>
              <w:jc w:val="center"/>
              <w:rPr>
                <w:highlight w:val="none"/>
              </w:rPr>
            </w:pPr>
          </w:p>
        </w:tc>
        <w:tc>
          <w:tcPr>
            <w:tcW w:w="0" w:type="auto"/>
            <w:gridSpan w:val="5"/>
            <w:tcMar>
              <w:left w:w="108" w:type="dxa"/>
              <w:right w:w="108" w:type="dxa"/>
            </w:tcMar>
            <w:vAlign w:val="center"/>
          </w:tcPr>
          <w:p w14:paraId="5A030EE9">
            <w:pPr>
              <w:jc w:val="center"/>
              <w:rPr>
                <w:highlight w:val="none"/>
              </w:rPr>
            </w:pPr>
            <w:r>
              <w:rPr>
                <w:highlight w:val="none"/>
              </w:rPr>
              <w:t>灭火剂：抗溶性泡沫、干粉、二氧化碳、砂土</w:t>
            </w:r>
            <w:r>
              <w:rPr>
                <w:rFonts w:hint="eastAsia"/>
                <w:highlight w:val="none"/>
                <w:lang w:eastAsia="zh-CN"/>
              </w:rPr>
              <w:t>等</w:t>
            </w:r>
            <w:r>
              <w:rPr>
                <w:highlight w:val="none"/>
              </w:rPr>
              <w:t>。</w:t>
            </w:r>
            <w:r>
              <w:rPr>
                <w:highlight w:val="none"/>
              </w:rPr>
              <w:br w:type="textWrapping"/>
            </w:r>
            <w:r>
              <w:rPr>
                <w:highlight w:val="none"/>
              </w:rPr>
              <w:t>灭火注意事项：尽可能将容器从火场移至空旷处。喷水保持火场容器冷却直至灭火结束。处在火场中的容器若已变色或从安全泄压装置中产生声音，必须马上撤离。</w:t>
            </w:r>
          </w:p>
        </w:tc>
      </w:tr>
      <w:tr w14:paraId="4D76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19CC38AB">
            <w:pPr>
              <w:jc w:val="center"/>
              <w:rPr>
                <w:highlight w:val="none"/>
              </w:rPr>
            </w:pPr>
            <w:r>
              <w:rPr>
                <w:highlight w:val="none"/>
              </w:rPr>
              <w:t>泄漏应急处理</w:t>
            </w:r>
          </w:p>
        </w:tc>
        <w:tc>
          <w:tcPr>
            <w:tcW w:w="0" w:type="auto"/>
            <w:gridSpan w:val="5"/>
            <w:tcMar>
              <w:left w:w="108" w:type="dxa"/>
              <w:right w:w="108" w:type="dxa"/>
            </w:tcMar>
            <w:vAlign w:val="center"/>
          </w:tcPr>
          <w:p w14:paraId="5730A008">
            <w:pPr>
              <w:jc w:val="center"/>
              <w:rPr>
                <w:highlight w:val="none"/>
              </w:rPr>
            </w:pPr>
            <w:r>
              <w:rPr>
                <w:highlight w:val="none"/>
              </w:rPr>
              <w:t>消除所有火源。迅速撤离泄漏污染区人员至安全区</w:t>
            </w:r>
            <w:r>
              <w:rPr>
                <w:rFonts w:hint="eastAsia"/>
                <w:highlight w:val="none"/>
                <w:lang w:eastAsia="zh-CN"/>
              </w:rPr>
              <w:t>，</w:t>
            </w:r>
            <w:r>
              <w:rPr>
                <w:highlight w:val="none"/>
              </w:rPr>
              <w:t>并进行隔离</w:t>
            </w:r>
            <w:r>
              <w:rPr>
                <w:rFonts w:hint="eastAsia"/>
                <w:highlight w:val="none"/>
                <w:lang w:eastAsia="zh-CN"/>
              </w:rPr>
              <w:t>，</w:t>
            </w:r>
            <w:r>
              <w:rPr>
                <w:highlight w:val="none"/>
              </w:rPr>
              <w:t>严格限制出入。切断火源。建议应急处理人员戴自给正压式呼吸器</w:t>
            </w:r>
            <w:r>
              <w:rPr>
                <w:rFonts w:hint="eastAsia"/>
                <w:highlight w:val="none"/>
                <w:lang w:eastAsia="zh-CN"/>
              </w:rPr>
              <w:t>，</w:t>
            </w:r>
            <w:r>
              <w:rPr>
                <w:highlight w:val="none"/>
              </w:rPr>
              <w:t>穿防静电工作服</w:t>
            </w:r>
            <w:r>
              <w:rPr>
                <w:rFonts w:hint="eastAsia"/>
                <w:highlight w:val="none"/>
                <w:lang w:eastAsia="zh-CN"/>
              </w:rPr>
              <w:t>，</w:t>
            </w:r>
            <w:r>
              <w:rPr>
                <w:highlight w:val="none"/>
              </w:rPr>
              <w:t>不要直接接触泄漏物</w:t>
            </w:r>
            <w:r>
              <w:rPr>
                <w:rFonts w:hint="eastAsia"/>
                <w:highlight w:val="none"/>
                <w:lang w:eastAsia="zh-CN"/>
              </w:rPr>
              <w:t>，</w:t>
            </w:r>
            <w:r>
              <w:rPr>
                <w:highlight w:val="none"/>
              </w:rPr>
              <w:t>尽可能切断泄漏源。防止流入下水道、排洪沟等限制空间。小量泄漏：用砂土或其他不燃材料吸附或吸收。也可以用大量水冲洗</w:t>
            </w:r>
            <w:r>
              <w:rPr>
                <w:rFonts w:hint="eastAsia"/>
                <w:highlight w:val="none"/>
                <w:lang w:eastAsia="zh-CN"/>
              </w:rPr>
              <w:t>，</w:t>
            </w:r>
            <w:r>
              <w:rPr>
                <w:highlight w:val="none"/>
              </w:rPr>
              <w:t>洗水稀释后放入废水系统。大量泄漏：构筑围堤或挖坑收容</w:t>
            </w:r>
            <w:r>
              <w:rPr>
                <w:rFonts w:hint="eastAsia"/>
                <w:highlight w:val="none"/>
                <w:lang w:eastAsia="zh-CN"/>
              </w:rPr>
              <w:t>，</w:t>
            </w:r>
            <w:r>
              <w:rPr>
                <w:highlight w:val="none"/>
              </w:rPr>
              <w:t>用泡沫覆盖</w:t>
            </w:r>
            <w:r>
              <w:rPr>
                <w:rFonts w:hint="eastAsia"/>
                <w:highlight w:val="none"/>
                <w:lang w:eastAsia="zh-CN"/>
              </w:rPr>
              <w:t>，</w:t>
            </w:r>
            <w:r>
              <w:rPr>
                <w:highlight w:val="none"/>
              </w:rPr>
              <w:t>降低</w:t>
            </w:r>
            <w:r>
              <w:rPr>
                <w:rFonts w:hint="eastAsia"/>
                <w:highlight w:val="none"/>
                <w:lang w:eastAsia="zh-CN"/>
              </w:rPr>
              <w:t>蒸汽</w:t>
            </w:r>
            <w:r>
              <w:rPr>
                <w:highlight w:val="none"/>
              </w:rPr>
              <w:t>危害。用防爆泵转移至槽车或专用收集罐内</w:t>
            </w:r>
            <w:r>
              <w:rPr>
                <w:rFonts w:hint="eastAsia"/>
                <w:highlight w:val="none"/>
                <w:lang w:eastAsia="zh-CN"/>
              </w:rPr>
              <w:t>，</w:t>
            </w:r>
            <w:r>
              <w:rPr>
                <w:highlight w:val="none"/>
              </w:rPr>
              <w:t>回收或至废物处理场所处置。</w:t>
            </w:r>
          </w:p>
        </w:tc>
      </w:tr>
      <w:tr w14:paraId="4DEF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4982D277">
            <w:pPr>
              <w:jc w:val="center"/>
              <w:rPr>
                <w:highlight w:val="none"/>
              </w:rPr>
            </w:pPr>
            <w:r>
              <w:rPr>
                <w:highlight w:val="none"/>
              </w:rPr>
              <w:t>消除方法</w:t>
            </w:r>
          </w:p>
        </w:tc>
        <w:tc>
          <w:tcPr>
            <w:tcW w:w="0" w:type="auto"/>
            <w:gridSpan w:val="5"/>
            <w:tcMar>
              <w:left w:w="108" w:type="dxa"/>
              <w:right w:w="108" w:type="dxa"/>
            </w:tcMar>
            <w:vAlign w:val="center"/>
          </w:tcPr>
          <w:p w14:paraId="6ECD3DDF">
            <w:pPr>
              <w:jc w:val="center"/>
              <w:rPr>
                <w:highlight w:val="none"/>
              </w:rPr>
            </w:pPr>
            <w:r>
              <w:rPr>
                <w:highlight w:val="none"/>
              </w:rPr>
              <w:t>建议用焚烧法处置，与燃料混合后，再焚烧。焚烧炉排出的气体要通过洗涤器除去</w:t>
            </w:r>
          </w:p>
        </w:tc>
      </w:tr>
      <w:tr w14:paraId="1A72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32D4A64F">
            <w:pPr>
              <w:jc w:val="center"/>
              <w:rPr>
                <w:highlight w:val="none"/>
              </w:rPr>
            </w:pPr>
            <w:r>
              <w:rPr>
                <w:highlight w:val="none"/>
              </w:rPr>
              <w:t>操作注意事项</w:t>
            </w:r>
          </w:p>
        </w:tc>
        <w:tc>
          <w:tcPr>
            <w:tcW w:w="0" w:type="auto"/>
            <w:gridSpan w:val="5"/>
            <w:tcMar>
              <w:left w:w="108" w:type="dxa"/>
              <w:right w:w="108" w:type="dxa"/>
            </w:tcMar>
            <w:vAlign w:val="center"/>
          </w:tcPr>
          <w:p w14:paraId="50502A18">
            <w:pPr>
              <w:jc w:val="center"/>
              <w:rPr>
                <w:highlight w:val="none"/>
              </w:rPr>
            </w:pPr>
            <w:r>
              <w:rPr>
                <w:highlight w:val="none"/>
              </w:rPr>
              <w:t>密闭操作，加强通风。操作人员必须经过专门培训，严格遵守操作规程。建议操作人员佩戴过滤式防毒面具（半面罩），戴化学安全防护眼镜</w:t>
            </w:r>
            <w:r>
              <w:rPr>
                <w:rFonts w:hint="eastAsia"/>
                <w:highlight w:val="none"/>
                <w:lang w:eastAsia="zh-CN"/>
              </w:rPr>
              <w:t>，</w:t>
            </w:r>
            <w:r>
              <w:rPr>
                <w:highlight w:val="none"/>
              </w:rPr>
              <w:t>穿防静电工作服</w:t>
            </w:r>
            <w:r>
              <w:rPr>
                <w:rFonts w:hint="eastAsia"/>
                <w:highlight w:val="none"/>
                <w:lang w:eastAsia="zh-CN"/>
              </w:rPr>
              <w:t>，</w:t>
            </w:r>
            <w:r>
              <w:rPr>
                <w:highlight w:val="none"/>
              </w:rPr>
              <w:t>戴橡胶手套。远离火种、热源。工作场所严禁吸烟。使用防爆型的通风系统和设备防止</w:t>
            </w:r>
            <w:r>
              <w:rPr>
                <w:rFonts w:hint="eastAsia"/>
                <w:highlight w:val="none"/>
                <w:lang w:eastAsia="zh-CN"/>
              </w:rPr>
              <w:t>蒸汽</w:t>
            </w:r>
            <w:r>
              <w:rPr>
                <w:highlight w:val="none"/>
              </w:rPr>
              <w:t>泄漏到工作场所以及空气中。避免与氧化剂、酸类、碱金属</w:t>
            </w:r>
            <w:r>
              <w:rPr>
                <w:rFonts w:hint="eastAsia"/>
                <w:highlight w:val="none"/>
                <w:lang w:eastAsia="zh-CN"/>
              </w:rPr>
              <w:t>等</w:t>
            </w:r>
            <w:r>
              <w:rPr>
                <w:highlight w:val="none"/>
              </w:rPr>
              <w:t>接触。灌装时应控制流速，且有接地装置，防止静电积聚。配备相应品种和数量的消防器材及泄漏应急处理设备。倒空的容器可能</w:t>
            </w:r>
            <w:r>
              <w:rPr>
                <w:rFonts w:hint="eastAsia"/>
                <w:highlight w:val="none"/>
                <w:lang w:eastAsia="zh-CN"/>
              </w:rPr>
              <w:t>会</w:t>
            </w:r>
            <w:r>
              <w:rPr>
                <w:highlight w:val="none"/>
              </w:rPr>
              <w:t>残留有害</w:t>
            </w:r>
            <w:r>
              <w:rPr>
                <w:rFonts w:hint="eastAsia"/>
                <w:highlight w:val="none"/>
                <w:lang w:eastAsia="zh-CN"/>
              </w:rPr>
              <w:t>物质</w:t>
            </w:r>
            <w:r>
              <w:rPr>
                <w:highlight w:val="none"/>
              </w:rPr>
              <w:t>。</w:t>
            </w:r>
          </w:p>
        </w:tc>
      </w:tr>
      <w:tr w14:paraId="6000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6A6B485B">
            <w:pPr>
              <w:jc w:val="center"/>
              <w:rPr>
                <w:highlight w:val="none"/>
              </w:rPr>
            </w:pPr>
            <w:r>
              <w:rPr>
                <w:highlight w:val="none"/>
              </w:rPr>
              <w:t>防护措施</w:t>
            </w:r>
          </w:p>
        </w:tc>
        <w:tc>
          <w:tcPr>
            <w:tcW w:w="0" w:type="auto"/>
            <w:tcMar>
              <w:left w:w="108" w:type="dxa"/>
              <w:right w:w="108" w:type="dxa"/>
            </w:tcMar>
            <w:vAlign w:val="center"/>
          </w:tcPr>
          <w:p w14:paraId="54BC9D32">
            <w:pPr>
              <w:jc w:val="center"/>
              <w:rPr>
                <w:highlight w:val="none"/>
              </w:rPr>
            </w:pPr>
            <w:r>
              <w:rPr>
                <w:highlight w:val="none"/>
              </w:rPr>
              <w:t>呼吸系统防护</w:t>
            </w:r>
          </w:p>
        </w:tc>
        <w:tc>
          <w:tcPr>
            <w:tcW w:w="0" w:type="auto"/>
            <w:gridSpan w:val="4"/>
            <w:tcMar>
              <w:left w:w="108" w:type="dxa"/>
              <w:right w:w="108" w:type="dxa"/>
            </w:tcMar>
            <w:vAlign w:val="center"/>
          </w:tcPr>
          <w:p w14:paraId="63D62BAE">
            <w:pPr>
              <w:jc w:val="center"/>
              <w:rPr>
                <w:highlight w:val="none"/>
              </w:rPr>
            </w:pPr>
            <w:r>
              <w:rPr>
                <w:highlight w:val="none"/>
              </w:rPr>
              <w:t>可能接触其</w:t>
            </w:r>
            <w:r>
              <w:rPr>
                <w:rFonts w:hint="eastAsia"/>
                <w:highlight w:val="none"/>
                <w:lang w:eastAsia="zh-CN"/>
              </w:rPr>
              <w:t>蒸汽</w:t>
            </w:r>
            <w:r>
              <w:rPr>
                <w:highlight w:val="none"/>
              </w:rPr>
              <w:t>时，应该佩戴过滤式防毒面具</w:t>
            </w:r>
            <w:r>
              <w:rPr>
                <w:rFonts w:hint="eastAsia"/>
                <w:highlight w:val="none"/>
                <w:lang w:eastAsia="zh-CN"/>
              </w:rPr>
              <w:t>（</w:t>
            </w:r>
            <w:r>
              <w:rPr>
                <w:highlight w:val="none"/>
              </w:rPr>
              <w:t>半面罩</w:t>
            </w:r>
            <w:r>
              <w:rPr>
                <w:rFonts w:hint="eastAsia"/>
                <w:highlight w:val="none"/>
                <w:lang w:eastAsia="zh-CN"/>
              </w:rPr>
              <w:t>）</w:t>
            </w:r>
            <w:r>
              <w:rPr>
                <w:highlight w:val="none"/>
              </w:rPr>
              <w:t>。紧急事态抢救或撤离时，建议佩戴空气呼吸器。</w:t>
            </w:r>
          </w:p>
        </w:tc>
      </w:tr>
      <w:tr w14:paraId="2B2B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41F9B4D7">
            <w:pPr>
              <w:jc w:val="center"/>
              <w:rPr>
                <w:highlight w:val="none"/>
              </w:rPr>
            </w:pPr>
          </w:p>
        </w:tc>
        <w:tc>
          <w:tcPr>
            <w:tcW w:w="0" w:type="auto"/>
            <w:tcMar>
              <w:left w:w="108" w:type="dxa"/>
              <w:right w:w="108" w:type="dxa"/>
            </w:tcMar>
            <w:vAlign w:val="center"/>
          </w:tcPr>
          <w:p w14:paraId="34837821">
            <w:pPr>
              <w:jc w:val="center"/>
              <w:rPr>
                <w:highlight w:val="none"/>
              </w:rPr>
            </w:pPr>
            <w:r>
              <w:rPr>
                <w:highlight w:val="none"/>
              </w:rPr>
              <w:t>眼睛防护</w:t>
            </w:r>
          </w:p>
        </w:tc>
        <w:tc>
          <w:tcPr>
            <w:tcW w:w="0" w:type="auto"/>
            <w:gridSpan w:val="4"/>
            <w:tcMar>
              <w:left w:w="108" w:type="dxa"/>
              <w:right w:w="108" w:type="dxa"/>
            </w:tcMar>
            <w:vAlign w:val="center"/>
          </w:tcPr>
          <w:p w14:paraId="300620EA">
            <w:pPr>
              <w:jc w:val="center"/>
              <w:rPr>
                <w:highlight w:val="none"/>
              </w:rPr>
            </w:pPr>
            <w:r>
              <w:rPr>
                <w:highlight w:val="none"/>
              </w:rPr>
              <w:t>戴化学安全防护眼镜。</w:t>
            </w:r>
          </w:p>
        </w:tc>
      </w:tr>
      <w:tr w14:paraId="399B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71613AE3">
            <w:pPr>
              <w:jc w:val="center"/>
              <w:rPr>
                <w:highlight w:val="none"/>
              </w:rPr>
            </w:pPr>
          </w:p>
        </w:tc>
        <w:tc>
          <w:tcPr>
            <w:tcW w:w="0" w:type="auto"/>
            <w:tcMar>
              <w:left w:w="108" w:type="dxa"/>
              <w:right w:w="108" w:type="dxa"/>
            </w:tcMar>
            <w:vAlign w:val="center"/>
          </w:tcPr>
          <w:p w14:paraId="0F346D3F">
            <w:pPr>
              <w:jc w:val="center"/>
              <w:rPr>
                <w:highlight w:val="none"/>
              </w:rPr>
            </w:pPr>
            <w:r>
              <w:rPr>
                <w:highlight w:val="none"/>
              </w:rPr>
              <w:t>身体防护</w:t>
            </w:r>
          </w:p>
        </w:tc>
        <w:tc>
          <w:tcPr>
            <w:tcW w:w="0" w:type="auto"/>
            <w:gridSpan w:val="4"/>
            <w:tcMar>
              <w:left w:w="108" w:type="dxa"/>
              <w:right w:w="108" w:type="dxa"/>
            </w:tcMar>
            <w:vAlign w:val="center"/>
          </w:tcPr>
          <w:p w14:paraId="74031984">
            <w:pPr>
              <w:jc w:val="center"/>
              <w:rPr>
                <w:highlight w:val="none"/>
              </w:rPr>
            </w:pPr>
            <w:r>
              <w:rPr>
                <w:highlight w:val="none"/>
              </w:rPr>
              <w:t>穿防静电工作服。</w:t>
            </w:r>
          </w:p>
        </w:tc>
      </w:tr>
      <w:tr w14:paraId="452C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26F5EF19">
            <w:pPr>
              <w:jc w:val="center"/>
              <w:rPr>
                <w:highlight w:val="none"/>
              </w:rPr>
            </w:pPr>
          </w:p>
        </w:tc>
        <w:tc>
          <w:tcPr>
            <w:tcW w:w="0" w:type="auto"/>
            <w:tcMar>
              <w:left w:w="108" w:type="dxa"/>
              <w:right w:w="108" w:type="dxa"/>
            </w:tcMar>
            <w:vAlign w:val="center"/>
          </w:tcPr>
          <w:p w14:paraId="41F241BD">
            <w:pPr>
              <w:jc w:val="center"/>
              <w:rPr>
                <w:highlight w:val="none"/>
              </w:rPr>
            </w:pPr>
            <w:r>
              <w:rPr>
                <w:highlight w:val="none"/>
              </w:rPr>
              <w:t>手防护</w:t>
            </w:r>
          </w:p>
        </w:tc>
        <w:tc>
          <w:tcPr>
            <w:tcW w:w="0" w:type="auto"/>
            <w:gridSpan w:val="4"/>
            <w:tcMar>
              <w:left w:w="108" w:type="dxa"/>
              <w:right w:w="108" w:type="dxa"/>
            </w:tcMar>
            <w:vAlign w:val="center"/>
          </w:tcPr>
          <w:p w14:paraId="362CB5E5">
            <w:pPr>
              <w:jc w:val="center"/>
              <w:rPr>
                <w:highlight w:val="none"/>
              </w:rPr>
            </w:pPr>
            <w:r>
              <w:rPr>
                <w:highlight w:val="none"/>
              </w:rPr>
              <w:t>戴橡胶手套。</w:t>
            </w:r>
          </w:p>
        </w:tc>
      </w:tr>
      <w:tr w14:paraId="3F49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5944D939">
            <w:pPr>
              <w:jc w:val="center"/>
              <w:rPr>
                <w:highlight w:val="none"/>
              </w:rPr>
            </w:pPr>
          </w:p>
        </w:tc>
        <w:tc>
          <w:tcPr>
            <w:tcW w:w="0" w:type="auto"/>
            <w:tcMar>
              <w:left w:w="108" w:type="dxa"/>
              <w:right w:w="108" w:type="dxa"/>
            </w:tcMar>
            <w:vAlign w:val="center"/>
          </w:tcPr>
          <w:p w14:paraId="75123334">
            <w:pPr>
              <w:jc w:val="center"/>
              <w:rPr>
                <w:rFonts w:hint="eastAsia" w:eastAsia="宋体"/>
                <w:highlight w:val="none"/>
                <w:lang w:eastAsia="zh-CN"/>
              </w:rPr>
            </w:pPr>
            <w:r>
              <w:rPr>
                <w:highlight w:val="none"/>
              </w:rPr>
              <w:t>其</w:t>
            </w:r>
            <w:r>
              <w:rPr>
                <w:rFonts w:hint="eastAsia"/>
                <w:highlight w:val="none"/>
                <w:lang w:eastAsia="zh-CN"/>
              </w:rPr>
              <w:t>他</w:t>
            </w:r>
            <w:r>
              <w:rPr>
                <w:highlight w:val="none"/>
              </w:rPr>
              <w:t>防护</w:t>
            </w:r>
            <w:r>
              <w:rPr>
                <w:rFonts w:hint="eastAsia"/>
                <w:highlight w:val="none"/>
                <w:lang w:eastAsia="zh-CN"/>
              </w:rPr>
              <w:t>措施</w:t>
            </w:r>
          </w:p>
        </w:tc>
        <w:tc>
          <w:tcPr>
            <w:tcW w:w="0" w:type="auto"/>
            <w:gridSpan w:val="4"/>
            <w:tcMar>
              <w:left w:w="108" w:type="dxa"/>
              <w:right w:w="108" w:type="dxa"/>
            </w:tcMar>
            <w:vAlign w:val="center"/>
          </w:tcPr>
          <w:p w14:paraId="3F00CC99">
            <w:pPr>
              <w:jc w:val="center"/>
              <w:rPr>
                <w:highlight w:val="none"/>
              </w:rPr>
            </w:pPr>
            <w:r>
              <w:rPr>
                <w:highlight w:val="none"/>
              </w:rPr>
              <w:t>工作现场禁止吸烟、进食和饮水。工作完毕，淋浴更衣</w:t>
            </w:r>
            <w:r>
              <w:rPr>
                <w:rFonts w:hint="eastAsia"/>
                <w:highlight w:val="none"/>
                <w:lang w:eastAsia="zh-CN"/>
              </w:rPr>
              <w:t>。</w:t>
            </w:r>
            <w:r>
              <w:rPr>
                <w:highlight w:val="none"/>
              </w:rPr>
              <w:t>实行就业前和定期的体检。</w:t>
            </w:r>
          </w:p>
        </w:tc>
      </w:tr>
      <w:tr w14:paraId="1478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4A25F422">
            <w:pPr>
              <w:jc w:val="center"/>
              <w:rPr>
                <w:highlight w:val="none"/>
              </w:rPr>
            </w:pPr>
            <w:r>
              <w:rPr>
                <w:highlight w:val="none"/>
              </w:rPr>
              <w:t>储存注意事项</w:t>
            </w:r>
          </w:p>
        </w:tc>
        <w:tc>
          <w:tcPr>
            <w:tcW w:w="0" w:type="auto"/>
            <w:gridSpan w:val="5"/>
            <w:tcMar>
              <w:left w:w="108" w:type="dxa"/>
              <w:right w:w="108" w:type="dxa"/>
            </w:tcMar>
            <w:vAlign w:val="center"/>
          </w:tcPr>
          <w:p w14:paraId="3659FD11">
            <w:pPr>
              <w:jc w:val="center"/>
              <w:rPr>
                <w:highlight w:val="none"/>
              </w:rPr>
            </w:pPr>
            <w:r>
              <w:rPr>
                <w:highlight w:val="none"/>
              </w:rPr>
              <w:t>储存在阴凉、通风的库房。远离火种、热源。库温不宜超过30℃。保持容器密封。应与氧化剂、酸类、碱金属分开存放，切忌混储。采用防爆型照明、通风设施。禁止使用易产生火花的机械设备和工具。储区应备有泄漏应急处理设备和合适的收容材料。</w:t>
            </w:r>
          </w:p>
        </w:tc>
      </w:tr>
      <w:tr w14:paraId="3AFF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0" w:type="auto"/>
            <w:tcMar>
              <w:left w:w="108" w:type="dxa"/>
              <w:right w:w="108" w:type="dxa"/>
            </w:tcMar>
            <w:vAlign w:val="center"/>
          </w:tcPr>
          <w:p w14:paraId="181DC1B4">
            <w:pPr>
              <w:jc w:val="center"/>
              <w:rPr>
                <w:highlight w:val="none"/>
              </w:rPr>
            </w:pPr>
            <w:r>
              <w:rPr>
                <w:highlight w:val="none"/>
              </w:rPr>
              <w:t>废弃处置方法</w:t>
            </w:r>
          </w:p>
        </w:tc>
        <w:tc>
          <w:tcPr>
            <w:tcW w:w="0" w:type="auto"/>
            <w:gridSpan w:val="5"/>
            <w:tcMar>
              <w:left w:w="108" w:type="dxa"/>
              <w:right w:w="108" w:type="dxa"/>
            </w:tcMar>
            <w:vAlign w:val="center"/>
          </w:tcPr>
          <w:p w14:paraId="210C5C34">
            <w:pPr>
              <w:jc w:val="center"/>
              <w:rPr>
                <w:rFonts w:hint="eastAsia" w:eastAsia="宋体"/>
                <w:highlight w:val="none"/>
                <w:lang w:eastAsia="zh-CN"/>
              </w:rPr>
            </w:pPr>
            <w:r>
              <w:rPr>
                <w:highlight w:val="none"/>
              </w:rPr>
              <w:t>建议用焚烧法处置，与燃料混合后，再焚烧。焚烧炉排出的气体要通过洗涤器除去。废弃注意事项：处置前应参阅国家和地方有关法规</w:t>
            </w:r>
            <w:r>
              <w:rPr>
                <w:rFonts w:hint="eastAsia"/>
                <w:highlight w:val="none"/>
                <w:lang w:eastAsia="zh-CN"/>
              </w:rPr>
              <w:t>。</w:t>
            </w:r>
          </w:p>
        </w:tc>
      </w:tr>
      <w:tr w14:paraId="3F53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15D8196C">
            <w:pPr>
              <w:jc w:val="center"/>
              <w:rPr>
                <w:highlight w:val="none"/>
              </w:rPr>
            </w:pPr>
            <w:r>
              <w:rPr>
                <w:highlight w:val="none"/>
              </w:rPr>
              <w:t>运输注意事项</w:t>
            </w:r>
          </w:p>
        </w:tc>
        <w:tc>
          <w:tcPr>
            <w:tcW w:w="0" w:type="auto"/>
            <w:gridSpan w:val="5"/>
            <w:tcMar>
              <w:left w:w="108" w:type="dxa"/>
              <w:right w:w="108" w:type="dxa"/>
            </w:tcMar>
            <w:vAlign w:val="center"/>
          </w:tcPr>
          <w:p w14:paraId="18CEA95D">
            <w:pPr>
              <w:jc w:val="center"/>
              <w:rPr>
                <w:highlight w:val="none"/>
              </w:rPr>
            </w:pPr>
            <w:r>
              <w:rPr>
                <w:highlight w:val="none"/>
              </w:rPr>
              <w:t>本品铁路运输时限使用钢制企业自备罐车装运，装运前需报有关部门批准。运输时运输车辆应配备相应品种和数量的消防器材及泄漏应急处理设备</w:t>
            </w:r>
            <w:r>
              <w:rPr>
                <w:rFonts w:hint="eastAsia"/>
                <w:highlight w:val="none"/>
                <w:lang w:eastAsia="zh-CN"/>
              </w:rPr>
              <w:t>。</w:t>
            </w:r>
            <w:r>
              <w:rPr>
                <w:highlight w:val="none"/>
              </w:rPr>
              <w:t>夏季最好早晚运输。运输时所用的槽（罐）车应有接地线，槽内可设孔隔板以减少</w:t>
            </w:r>
            <w:r>
              <w:rPr>
                <w:rFonts w:hint="eastAsia"/>
                <w:highlight w:val="none"/>
                <w:lang w:eastAsia="zh-CN"/>
              </w:rPr>
              <w:t>振荡</w:t>
            </w:r>
            <w:r>
              <w:rPr>
                <w:highlight w:val="none"/>
              </w:rPr>
              <w:t>产生静电。严禁与氧化剂、酸类、碱金属、食用化学品等混装混运。运输途中应防晒</w:t>
            </w:r>
            <w:r>
              <w:rPr>
                <w:rFonts w:hint="eastAsia"/>
                <w:highlight w:val="none"/>
                <w:lang w:eastAsia="zh-CN"/>
              </w:rPr>
              <w:t>、防</w:t>
            </w:r>
            <w:r>
              <w:rPr>
                <w:highlight w:val="none"/>
              </w:rPr>
              <w:t>曝晒、</w:t>
            </w:r>
            <w:r>
              <w:rPr>
                <w:rFonts w:hint="eastAsia"/>
                <w:highlight w:val="none"/>
                <w:lang w:eastAsia="zh-CN"/>
              </w:rPr>
              <w:t>防</w:t>
            </w:r>
            <w:r>
              <w:rPr>
                <w:highlight w:val="none"/>
              </w:rPr>
              <w:t>雨淋、防高温。中途停留时应远离火种、热源、高温区。装运该物品的车辆排气管必须配备防火装置。禁止使用易产生火花的机械设备和工具装卸</w:t>
            </w:r>
            <w:r>
              <w:rPr>
                <w:rFonts w:hint="eastAsia"/>
                <w:highlight w:val="none"/>
                <w:lang w:eastAsia="zh-CN"/>
              </w:rPr>
              <w:t>该物品。</w:t>
            </w:r>
            <w:r>
              <w:rPr>
                <w:highlight w:val="none"/>
              </w:rPr>
              <w:t>公路运输时要按规定路线行驶</w:t>
            </w:r>
            <w:r>
              <w:rPr>
                <w:rFonts w:hint="eastAsia"/>
                <w:highlight w:val="none"/>
                <w:lang w:eastAsia="zh-CN"/>
              </w:rPr>
              <w:t>，</w:t>
            </w:r>
            <w:r>
              <w:rPr>
                <w:highlight w:val="none"/>
              </w:rPr>
              <w:t>勿在居民区和人口稠密区停留。铁路运输时要禁止溜放</w:t>
            </w:r>
            <w:r>
              <w:rPr>
                <w:rFonts w:hint="eastAsia"/>
                <w:highlight w:val="none"/>
                <w:lang w:eastAsia="zh-CN"/>
              </w:rPr>
              <w:t>，</w:t>
            </w:r>
            <w:r>
              <w:rPr>
                <w:highlight w:val="none"/>
              </w:rPr>
              <w:t>严禁用木船、水泥船</w:t>
            </w:r>
            <w:r>
              <w:rPr>
                <w:rFonts w:hint="eastAsia"/>
                <w:highlight w:val="none"/>
                <w:lang w:eastAsia="zh-CN"/>
              </w:rPr>
              <w:t>等</w:t>
            </w:r>
            <w:r>
              <w:rPr>
                <w:highlight w:val="none"/>
              </w:rPr>
              <w:t>装运运输。</w:t>
            </w:r>
          </w:p>
        </w:tc>
      </w:tr>
    </w:tbl>
    <w:p w14:paraId="374EDE07">
      <w:pPr>
        <w:spacing w:line="360" w:lineRule="auto"/>
        <w:jc w:val="center"/>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表</w:t>
      </w:r>
      <w:r>
        <w:rPr>
          <w:rFonts w:hint="eastAsia" w:cs="Times New Roman"/>
          <w:b/>
          <w:bCs/>
          <w:sz w:val="21"/>
          <w:szCs w:val="21"/>
          <w:highlight w:val="none"/>
          <w:lang w:val="en-US" w:eastAsia="zh-CN"/>
        </w:rPr>
        <w:t>3.2</w:t>
      </w:r>
      <w:r>
        <w:rPr>
          <w:rFonts w:hint="eastAsia" w:ascii="Times New Roman" w:hAnsi="Times New Roman" w:eastAsia="宋体" w:cs="Times New Roman"/>
          <w:b/>
          <w:bCs/>
          <w:sz w:val="21"/>
          <w:szCs w:val="21"/>
          <w:highlight w:val="none"/>
          <w:lang w:val="en-US" w:eastAsia="zh-CN"/>
        </w:rPr>
        <w:t>-8   乙酸</w:t>
      </w:r>
      <w:r>
        <w:rPr>
          <w:rFonts w:hint="eastAsia" w:cs="Times New Roman"/>
          <w:b/>
          <w:bCs/>
          <w:sz w:val="21"/>
          <w:szCs w:val="21"/>
          <w:highlight w:val="none"/>
          <w:lang w:val="en-US" w:eastAsia="zh-CN"/>
        </w:rPr>
        <w:t>的</w:t>
      </w:r>
      <w:r>
        <w:rPr>
          <w:rFonts w:hint="eastAsia" w:ascii="Times New Roman" w:hAnsi="Times New Roman" w:eastAsia="宋体" w:cs="Times New Roman"/>
          <w:b/>
          <w:bCs/>
          <w:sz w:val="21"/>
          <w:szCs w:val="21"/>
          <w:highlight w:val="none"/>
          <w:lang w:val="en-US" w:eastAsia="zh-CN"/>
        </w:rPr>
        <w:t>理化性质及危险特性</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1"/>
        <w:gridCol w:w="961"/>
        <w:gridCol w:w="284"/>
        <w:gridCol w:w="260"/>
        <w:gridCol w:w="1165"/>
        <w:gridCol w:w="2284"/>
        <w:gridCol w:w="249"/>
        <w:gridCol w:w="249"/>
        <w:gridCol w:w="2697"/>
      </w:tblGrid>
      <w:tr w14:paraId="2861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13D2839A">
            <w:pPr>
              <w:jc w:val="center"/>
              <w:rPr>
                <w:highlight w:val="none"/>
              </w:rPr>
            </w:pPr>
            <w:r>
              <w:rPr>
                <w:highlight w:val="none"/>
              </w:rPr>
              <w:t>标识</w:t>
            </w:r>
          </w:p>
        </w:tc>
        <w:tc>
          <w:tcPr>
            <w:tcW w:w="0" w:type="auto"/>
            <w:gridSpan w:val="6"/>
            <w:tcMar>
              <w:left w:w="108" w:type="dxa"/>
              <w:right w:w="108" w:type="dxa"/>
            </w:tcMar>
            <w:vAlign w:val="center"/>
          </w:tcPr>
          <w:p w14:paraId="7352ABA6">
            <w:pPr>
              <w:jc w:val="center"/>
              <w:rPr>
                <w:highlight w:val="none"/>
              </w:rPr>
            </w:pPr>
            <w:r>
              <w:rPr>
                <w:highlight w:val="none"/>
              </w:rPr>
              <w:t>中文名：乙酸；醋酸</w:t>
            </w:r>
          </w:p>
        </w:tc>
        <w:tc>
          <w:tcPr>
            <w:tcW w:w="0" w:type="auto"/>
            <w:gridSpan w:val="2"/>
            <w:tcMar>
              <w:left w:w="108" w:type="dxa"/>
              <w:right w:w="108" w:type="dxa"/>
            </w:tcMar>
            <w:vAlign w:val="center"/>
          </w:tcPr>
          <w:p w14:paraId="270AEF96">
            <w:pPr>
              <w:jc w:val="center"/>
              <w:rPr>
                <w:highlight w:val="none"/>
              </w:rPr>
            </w:pPr>
            <w:r>
              <w:rPr>
                <w:highlight w:val="none"/>
              </w:rPr>
              <w:t>危险化学品目录序号：2630</w:t>
            </w:r>
          </w:p>
        </w:tc>
      </w:tr>
      <w:tr w14:paraId="422F2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7B29FCA4">
            <w:pPr>
              <w:jc w:val="center"/>
              <w:rPr>
                <w:highlight w:val="none"/>
              </w:rPr>
            </w:pPr>
          </w:p>
        </w:tc>
        <w:tc>
          <w:tcPr>
            <w:tcW w:w="0" w:type="auto"/>
            <w:gridSpan w:val="6"/>
            <w:tcMar>
              <w:left w:w="108" w:type="dxa"/>
              <w:right w:w="108" w:type="dxa"/>
            </w:tcMar>
            <w:vAlign w:val="center"/>
          </w:tcPr>
          <w:p w14:paraId="0B9043C2">
            <w:pPr>
              <w:jc w:val="center"/>
              <w:rPr>
                <w:highlight w:val="none"/>
              </w:rPr>
            </w:pPr>
            <w:r>
              <w:rPr>
                <w:highlight w:val="none"/>
              </w:rPr>
              <w:t>英文名：acetic acid</w:t>
            </w:r>
          </w:p>
        </w:tc>
        <w:tc>
          <w:tcPr>
            <w:tcW w:w="0" w:type="auto"/>
            <w:gridSpan w:val="2"/>
            <w:tcMar>
              <w:left w:w="108" w:type="dxa"/>
              <w:right w:w="108" w:type="dxa"/>
            </w:tcMar>
            <w:vAlign w:val="center"/>
          </w:tcPr>
          <w:p w14:paraId="284D2EBF">
            <w:pPr>
              <w:jc w:val="center"/>
              <w:rPr>
                <w:highlight w:val="none"/>
              </w:rPr>
            </w:pPr>
            <w:r>
              <w:rPr>
                <w:highlight w:val="none"/>
              </w:rPr>
              <w:t>UN编号：2798</w:t>
            </w:r>
          </w:p>
        </w:tc>
      </w:tr>
      <w:tr w14:paraId="2EAD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0121B25E">
            <w:pPr>
              <w:jc w:val="center"/>
              <w:rPr>
                <w:highlight w:val="none"/>
              </w:rPr>
            </w:pPr>
          </w:p>
        </w:tc>
        <w:tc>
          <w:tcPr>
            <w:tcW w:w="0" w:type="auto"/>
            <w:gridSpan w:val="2"/>
            <w:tcMar>
              <w:left w:w="108" w:type="dxa"/>
              <w:right w:w="108" w:type="dxa"/>
            </w:tcMar>
            <w:vAlign w:val="center"/>
          </w:tcPr>
          <w:p w14:paraId="3F15738F">
            <w:pPr>
              <w:jc w:val="center"/>
              <w:rPr>
                <w:highlight w:val="none"/>
              </w:rPr>
            </w:pPr>
            <w:r>
              <w:rPr>
                <w:highlight w:val="none"/>
              </w:rPr>
              <w:t>分子式：C</w:t>
            </w:r>
            <w:r>
              <w:rPr>
                <w:highlight w:val="none"/>
                <w:vertAlign w:val="subscript"/>
              </w:rPr>
              <w:t>2</w:t>
            </w:r>
            <w:r>
              <w:rPr>
                <w:highlight w:val="none"/>
              </w:rPr>
              <w:t>H</w:t>
            </w:r>
            <w:r>
              <w:rPr>
                <w:highlight w:val="none"/>
                <w:vertAlign w:val="subscript"/>
              </w:rPr>
              <w:t>4</w:t>
            </w:r>
            <w:r>
              <w:rPr>
                <w:highlight w:val="none"/>
              </w:rPr>
              <w:t>O</w:t>
            </w:r>
            <w:r>
              <w:rPr>
                <w:highlight w:val="none"/>
                <w:vertAlign w:val="subscript"/>
              </w:rPr>
              <w:t>2</w:t>
            </w:r>
          </w:p>
        </w:tc>
        <w:tc>
          <w:tcPr>
            <w:tcW w:w="0" w:type="auto"/>
            <w:gridSpan w:val="4"/>
            <w:tcMar>
              <w:left w:w="108" w:type="dxa"/>
              <w:right w:w="108" w:type="dxa"/>
            </w:tcMar>
            <w:vAlign w:val="center"/>
          </w:tcPr>
          <w:p w14:paraId="0BE94E96">
            <w:pPr>
              <w:jc w:val="center"/>
              <w:rPr>
                <w:highlight w:val="none"/>
              </w:rPr>
            </w:pPr>
            <w:r>
              <w:rPr>
                <w:highlight w:val="none"/>
              </w:rPr>
              <w:t>分子量：60.05</w:t>
            </w:r>
          </w:p>
        </w:tc>
        <w:tc>
          <w:tcPr>
            <w:tcW w:w="0" w:type="auto"/>
            <w:gridSpan w:val="2"/>
            <w:tcMar>
              <w:left w:w="108" w:type="dxa"/>
              <w:right w:w="108" w:type="dxa"/>
            </w:tcMar>
            <w:vAlign w:val="center"/>
          </w:tcPr>
          <w:p w14:paraId="74663D2A">
            <w:pPr>
              <w:jc w:val="center"/>
              <w:rPr>
                <w:highlight w:val="none"/>
              </w:rPr>
            </w:pPr>
            <w:r>
              <w:rPr>
                <w:highlight w:val="none"/>
              </w:rPr>
              <w:t>CAS号：64-19-7</w:t>
            </w:r>
          </w:p>
        </w:tc>
      </w:tr>
      <w:tr w14:paraId="6C95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325156A4">
            <w:pPr>
              <w:jc w:val="center"/>
              <w:rPr>
                <w:highlight w:val="none"/>
              </w:rPr>
            </w:pPr>
            <w:r>
              <w:rPr>
                <w:highlight w:val="none"/>
              </w:rPr>
              <w:t>理化性质</w:t>
            </w:r>
          </w:p>
        </w:tc>
        <w:tc>
          <w:tcPr>
            <w:tcW w:w="0" w:type="auto"/>
            <w:tcMar>
              <w:left w:w="108" w:type="dxa"/>
              <w:right w:w="108" w:type="dxa"/>
            </w:tcMar>
            <w:vAlign w:val="center"/>
          </w:tcPr>
          <w:p w14:paraId="0C303092">
            <w:pPr>
              <w:jc w:val="center"/>
              <w:rPr>
                <w:highlight w:val="none"/>
              </w:rPr>
            </w:pPr>
            <w:r>
              <w:rPr>
                <w:highlight w:val="none"/>
              </w:rPr>
              <w:t>外观与形状</w:t>
            </w:r>
          </w:p>
        </w:tc>
        <w:tc>
          <w:tcPr>
            <w:tcW w:w="0" w:type="auto"/>
            <w:gridSpan w:val="7"/>
            <w:tcMar>
              <w:left w:w="108" w:type="dxa"/>
              <w:right w:w="108" w:type="dxa"/>
            </w:tcMar>
            <w:vAlign w:val="center"/>
          </w:tcPr>
          <w:p w14:paraId="78F9D023">
            <w:pPr>
              <w:jc w:val="center"/>
              <w:rPr>
                <w:highlight w:val="none"/>
              </w:rPr>
            </w:pPr>
            <w:r>
              <w:rPr>
                <w:highlight w:val="none"/>
              </w:rPr>
              <w:t>无色透明液体或结晶，有刺激性气味</w:t>
            </w:r>
          </w:p>
        </w:tc>
      </w:tr>
      <w:tr w14:paraId="0FFE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3BEF8D9D">
            <w:pPr>
              <w:jc w:val="center"/>
              <w:rPr>
                <w:highlight w:val="none"/>
              </w:rPr>
            </w:pPr>
          </w:p>
        </w:tc>
        <w:tc>
          <w:tcPr>
            <w:tcW w:w="0" w:type="auto"/>
            <w:tcMar>
              <w:left w:w="108" w:type="dxa"/>
              <w:right w:w="108" w:type="dxa"/>
            </w:tcMar>
            <w:vAlign w:val="center"/>
          </w:tcPr>
          <w:p w14:paraId="08BBC0A1">
            <w:pPr>
              <w:jc w:val="center"/>
              <w:rPr>
                <w:highlight w:val="none"/>
              </w:rPr>
            </w:pPr>
            <w:r>
              <w:rPr>
                <w:highlight w:val="none"/>
              </w:rPr>
              <w:t>熔点（℃）</w:t>
            </w:r>
          </w:p>
        </w:tc>
        <w:tc>
          <w:tcPr>
            <w:tcW w:w="0" w:type="auto"/>
            <w:gridSpan w:val="3"/>
            <w:tcMar>
              <w:left w:w="108" w:type="dxa"/>
              <w:right w:w="108" w:type="dxa"/>
            </w:tcMar>
            <w:vAlign w:val="center"/>
          </w:tcPr>
          <w:p w14:paraId="3370892D">
            <w:pPr>
              <w:jc w:val="center"/>
              <w:rPr>
                <w:highlight w:val="none"/>
              </w:rPr>
            </w:pPr>
            <w:r>
              <w:rPr>
                <w:highlight w:val="none"/>
              </w:rPr>
              <w:t>16.7</w:t>
            </w:r>
          </w:p>
        </w:tc>
        <w:tc>
          <w:tcPr>
            <w:tcW w:w="0" w:type="auto"/>
            <w:gridSpan w:val="2"/>
            <w:tcMar>
              <w:left w:w="108" w:type="dxa"/>
              <w:right w:w="108" w:type="dxa"/>
            </w:tcMar>
            <w:vAlign w:val="center"/>
          </w:tcPr>
          <w:p w14:paraId="1915E43D">
            <w:pPr>
              <w:jc w:val="center"/>
              <w:rPr>
                <w:highlight w:val="none"/>
              </w:rPr>
            </w:pPr>
            <w:r>
              <w:rPr>
                <w:highlight w:val="none"/>
              </w:rPr>
              <w:t>密度（g/cm</w:t>
            </w:r>
            <w:r>
              <w:rPr>
                <w:highlight w:val="none"/>
                <w:vertAlign w:val="superscript"/>
              </w:rPr>
              <w:t>3</w:t>
            </w:r>
            <w:r>
              <w:rPr>
                <w:highlight w:val="none"/>
              </w:rPr>
              <w:t>）</w:t>
            </w:r>
          </w:p>
        </w:tc>
        <w:tc>
          <w:tcPr>
            <w:tcW w:w="0" w:type="auto"/>
            <w:gridSpan w:val="2"/>
            <w:tcMar>
              <w:left w:w="108" w:type="dxa"/>
              <w:right w:w="108" w:type="dxa"/>
            </w:tcMar>
            <w:vAlign w:val="center"/>
          </w:tcPr>
          <w:p w14:paraId="2D0A9DEA">
            <w:pPr>
              <w:jc w:val="center"/>
              <w:rPr>
                <w:highlight w:val="none"/>
              </w:rPr>
            </w:pPr>
            <w:r>
              <w:rPr>
                <w:highlight w:val="none"/>
              </w:rPr>
              <w:t>1.05</w:t>
            </w:r>
          </w:p>
        </w:tc>
      </w:tr>
      <w:tr w14:paraId="53DD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6A61365B">
            <w:pPr>
              <w:jc w:val="center"/>
              <w:rPr>
                <w:highlight w:val="none"/>
              </w:rPr>
            </w:pPr>
          </w:p>
        </w:tc>
        <w:tc>
          <w:tcPr>
            <w:tcW w:w="0" w:type="auto"/>
            <w:tcMar>
              <w:left w:w="108" w:type="dxa"/>
              <w:right w:w="108" w:type="dxa"/>
            </w:tcMar>
            <w:vAlign w:val="center"/>
          </w:tcPr>
          <w:p w14:paraId="013B7253">
            <w:pPr>
              <w:jc w:val="center"/>
              <w:rPr>
                <w:highlight w:val="none"/>
              </w:rPr>
            </w:pPr>
            <w:r>
              <w:rPr>
                <w:highlight w:val="none"/>
              </w:rPr>
              <w:t>沸点（℃）</w:t>
            </w:r>
          </w:p>
        </w:tc>
        <w:tc>
          <w:tcPr>
            <w:tcW w:w="0" w:type="auto"/>
            <w:gridSpan w:val="3"/>
            <w:tcMar>
              <w:left w:w="108" w:type="dxa"/>
              <w:right w:w="108" w:type="dxa"/>
            </w:tcMar>
            <w:vAlign w:val="center"/>
          </w:tcPr>
          <w:p w14:paraId="788C0580">
            <w:pPr>
              <w:jc w:val="center"/>
              <w:rPr>
                <w:highlight w:val="none"/>
              </w:rPr>
            </w:pPr>
            <w:r>
              <w:rPr>
                <w:highlight w:val="none"/>
              </w:rPr>
              <w:t>118.1</w:t>
            </w:r>
          </w:p>
        </w:tc>
        <w:tc>
          <w:tcPr>
            <w:tcW w:w="0" w:type="auto"/>
            <w:gridSpan w:val="2"/>
            <w:tcMar>
              <w:left w:w="108" w:type="dxa"/>
              <w:right w:w="108" w:type="dxa"/>
            </w:tcMar>
            <w:vAlign w:val="center"/>
          </w:tcPr>
          <w:p w14:paraId="31D77D76">
            <w:pPr>
              <w:jc w:val="center"/>
              <w:rPr>
                <w:highlight w:val="none"/>
              </w:rPr>
            </w:pPr>
            <w:r>
              <w:rPr>
                <w:highlight w:val="none"/>
              </w:rPr>
              <w:t>饱和</w:t>
            </w:r>
            <w:r>
              <w:rPr>
                <w:rFonts w:hint="eastAsia"/>
                <w:highlight w:val="none"/>
                <w:lang w:eastAsia="zh-CN"/>
              </w:rPr>
              <w:t>蒸汽</w:t>
            </w:r>
            <w:r>
              <w:rPr>
                <w:highlight w:val="none"/>
              </w:rPr>
              <w:t>压（kPa）</w:t>
            </w:r>
          </w:p>
        </w:tc>
        <w:tc>
          <w:tcPr>
            <w:tcW w:w="0" w:type="auto"/>
            <w:gridSpan w:val="2"/>
            <w:tcMar>
              <w:left w:w="108" w:type="dxa"/>
              <w:right w:w="108" w:type="dxa"/>
            </w:tcMar>
            <w:vAlign w:val="center"/>
          </w:tcPr>
          <w:p w14:paraId="5E48D4AB">
            <w:pPr>
              <w:jc w:val="center"/>
              <w:rPr>
                <w:highlight w:val="none"/>
              </w:rPr>
            </w:pPr>
            <w:r>
              <w:rPr>
                <w:highlight w:val="none"/>
              </w:rPr>
              <w:t>1.57（20℃）</w:t>
            </w:r>
          </w:p>
        </w:tc>
      </w:tr>
      <w:tr w14:paraId="0D83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0C0D3A9B">
            <w:pPr>
              <w:jc w:val="center"/>
              <w:rPr>
                <w:highlight w:val="none"/>
              </w:rPr>
            </w:pPr>
          </w:p>
        </w:tc>
        <w:tc>
          <w:tcPr>
            <w:tcW w:w="0" w:type="auto"/>
            <w:tcMar>
              <w:left w:w="108" w:type="dxa"/>
              <w:right w:w="108" w:type="dxa"/>
            </w:tcMar>
            <w:vAlign w:val="center"/>
          </w:tcPr>
          <w:p w14:paraId="0E41A252">
            <w:pPr>
              <w:jc w:val="center"/>
              <w:rPr>
                <w:highlight w:val="none"/>
              </w:rPr>
            </w:pPr>
            <w:r>
              <w:rPr>
                <w:highlight w:val="none"/>
              </w:rPr>
              <w:t>溶解性</w:t>
            </w:r>
          </w:p>
        </w:tc>
        <w:tc>
          <w:tcPr>
            <w:tcW w:w="0" w:type="auto"/>
            <w:gridSpan w:val="7"/>
            <w:tcMar>
              <w:left w:w="108" w:type="dxa"/>
              <w:right w:w="108" w:type="dxa"/>
            </w:tcMar>
            <w:vAlign w:val="center"/>
          </w:tcPr>
          <w:p w14:paraId="233DF09A">
            <w:pPr>
              <w:jc w:val="center"/>
              <w:rPr>
                <w:highlight w:val="none"/>
              </w:rPr>
            </w:pPr>
            <w:r>
              <w:rPr>
                <w:highlight w:val="none"/>
              </w:rPr>
              <w:t>溶于水、醚、甘油、四氯化碳等常用有机溶剂，不溶于二硫化碳和C12以上脂肪烃。</w:t>
            </w:r>
          </w:p>
        </w:tc>
      </w:tr>
      <w:tr w14:paraId="0C63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22EAF3EA">
            <w:pPr>
              <w:jc w:val="center"/>
              <w:rPr>
                <w:highlight w:val="none"/>
              </w:rPr>
            </w:pPr>
            <w:r>
              <w:rPr>
                <w:highlight w:val="none"/>
              </w:rPr>
              <w:t>毒性及健康危害</w:t>
            </w:r>
          </w:p>
        </w:tc>
        <w:tc>
          <w:tcPr>
            <w:tcW w:w="0" w:type="auto"/>
            <w:tcMar>
              <w:left w:w="108" w:type="dxa"/>
              <w:right w:w="108" w:type="dxa"/>
            </w:tcMar>
            <w:vAlign w:val="center"/>
          </w:tcPr>
          <w:p w14:paraId="1CF99C91">
            <w:pPr>
              <w:jc w:val="center"/>
              <w:rPr>
                <w:highlight w:val="none"/>
              </w:rPr>
            </w:pPr>
            <w:r>
              <w:rPr>
                <w:highlight w:val="none"/>
              </w:rPr>
              <w:t>侵入途径</w:t>
            </w:r>
          </w:p>
        </w:tc>
        <w:tc>
          <w:tcPr>
            <w:tcW w:w="0" w:type="auto"/>
            <w:gridSpan w:val="7"/>
            <w:tcMar>
              <w:left w:w="108" w:type="dxa"/>
              <w:right w:w="108" w:type="dxa"/>
            </w:tcMar>
            <w:vAlign w:val="center"/>
          </w:tcPr>
          <w:p w14:paraId="56980339">
            <w:pPr>
              <w:jc w:val="center"/>
              <w:rPr>
                <w:highlight w:val="none"/>
              </w:rPr>
            </w:pPr>
            <w:r>
              <w:rPr>
                <w:highlight w:val="none"/>
              </w:rPr>
              <w:t>吸入、食入，经皮肤吸入。</w:t>
            </w:r>
          </w:p>
        </w:tc>
      </w:tr>
      <w:tr w14:paraId="59A7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35963AAF">
            <w:pPr>
              <w:jc w:val="center"/>
              <w:rPr>
                <w:highlight w:val="none"/>
              </w:rPr>
            </w:pPr>
          </w:p>
        </w:tc>
        <w:tc>
          <w:tcPr>
            <w:tcW w:w="0" w:type="auto"/>
            <w:tcMar>
              <w:left w:w="108" w:type="dxa"/>
              <w:right w:w="108" w:type="dxa"/>
            </w:tcMar>
            <w:vAlign w:val="center"/>
          </w:tcPr>
          <w:p w14:paraId="409FBB08">
            <w:pPr>
              <w:jc w:val="center"/>
              <w:rPr>
                <w:highlight w:val="none"/>
              </w:rPr>
            </w:pPr>
            <w:r>
              <w:rPr>
                <w:highlight w:val="none"/>
              </w:rPr>
              <w:t>急性毒性</w:t>
            </w:r>
          </w:p>
        </w:tc>
        <w:tc>
          <w:tcPr>
            <w:tcW w:w="0" w:type="auto"/>
            <w:gridSpan w:val="7"/>
            <w:tcMar>
              <w:left w:w="108" w:type="dxa"/>
              <w:right w:w="108" w:type="dxa"/>
            </w:tcMar>
            <w:vAlign w:val="center"/>
          </w:tcPr>
          <w:p w14:paraId="212DE6B5">
            <w:pPr>
              <w:jc w:val="center"/>
              <w:rPr>
                <w:highlight w:val="none"/>
              </w:rPr>
            </w:pPr>
            <w:r>
              <w:rPr>
                <w:highlight w:val="none"/>
              </w:rPr>
              <w:t>LD50：大鼠经口 LD50：3530mg/kg；1060mg/kg（兔经皮）LC50：13791mg/m3，1小时（小鼠吸入）</w:t>
            </w:r>
          </w:p>
        </w:tc>
      </w:tr>
      <w:tr w14:paraId="6F11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2ED647CB">
            <w:pPr>
              <w:jc w:val="center"/>
              <w:rPr>
                <w:highlight w:val="none"/>
              </w:rPr>
            </w:pPr>
          </w:p>
        </w:tc>
        <w:tc>
          <w:tcPr>
            <w:tcW w:w="0" w:type="auto"/>
            <w:tcMar>
              <w:left w:w="108" w:type="dxa"/>
              <w:right w:w="108" w:type="dxa"/>
            </w:tcMar>
            <w:vAlign w:val="center"/>
          </w:tcPr>
          <w:p w14:paraId="747AF474">
            <w:pPr>
              <w:jc w:val="center"/>
              <w:rPr>
                <w:highlight w:val="none"/>
              </w:rPr>
            </w:pPr>
            <w:r>
              <w:rPr>
                <w:highlight w:val="none"/>
              </w:rPr>
              <w:t>健康危害</w:t>
            </w:r>
          </w:p>
        </w:tc>
        <w:tc>
          <w:tcPr>
            <w:tcW w:w="0" w:type="auto"/>
            <w:gridSpan w:val="7"/>
            <w:tcMar>
              <w:left w:w="108" w:type="dxa"/>
              <w:right w:w="108" w:type="dxa"/>
            </w:tcMar>
            <w:vAlign w:val="center"/>
          </w:tcPr>
          <w:p w14:paraId="633AF935">
            <w:pPr>
              <w:jc w:val="center"/>
              <w:rPr>
                <w:highlight w:val="none"/>
              </w:rPr>
            </w:pPr>
            <w:r>
              <w:rPr>
                <w:highlight w:val="none"/>
              </w:rPr>
              <w:t>吸入本品蒸汽对鼻、喉和呼吸道有刺激性。对眼有强烈刺激作用。皮肤接触，轻者出现红斑，重者引起化学灼伤和水泡。误服浓乙酸，口腔和消化道可产生糜烂，出现带血呕吐、腹泻甚至尿闭、尿毒症和血尿，重者可因休克而致死。慢性影响：眼睑水肿、结膜充血、慢性咽炎和支气管炎</w:t>
            </w:r>
            <w:r>
              <w:rPr>
                <w:rFonts w:hint="eastAsia"/>
                <w:highlight w:val="none"/>
                <w:lang w:eastAsia="zh-CN"/>
              </w:rPr>
              <w:t>等</w:t>
            </w:r>
            <w:r>
              <w:rPr>
                <w:highlight w:val="none"/>
              </w:rPr>
              <w:t>。长期反复接触，可致皮肤干燥、脱脂和皮炎。</w:t>
            </w:r>
          </w:p>
        </w:tc>
      </w:tr>
      <w:tr w14:paraId="5494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5CBE1768">
            <w:pPr>
              <w:jc w:val="center"/>
              <w:rPr>
                <w:highlight w:val="none"/>
              </w:rPr>
            </w:pPr>
            <w:r>
              <w:rPr>
                <w:highlight w:val="none"/>
              </w:rPr>
              <w:t>燃烧爆炸危险性</w:t>
            </w:r>
          </w:p>
        </w:tc>
        <w:tc>
          <w:tcPr>
            <w:tcW w:w="0" w:type="auto"/>
            <w:tcMar>
              <w:left w:w="108" w:type="dxa"/>
              <w:right w:w="108" w:type="dxa"/>
            </w:tcMar>
            <w:vAlign w:val="center"/>
          </w:tcPr>
          <w:p w14:paraId="6B245720">
            <w:pPr>
              <w:jc w:val="center"/>
              <w:rPr>
                <w:highlight w:val="none"/>
              </w:rPr>
            </w:pPr>
            <w:r>
              <w:rPr>
                <w:highlight w:val="none"/>
              </w:rPr>
              <w:t>燃烧性</w:t>
            </w:r>
          </w:p>
        </w:tc>
        <w:tc>
          <w:tcPr>
            <w:tcW w:w="0" w:type="auto"/>
            <w:gridSpan w:val="2"/>
            <w:tcMar>
              <w:left w:w="108" w:type="dxa"/>
              <w:right w:w="108" w:type="dxa"/>
            </w:tcMar>
            <w:vAlign w:val="center"/>
          </w:tcPr>
          <w:p w14:paraId="3D951E70">
            <w:pPr>
              <w:jc w:val="center"/>
              <w:rPr>
                <w:highlight w:val="none"/>
              </w:rPr>
            </w:pPr>
            <w:r>
              <w:rPr>
                <w:highlight w:val="none"/>
              </w:rPr>
              <w:t>易燃</w:t>
            </w:r>
          </w:p>
        </w:tc>
        <w:tc>
          <w:tcPr>
            <w:tcW w:w="0" w:type="auto"/>
            <w:gridSpan w:val="2"/>
            <w:tcMar>
              <w:left w:w="108" w:type="dxa"/>
              <w:right w:w="108" w:type="dxa"/>
            </w:tcMar>
            <w:vAlign w:val="center"/>
          </w:tcPr>
          <w:p w14:paraId="74AA173E">
            <w:pPr>
              <w:jc w:val="center"/>
              <w:rPr>
                <w:highlight w:val="none"/>
              </w:rPr>
            </w:pPr>
            <w:r>
              <w:rPr>
                <w:highlight w:val="none"/>
              </w:rPr>
              <w:t>燃烧分解物</w:t>
            </w:r>
          </w:p>
        </w:tc>
        <w:tc>
          <w:tcPr>
            <w:tcW w:w="0" w:type="auto"/>
            <w:gridSpan w:val="3"/>
            <w:tcMar>
              <w:left w:w="108" w:type="dxa"/>
              <w:right w:w="108" w:type="dxa"/>
            </w:tcMar>
            <w:vAlign w:val="center"/>
          </w:tcPr>
          <w:p w14:paraId="662E097D">
            <w:pPr>
              <w:jc w:val="center"/>
              <w:rPr>
                <w:highlight w:val="none"/>
              </w:rPr>
            </w:pPr>
            <w:r>
              <w:rPr>
                <w:highlight w:val="none"/>
              </w:rPr>
              <w:t>一氧化碳、二氧化碳</w:t>
            </w:r>
          </w:p>
        </w:tc>
      </w:tr>
      <w:tr w14:paraId="441E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7F0581D0">
            <w:pPr>
              <w:jc w:val="center"/>
              <w:rPr>
                <w:highlight w:val="none"/>
              </w:rPr>
            </w:pPr>
          </w:p>
        </w:tc>
        <w:tc>
          <w:tcPr>
            <w:tcW w:w="0" w:type="auto"/>
            <w:tcMar>
              <w:left w:w="108" w:type="dxa"/>
              <w:right w:w="108" w:type="dxa"/>
            </w:tcMar>
            <w:vAlign w:val="center"/>
          </w:tcPr>
          <w:p w14:paraId="3613D0E1">
            <w:pPr>
              <w:jc w:val="center"/>
              <w:rPr>
                <w:rFonts w:hint="eastAsia" w:eastAsia="宋体"/>
                <w:highlight w:val="none"/>
                <w:lang w:eastAsia="zh-CN"/>
              </w:rPr>
            </w:pPr>
            <w:r>
              <w:rPr>
                <w:highlight w:val="none"/>
              </w:rPr>
              <w:t>闪点</w:t>
            </w:r>
            <w:r>
              <w:rPr>
                <w:rFonts w:hint="eastAsia"/>
                <w:highlight w:val="none"/>
                <w:lang w:eastAsia="zh-CN"/>
              </w:rPr>
              <w:t>（</w:t>
            </w:r>
            <w:r>
              <w:rPr>
                <w:highlight w:val="none"/>
              </w:rPr>
              <w:t>℃</w:t>
            </w:r>
            <w:r>
              <w:rPr>
                <w:rFonts w:hint="eastAsia"/>
                <w:highlight w:val="none"/>
                <w:lang w:eastAsia="zh-CN"/>
              </w:rPr>
              <w:t>）</w:t>
            </w:r>
          </w:p>
        </w:tc>
        <w:tc>
          <w:tcPr>
            <w:tcW w:w="0" w:type="auto"/>
            <w:gridSpan w:val="2"/>
            <w:tcMar>
              <w:left w:w="108" w:type="dxa"/>
              <w:right w:w="108" w:type="dxa"/>
            </w:tcMar>
            <w:vAlign w:val="center"/>
          </w:tcPr>
          <w:p w14:paraId="38FB2ACA">
            <w:pPr>
              <w:jc w:val="center"/>
              <w:rPr>
                <w:highlight w:val="none"/>
              </w:rPr>
            </w:pPr>
            <w:r>
              <w:rPr>
                <w:highlight w:val="none"/>
              </w:rPr>
              <w:t>40</w:t>
            </w:r>
          </w:p>
        </w:tc>
        <w:tc>
          <w:tcPr>
            <w:tcW w:w="0" w:type="auto"/>
            <w:gridSpan w:val="2"/>
            <w:tcMar>
              <w:left w:w="108" w:type="dxa"/>
              <w:right w:w="108" w:type="dxa"/>
            </w:tcMar>
            <w:vAlign w:val="center"/>
          </w:tcPr>
          <w:p w14:paraId="3C68CD7D">
            <w:pPr>
              <w:jc w:val="center"/>
              <w:rPr>
                <w:highlight w:val="none"/>
              </w:rPr>
            </w:pPr>
            <w:r>
              <w:rPr>
                <w:highlight w:val="none"/>
              </w:rPr>
              <w:t>爆炸上限（%：）</w:t>
            </w:r>
          </w:p>
        </w:tc>
        <w:tc>
          <w:tcPr>
            <w:tcW w:w="0" w:type="auto"/>
            <w:gridSpan w:val="3"/>
            <w:tcMar>
              <w:left w:w="108" w:type="dxa"/>
              <w:right w:w="108" w:type="dxa"/>
            </w:tcMar>
            <w:vAlign w:val="center"/>
          </w:tcPr>
          <w:p w14:paraId="36F58E0A">
            <w:pPr>
              <w:jc w:val="center"/>
              <w:rPr>
                <w:highlight w:val="none"/>
              </w:rPr>
            </w:pPr>
            <w:r>
              <w:rPr>
                <w:highlight w:val="none"/>
              </w:rPr>
              <w:t>16.0</w:t>
            </w:r>
          </w:p>
        </w:tc>
      </w:tr>
      <w:tr w14:paraId="3366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02DACF23">
            <w:pPr>
              <w:jc w:val="center"/>
              <w:rPr>
                <w:highlight w:val="none"/>
              </w:rPr>
            </w:pPr>
          </w:p>
        </w:tc>
        <w:tc>
          <w:tcPr>
            <w:tcW w:w="0" w:type="auto"/>
            <w:tcMar>
              <w:left w:w="108" w:type="dxa"/>
              <w:right w:w="108" w:type="dxa"/>
            </w:tcMar>
            <w:vAlign w:val="center"/>
          </w:tcPr>
          <w:p w14:paraId="6B2C7E99">
            <w:pPr>
              <w:jc w:val="center"/>
              <w:rPr>
                <w:rFonts w:hint="eastAsia" w:eastAsia="宋体"/>
                <w:highlight w:val="none"/>
                <w:lang w:eastAsia="zh-CN"/>
              </w:rPr>
            </w:pPr>
            <w:r>
              <w:rPr>
                <w:highlight w:val="none"/>
              </w:rPr>
              <w:t>自燃温度</w:t>
            </w:r>
            <w:r>
              <w:rPr>
                <w:rFonts w:hint="eastAsia"/>
                <w:highlight w:val="none"/>
                <w:lang w:eastAsia="zh-CN"/>
              </w:rPr>
              <w:t>（</w:t>
            </w:r>
            <w:r>
              <w:rPr>
                <w:highlight w:val="none"/>
              </w:rPr>
              <w:t>℃</w:t>
            </w:r>
            <w:r>
              <w:rPr>
                <w:rFonts w:hint="eastAsia"/>
                <w:highlight w:val="none"/>
                <w:lang w:eastAsia="zh-CN"/>
              </w:rPr>
              <w:t>）</w:t>
            </w:r>
          </w:p>
        </w:tc>
        <w:tc>
          <w:tcPr>
            <w:tcW w:w="0" w:type="auto"/>
            <w:gridSpan w:val="2"/>
            <w:tcMar>
              <w:left w:w="108" w:type="dxa"/>
              <w:right w:w="108" w:type="dxa"/>
            </w:tcMar>
            <w:vAlign w:val="center"/>
          </w:tcPr>
          <w:p w14:paraId="6424FCE2">
            <w:pPr>
              <w:jc w:val="center"/>
              <w:rPr>
                <w:highlight w:val="none"/>
              </w:rPr>
            </w:pPr>
            <w:r>
              <w:rPr>
                <w:highlight w:val="none"/>
              </w:rPr>
              <w:t>427</w:t>
            </w:r>
          </w:p>
        </w:tc>
        <w:tc>
          <w:tcPr>
            <w:tcW w:w="0" w:type="auto"/>
            <w:gridSpan w:val="2"/>
            <w:tcMar>
              <w:left w:w="108" w:type="dxa"/>
              <w:right w:w="108" w:type="dxa"/>
            </w:tcMar>
            <w:vAlign w:val="center"/>
          </w:tcPr>
          <w:p w14:paraId="024AD2BB">
            <w:pPr>
              <w:jc w:val="center"/>
              <w:rPr>
                <w:highlight w:val="none"/>
              </w:rPr>
            </w:pPr>
            <w:r>
              <w:rPr>
                <w:highlight w:val="none"/>
              </w:rPr>
              <w:t>爆炸下限（%：）</w:t>
            </w:r>
          </w:p>
        </w:tc>
        <w:tc>
          <w:tcPr>
            <w:tcW w:w="0" w:type="auto"/>
            <w:gridSpan w:val="3"/>
            <w:tcMar>
              <w:left w:w="108" w:type="dxa"/>
              <w:right w:w="108" w:type="dxa"/>
            </w:tcMar>
            <w:vAlign w:val="center"/>
          </w:tcPr>
          <w:p w14:paraId="2D3E275E">
            <w:pPr>
              <w:jc w:val="center"/>
              <w:rPr>
                <w:highlight w:val="none"/>
              </w:rPr>
            </w:pPr>
            <w:r>
              <w:rPr>
                <w:highlight w:val="none"/>
              </w:rPr>
              <w:t>5.4</w:t>
            </w:r>
          </w:p>
        </w:tc>
      </w:tr>
      <w:tr w14:paraId="2E4C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14B7CFCC">
            <w:pPr>
              <w:jc w:val="center"/>
              <w:rPr>
                <w:highlight w:val="none"/>
              </w:rPr>
            </w:pPr>
          </w:p>
        </w:tc>
        <w:tc>
          <w:tcPr>
            <w:tcW w:w="0" w:type="auto"/>
            <w:tcMar>
              <w:left w:w="108" w:type="dxa"/>
              <w:right w:w="108" w:type="dxa"/>
            </w:tcMar>
            <w:vAlign w:val="center"/>
          </w:tcPr>
          <w:p w14:paraId="2DBEC518">
            <w:pPr>
              <w:jc w:val="center"/>
              <w:rPr>
                <w:highlight w:val="none"/>
              </w:rPr>
            </w:pPr>
            <w:r>
              <w:rPr>
                <w:highlight w:val="none"/>
              </w:rPr>
              <w:t>危险特性</w:t>
            </w:r>
          </w:p>
        </w:tc>
        <w:tc>
          <w:tcPr>
            <w:tcW w:w="0" w:type="auto"/>
            <w:gridSpan w:val="7"/>
            <w:tcMar>
              <w:left w:w="108" w:type="dxa"/>
              <w:right w:w="108" w:type="dxa"/>
            </w:tcMar>
            <w:vAlign w:val="center"/>
          </w:tcPr>
          <w:p w14:paraId="2A78F2D3">
            <w:pPr>
              <w:jc w:val="center"/>
              <w:rPr>
                <w:highlight w:val="none"/>
              </w:rPr>
            </w:pPr>
            <w:r>
              <w:rPr>
                <w:highlight w:val="none"/>
              </w:rPr>
              <w:t>易燃，其蒸汽与空气可形成爆炸性混合物，遇明火、高热能引起燃烧爆炸。与铬酸、过氧化钠、硝酸或其他氧化剂接触，有爆炸的危险。具有较强</w:t>
            </w:r>
            <w:r>
              <w:rPr>
                <w:rFonts w:hint="eastAsia"/>
                <w:highlight w:val="none"/>
                <w:lang w:eastAsia="zh-CN"/>
              </w:rPr>
              <w:t>的</w:t>
            </w:r>
            <w:r>
              <w:rPr>
                <w:highlight w:val="none"/>
              </w:rPr>
              <w:t>腐蚀性。</w:t>
            </w:r>
          </w:p>
        </w:tc>
      </w:tr>
      <w:tr w14:paraId="2551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4DE6016B">
            <w:pPr>
              <w:jc w:val="center"/>
              <w:rPr>
                <w:highlight w:val="none"/>
              </w:rPr>
            </w:pPr>
          </w:p>
        </w:tc>
        <w:tc>
          <w:tcPr>
            <w:tcW w:w="0" w:type="auto"/>
            <w:tcMar>
              <w:left w:w="108" w:type="dxa"/>
              <w:right w:w="108" w:type="dxa"/>
            </w:tcMar>
            <w:vAlign w:val="center"/>
          </w:tcPr>
          <w:p w14:paraId="0785D6A8">
            <w:pPr>
              <w:jc w:val="center"/>
              <w:rPr>
                <w:highlight w:val="none"/>
              </w:rPr>
            </w:pPr>
            <w:r>
              <w:rPr>
                <w:highlight w:val="none"/>
              </w:rPr>
              <w:t>建规火险分级</w:t>
            </w:r>
          </w:p>
        </w:tc>
        <w:tc>
          <w:tcPr>
            <w:tcW w:w="0" w:type="auto"/>
            <w:gridSpan w:val="2"/>
            <w:tcMar>
              <w:left w:w="108" w:type="dxa"/>
              <w:right w:w="108" w:type="dxa"/>
            </w:tcMar>
            <w:vAlign w:val="center"/>
          </w:tcPr>
          <w:p w14:paraId="648C0650">
            <w:pPr>
              <w:jc w:val="center"/>
              <w:rPr>
                <w:highlight w:val="none"/>
              </w:rPr>
            </w:pPr>
            <w:r>
              <w:rPr>
                <w:highlight w:val="none"/>
              </w:rPr>
              <w:t>乙类</w:t>
            </w:r>
          </w:p>
        </w:tc>
        <w:tc>
          <w:tcPr>
            <w:tcW w:w="0" w:type="auto"/>
            <w:tcMar>
              <w:left w:w="108" w:type="dxa"/>
              <w:right w:w="108" w:type="dxa"/>
            </w:tcMar>
            <w:vAlign w:val="center"/>
          </w:tcPr>
          <w:p w14:paraId="049BFB90">
            <w:pPr>
              <w:jc w:val="center"/>
              <w:rPr>
                <w:highlight w:val="none"/>
              </w:rPr>
            </w:pPr>
            <w:r>
              <w:rPr>
                <w:highlight w:val="none"/>
              </w:rPr>
              <w:t>稳定性</w:t>
            </w:r>
          </w:p>
        </w:tc>
        <w:tc>
          <w:tcPr>
            <w:tcW w:w="0" w:type="auto"/>
            <w:tcMar>
              <w:left w:w="108" w:type="dxa"/>
              <w:right w:w="108" w:type="dxa"/>
            </w:tcMar>
            <w:vAlign w:val="center"/>
          </w:tcPr>
          <w:p w14:paraId="3ED40378">
            <w:pPr>
              <w:jc w:val="center"/>
              <w:rPr>
                <w:highlight w:val="none"/>
              </w:rPr>
            </w:pPr>
            <w:r>
              <w:rPr>
                <w:highlight w:val="none"/>
              </w:rPr>
              <w:t>稳定</w:t>
            </w:r>
          </w:p>
        </w:tc>
        <w:tc>
          <w:tcPr>
            <w:tcW w:w="0" w:type="auto"/>
            <w:gridSpan w:val="2"/>
            <w:tcMar>
              <w:left w:w="108" w:type="dxa"/>
              <w:right w:w="108" w:type="dxa"/>
            </w:tcMar>
            <w:vAlign w:val="center"/>
          </w:tcPr>
          <w:p w14:paraId="72EB8562">
            <w:pPr>
              <w:jc w:val="center"/>
              <w:rPr>
                <w:highlight w:val="none"/>
              </w:rPr>
            </w:pPr>
            <w:r>
              <w:rPr>
                <w:highlight w:val="none"/>
              </w:rPr>
              <w:t>聚合危害</w:t>
            </w:r>
          </w:p>
        </w:tc>
        <w:tc>
          <w:tcPr>
            <w:tcW w:w="0" w:type="auto"/>
            <w:tcMar>
              <w:left w:w="108" w:type="dxa"/>
              <w:right w:w="108" w:type="dxa"/>
            </w:tcMar>
            <w:vAlign w:val="center"/>
          </w:tcPr>
          <w:p w14:paraId="17852953">
            <w:pPr>
              <w:jc w:val="center"/>
              <w:rPr>
                <w:highlight w:val="none"/>
              </w:rPr>
            </w:pPr>
            <w:r>
              <w:rPr>
                <w:highlight w:val="none"/>
              </w:rPr>
              <w:t>不聚合</w:t>
            </w:r>
          </w:p>
        </w:tc>
      </w:tr>
      <w:tr w14:paraId="133A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3E6E42A6">
            <w:pPr>
              <w:jc w:val="center"/>
              <w:rPr>
                <w:highlight w:val="none"/>
              </w:rPr>
            </w:pPr>
          </w:p>
        </w:tc>
        <w:tc>
          <w:tcPr>
            <w:tcW w:w="0" w:type="auto"/>
            <w:tcMar>
              <w:left w:w="108" w:type="dxa"/>
              <w:right w:w="108" w:type="dxa"/>
            </w:tcMar>
            <w:vAlign w:val="center"/>
          </w:tcPr>
          <w:p w14:paraId="3349AD00">
            <w:pPr>
              <w:jc w:val="center"/>
              <w:rPr>
                <w:highlight w:val="none"/>
              </w:rPr>
            </w:pPr>
            <w:r>
              <w:rPr>
                <w:highlight w:val="none"/>
              </w:rPr>
              <w:t>禁忌物</w:t>
            </w:r>
          </w:p>
        </w:tc>
        <w:tc>
          <w:tcPr>
            <w:tcW w:w="0" w:type="auto"/>
            <w:gridSpan w:val="7"/>
            <w:tcMar>
              <w:left w:w="108" w:type="dxa"/>
              <w:right w:w="108" w:type="dxa"/>
            </w:tcMar>
            <w:vAlign w:val="center"/>
          </w:tcPr>
          <w:p w14:paraId="68710A27">
            <w:pPr>
              <w:jc w:val="center"/>
              <w:rPr>
                <w:highlight w:val="none"/>
              </w:rPr>
            </w:pPr>
            <w:r>
              <w:rPr>
                <w:highlight w:val="none"/>
              </w:rPr>
              <w:t>强碱、强氧化剂</w:t>
            </w:r>
          </w:p>
        </w:tc>
      </w:tr>
      <w:tr w14:paraId="6D9E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6850E6D2">
            <w:pPr>
              <w:jc w:val="center"/>
              <w:rPr>
                <w:highlight w:val="none"/>
              </w:rPr>
            </w:pPr>
          </w:p>
        </w:tc>
        <w:tc>
          <w:tcPr>
            <w:tcW w:w="0" w:type="auto"/>
            <w:tcMar>
              <w:left w:w="108" w:type="dxa"/>
              <w:right w:w="108" w:type="dxa"/>
            </w:tcMar>
            <w:vAlign w:val="center"/>
          </w:tcPr>
          <w:p w14:paraId="7CF7A5B2">
            <w:pPr>
              <w:jc w:val="center"/>
              <w:rPr>
                <w:highlight w:val="none"/>
              </w:rPr>
            </w:pPr>
            <w:r>
              <w:rPr>
                <w:highlight w:val="none"/>
              </w:rPr>
              <w:t>灭火方法</w:t>
            </w:r>
          </w:p>
        </w:tc>
        <w:tc>
          <w:tcPr>
            <w:tcW w:w="0" w:type="auto"/>
            <w:gridSpan w:val="7"/>
            <w:tcMar>
              <w:left w:w="108" w:type="dxa"/>
              <w:right w:w="108" w:type="dxa"/>
            </w:tcMar>
            <w:vAlign w:val="center"/>
          </w:tcPr>
          <w:p w14:paraId="79B575C3">
            <w:pPr>
              <w:jc w:val="center"/>
              <w:rPr>
                <w:highlight w:val="none"/>
              </w:rPr>
            </w:pPr>
            <w:r>
              <w:rPr>
                <w:highlight w:val="none"/>
              </w:rPr>
              <w:t>用水喷射逸出液体，使其稀释成不燃性混合物，并用雾状水保护消防人员。灭火剂：雾状水、抗溶性泡沫、干粉、二氧化碳</w:t>
            </w:r>
            <w:r>
              <w:rPr>
                <w:rFonts w:hint="eastAsia"/>
                <w:highlight w:val="none"/>
                <w:lang w:eastAsia="zh-CN"/>
              </w:rPr>
              <w:t>等</w:t>
            </w:r>
            <w:r>
              <w:rPr>
                <w:highlight w:val="none"/>
              </w:rPr>
              <w:t>。</w:t>
            </w:r>
          </w:p>
        </w:tc>
      </w:tr>
      <w:tr w14:paraId="5A53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6" w:hRule="atLeast"/>
          <w:jc w:val="center"/>
        </w:trPr>
        <w:tc>
          <w:tcPr>
            <w:tcW w:w="0" w:type="auto"/>
            <w:tcMar>
              <w:left w:w="108" w:type="dxa"/>
              <w:right w:w="108" w:type="dxa"/>
            </w:tcMar>
            <w:vAlign w:val="center"/>
          </w:tcPr>
          <w:p w14:paraId="13716A1E">
            <w:pPr>
              <w:jc w:val="center"/>
              <w:rPr>
                <w:highlight w:val="none"/>
              </w:rPr>
            </w:pPr>
            <w:r>
              <w:rPr>
                <w:highlight w:val="none"/>
              </w:rPr>
              <w:t>急救措施</w:t>
            </w:r>
          </w:p>
        </w:tc>
        <w:tc>
          <w:tcPr>
            <w:tcW w:w="0" w:type="auto"/>
            <w:gridSpan w:val="8"/>
            <w:tcMar>
              <w:left w:w="108" w:type="dxa"/>
              <w:right w:w="108" w:type="dxa"/>
            </w:tcMar>
            <w:vAlign w:val="center"/>
          </w:tcPr>
          <w:p w14:paraId="0670C67E">
            <w:pPr>
              <w:jc w:val="center"/>
              <w:rPr>
                <w:highlight w:val="none"/>
              </w:rPr>
            </w:pPr>
            <w:r>
              <w:rPr>
                <w:highlight w:val="none"/>
              </w:rPr>
              <w:t>皮肤接触：脱去污染的衣物，用大量流动清水或5%Na</w:t>
            </w:r>
            <w:r>
              <w:rPr>
                <w:highlight w:val="none"/>
                <w:vertAlign w:val="subscript"/>
              </w:rPr>
              <w:t>2</w:t>
            </w:r>
            <w:r>
              <w:rPr>
                <w:highlight w:val="none"/>
              </w:rPr>
              <w:t>CO</w:t>
            </w:r>
            <w:r>
              <w:rPr>
                <w:highlight w:val="none"/>
                <w:vertAlign w:val="subscript"/>
              </w:rPr>
              <w:t>3</w:t>
            </w:r>
            <w:r>
              <w:rPr>
                <w:highlight w:val="none"/>
              </w:rPr>
              <w:t>、乙酸涂抹冲洗</w:t>
            </w:r>
            <w:r>
              <w:rPr>
                <w:rFonts w:hint="eastAsia"/>
                <w:highlight w:val="none"/>
                <w:lang w:eastAsia="zh-CN"/>
              </w:rPr>
              <w:t>后</w:t>
            </w:r>
            <w:r>
              <w:rPr>
                <w:highlight w:val="none"/>
              </w:rPr>
              <w:t>再用水彻底冲洗至少15分钟。就医。眼睛接触：提起眼睑，用大量流动清水或生理盐水彻底冲洗至少15分钟。就医。吸入：迅速脱离现场至空气新鲜处，保持呼吸道通畅。</w:t>
            </w:r>
            <w:r>
              <w:rPr>
                <w:rFonts w:hint="eastAsia"/>
                <w:highlight w:val="none"/>
                <w:lang w:eastAsia="zh-CN"/>
              </w:rPr>
              <w:t>如果患者感到呼吸困难，应该给患者输氧。</w:t>
            </w:r>
            <w:r>
              <w:rPr>
                <w:highlight w:val="none"/>
              </w:rPr>
              <w:t>如呼吸停止，立即进行人工呼吸。食入：用水漱口。催吐，必要时饮用牛奶与蛋白混合液</w:t>
            </w:r>
            <w:r>
              <w:rPr>
                <w:rFonts w:hint="eastAsia"/>
                <w:highlight w:val="none"/>
                <w:lang w:eastAsia="zh-CN"/>
              </w:rPr>
              <w:t>，</w:t>
            </w:r>
            <w:r>
              <w:rPr>
                <w:highlight w:val="none"/>
              </w:rPr>
              <w:t>就医。</w:t>
            </w:r>
          </w:p>
        </w:tc>
      </w:tr>
      <w:tr w14:paraId="6A20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6878B3E4">
            <w:pPr>
              <w:jc w:val="center"/>
              <w:rPr>
                <w:highlight w:val="none"/>
              </w:rPr>
            </w:pPr>
            <w:r>
              <w:rPr>
                <w:highlight w:val="none"/>
              </w:rPr>
              <w:t>泄漏处置</w:t>
            </w:r>
          </w:p>
        </w:tc>
        <w:tc>
          <w:tcPr>
            <w:tcW w:w="0" w:type="auto"/>
            <w:gridSpan w:val="8"/>
            <w:tcMar>
              <w:left w:w="108" w:type="dxa"/>
              <w:right w:w="108" w:type="dxa"/>
            </w:tcMar>
            <w:vAlign w:val="center"/>
          </w:tcPr>
          <w:p w14:paraId="22EB1C93">
            <w:pPr>
              <w:jc w:val="center"/>
              <w:rPr>
                <w:highlight w:val="none"/>
              </w:rPr>
            </w:pPr>
            <w:r>
              <w:rPr>
                <w:highlight w:val="none"/>
              </w:rPr>
              <w:t>小量泄漏：用砂土、干燥石灰或苏打灰混合中和后再用水冲洗。大量泄漏：构筑围堤或挖坑收容。喷雾状水冷却和稀释蒸汽，保护现场人员、把泄漏物稀释成不燃物。用防爆泵转移至槽车或专用收集器内，回收或运至废物处理场所处理。</w:t>
            </w:r>
          </w:p>
        </w:tc>
      </w:tr>
      <w:tr w14:paraId="4CD5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08" w:type="dxa"/>
              <w:right w:w="108" w:type="dxa"/>
            </w:tcMar>
            <w:vAlign w:val="center"/>
          </w:tcPr>
          <w:p w14:paraId="66395BBF">
            <w:pPr>
              <w:jc w:val="center"/>
              <w:rPr>
                <w:highlight w:val="none"/>
              </w:rPr>
            </w:pPr>
            <w:r>
              <w:rPr>
                <w:highlight w:val="none"/>
              </w:rPr>
              <w:t>储运注意事项</w:t>
            </w:r>
          </w:p>
        </w:tc>
        <w:tc>
          <w:tcPr>
            <w:tcW w:w="0" w:type="auto"/>
            <w:gridSpan w:val="8"/>
            <w:tcMar>
              <w:left w:w="108" w:type="dxa"/>
              <w:right w:w="108" w:type="dxa"/>
            </w:tcMar>
            <w:vAlign w:val="center"/>
          </w:tcPr>
          <w:p w14:paraId="20958B59">
            <w:pPr>
              <w:jc w:val="center"/>
              <w:rPr>
                <w:rFonts w:hint="eastAsia" w:eastAsia="宋体"/>
                <w:highlight w:val="none"/>
                <w:lang w:val="en-US" w:eastAsia="zh-CN"/>
              </w:rPr>
            </w:pPr>
            <w:r>
              <w:rPr>
                <w:highlight w:val="none"/>
              </w:rPr>
              <w:t>储存：储存于阴凉、通风</w:t>
            </w:r>
            <w:r>
              <w:rPr>
                <w:rFonts w:hint="eastAsia"/>
                <w:highlight w:val="none"/>
                <w:lang w:eastAsia="zh-CN"/>
              </w:rPr>
              <w:t>的</w:t>
            </w:r>
            <w:r>
              <w:rPr>
                <w:highlight w:val="none"/>
              </w:rPr>
              <w:t>库房，远离火种、热源。库温不高于室温保存至16℃以上不使冻结。应与氧化剂、碱类和可燃物分开存放，切忌混储，地面用耐酸混凝土或刷涂耐腐材料。采用防爆型照明、通风设施。禁止使用易产生火花的机械设备和工具。储存区应备有泄漏应急处理设备和合适的收容材料。运输：装运前需报有关部门批准。钢瓶戴好安全帽，钢瓶平放并用三角木垫卡牢，防止滚动，不可交叉。运输车辆应配备相应品种和数量的消防器材。运输途中防曝晒、雨淋、防高</w:t>
            </w:r>
            <w:r>
              <w:rPr>
                <w:rFonts w:hint="eastAsia"/>
                <w:highlight w:val="none"/>
                <w:lang w:val="en-US" w:eastAsia="zh-CN"/>
              </w:rPr>
              <w:t>温。</w:t>
            </w:r>
          </w:p>
        </w:tc>
      </w:tr>
    </w:tbl>
    <w:p w14:paraId="1E15B346">
      <w:pPr>
        <w:spacing w:line="360" w:lineRule="auto"/>
        <w:jc w:val="center"/>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表</w:t>
      </w:r>
      <w:r>
        <w:rPr>
          <w:rFonts w:hint="eastAsia" w:cs="Times New Roman"/>
          <w:b/>
          <w:bCs/>
          <w:sz w:val="21"/>
          <w:szCs w:val="21"/>
          <w:highlight w:val="none"/>
          <w:lang w:val="en-US" w:eastAsia="zh-CN"/>
        </w:rPr>
        <w:t>3.2</w:t>
      </w:r>
      <w:r>
        <w:rPr>
          <w:rFonts w:hint="eastAsia" w:ascii="Times New Roman" w:hAnsi="Times New Roman" w:eastAsia="宋体" w:cs="Times New Roman"/>
          <w:b/>
          <w:bCs/>
          <w:sz w:val="21"/>
          <w:szCs w:val="21"/>
          <w:highlight w:val="none"/>
          <w:lang w:val="en-US" w:eastAsia="zh-CN"/>
        </w:rPr>
        <w:t>-9   正丙醇（1-丙醇）的理化性质及危险特性</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9"/>
        <w:gridCol w:w="1129"/>
        <w:gridCol w:w="1454"/>
        <w:gridCol w:w="3014"/>
        <w:gridCol w:w="2554"/>
      </w:tblGrid>
      <w:tr w14:paraId="388B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13D1EF27">
            <w:pPr>
              <w:jc w:val="center"/>
              <w:rPr>
                <w:highlight w:val="none"/>
              </w:rPr>
            </w:pPr>
            <w:r>
              <w:rPr>
                <w:highlight w:val="none"/>
              </w:rPr>
              <w:t>标识</w:t>
            </w:r>
          </w:p>
        </w:tc>
        <w:tc>
          <w:tcPr>
            <w:tcW w:w="0" w:type="auto"/>
            <w:gridSpan w:val="3"/>
            <w:tcMar>
              <w:left w:w="108" w:type="dxa"/>
              <w:right w:w="108" w:type="dxa"/>
            </w:tcMar>
            <w:vAlign w:val="center"/>
          </w:tcPr>
          <w:p w14:paraId="561F3B1B">
            <w:pPr>
              <w:jc w:val="center"/>
              <w:rPr>
                <w:highlight w:val="none"/>
              </w:rPr>
            </w:pPr>
            <w:r>
              <w:rPr>
                <w:highlight w:val="none"/>
              </w:rPr>
              <w:t>别名：1-丙醇</w:t>
            </w:r>
          </w:p>
        </w:tc>
        <w:tc>
          <w:tcPr>
            <w:tcW w:w="0" w:type="auto"/>
            <w:tcMar>
              <w:left w:w="108" w:type="dxa"/>
              <w:right w:w="108" w:type="dxa"/>
            </w:tcMar>
            <w:vAlign w:val="center"/>
          </w:tcPr>
          <w:p w14:paraId="79EC7C3A">
            <w:pPr>
              <w:jc w:val="center"/>
              <w:rPr>
                <w:highlight w:val="none"/>
              </w:rPr>
            </w:pPr>
            <w:r>
              <w:rPr>
                <w:highlight w:val="none"/>
              </w:rPr>
              <w:t>UN编号：1274</w:t>
            </w:r>
          </w:p>
        </w:tc>
      </w:tr>
      <w:tr w14:paraId="5EA0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02637C5D">
            <w:pPr>
              <w:jc w:val="center"/>
              <w:rPr>
                <w:highlight w:val="none"/>
              </w:rPr>
            </w:pPr>
          </w:p>
        </w:tc>
        <w:tc>
          <w:tcPr>
            <w:tcW w:w="0" w:type="auto"/>
            <w:gridSpan w:val="2"/>
            <w:tcMar>
              <w:left w:w="108" w:type="dxa"/>
              <w:right w:w="108" w:type="dxa"/>
            </w:tcMar>
            <w:vAlign w:val="center"/>
          </w:tcPr>
          <w:p w14:paraId="50A30FB1">
            <w:pPr>
              <w:jc w:val="center"/>
              <w:rPr>
                <w:highlight w:val="none"/>
              </w:rPr>
            </w:pPr>
            <w:r>
              <w:rPr>
                <w:highlight w:val="none"/>
              </w:rPr>
              <w:t>英文名：1-propyl alcohol</w:t>
            </w:r>
          </w:p>
        </w:tc>
        <w:tc>
          <w:tcPr>
            <w:tcW w:w="0" w:type="auto"/>
            <w:gridSpan w:val="2"/>
            <w:tcMar>
              <w:left w:w="108" w:type="dxa"/>
              <w:right w:w="108" w:type="dxa"/>
            </w:tcMar>
            <w:vAlign w:val="center"/>
          </w:tcPr>
          <w:p w14:paraId="5C6AC644">
            <w:pPr>
              <w:jc w:val="center"/>
              <w:rPr>
                <w:highlight w:val="none"/>
              </w:rPr>
            </w:pPr>
            <w:r>
              <w:rPr>
                <w:highlight w:val="none"/>
              </w:rPr>
              <w:t>危险化学品编号：32064</w:t>
            </w:r>
          </w:p>
        </w:tc>
      </w:tr>
      <w:tr w14:paraId="231C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35D26E43">
            <w:pPr>
              <w:jc w:val="center"/>
              <w:rPr>
                <w:highlight w:val="none"/>
              </w:rPr>
            </w:pPr>
          </w:p>
        </w:tc>
        <w:tc>
          <w:tcPr>
            <w:tcW w:w="0" w:type="auto"/>
            <w:gridSpan w:val="2"/>
            <w:tcMar>
              <w:left w:w="108" w:type="dxa"/>
              <w:right w:w="108" w:type="dxa"/>
            </w:tcMar>
            <w:vAlign w:val="center"/>
          </w:tcPr>
          <w:p w14:paraId="40F7B942">
            <w:pPr>
              <w:jc w:val="center"/>
              <w:rPr>
                <w:highlight w:val="none"/>
              </w:rPr>
            </w:pPr>
            <w:r>
              <w:rPr>
                <w:highlight w:val="none"/>
              </w:rPr>
              <w:t>分子式：C</w:t>
            </w:r>
            <w:r>
              <w:rPr>
                <w:highlight w:val="none"/>
                <w:vertAlign w:val="subscript"/>
              </w:rPr>
              <w:t>3</w:t>
            </w:r>
            <w:r>
              <w:rPr>
                <w:highlight w:val="none"/>
              </w:rPr>
              <w:t>H</w:t>
            </w:r>
            <w:r>
              <w:rPr>
                <w:highlight w:val="none"/>
                <w:vertAlign w:val="subscript"/>
              </w:rPr>
              <w:t>8</w:t>
            </w:r>
            <w:r>
              <w:rPr>
                <w:highlight w:val="none"/>
              </w:rPr>
              <w:t>O</w:t>
            </w:r>
          </w:p>
        </w:tc>
        <w:tc>
          <w:tcPr>
            <w:tcW w:w="0" w:type="auto"/>
            <w:tcMar>
              <w:left w:w="108" w:type="dxa"/>
              <w:right w:w="108" w:type="dxa"/>
            </w:tcMar>
            <w:vAlign w:val="center"/>
          </w:tcPr>
          <w:p w14:paraId="4CF29E2E">
            <w:pPr>
              <w:jc w:val="center"/>
              <w:rPr>
                <w:highlight w:val="none"/>
              </w:rPr>
            </w:pPr>
            <w:r>
              <w:rPr>
                <w:highlight w:val="none"/>
              </w:rPr>
              <w:t>分子量：60.10</w:t>
            </w:r>
          </w:p>
        </w:tc>
        <w:tc>
          <w:tcPr>
            <w:tcW w:w="0" w:type="auto"/>
            <w:tcMar>
              <w:left w:w="108" w:type="dxa"/>
              <w:right w:w="108" w:type="dxa"/>
            </w:tcMar>
            <w:vAlign w:val="center"/>
          </w:tcPr>
          <w:p w14:paraId="3F639C03">
            <w:pPr>
              <w:jc w:val="center"/>
              <w:rPr>
                <w:highlight w:val="none"/>
              </w:rPr>
            </w:pPr>
            <w:r>
              <w:rPr>
                <w:highlight w:val="none"/>
              </w:rPr>
              <w:t>CAS号：71-23-8</w:t>
            </w:r>
          </w:p>
        </w:tc>
      </w:tr>
      <w:tr w14:paraId="3E97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6A56A439">
            <w:pPr>
              <w:jc w:val="center"/>
              <w:rPr>
                <w:highlight w:val="none"/>
              </w:rPr>
            </w:pPr>
            <w:r>
              <w:rPr>
                <w:highlight w:val="none"/>
              </w:rPr>
              <w:t>理化性质</w:t>
            </w:r>
          </w:p>
        </w:tc>
        <w:tc>
          <w:tcPr>
            <w:tcW w:w="0" w:type="auto"/>
            <w:tcMar>
              <w:left w:w="108" w:type="dxa"/>
              <w:right w:w="108" w:type="dxa"/>
            </w:tcMar>
            <w:vAlign w:val="center"/>
          </w:tcPr>
          <w:p w14:paraId="652413B5">
            <w:pPr>
              <w:jc w:val="center"/>
              <w:rPr>
                <w:highlight w:val="none"/>
              </w:rPr>
            </w:pPr>
            <w:r>
              <w:rPr>
                <w:highlight w:val="none"/>
              </w:rPr>
              <w:t>外观与性状</w:t>
            </w:r>
          </w:p>
        </w:tc>
        <w:tc>
          <w:tcPr>
            <w:tcW w:w="0" w:type="auto"/>
            <w:gridSpan w:val="3"/>
            <w:tcMar>
              <w:left w:w="108" w:type="dxa"/>
              <w:right w:w="108" w:type="dxa"/>
            </w:tcMar>
            <w:vAlign w:val="center"/>
          </w:tcPr>
          <w:p w14:paraId="077E6787">
            <w:pPr>
              <w:jc w:val="center"/>
              <w:rPr>
                <w:highlight w:val="none"/>
              </w:rPr>
            </w:pPr>
            <w:r>
              <w:rPr>
                <w:highlight w:val="none"/>
              </w:rPr>
              <w:t>无色液体。</w:t>
            </w:r>
          </w:p>
        </w:tc>
      </w:tr>
      <w:tr w14:paraId="7615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7D08BC7F">
            <w:pPr>
              <w:jc w:val="center"/>
              <w:rPr>
                <w:highlight w:val="none"/>
              </w:rPr>
            </w:pPr>
          </w:p>
        </w:tc>
        <w:tc>
          <w:tcPr>
            <w:tcW w:w="0" w:type="auto"/>
            <w:tcMar>
              <w:left w:w="108" w:type="dxa"/>
              <w:right w:w="108" w:type="dxa"/>
            </w:tcMar>
            <w:vAlign w:val="center"/>
          </w:tcPr>
          <w:p w14:paraId="3231D54B">
            <w:pPr>
              <w:jc w:val="center"/>
              <w:rPr>
                <w:highlight w:val="none"/>
              </w:rPr>
            </w:pPr>
            <w:r>
              <w:rPr>
                <w:highlight w:val="none"/>
              </w:rPr>
              <w:t>熔点（℃）</w:t>
            </w:r>
          </w:p>
        </w:tc>
        <w:tc>
          <w:tcPr>
            <w:tcW w:w="0" w:type="auto"/>
            <w:tcMar>
              <w:left w:w="108" w:type="dxa"/>
              <w:right w:w="108" w:type="dxa"/>
            </w:tcMar>
            <w:vAlign w:val="center"/>
          </w:tcPr>
          <w:p w14:paraId="10D29D83">
            <w:pPr>
              <w:jc w:val="center"/>
              <w:rPr>
                <w:highlight w:val="none"/>
              </w:rPr>
            </w:pPr>
            <w:r>
              <w:rPr>
                <w:highlight w:val="none"/>
              </w:rPr>
              <w:t>-127</w:t>
            </w:r>
          </w:p>
        </w:tc>
        <w:tc>
          <w:tcPr>
            <w:tcW w:w="0" w:type="auto"/>
            <w:tcMar>
              <w:left w:w="108" w:type="dxa"/>
              <w:right w:w="108" w:type="dxa"/>
            </w:tcMar>
            <w:vAlign w:val="center"/>
          </w:tcPr>
          <w:p w14:paraId="4FA86E7D">
            <w:pPr>
              <w:jc w:val="center"/>
              <w:rPr>
                <w:rFonts w:hint="eastAsia" w:eastAsia="宋体"/>
                <w:highlight w:val="none"/>
                <w:lang w:eastAsia="zh-CN"/>
              </w:rPr>
            </w:pPr>
            <w:r>
              <w:rPr>
                <w:highlight w:val="none"/>
              </w:rPr>
              <w:t>相对密度</w:t>
            </w:r>
            <w:r>
              <w:rPr>
                <w:rFonts w:hint="eastAsia"/>
                <w:highlight w:val="none"/>
                <w:lang w:eastAsia="zh-CN"/>
              </w:rPr>
              <w:t>（</w:t>
            </w:r>
            <w:r>
              <w:rPr>
                <w:highlight w:val="none"/>
              </w:rPr>
              <w:t>水=1</w:t>
            </w:r>
            <w:r>
              <w:rPr>
                <w:rFonts w:hint="eastAsia"/>
                <w:highlight w:val="none"/>
                <w:lang w:eastAsia="zh-CN"/>
              </w:rPr>
              <w:t>）</w:t>
            </w:r>
          </w:p>
        </w:tc>
        <w:tc>
          <w:tcPr>
            <w:tcW w:w="0" w:type="auto"/>
            <w:tcMar>
              <w:left w:w="108" w:type="dxa"/>
              <w:right w:w="108" w:type="dxa"/>
            </w:tcMar>
            <w:vAlign w:val="center"/>
          </w:tcPr>
          <w:p w14:paraId="1B47A64B">
            <w:pPr>
              <w:jc w:val="center"/>
              <w:rPr>
                <w:highlight w:val="none"/>
              </w:rPr>
            </w:pPr>
            <w:r>
              <w:rPr>
                <w:highlight w:val="none"/>
              </w:rPr>
              <w:t>0.80</w:t>
            </w:r>
          </w:p>
        </w:tc>
      </w:tr>
      <w:tr w14:paraId="0B96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0B47FB66">
            <w:pPr>
              <w:jc w:val="center"/>
              <w:rPr>
                <w:highlight w:val="none"/>
              </w:rPr>
            </w:pPr>
          </w:p>
        </w:tc>
        <w:tc>
          <w:tcPr>
            <w:tcW w:w="0" w:type="auto"/>
            <w:tcMar>
              <w:left w:w="108" w:type="dxa"/>
              <w:right w:w="108" w:type="dxa"/>
            </w:tcMar>
            <w:vAlign w:val="center"/>
          </w:tcPr>
          <w:p w14:paraId="395FAA64">
            <w:pPr>
              <w:jc w:val="center"/>
              <w:rPr>
                <w:highlight w:val="none"/>
              </w:rPr>
            </w:pPr>
            <w:r>
              <w:rPr>
                <w:highlight w:val="none"/>
              </w:rPr>
              <w:t>沸点（℃）</w:t>
            </w:r>
          </w:p>
        </w:tc>
        <w:tc>
          <w:tcPr>
            <w:tcW w:w="0" w:type="auto"/>
            <w:tcMar>
              <w:left w:w="108" w:type="dxa"/>
              <w:right w:w="108" w:type="dxa"/>
            </w:tcMar>
            <w:vAlign w:val="center"/>
          </w:tcPr>
          <w:p w14:paraId="2427C941">
            <w:pPr>
              <w:jc w:val="center"/>
              <w:rPr>
                <w:highlight w:val="none"/>
              </w:rPr>
            </w:pPr>
            <w:r>
              <w:rPr>
                <w:highlight w:val="none"/>
              </w:rPr>
              <w:t>97.1</w:t>
            </w:r>
          </w:p>
        </w:tc>
        <w:tc>
          <w:tcPr>
            <w:tcW w:w="0" w:type="auto"/>
            <w:tcMar>
              <w:left w:w="108" w:type="dxa"/>
              <w:right w:w="108" w:type="dxa"/>
            </w:tcMar>
            <w:vAlign w:val="center"/>
          </w:tcPr>
          <w:p w14:paraId="1516C903">
            <w:pPr>
              <w:jc w:val="center"/>
              <w:rPr>
                <w:highlight w:val="none"/>
              </w:rPr>
            </w:pPr>
            <w:r>
              <w:rPr>
                <w:highlight w:val="none"/>
              </w:rPr>
              <w:t>相对蒸汽密度（空气=1）</w:t>
            </w:r>
          </w:p>
        </w:tc>
        <w:tc>
          <w:tcPr>
            <w:tcW w:w="0" w:type="auto"/>
            <w:tcMar>
              <w:left w:w="108" w:type="dxa"/>
              <w:right w:w="108" w:type="dxa"/>
            </w:tcMar>
            <w:vAlign w:val="center"/>
          </w:tcPr>
          <w:p w14:paraId="4AE7B79D">
            <w:pPr>
              <w:jc w:val="center"/>
              <w:rPr>
                <w:highlight w:val="none"/>
              </w:rPr>
            </w:pPr>
            <w:r>
              <w:rPr>
                <w:highlight w:val="none"/>
              </w:rPr>
              <w:t>2.07</w:t>
            </w:r>
          </w:p>
        </w:tc>
      </w:tr>
      <w:tr w14:paraId="63F84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4FD62610">
            <w:pPr>
              <w:jc w:val="center"/>
              <w:rPr>
                <w:highlight w:val="none"/>
              </w:rPr>
            </w:pPr>
          </w:p>
        </w:tc>
        <w:tc>
          <w:tcPr>
            <w:tcW w:w="0" w:type="auto"/>
            <w:tcMar>
              <w:left w:w="108" w:type="dxa"/>
              <w:right w:w="108" w:type="dxa"/>
            </w:tcMar>
            <w:vAlign w:val="center"/>
          </w:tcPr>
          <w:p w14:paraId="5240516F">
            <w:pPr>
              <w:jc w:val="center"/>
              <w:rPr>
                <w:highlight w:val="none"/>
              </w:rPr>
            </w:pPr>
            <w:r>
              <w:rPr>
                <w:highlight w:val="none"/>
              </w:rPr>
              <w:t>闪点（℃）</w:t>
            </w:r>
          </w:p>
        </w:tc>
        <w:tc>
          <w:tcPr>
            <w:tcW w:w="0" w:type="auto"/>
            <w:tcMar>
              <w:left w:w="108" w:type="dxa"/>
              <w:right w:w="108" w:type="dxa"/>
            </w:tcMar>
            <w:vAlign w:val="center"/>
          </w:tcPr>
          <w:p w14:paraId="6E6A4C02">
            <w:pPr>
              <w:jc w:val="center"/>
              <w:rPr>
                <w:highlight w:val="none"/>
              </w:rPr>
            </w:pPr>
            <w:r>
              <w:rPr>
                <w:highlight w:val="none"/>
              </w:rPr>
              <w:t>15</w:t>
            </w:r>
          </w:p>
        </w:tc>
        <w:tc>
          <w:tcPr>
            <w:tcW w:w="0" w:type="auto"/>
            <w:tcMar>
              <w:left w:w="108" w:type="dxa"/>
              <w:right w:w="108" w:type="dxa"/>
            </w:tcMar>
            <w:vAlign w:val="center"/>
          </w:tcPr>
          <w:p w14:paraId="7CABDECC">
            <w:pPr>
              <w:jc w:val="center"/>
              <w:rPr>
                <w:highlight w:val="none"/>
              </w:rPr>
            </w:pPr>
            <w:r>
              <w:rPr>
                <w:highlight w:val="none"/>
              </w:rPr>
              <w:t>饱和蒸汽压（kPa）</w:t>
            </w:r>
          </w:p>
        </w:tc>
        <w:tc>
          <w:tcPr>
            <w:tcW w:w="0" w:type="auto"/>
            <w:tcMar>
              <w:left w:w="108" w:type="dxa"/>
              <w:right w:w="108" w:type="dxa"/>
            </w:tcMar>
            <w:vAlign w:val="center"/>
          </w:tcPr>
          <w:p w14:paraId="65B2BA9E">
            <w:pPr>
              <w:jc w:val="center"/>
              <w:rPr>
                <w:rFonts w:hint="eastAsia" w:eastAsia="宋体"/>
                <w:highlight w:val="none"/>
                <w:lang w:eastAsia="zh-CN"/>
              </w:rPr>
            </w:pPr>
            <w:r>
              <w:rPr>
                <w:highlight w:val="none"/>
              </w:rPr>
              <w:t>1.33</w:t>
            </w:r>
            <w:r>
              <w:rPr>
                <w:rFonts w:hint="eastAsia"/>
                <w:highlight w:val="none"/>
                <w:lang w:eastAsia="zh-CN"/>
              </w:rPr>
              <w:t>（</w:t>
            </w:r>
            <w:r>
              <w:rPr>
                <w:highlight w:val="none"/>
              </w:rPr>
              <w:t>14.7℃</w:t>
            </w:r>
            <w:r>
              <w:rPr>
                <w:rFonts w:hint="eastAsia"/>
                <w:highlight w:val="none"/>
                <w:lang w:eastAsia="zh-CN"/>
              </w:rPr>
              <w:t>）</w:t>
            </w:r>
          </w:p>
        </w:tc>
      </w:tr>
      <w:tr w14:paraId="75EE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304EEFFD">
            <w:pPr>
              <w:jc w:val="center"/>
              <w:rPr>
                <w:highlight w:val="none"/>
              </w:rPr>
            </w:pPr>
          </w:p>
        </w:tc>
        <w:tc>
          <w:tcPr>
            <w:tcW w:w="0" w:type="auto"/>
            <w:tcMar>
              <w:left w:w="108" w:type="dxa"/>
              <w:right w:w="108" w:type="dxa"/>
            </w:tcMar>
            <w:vAlign w:val="center"/>
          </w:tcPr>
          <w:p w14:paraId="5DCE06C2">
            <w:pPr>
              <w:jc w:val="center"/>
              <w:rPr>
                <w:rFonts w:hint="eastAsia" w:eastAsia="宋体"/>
                <w:highlight w:val="none"/>
                <w:lang w:eastAsia="zh-CN"/>
              </w:rPr>
            </w:pPr>
            <w:r>
              <w:rPr>
                <w:highlight w:val="none"/>
              </w:rPr>
              <w:t>引燃温度</w:t>
            </w:r>
            <w:r>
              <w:rPr>
                <w:rFonts w:hint="eastAsia"/>
                <w:highlight w:val="none"/>
                <w:lang w:eastAsia="zh-CN"/>
              </w:rPr>
              <w:t>（</w:t>
            </w:r>
            <w:r>
              <w:rPr>
                <w:highlight w:val="none"/>
              </w:rPr>
              <w:t>℃</w:t>
            </w:r>
            <w:r>
              <w:rPr>
                <w:rFonts w:hint="eastAsia"/>
                <w:highlight w:val="none"/>
                <w:lang w:eastAsia="zh-CN"/>
              </w:rPr>
              <w:t>）</w:t>
            </w:r>
          </w:p>
        </w:tc>
        <w:tc>
          <w:tcPr>
            <w:tcW w:w="0" w:type="auto"/>
            <w:tcMar>
              <w:left w:w="108" w:type="dxa"/>
              <w:right w:w="108" w:type="dxa"/>
            </w:tcMar>
            <w:vAlign w:val="center"/>
          </w:tcPr>
          <w:p w14:paraId="43E3D3B0">
            <w:pPr>
              <w:jc w:val="center"/>
              <w:rPr>
                <w:highlight w:val="none"/>
              </w:rPr>
            </w:pPr>
            <w:r>
              <w:rPr>
                <w:highlight w:val="none"/>
              </w:rPr>
              <w:t>392</w:t>
            </w:r>
          </w:p>
        </w:tc>
        <w:tc>
          <w:tcPr>
            <w:tcW w:w="0" w:type="auto"/>
            <w:tcMar>
              <w:left w:w="108" w:type="dxa"/>
              <w:right w:w="108" w:type="dxa"/>
            </w:tcMar>
            <w:vAlign w:val="center"/>
          </w:tcPr>
          <w:p w14:paraId="014A8700">
            <w:pPr>
              <w:jc w:val="center"/>
              <w:rPr>
                <w:rFonts w:hint="eastAsia" w:eastAsia="宋体"/>
                <w:highlight w:val="none"/>
                <w:lang w:eastAsia="zh-CN"/>
              </w:rPr>
            </w:pPr>
            <w:r>
              <w:rPr>
                <w:highlight w:val="none"/>
              </w:rPr>
              <w:t>爆炸上限/下限%</w:t>
            </w:r>
            <w:r>
              <w:rPr>
                <w:rFonts w:hint="eastAsia"/>
                <w:highlight w:val="none"/>
                <w:lang w:eastAsia="zh-CN"/>
              </w:rPr>
              <w:t>（</w:t>
            </w:r>
            <w:r>
              <w:rPr>
                <w:highlight w:val="none"/>
              </w:rPr>
              <w:t>V/V</w:t>
            </w:r>
            <w:r>
              <w:rPr>
                <w:rFonts w:hint="eastAsia"/>
                <w:highlight w:val="none"/>
                <w:lang w:eastAsia="zh-CN"/>
              </w:rPr>
              <w:t>）</w:t>
            </w:r>
          </w:p>
        </w:tc>
        <w:tc>
          <w:tcPr>
            <w:tcW w:w="0" w:type="auto"/>
            <w:tcMar>
              <w:left w:w="108" w:type="dxa"/>
              <w:right w:w="108" w:type="dxa"/>
            </w:tcMar>
            <w:vAlign w:val="center"/>
          </w:tcPr>
          <w:p w14:paraId="25214D33">
            <w:pPr>
              <w:jc w:val="center"/>
              <w:rPr>
                <w:highlight w:val="none"/>
              </w:rPr>
            </w:pPr>
            <w:r>
              <w:rPr>
                <w:highlight w:val="none"/>
              </w:rPr>
              <w:t>13.72.0</w:t>
            </w:r>
          </w:p>
        </w:tc>
      </w:tr>
      <w:tr w14:paraId="1333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760A8C22">
            <w:pPr>
              <w:jc w:val="center"/>
              <w:rPr>
                <w:highlight w:val="none"/>
              </w:rPr>
            </w:pPr>
          </w:p>
        </w:tc>
        <w:tc>
          <w:tcPr>
            <w:tcW w:w="0" w:type="auto"/>
            <w:tcMar>
              <w:left w:w="108" w:type="dxa"/>
              <w:right w:w="108" w:type="dxa"/>
            </w:tcMar>
            <w:vAlign w:val="center"/>
          </w:tcPr>
          <w:p w14:paraId="00821DB2">
            <w:pPr>
              <w:jc w:val="center"/>
              <w:rPr>
                <w:rFonts w:hint="eastAsia" w:eastAsia="宋体"/>
                <w:highlight w:val="none"/>
                <w:lang w:eastAsia="zh-CN"/>
              </w:rPr>
            </w:pPr>
            <w:r>
              <w:rPr>
                <w:highlight w:val="none"/>
              </w:rPr>
              <w:t>临界压力</w:t>
            </w:r>
            <w:r>
              <w:rPr>
                <w:rFonts w:hint="eastAsia"/>
                <w:highlight w:val="none"/>
                <w:lang w:eastAsia="zh-CN"/>
              </w:rPr>
              <w:t>（</w:t>
            </w:r>
            <w:r>
              <w:rPr>
                <w:highlight w:val="none"/>
              </w:rPr>
              <w:t>MPa</w:t>
            </w:r>
            <w:r>
              <w:rPr>
                <w:rFonts w:hint="eastAsia"/>
                <w:highlight w:val="none"/>
                <w:lang w:eastAsia="zh-CN"/>
              </w:rPr>
              <w:t>）</w:t>
            </w:r>
          </w:p>
        </w:tc>
        <w:tc>
          <w:tcPr>
            <w:tcW w:w="0" w:type="auto"/>
            <w:tcMar>
              <w:left w:w="108" w:type="dxa"/>
              <w:right w:w="108" w:type="dxa"/>
            </w:tcMar>
            <w:vAlign w:val="center"/>
          </w:tcPr>
          <w:p w14:paraId="1DFA56E2">
            <w:pPr>
              <w:jc w:val="center"/>
              <w:rPr>
                <w:highlight w:val="none"/>
              </w:rPr>
            </w:pPr>
            <w:r>
              <w:rPr>
                <w:highlight w:val="none"/>
              </w:rPr>
              <w:t>5.17</w:t>
            </w:r>
          </w:p>
        </w:tc>
        <w:tc>
          <w:tcPr>
            <w:tcW w:w="0" w:type="auto"/>
            <w:tcMar>
              <w:left w:w="108" w:type="dxa"/>
              <w:right w:w="108" w:type="dxa"/>
            </w:tcMar>
            <w:vAlign w:val="center"/>
          </w:tcPr>
          <w:p w14:paraId="49B5BB03">
            <w:pPr>
              <w:jc w:val="center"/>
              <w:rPr>
                <w:rFonts w:hint="eastAsia" w:eastAsia="宋体"/>
                <w:highlight w:val="none"/>
                <w:lang w:eastAsia="zh-CN"/>
              </w:rPr>
            </w:pPr>
            <w:r>
              <w:rPr>
                <w:highlight w:val="none"/>
              </w:rPr>
              <w:t>临界温度</w:t>
            </w:r>
            <w:r>
              <w:rPr>
                <w:rFonts w:hint="eastAsia"/>
                <w:highlight w:val="none"/>
                <w:lang w:eastAsia="zh-CN"/>
              </w:rPr>
              <w:t>（</w:t>
            </w:r>
            <w:r>
              <w:rPr>
                <w:highlight w:val="none"/>
              </w:rPr>
              <w:t>℃</w:t>
            </w:r>
            <w:r>
              <w:rPr>
                <w:rFonts w:hint="eastAsia"/>
                <w:highlight w:val="none"/>
                <w:lang w:eastAsia="zh-CN"/>
              </w:rPr>
              <w:t>）</w:t>
            </w:r>
          </w:p>
        </w:tc>
        <w:tc>
          <w:tcPr>
            <w:tcW w:w="0" w:type="auto"/>
            <w:tcMar>
              <w:left w:w="108" w:type="dxa"/>
              <w:right w:w="108" w:type="dxa"/>
            </w:tcMar>
            <w:vAlign w:val="center"/>
          </w:tcPr>
          <w:p w14:paraId="2C1F2D7A">
            <w:pPr>
              <w:jc w:val="center"/>
              <w:rPr>
                <w:highlight w:val="none"/>
              </w:rPr>
            </w:pPr>
            <w:r>
              <w:rPr>
                <w:highlight w:val="none"/>
              </w:rPr>
              <w:t>263.6</w:t>
            </w:r>
          </w:p>
        </w:tc>
      </w:tr>
      <w:tr w14:paraId="4BBF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5EC0C614">
            <w:pPr>
              <w:rPr>
                <w:highlight w:val="none"/>
              </w:rPr>
            </w:pPr>
          </w:p>
        </w:tc>
        <w:tc>
          <w:tcPr>
            <w:tcW w:w="0" w:type="auto"/>
            <w:tcMar>
              <w:left w:w="108" w:type="dxa"/>
              <w:right w:w="108" w:type="dxa"/>
            </w:tcMar>
            <w:vAlign w:val="center"/>
          </w:tcPr>
          <w:p w14:paraId="5FABC652">
            <w:pPr>
              <w:jc w:val="center"/>
              <w:rPr>
                <w:highlight w:val="none"/>
              </w:rPr>
            </w:pPr>
            <w:r>
              <w:rPr>
                <w:highlight w:val="none"/>
              </w:rPr>
              <w:t>主要用途</w:t>
            </w:r>
          </w:p>
        </w:tc>
        <w:tc>
          <w:tcPr>
            <w:tcW w:w="0" w:type="auto"/>
            <w:gridSpan w:val="3"/>
            <w:tcMar>
              <w:left w:w="108" w:type="dxa"/>
              <w:right w:w="108" w:type="dxa"/>
            </w:tcMar>
            <w:vAlign w:val="center"/>
          </w:tcPr>
          <w:p w14:paraId="3B1CC3C7">
            <w:pPr>
              <w:jc w:val="center"/>
              <w:rPr>
                <w:highlight w:val="none"/>
              </w:rPr>
            </w:pPr>
            <w:r>
              <w:rPr>
                <w:highlight w:val="none"/>
              </w:rPr>
              <w:t>用作溶剂用于制药、油漆和化妆品等。</w:t>
            </w:r>
          </w:p>
        </w:tc>
      </w:tr>
      <w:tr w14:paraId="20D1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1576A777">
            <w:pPr>
              <w:jc w:val="center"/>
              <w:rPr>
                <w:highlight w:val="none"/>
              </w:rPr>
            </w:pPr>
            <w:r>
              <w:rPr>
                <w:highlight w:val="none"/>
              </w:rPr>
              <w:t>毒性及健康危害</w:t>
            </w:r>
          </w:p>
        </w:tc>
        <w:tc>
          <w:tcPr>
            <w:tcW w:w="0" w:type="auto"/>
            <w:tcMar>
              <w:left w:w="108" w:type="dxa"/>
              <w:right w:w="108" w:type="dxa"/>
            </w:tcMar>
            <w:vAlign w:val="center"/>
          </w:tcPr>
          <w:p w14:paraId="00606D0A">
            <w:pPr>
              <w:jc w:val="center"/>
              <w:rPr>
                <w:highlight w:val="none"/>
              </w:rPr>
            </w:pPr>
            <w:r>
              <w:rPr>
                <w:highlight w:val="none"/>
              </w:rPr>
              <w:t>溶解性</w:t>
            </w:r>
          </w:p>
        </w:tc>
        <w:tc>
          <w:tcPr>
            <w:tcW w:w="0" w:type="auto"/>
            <w:gridSpan w:val="3"/>
            <w:tcMar>
              <w:left w:w="108" w:type="dxa"/>
              <w:right w:w="108" w:type="dxa"/>
            </w:tcMar>
            <w:vAlign w:val="center"/>
          </w:tcPr>
          <w:p w14:paraId="362883F9">
            <w:pPr>
              <w:jc w:val="center"/>
              <w:rPr>
                <w:highlight w:val="none"/>
              </w:rPr>
            </w:pPr>
            <w:r>
              <w:rPr>
                <w:highlight w:val="none"/>
              </w:rPr>
              <w:t>与水混溶，可混溶于醇、醚等多数有机溶剂。</w:t>
            </w:r>
          </w:p>
        </w:tc>
      </w:tr>
      <w:tr w14:paraId="0D69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09328FB5">
            <w:pPr>
              <w:jc w:val="center"/>
              <w:rPr>
                <w:highlight w:val="none"/>
              </w:rPr>
            </w:pPr>
          </w:p>
        </w:tc>
        <w:tc>
          <w:tcPr>
            <w:tcW w:w="0" w:type="auto"/>
            <w:vMerge w:val="restart"/>
            <w:tcMar>
              <w:left w:w="108" w:type="dxa"/>
              <w:right w:w="108" w:type="dxa"/>
            </w:tcMar>
            <w:vAlign w:val="center"/>
          </w:tcPr>
          <w:p w14:paraId="63DB7960">
            <w:pPr>
              <w:jc w:val="center"/>
              <w:rPr>
                <w:highlight w:val="none"/>
              </w:rPr>
            </w:pPr>
            <w:r>
              <w:rPr>
                <w:highlight w:val="none"/>
              </w:rPr>
              <w:t>毒性</w:t>
            </w:r>
          </w:p>
        </w:tc>
        <w:tc>
          <w:tcPr>
            <w:tcW w:w="0" w:type="auto"/>
            <w:gridSpan w:val="3"/>
            <w:tcMar>
              <w:left w:w="108" w:type="dxa"/>
              <w:right w:w="108" w:type="dxa"/>
            </w:tcMar>
            <w:vAlign w:val="center"/>
          </w:tcPr>
          <w:p w14:paraId="1CEAFC7B">
            <w:pPr>
              <w:jc w:val="center"/>
              <w:rPr>
                <w:rFonts w:hint="eastAsia" w:eastAsia="宋体"/>
                <w:highlight w:val="none"/>
                <w:lang w:eastAsia="zh-CN"/>
              </w:rPr>
            </w:pPr>
            <w:r>
              <w:rPr>
                <w:highlight w:val="none"/>
              </w:rPr>
              <w:t>LD50：1870 mg/kg</w:t>
            </w:r>
            <w:r>
              <w:rPr>
                <w:rFonts w:hint="eastAsia"/>
                <w:highlight w:val="none"/>
                <w:lang w:eastAsia="zh-CN"/>
              </w:rPr>
              <w:t>（</w:t>
            </w:r>
            <w:r>
              <w:rPr>
                <w:highlight w:val="none"/>
              </w:rPr>
              <w:t>大鼠经口</w:t>
            </w:r>
            <w:r>
              <w:rPr>
                <w:rFonts w:hint="eastAsia"/>
                <w:highlight w:val="none"/>
                <w:lang w:eastAsia="zh-CN"/>
              </w:rPr>
              <w:t>）</w:t>
            </w:r>
            <w:r>
              <w:rPr>
                <w:highlight w:val="none"/>
              </w:rPr>
              <w:t>；5040 mg/kg</w:t>
            </w:r>
            <w:r>
              <w:rPr>
                <w:rFonts w:hint="eastAsia"/>
                <w:highlight w:val="none"/>
                <w:lang w:eastAsia="zh-CN"/>
              </w:rPr>
              <w:t>（</w:t>
            </w:r>
            <w:r>
              <w:rPr>
                <w:highlight w:val="none"/>
              </w:rPr>
              <w:t>兔经皮</w:t>
            </w:r>
            <w:r>
              <w:rPr>
                <w:rFonts w:hint="eastAsia"/>
                <w:highlight w:val="none"/>
                <w:lang w:eastAsia="zh-CN"/>
              </w:rPr>
              <w:t>）</w:t>
            </w:r>
            <w:r>
              <w:rPr>
                <w:highlight w:val="none"/>
              </w:rPr>
              <w:br w:type="textWrapping"/>
            </w:r>
            <w:r>
              <w:rPr>
                <w:highlight w:val="none"/>
              </w:rPr>
              <w:t>LC50：48000 mg/m</w:t>
            </w:r>
            <w:r>
              <w:rPr>
                <w:highlight w:val="none"/>
                <w:vertAlign w:val="superscript"/>
              </w:rPr>
              <w:t>3</w:t>
            </w:r>
            <w:r>
              <w:rPr>
                <w:rFonts w:hint="eastAsia"/>
                <w:highlight w:val="none"/>
                <w:lang w:eastAsia="zh-CN"/>
              </w:rPr>
              <w:t>（</w:t>
            </w:r>
            <w:r>
              <w:rPr>
                <w:highlight w:val="none"/>
              </w:rPr>
              <w:t>小鼠吸入</w:t>
            </w:r>
            <w:r>
              <w:rPr>
                <w:rFonts w:hint="eastAsia"/>
                <w:highlight w:val="none"/>
                <w:lang w:eastAsia="zh-CN"/>
              </w:rPr>
              <w:t>）</w:t>
            </w:r>
          </w:p>
        </w:tc>
      </w:tr>
      <w:tr w14:paraId="1E25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57CAC400">
            <w:pPr>
              <w:jc w:val="center"/>
              <w:rPr>
                <w:highlight w:val="none"/>
              </w:rPr>
            </w:pPr>
          </w:p>
        </w:tc>
        <w:tc>
          <w:tcPr>
            <w:tcW w:w="0" w:type="auto"/>
            <w:vMerge w:val="continue"/>
            <w:tcMar>
              <w:left w:w="108" w:type="dxa"/>
              <w:right w:w="108" w:type="dxa"/>
            </w:tcMar>
            <w:vAlign w:val="center"/>
          </w:tcPr>
          <w:p w14:paraId="37C460A8">
            <w:pPr>
              <w:jc w:val="center"/>
              <w:rPr>
                <w:highlight w:val="none"/>
              </w:rPr>
            </w:pPr>
          </w:p>
        </w:tc>
        <w:tc>
          <w:tcPr>
            <w:tcW w:w="0" w:type="auto"/>
            <w:gridSpan w:val="3"/>
            <w:tcMar>
              <w:left w:w="108" w:type="dxa"/>
              <w:right w:w="108" w:type="dxa"/>
            </w:tcMar>
            <w:vAlign w:val="center"/>
          </w:tcPr>
          <w:p w14:paraId="61C4A4D5">
            <w:pPr>
              <w:jc w:val="center"/>
              <w:rPr>
                <w:highlight w:val="none"/>
              </w:rPr>
            </w:pPr>
            <w:r>
              <w:rPr>
                <w:highlight w:val="none"/>
              </w:rPr>
              <w:t>接触高浓度</w:t>
            </w:r>
            <w:r>
              <w:rPr>
                <w:rFonts w:hint="eastAsia"/>
                <w:highlight w:val="none"/>
                <w:lang w:eastAsia="zh-CN"/>
              </w:rPr>
              <w:t>蒸汽后</w:t>
            </w:r>
            <w:r>
              <w:rPr>
                <w:highlight w:val="none"/>
              </w:rPr>
              <w:t>出现头痛、</w:t>
            </w:r>
            <w:r>
              <w:rPr>
                <w:rFonts w:hint="eastAsia"/>
                <w:highlight w:val="none"/>
                <w:lang w:eastAsia="zh-CN"/>
              </w:rPr>
              <w:t>嗜睡</w:t>
            </w:r>
            <w:r>
              <w:rPr>
                <w:highlight w:val="none"/>
              </w:rPr>
              <w:t>、共济失调以及眼、鼻、喉</w:t>
            </w:r>
            <w:r>
              <w:rPr>
                <w:rFonts w:hint="eastAsia"/>
                <w:highlight w:val="none"/>
                <w:lang w:eastAsia="zh-CN"/>
              </w:rPr>
              <w:t>等</w:t>
            </w:r>
            <w:r>
              <w:rPr>
                <w:highlight w:val="none"/>
              </w:rPr>
              <w:t>刺激症状。</w:t>
            </w:r>
            <w:r>
              <w:rPr>
                <w:highlight w:val="none"/>
              </w:rPr>
              <w:br w:type="textWrapping"/>
            </w:r>
            <w:r>
              <w:rPr>
                <w:highlight w:val="none"/>
              </w:rPr>
              <w:t>口服可致恶心、呕吐、腹痛、腹泻、</w:t>
            </w:r>
            <w:r>
              <w:rPr>
                <w:rFonts w:hint="eastAsia"/>
                <w:highlight w:val="none"/>
                <w:lang w:eastAsia="zh-CN"/>
              </w:rPr>
              <w:t>嗜睡</w:t>
            </w:r>
            <w:r>
              <w:rPr>
                <w:highlight w:val="none"/>
              </w:rPr>
              <w:t>、昏迷甚至死亡。长期皮肤接触可致皮肤干燥、裂纹。</w:t>
            </w:r>
          </w:p>
        </w:tc>
      </w:tr>
      <w:tr w14:paraId="3FA9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2C826868">
            <w:pPr>
              <w:jc w:val="center"/>
              <w:rPr>
                <w:highlight w:val="none"/>
              </w:rPr>
            </w:pPr>
            <w:r>
              <w:rPr>
                <w:highlight w:val="none"/>
              </w:rPr>
              <w:t>燃烧爆炸危险性</w:t>
            </w:r>
          </w:p>
        </w:tc>
        <w:tc>
          <w:tcPr>
            <w:tcW w:w="0" w:type="auto"/>
            <w:tcMar>
              <w:left w:w="108" w:type="dxa"/>
              <w:right w:w="108" w:type="dxa"/>
            </w:tcMar>
            <w:vAlign w:val="center"/>
          </w:tcPr>
          <w:p w14:paraId="036544B5">
            <w:pPr>
              <w:jc w:val="center"/>
              <w:rPr>
                <w:highlight w:val="none"/>
              </w:rPr>
            </w:pPr>
            <w:r>
              <w:rPr>
                <w:highlight w:val="none"/>
              </w:rPr>
              <w:t>燃爆危险</w:t>
            </w:r>
          </w:p>
        </w:tc>
        <w:tc>
          <w:tcPr>
            <w:tcW w:w="0" w:type="auto"/>
            <w:gridSpan w:val="3"/>
            <w:tcMar>
              <w:left w:w="108" w:type="dxa"/>
              <w:right w:w="108" w:type="dxa"/>
            </w:tcMar>
            <w:vAlign w:val="center"/>
          </w:tcPr>
          <w:p w14:paraId="7D177032">
            <w:pPr>
              <w:jc w:val="center"/>
              <w:rPr>
                <w:highlight w:val="none"/>
              </w:rPr>
            </w:pPr>
            <w:r>
              <w:rPr>
                <w:highlight w:val="none"/>
              </w:rPr>
              <w:t>本品易燃，</w:t>
            </w:r>
            <w:r>
              <w:rPr>
                <w:rFonts w:hint="eastAsia"/>
                <w:highlight w:val="none"/>
                <w:lang w:eastAsia="zh-CN"/>
              </w:rPr>
              <w:t>具有</w:t>
            </w:r>
            <w:r>
              <w:rPr>
                <w:highlight w:val="none"/>
              </w:rPr>
              <w:t>刺激性。</w:t>
            </w:r>
          </w:p>
        </w:tc>
      </w:tr>
      <w:tr w14:paraId="7F20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31B7820D">
            <w:pPr>
              <w:jc w:val="center"/>
              <w:rPr>
                <w:highlight w:val="none"/>
              </w:rPr>
            </w:pPr>
          </w:p>
        </w:tc>
        <w:tc>
          <w:tcPr>
            <w:tcW w:w="0" w:type="auto"/>
            <w:tcMar>
              <w:left w:w="108" w:type="dxa"/>
              <w:right w:w="108" w:type="dxa"/>
            </w:tcMar>
            <w:vAlign w:val="center"/>
          </w:tcPr>
          <w:p w14:paraId="56E77AC8">
            <w:pPr>
              <w:jc w:val="center"/>
              <w:rPr>
                <w:highlight w:val="none"/>
              </w:rPr>
            </w:pPr>
            <w:r>
              <w:rPr>
                <w:highlight w:val="none"/>
              </w:rPr>
              <w:t>危险特性</w:t>
            </w:r>
          </w:p>
        </w:tc>
        <w:tc>
          <w:tcPr>
            <w:tcW w:w="0" w:type="auto"/>
            <w:gridSpan w:val="3"/>
            <w:tcMar>
              <w:left w:w="108" w:type="dxa"/>
              <w:right w:w="108" w:type="dxa"/>
            </w:tcMar>
            <w:vAlign w:val="center"/>
          </w:tcPr>
          <w:p w14:paraId="7B23FBD4">
            <w:pPr>
              <w:jc w:val="center"/>
              <w:rPr>
                <w:highlight w:val="none"/>
              </w:rPr>
            </w:pPr>
            <w:r>
              <w:rPr>
                <w:highlight w:val="none"/>
              </w:rPr>
              <w:t>易燃，其</w:t>
            </w:r>
            <w:r>
              <w:rPr>
                <w:rFonts w:hint="eastAsia"/>
                <w:highlight w:val="none"/>
                <w:lang w:eastAsia="zh-CN"/>
              </w:rPr>
              <w:t>蒸汽</w:t>
            </w:r>
            <w:r>
              <w:rPr>
                <w:highlight w:val="none"/>
              </w:rPr>
              <w:t>与空气可形成爆炸性混合物。遇明火、高热能引起燃烧爆炸。与氧化剂接触发生化学反应或引起燃烧。在火场中，受热的容器有爆炸危险。其</w:t>
            </w:r>
            <w:r>
              <w:rPr>
                <w:rFonts w:hint="eastAsia"/>
                <w:highlight w:val="none"/>
                <w:lang w:eastAsia="zh-CN"/>
              </w:rPr>
              <w:t>蒸汽</w:t>
            </w:r>
            <w:r>
              <w:rPr>
                <w:highlight w:val="none"/>
              </w:rPr>
              <w:t>比空气重，能在较低处扩散到相当远的地方，遇火源</w:t>
            </w:r>
            <w:r>
              <w:rPr>
                <w:rFonts w:hint="eastAsia"/>
                <w:highlight w:val="none"/>
                <w:lang w:eastAsia="zh-CN"/>
              </w:rPr>
              <w:t>就</w:t>
            </w:r>
            <w:r>
              <w:rPr>
                <w:highlight w:val="none"/>
              </w:rPr>
              <w:t>会着火回燃。</w:t>
            </w:r>
          </w:p>
        </w:tc>
      </w:tr>
      <w:tr w14:paraId="450A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6AC53386">
            <w:pPr>
              <w:jc w:val="center"/>
              <w:rPr>
                <w:highlight w:val="none"/>
              </w:rPr>
            </w:pPr>
          </w:p>
        </w:tc>
        <w:tc>
          <w:tcPr>
            <w:tcW w:w="0" w:type="auto"/>
            <w:tcMar>
              <w:left w:w="108" w:type="dxa"/>
              <w:right w:w="108" w:type="dxa"/>
            </w:tcMar>
            <w:vAlign w:val="center"/>
          </w:tcPr>
          <w:p w14:paraId="02890FE0">
            <w:pPr>
              <w:jc w:val="center"/>
              <w:rPr>
                <w:highlight w:val="none"/>
              </w:rPr>
            </w:pPr>
            <w:r>
              <w:rPr>
                <w:highlight w:val="none"/>
              </w:rPr>
              <w:t>灭火方法</w:t>
            </w:r>
          </w:p>
        </w:tc>
        <w:tc>
          <w:tcPr>
            <w:tcW w:w="0" w:type="auto"/>
            <w:gridSpan w:val="3"/>
            <w:tcMar>
              <w:left w:w="108" w:type="dxa"/>
              <w:right w:w="108" w:type="dxa"/>
            </w:tcMar>
            <w:vAlign w:val="center"/>
          </w:tcPr>
          <w:p w14:paraId="0A79FCD9">
            <w:pPr>
              <w:jc w:val="center"/>
              <w:rPr>
                <w:highlight w:val="none"/>
              </w:rPr>
            </w:pPr>
            <w:r>
              <w:rPr>
                <w:highlight w:val="none"/>
              </w:rPr>
              <w:t>尽可能将容器从火场移至空旷处。喷水保持火场容器冷却，直至灭火结束。处在火场中的容器若已变色或从安全阀装置中产生声音，必须马上撤离。灭火剂：抗溶性泡沫、干粉、二氧化碳、砂土</w:t>
            </w:r>
            <w:r>
              <w:rPr>
                <w:rFonts w:hint="eastAsia"/>
                <w:highlight w:val="none"/>
                <w:lang w:eastAsia="zh-CN"/>
              </w:rPr>
              <w:t>等</w:t>
            </w:r>
            <w:r>
              <w:rPr>
                <w:highlight w:val="none"/>
              </w:rPr>
              <w:t>。</w:t>
            </w:r>
          </w:p>
        </w:tc>
      </w:tr>
      <w:tr w14:paraId="4B2D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3C736102">
            <w:pPr>
              <w:jc w:val="center"/>
              <w:rPr>
                <w:highlight w:val="none"/>
              </w:rPr>
            </w:pPr>
          </w:p>
        </w:tc>
        <w:tc>
          <w:tcPr>
            <w:tcW w:w="0" w:type="auto"/>
            <w:tcMar>
              <w:left w:w="108" w:type="dxa"/>
              <w:right w:w="108" w:type="dxa"/>
            </w:tcMar>
            <w:vAlign w:val="center"/>
          </w:tcPr>
          <w:p w14:paraId="25E5BE17">
            <w:pPr>
              <w:jc w:val="center"/>
              <w:rPr>
                <w:highlight w:val="none"/>
              </w:rPr>
            </w:pPr>
            <w:r>
              <w:rPr>
                <w:highlight w:val="none"/>
              </w:rPr>
              <w:t>有害分解产物</w:t>
            </w:r>
          </w:p>
        </w:tc>
        <w:tc>
          <w:tcPr>
            <w:tcW w:w="0" w:type="auto"/>
            <w:gridSpan w:val="3"/>
            <w:tcMar>
              <w:left w:w="108" w:type="dxa"/>
              <w:right w:w="108" w:type="dxa"/>
            </w:tcMar>
            <w:vAlign w:val="center"/>
          </w:tcPr>
          <w:p w14:paraId="4FD105FA">
            <w:pPr>
              <w:jc w:val="center"/>
              <w:rPr>
                <w:highlight w:val="none"/>
              </w:rPr>
            </w:pPr>
            <w:r>
              <w:rPr>
                <w:highlight w:val="none"/>
              </w:rPr>
              <w:t>一氧化碳、二氧化碳。</w:t>
            </w:r>
          </w:p>
        </w:tc>
      </w:tr>
      <w:tr w14:paraId="6DBA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Mar>
              <w:left w:w="108" w:type="dxa"/>
              <w:right w:w="108" w:type="dxa"/>
            </w:tcMar>
            <w:vAlign w:val="center"/>
          </w:tcPr>
          <w:p w14:paraId="7CF90F26">
            <w:pPr>
              <w:jc w:val="center"/>
              <w:rPr>
                <w:highlight w:val="none"/>
              </w:rPr>
            </w:pPr>
            <w:r>
              <w:rPr>
                <w:highlight w:val="none"/>
              </w:rPr>
              <w:t>急救措施</w:t>
            </w:r>
          </w:p>
        </w:tc>
        <w:tc>
          <w:tcPr>
            <w:tcW w:w="0" w:type="auto"/>
            <w:gridSpan w:val="4"/>
            <w:tcMar>
              <w:left w:w="108" w:type="dxa"/>
              <w:right w:w="108" w:type="dxa"/>
            </w:tcMar>
            <w:vAlign w:val="center"/>
          </w:tcPr>
          <w:p w14:paraId="3726F37F">
            <w:pPr>
              <w:jc w:val="center"/>
              <w:rPr>
                <w:highlight w:val="none"/>
              </w:rPr>
            </w:pPr>
            <w:r>
              <w:rPr>
                <w:highlight w:val="none"/>
              </w:rPr>
              <w:t>①皮肤接触：脱去污染的衣物，用肥皂水和清水彻底冲洗皮肤。</w:t>
            </w:r>
            <w:r>
              <w:rPr>
                <w:highlight w:val="none"/>
              </w:rPr>
              <w:br w:type="textWrapping"/>
            </w:r>
            <w:r>
              <w:rPr>
                <w:highlight w:val="none"/>
              </w:rPr>
              <w:t>②眼睛接触：提起眼睑，用流动水或生理盐水冲洗。就医。</w:t>
            </w:r>
            <w:r>
              <w:rPr>
                <w:highlight w:val="none"/>
              </w:rPr>
              <w:br w:type="textWrapping"/>
            </w:r>
            <w:r>
              <w:rPr>
                <w:highlight w:val="none"/>
              </w:rPr>
              <w:t>③吸入：迅速脱离现场至空气新鲜处。保持呼吸道通畅。</w:t>
            </w:r>
            <w:r>
              <w:rPr>
                <w:rFonts w:hint="eastAsia"/>
                <w:highlight w:val="none"/>
                <w:lang w:eastAsia="zh-CN"/>
              </w:rPr>
              <w:t>如果患者感到呼吸困难，应该给患者输氧。</w:t>
            </w:r>
            <w:r>
              <w:rPr>
                <w:highlight w:val="none"/>
              </w:rPr>
              <w:t>如呼吸停止，立即进行人工呼吸。就医。</w:t>
            </w:r>
            <w:r>
              <w:rPr>
                <w:highlight w:val="none"/>
              </w:rPr>
              <w:br w:type="textWrapping"/>
            </w:r>
            <w:r>
              <w:rPr>
                <w:highlight w:val="none"/>
              </w:rPr>
              <w:t>④食入：饮足量温水，催吐。洗胃。就医。</w:t>
            </w:r>
          </w:p>
        </w:tc>
      </w:tr>
      <w:tr w14:paraId="7C67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6D7BFFB2">
            <w:pPr>
              <w:rPr>
                <w:highlight w:val="none"/>
              </w:rPr>
            </w:pPr>
          </w:p>
        </w:tc>
        <w:tc>
          <w:tcPr>
            <w:tcW w:w="0" w:type="auto"/>
            <w:vMerge w:val="restart"/>
            <w:tcMar>
              <w:left w:w="108" w:type="dxa"/>
              <w:right w:w="108" w:type="dxa"/>
            </w:tcMar>
            <w:vAlign w:val="center"/>
          </w:tcPr>
          <w:p w14:paraId="5C7F2DA3">
            <w:pPr>
              <w:jc w:val="center"/>
              <w:rPr>
                <w:highlight w:val="none"/>
              </w:rPr>
            </w:pPr>
            <w:r>
              <w:rPr>
                <w:highlight w:val="none"/>
              </w:rPr>
              <w:t>泄漏处置</w:t>
            </w:r>
          </w:p>
        </w:tc>
        <w:tc>
          <w:tcPr>
            <w:tcW w:w="0" w:type="auto"/>
            <w:gridSpan w:val="3"/>
            <w:tcMar>
              <w:left w:w="108" w:type="dxa"/>
              <w:right w:w="108" w:type="dxa"/>
            </w:tcMar>
            <w:vAlign w:val="center"/>
          </w:tcPr>
          <w:p w14:paraId="49FB3109">
            <w:pPr>
              <w:jc w:val="center"/>
              <w:rPr>
                <w:highlight w:val="none"/>
              </w:rPr>
            </w:pPr>
            <w:r>
              <w:rPr>
                <w:highlight w:val="none"/>
              </w:rPr>
              <w:t>迅速撤离泄漏污染区人员至安全区，并进行隔离，严格限制出入。切断火源。建议应急处理人员戴自给正压式呼吸器，穿静电防护服。尽可能切断泄漏源。防止流入下水道、排洪沟等限制性空间。小量泄漏：用砂土或其他不燃材料吸附或吸收。也可以用大量水冲洗，洗水稀释后放入废水系统。大量泄漏：构筑围堤或挖坑收容。用泡沫覆盖，降低</w:t>
            </w:r>
            <w:r>
              <w:rPr>
                <w:rFonts w:hint="eastAsia"/>
                <w:highlight w:val="none"/>
                <w:lang w:eastAsia="zh-CN"/>
              </w:rPr>
              <w:t>蒸汽</w:t>
            </w:r>
            <w:r>
              <w:rPr>
                <w:highlight w:val="none"/>
              </w:rPr>
              <w:t>灾害。用防爆泵转移至槽车或专用收集器内，回收或运至废物处理场所处置。</w:t>
            </w:r>
          </w:p>
        </w:tc>
      </w:tr>
      <w:tr w14:paraId="3111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Mar>
              <w:left w:w="108" w:type="dxa"/>
              <w:right w:w="108" w:type="dxa"/>
            </w:tcMar>
            <w:vAlign w:val="center"/>
          </w:tcPr>
          <w:p w14:paraId="586B6DAE">
            <w:pPr>
              <w:rPr>
                <w:highlight w:val="none"/>
              </w:rPr>
            </w:pPr>
          </w:p>
        </w:tc>
        <w:tc>
          <w:tcPr>
            <w:tcW w:w="0" w:type="auto"/>
            <w:vMerge w:val="continue"/>
            <w:tcMar>
              <w:left w:w="108" w:type="dxa"/>
              <w:right w:w="108" w:type="dxa"/>
            </w:tcMar>
            <w:vAlign w:val="center"/>
          </w:tcPr>
          <w:p w14:paraId="32CC88A0">
            <w:pPr>
              <w:jc w:val="center"/>
              <w:rPr>
                <w:highlight w:val="none"/>
              </w:rPr>
            </w:pPr>
          </w:p>
        </w:tc>
        <w:tc>
          <w:tcPr>
            <w:tcW w:w="0" w:type="auto"/>
            <w:tcMar>
              <w:left w:w="108" w:type="dxa"/>
              <w:right w:w="108" w:type="dxa"/>
            </w:tcMar>
            <w:vAlign w:val="center"/>
          </w:tcPr>
          <w:p w14:paraId="71AE740C">
            <w:pPr>
              <w:jc w:val="center"/>
              <w:rPr>
                <w:highlight w:val="none"/>
              </w:rPr>
            </w:pPr>
            <w:r>
              <w:rPr>
                <w:highlight w:val="none"/>
              </w:rPr>
              <w:t>储运注意事项</w:t>
            </w:r>
          </w:p>
        </w:tc>
        <w:tc>
          <w:tcPr>
            <w:tcW w:w="0" w:type="auto"/>
            <w:gridSpan w:val="2"/>
            <w:tcMar>
              <w:left w:w="108" w:type="dxa"/>
              <w:right w:w="108" w:type="dxa"/>
            </w:tcMar>
            <w:vAlign w:val="center"/>
          </w:tcPr>
          <w:p w14:paraId="4879C58B">
            <w:pPr>
              <w:jc w:val="center"/>
              <w:rPr>
                <w:highlight w:val="none"/>
              </w:rPr>
            </w:pPr>
            <w:r>
              <w:rPr>
                <w:highlight w:val="none"/>
              </w:rPr>
              <w:t>①储存注意事项：</w:t>
            </w:r>
            <w:r>
              <w:rPr>
                <w:highlight w:val="none"/>
              </w:rPr>
              <w:br w:type="textWrapping"/>
            </w:r>
            <w:r>
              <w:rPr>
                <w:highlight w:val="none"/>
              </w:rPr>
              <w:t>储存于阴凉、通风的库房。远离火种、热源。库温不宜超过30℃。保持容器密封。应与氧化剂、酸类、卤素、食用化学药品</w:t>
            </w:r>
            <w:r>
              <w:rPr>
                <w:rFonts w:hint="eastAsia"/>
                <w:highlight w:val="none"/>
                <w:lang w:eastAsia="zh-CN"/>
              </w:rPr>
              <w:t>等</w:t>
            </w:r>
            <w:r>
              <w:rPr>
                <w:highlight w:val="none"/>
              </w:rPr>
              <w:t>分开存放，切忌混储。采用</w:t>
            </w:r>
            <w:r>
              <w:rPr>
                <w:rFonts w:hint="eastAsia"/>
                <w:highlight w:val="none"/>
                <w:lang w:eastAsia="zh-CN"/>
              </w:rPr>
              <w:t>密闭</w:t>
            </w:r>
            <w:r>
              <w:rPr>
                <w:highlight w:val="none"/>
              </w:rPr>
              <w:t>型照明、通风设施。禁止使用会产生火花的机械设备和工具。储区应备有泄漏应急处理设备和合适的收容材料。</w:t>
            </w:r>
            <w:r>
              <w:rPr>
                <w:highlight w:val="none"/>
              </w:rPr>
              <w:br w:type="textWrapping"/>
            </w:r>
            <w:r>
              <w:rPr>
                <w:highlight w:val="none"/>
              </w:rPr>
              <w:t>②操作注意事项：</w:t>
            </w:r>
            <w:r>
              <w:rPr>
                <w:highlight w:val="none"/>
              </w:rPr>
              <w:br w:type="textWrapping"/>
            </w:r>
            <w:r>
              <w:rPr>
                <w:highlight w:val="none"/>
              </w:rPr>
              <w:t>运输时运输车辆应配备相应品种和数量的消防器材及泄漏应急处理设备。夏季最好早晚运输。运输时所用的槽（罐）车应有接地链，槽内可设孔隔板以减少</w:t>
            </w:r>
            <w:r>
              <w:rPr>
                <w:rFonts w:hint="eastAsia"/>
                <w:highlight w:val="none"/>
                <w:lang w:eastAsia="zh-CN"/>
              </w:rPr>
              <w:t>振荡</w:t>
            </w:r>
            <w:r>
              <w:rPr>
                <w:highlight w:val="none"/>
              </w:rPr>
              <w:t>产生静电。严禁与氧化剂、酸类、卤素、食用化学药品等混装混运。运输途中应防止</w:t>
            </w:r>
            <w:r>
              <w:rPr>
                <w:rFonts w:hint="eastAsia"/>
                <w:highlight w:val="none"/>
                <w:lang w:eastAsia="zh-CN"/>
              </w:rPr>
              <w:t>暴晒</w:t>
            </w:r>
            <w:r>
              <w:rPr>
                <w:highlight w:val="none"/>
              </w:rPr>
              <w:t>、雨淋。防高温。中途停留时要远离火种、热源、高温区。装运该物品的车辆排气管必须配备阻火装置，禁止使用易产生火花的机械设备和工具装卸。公路运输时要按规定路线行驶，勿在居民区和人口稠密区停留。铁路运输时要禁止溜放。严禁用木船、水泥船</w:t>
            </w:r>
            <w:r>
              <w:rPr>
                <w:rFonts w:hint="eastAsia"/>
                <w:highlight w:val="none"/>
                <w:lang w:eastAsia="zh-CN"/>
              </w:rPr>
              <w:t>等方式</w:t>
            </w:r>
            <w:r>
              <w:rPr>
                <w:highlight w:val="none"/>
              </w:rPr>
              <w:t>散装运输。</w:t>
            </w:r>
          </w:p>
        </w:tc>
      </w:tr>
    </w:tbl>
    <w:p w14:paraId="3CC293AE">
      <w:pPr>
        <w:spacing w:line="360" w:lineRule="auto"/>
        <w:jc w:val="center"/>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表</w:t>
      </w:r>
      <w:r>
        <w:rPr>
          <w:rFonts w:hint="eastAsia" w:cs="Times New Roman"/>
          <w:b/>
          <w:bCs/>
          <w:sz w:val="21"/>
          <w:szCs w:val="21"/>
          <w:highlight w:val="none"/>
          <w:lang w:val="en-US" w:eastAsia="zh-CN"/>
        </w:rPr>
        <w:t>3.2</w:t>
      </w:r>
      <w:r>
        <w:rPr>
          <w:rFonts w:hint="eastAsia" w:ascii="Times New Roman" w:hAnsi="Times New Roman" w:eastAsia="宋体" w:cs="Times New Roman"/>
          <w:b/>
          <w:bCs/>
          <w:sz w:val="21"/>
          <w:szCs w:val="21"/>
          <w:highlight w:val="none"/>
          <w:lang w:val="en-US" w:eastAsia="zh-CN"/>
        </w:rPr>
        <w:t>-10   乙醛的理化性质及危险特性</w:t>
      </w:r>
    </w:p>
    <w:tbl>
      <w:tblPr>
        <w:tblStyle w:val="19"/>
        <w:tblW w:w="47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6"/>
        <w:gridCol w:w="1021"/>
        <w:gridCol w:w="1602"/>
        <w:gridCol w:w="2293"/>
        <w:gridCol w:w="3026"/>
      </w:tblGrid>
      <w:tr w14:paraId="7813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0" w:type="auto"/>
            <w:vMerge w:val="restart"/>
            <w:tcMar>
              <w:left w:w="108" w:type="dxa"/>
              <w:right w:w="108" w:type="dxa"/>
            </w:tcMar>
            <w:vAlign w:val="center"/>
          </w:tcPr>
          <w:p w14:paraId="387128F3">
            <w:pPr>
              <w:jc w:val="center"/>
              <w:rPr>
                <w:highlight w:val="none"/>
              </w:rPr>
            </w:pPr>
            <w:r>
              <w:rPr>
                <w:highlight w:val="none"/>
              </w:rPr>
              <w:t>标识</w:t>
            </w:r>
          </w:p>
        </w:tc>
        <w:tc>
          <w:tcPr>
            <w:tcW w:w="4536" w:type="dxa"/>
            <w:gridSpan w:val="3"/>
            <w:tcMar>
              <w:left w:w="108" w:type="dxa"/>
              <w:right w:w="108" w:type="dxa"/>
            </w:tcMar>
            <w:vAlign w:val="center"/>
          </w:tcPr>
          <w:p w14:paraId="7D32A9AE">
            <w:pPr>
              <w:jc w:val="center"/>
              <w:rPr>
                <w:highlight w:val="none"/>
              </w:rPr>
            </w:pPr>
            <w:r>
              <w:rPr>
                <w:highlight w:val="none"/>
              </w:rPr>
              <w:t>中文别名：醋醛 英文名：acetaldehyde</w:t>
            </w:r>
          </w:p>
        </w:tc>
        <w:tc>
          <w:tcPr>
            <w:tcW w:w="3216" w:type="dxa"/>
            <w:tcMar>
              <w:left w:w="108" w:type="dxa"/>
              <w:right w:w="108" w:type="dxa"/>
            </w:tcMar>
            <w:vAlign w:val="center"/>
          </w:tcPr>
          <w:p w14:paraId="22E59234">
            <w:pPr>
              <w:jc w:val="center"/>
              <w:rPr>
                <w:highlight w:val="none"/>
              </w:rPr>
            </w:pPr>
            <w:r>
              <w:rPr>
                <w:highlight w:val="none"/>
              </w:rPr>
              <w:t>UN编号：1089</w:t>
            </w:r>
          </w:p>
        </w:tc>
      </w:tr>
      <w:tr w14:paraId="2A26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0" w:type="auto"/>
            <w:vMerge w:val="continue"/>
            <w:tcMar>
              <w:left w:w="108" w:type="dxa"/>
              <w:right w:w="108" w:type="dxa"/>
            </w:tcMar>
            <w:vAlign w:val="center"/>
          </w:tcPr>
          <w:p w14:paraId="12E00FEB">
            <w:pPr>
              <w:jc w:val="center"/>
              <w:rPr>
                <w:highlight w:val="none"/>
              </w:rPr>
            </w:pPr>
          </w:p>
        </w:tc>
        <w:tc>
          <w:tcPr>
            <w:tcW w:w="4536" w:type="dxa"/>
            <w:gridSpan w:val="3"/>
            <w:tcMar>
              <w:left w:w="108" w:type="dxa"/>
              <w:right w:w="108" w:type="dxa"/>
            </w:tcMar>
            <w:vAlign w:val="center"/>
          </w:tcPr>
          <w:p w14:paraId="0C47CC47">
            <w:pPr>
              <w:jc w:val="center"/>
              <w:rPr>
                <w:highlight w:val="none"/>
              </w:rPr>
            </w:pPr>
            <w:r>
              <w:rPr>
                <w:highlight w:val="none"/>
              </w:rPr>
              <w:t>CAS号：75-07-0</w:t>
            </w:r>
          </w:p>
        </w:tc>
        <w:tc>
          <w:tcPr>
            <w:tcW w:w="3216" w:type="dxa"/>
            <w:tcMar>
              <w:left w:w="108" w:type="dxa"/>
              <w:right w:w="108" w:type="dxa"/>
            </w:tcMar>
            <w:vAlign w:val="center"/>
          </w:tcPr>
          <w:p w14:paraId="00C6469B">
            <w:pPr>
              <w:jc w:val="center"/>
              <w:rPr>
                <w:highlight w:val="none"/>
              </w:rPr>
            </w:pPr>
            <w:r>
              <w:rPr>
                <w:highlight w:val="none"/>
              </w:rPr>
              <w:t>危险化学品编号：31022</w:t>
            </w:r>
          </w:p>
        </w:tc>
      </w:tr>
      <w:tr w14:paraId="3379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0" w:type="auto"/>
            <w:vMerge w:val="continue"/>
            <w:tcMar>
              <w:left w:w="108" w:type="dxa"/>
              <w:right w:w="108" w:type="dxa"/>
            </w:tcMar>
            <w:vAlign w:val="center"/>
          </w:tcPr>
          <w:p w14:paraId="0CD6DD19">
            <w:pPr>
              <w:rPr>
                <w:highlight w:val="none"/>
              </w:rPr>
            </w:pPr>
          </w:p>
        </w:tc>
        <w:tc>
          <w:tcPr>
            <w:tcW w:w="4536" w:type="dxa"/>
            <w:gridSpan w:val="3"/>
            <w:tcMar>
              <w:left w:w="108" w:type="dxa"/>
              <w:right w:w="108" w:type="dxa"/>
            </w:tcMar>
            <w:vAlign w:val="center"/>
          </w:tcPr>
          <w:p w14:paraId="08900C3B">
            <w:pPr>
              <w:jc w:val="center"/>
              <w:rPr>
                <w:rFonts w:ascii="Times New Roman" w:hAnsi="Times New Roman" w:eastAsia="宋体" w:cs="Times New Roman"/>
                <w:highlight w:val="none"/>
              </w:rPr>
            </w:pPr>
            <w:r>
              <w:rPr>
                <w:rFonts w:ascii="Times New Roman" w:hAnsi="Times New Roman" w:eastAsia="宋体" w:cs="Times New Roman"/>
                <w:highlight w:val="none"/>
              </w:rPr>
              <w:t>分子式：C</w:t>
            </w:r>
            <w:r>
              <w:rPr>
                <w:rFonts w:ascii="Times New Roman" w:hAnsi="Times New Roman" w:eastAsia="宋体" w:cs="Times New Roman"/>
                <w:highlight w:val="none"/>
                <w:vertAlign w:val="subscript"/>
              </w:rPr>
              <w:t>2</w:t>
            </w:r>
            <w:r>
              <w:rPr>
                <w:rFonts w:ascii="Times New Roman" w:hAnsi="Times New Roman" w:eastAsia="宋体" w:cs="Times New Roman"/>
                <w:highlight w:val="none"/>
              </w:rPr>
              <w:t>H</w:t>
            </w:r>
            <w:r>
              <w:rPr>
                <w:rFonts w:ascii="Times New Roman" w:hAnsi="Times New Roman" w:eastAsia="宋体" w:cs="Times New Roman"/>
                <w:highlight w:val="none"/>
                <w:vertAlign w:val="subscript"/>
              </w:rPr>
              <w:t>4</w:t>
            </w:r>
            <w:r>
              <w:rPr>
                <w:rFonts w:ascii="Times New Roman" w:hAnsi="Times New Roman" w:eastAsia="宋体" w:cs="Times New Roman"/>
                <w:highlight w:val="none"/>
              </w:rPr>
              <w:t>O</w:t>
            </w:r>
          </w:p>
        </w:tc>
        <w:tc>
          <w:tcPr>
            <w:tcW w:w="3216" w:type="dxa"/>
            <w:tcMar>
              <w:left w:w="108" w:type="dxa"/>
              <w:right w:w="108" w:type="dxa"/>
            </w:tcMar>
            <w:vAlign w:val="center"/>
          </w:tcPr>
          <w:p w14:paraId="0ABA60D2">
            <w:pPr>
              <w:jc w:val="center"/>
              <w:rPr>
                <w:rFonts w:ascii="Times New Roman" w:hAnsi="Times New Roman" w:eastAsia="宋体" w:cs="Times New Roman"/>
                <w:highlight w:val="none"/>
              </w:rPr>
            </w:pPr>
            <w:r>
              <w:rPr>
                <w:rFonts w:ascii="Times New Roman" w:hAnsi="Times New Roman" w:eastAsia="宋体" w:cs="Times New Roman"/>
                <w:highlight w:val="none"/>
              </w:rPr>
              <w:t>分子量：44.05</w:t>
            </w:r>
          </w:p>
        </w:tc>
      </w:tr>
      <w:tr w14:paraId="39DD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0" w:type="auto"/>
            <w:vMerge w:val="restart"/>
            <w:tcMar>
              <w:left w:w="108" w:type="dxa"/>
              <w:right w:w="108" w:type="dxa"/>
            </w:tcMar>
            <w:vAlign w:val="center"/>
          </w:tcPr>
          <w:p w14:paraId="1340E660">
            <w:pPr>
              <w:rPr>
                <w:highlight w:val="none"/>
              </w:rPr>
            </w:pPr>
            <w:r>
              <w:rPr>
                <w:highlight w:val="none"/>
              </w:rPr>
              <w:t>理化性质</w:t>
            </w:r>
          </w:p>
        </w:tc>
        <w:tc>
          <w:tcPr>
            <w:tcW w:w="0" w:type="auto"/>
            <w:tcMar>
              <w:left w:w="108" w:type="dxa"/>
              <w:right w:w="108" w:type="dxa"/>
            </w:tcMar>
            <w:vAlign w:val="center"/>
          </w:tcPr>
          <w:p w14:paraId="5A9F350C">
            <w:pPr>
              <w:jc w:val="center"/>
              <w:rPr>
                <w:rFonts w:ascii="Times New Roman" w:hAnsi="Times New Roman" w:eastAsia="宋体" w:cs="Times New Roman"/>
                <w:highlight w:val="none"/>
              </w:rPr>
            </w:pPr>
            <w:r>
              <w:rPr>
                <w:rFonts w:ascii="Times New Roman" w:hAnsi="Times New Roman" w:eastAsia="宋体" w:cs="Times New Roman"/>
                <w:highlight w:val="none"/>
              </w:rPr>
              <w:t>外观与形状</w:t>
            </w:r>
          </w:p>
        </w:tc>
        <w:tc>
          <w:tcPr>
            <w:tcW w:w="0" w:type="auto"/>
            <w:gridSpan w:val="3"/>
            <w:tcMar>
              <w:left w:w="108" w:type="dxa"/>
              <w:right w:w="108" w:type="dxa"/>
            </w:tcMar>
            <w:vAlign w:val="center"/>
          </w:tcPr>
          <w:p w14:paraId="2307434B">
            <w:pPr>
              <w:jc w:val="center"/>
              <w:rPr>
                <w:rFonts w:ascii="Times New Roman" w:hAnsi="Times New Roman" w:eastAsia="宋体" w:cs="Times New Roman"/>
                <w:highlight w:val="none"/>
              </w:rPr>
            </w:pPr>
            <w:r>
              <w:rPr>
                <w:rFonts w:ascii="Times New Roman" w:hAnsi="Times New Roman" w:eastAsia="宋体" w:cs="Times New Roman"/>
                <w:highlight w:val="none"/>
              </w:rPr>
              <w:t>无色液体，有强烈的刺激气味。</w:t>
            </w:r>
          </w:p>
        </w:tc>
      </w:tr>
      <w:tr w14:paraId="0AED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0" w:type="auto"/>
            <w:vMerge w:val="continue"/>
            <w:tcMar>
              <w:left w:w="108" w:type="dxa"/>
              <w:right w:w="108" w:type="dxa"/>
            </w:tcMar>
            <w:vAlign w:val="center"/>
          </w:tcPr>
          <w:p w14:paraId="6E7A74B5">
            <w:pPr>
              <w:rPr>
                <w:highlight w:val="none"/>
              </w:rPr>
            </w:pPr>
          </w:p>
        </w:tc>
        <w:tc>
          <w:tcPr>
            <w:tcW w:w="0" w:type="auto"/>
            <w:tcMar>
              <w:left w:w="108" w:type="dxa"/>
              <w:right w:w="108" w:type="dxa"/>
            </w:tcMar>
            <w:vAlign w:val="center"/>
          </w:tcPr>
          <w:p w14:paraId="18A4E015">
            <w:pPr>
              <w:jc w:val="center"/>
              <w:rPr>
                <w:rFonts w:ascii="Times New Roman" w:hAnsi="Times New Roman" w:eastAsia="宋体" w:cs="Times New Roman"/>
                <w:highlight w:val="none"/>
              </w:rPr>
            </w:pPr>
            <w:r>
              <w:rPr>
                <w:rFonts w:ascii="Times New Roman" w:hAnsi="Times New Roman" w:eastAsia="宋体" w:cs="Times New Roman"/>
                <w:highlight w:val="none"/>
              </w:rPr>
              <w:t>熔点（℃）</w:t>
            </w:r>
          </w:p>
        </w:tc>
        <w:tc>
          <w:tcPr>
            <w:tcW w:w="1443" w:type="dxa"/>
            <w:tcMar>
              <w:left w:w="108" w:type="dxa"/>
              <w:right w:w="108" w:type="dxa"/>
            </w:tcMar>
            <w:vAlign w:val="center"/>
          </w:tcPr>
          <w:p w14:paraId="4DEF0201">
            <w:pPr>
              <w:jc w:val="center"/>
              <w:rPr>
                <w:rFonts w:ascii="Times New Roman" w:hAnsi="Times New Roman" w:eastAsia="宋体" w:cs="Times New Roman"/>
                <w:highlight w:val="none"/>
              </w:rPr>
            </w:pPr>
            <w:r>
              <w:rPr>
                <w:rFonts w:ascii="Times New Roman" w:hAnsi="Times New Roman" w:eastAsia="宋体" w:cs="Times New Roman"/>
                <w:highlight w:val="none"/>
              </w:rPr>
              <w:t>-123.5</w:t>
            </w:r>
          </w:p>
        </w:tc>
        <w:tc>
          <w:tcPr>
            <w:tcW w:w="2241" w:type="dxa"/>
            <w:tcMar>
              <w:left w:w="108" w:type="dxa"/>
              <w:right w:w="108" w:type="dxa"/>
            </w:tcMar>
            <w:vAlign w:val="center"/>
          </w:tcPr>
          <w:p w14:paraId="39C25C67">
            <w:pPr>
              <w:jc w:val="center"/>
              <w:rPr>
                <w:rFonts w:hint="eastAsia" w:ascii="Times New Roman" w:hAnsi="Times New Roman" w:eastAsia="宋体" w:cs="Times New Roman"/>
                <w:highlight w:val="none"/>
                <w:lang w:eastAsia="zh-CN"/>
              </w:rPr>
            </w:pPr>
            <w:r>
              <w:rPr>
                <w:rFonts w:ascii="Times New Roman" w:hAnsi="Times New Roman" w:eastAsia="宋体" w:cs="Times New Roman"/>
                <w:highlight w:val="none"/>
              </w:rPr>
              <w:t>相对密度</w:t>
            </w:r>
            <w:r>
              <w:rPr>
                <w:rFonts w:hint="eastAsia" w:cs="Times New Roman"/>
                <w:highlight w:val="none"/>
                <w:lang w:eastAsia="zh-CN"/>
              </w:rPr>
              <w:t>（</w:t>
            </w:r>
            <w:r>
              <w:rPr>
                <w:rFonts w:ascii="Times New Roman" w:hAnsi="Times New Roman" w:eastAsia="宋体" w:cs="Times New Roman"/>
                <w:highlight w:val="none"/>
              </w:rPr>
              <w:t>水=1</w:t>
            </w:r>
            <w:r>
              <w:rPr>
                <w:rFonts w:hint="eastAsia" w:cs="Times New Roman"/>
                <w:highlight w:val="none"/>
                <w:lang w:eastAsia="zh-CN"/>
              </w:rPr>
              <w:t>）</w:t>
            </w:r>
          </w:p>
        </w:tc>
        <w:tc>
          <w:tcPr>
            <w:tcW w:w="3216" w:type="dxa"/>
            <w:tcMar>
              <w:left w:w="108" w:type="dxa"/>
              <w:right w:w="108" w:type="dxa"/>
            </w:tcMar>
            <w:vAlign w:val="center"/>
          </w:tcPr>
          <w:p w14:paraId="06884FD1">
            <w:pPr>
              <w:jc w:val="center"/>
              <w:rPr>
                <w:rFonts w:ascii="Times New Roman" w:hAnsi="Times New Roman" w:eastAsia="宋体" w:cs="Times New Roman"/>
                <w:highlight w:val="none"/>
              </w:rPr>
            </w:pPr>
            <w:r>
              <w:rPr>
                <w:rFonts w:ascii="Times New Roman" w:hAnsi="Times New Roman" w:eastAsia="宋体" w:cs="Times New Roman"/>
                <w:highlight w:val="none"/>
              </w:rPr>
              <w:t>0.78</w:t>
            </w:r>
          </w:p>
        </w:tc>
      </w:tr>
      <w:tr w14:paraId="7B9A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3" w:hRule="atLeast"/>
          <w:jc w:val="center"/>
        </w:trPr>
        <w:tc>
          <w:tcPr>
            <w:tcW w:w="0" w:type="auto"/>
            <w:vMerge w:val="continue"/>
            <w:tcMar>
              <w:left w:w="108" w:type="dxa"/>
              <w:right w:w="108" w:type="dxa"/>
            </w:tcMar>
            <w:vAlign w:val="center"/>
          </w:tcPr>
          <w:p w14:paraId="089247C1">
            <w:pPr>
              <w:rPr>
                <w:highlight w:val="none"/>
              </w:rPr>
            </w:pPr>
          </w:p>
        </w:tc>
        <w:tc>
          <w:tcPr>
            <w:tcW w:w="0" w:type="auto"/>
            <w:tcMar>
              <w:left w:w="108" w:type="dxa"/>
              <w:right w:w="108" w:type="dxa"/>
            </w:tcMar>
            <w:vAlign w:val="center"/>
          </w:tcPr>
          <w:p w14:paraId="2AA28527">
            <w:pPr>
              <w:jc w:val="center"/>
              <w:rPr>
                <w:rFonts w:ascii="Times New Roman" w:hAnsi="Times New Roman" w:eastAsia="宋体" w:cs="Times New Roman"/>
                <w:highlight w:val="none"/>
              </w:rPr>
            </w:pPr>
            <w:r>
              <w:rPr>
                <w:rFonts w:ascii="Times New Roman" w:hAnsi="Times New Roman" w:eastAsia="宋体" w:cs="Times New Roman"/>
                <w:highlight w:val="none"/>
              </w:rPr>
              <w:t>沸点（℃）</w:t>
            </w:r>
          </w:p>
        </w:tc>
        <w:tc>
          <w:tcPr>
            <w:tcW w:w="1443" w:type="dxa"/>
            <w:tcMar>
              <w:left w:w="108" w:type="dxa"/>
              <w:right w:w="108" w:type="dxa"/>
            </w:tcMar>
            <w:vAlign w:val="center"/>
          </w:tcPr>
          <w:p w14:paraId="7A297C05">
            <w:pPr>
              <w:jc w:val="center"/>
              <w:rPr>
                <w:rFonts w:ascii="Times New Roman" w:hAnsi="Times New Roman" w:eastAsia="宋体" w:cs="Times New Roman"/>
                <w:highlight w:val="none"/>
              </w:rPr>
            </w:pPr>
            <w:r>
              <w:rPr>
                <w:rFonts w:ascii="Times New Roman" w:hAnsi="Times New Roman" w:eastAsia="宋体" w:cs="Times New Roman"/>
                <w:highlight w:val="none"/>
              </w:rPr>
              <w:t>20.8</w:t>
            </w:r>
          </w:p>
        </w:tc>
        <w:tc>
          <w:tcPr>
            <w:tcW w:w="2241" w:type="dxa"/>
            <w:tcMar>
              <w:left w:w="108" w:type="dxa"/>
              <w:right w:w="108" w:type="dxa"/>
            </w:tcMar>
            <w:vAlign w:val="center"/>
          </w:tcPr>
          <w:p w14:paraId="42DA73CE">
            <w:pPr>
              <w:jc w:val="center"/>
              <w:rPr>
                <w:rFonts w:ascii="Times New Roman" w:hAnsi="Times New Roman" w:eastAsia="宋体" w:cs="Times New Roman"/>
                <w:highlight w:val="none"/>
              </w:rPr>
            </w:pPr>
            <w:r>
              <w:rPr>
                <w:rFonts w:ascii="Times New Roman" w:hAnsi="Times New Roman" w:eastAsia="宋体" w:cs="Times New Roman"/>
                <w:highlight w:val="none"/>
              </w:rPr>
              <w:t>相对蒸汽密度（空气=1）</w:t>
            </w:r>
          </w:p>
        </w:tc>
        <w:tc>
          <w:tcPr>
            <w:tcW w:w="3216" w:type="dxa"/>
            <w:tcMar>
              <w:left w:w="108" w:type="dxa"/>
              <w:right w:w="108" w:type="dxa"/>
            </w:tcMar>
            <w:vAlign w:val="center"/>
          </w:tcPr>
          <w:p w14:paraId="4A4F5A92">
            <w:pPr>
              <w:jc w:val="center"/>
              <w:rPr>
                <w:rFonts w:ascii="Times New Roman" w:hAnsi="Times New Roman" w:eastAsia="宋体" w:cs="Times New Roman"/>
                <w:highlight w:val="none"/>
              </w:rPr>
            </w:pPr>
            <w:r>
              <w:rPr>
                <w:rFonts w:ascii="Times New Roman" w:hAnsi="Times New Roman" w:eastAsia="宋体" w:cs="Times New Roman"/>
                <w:highlight w:val="none"/>
              </w:rPr>
              <w:t>1.52</w:t>
            </w:r>
          </w:p>
        </w:tc>
      </w:tr>
      <w:tr w14:paraId="4BF4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7" w:hRule="atLeast"/>
          <w:jc w:val="center"/>
        </w:trPr>
        <w:tc>
          <w:tcPr>
            <w:tcW w:w="0" w:type="auto"/>
            <w:vMerge w:val="continue"/>
            <w:tcMar>
              <w:left w:w="108" w:type="dxa"/>
              <w:right w:w="108" w:type="dxa"/>
            </w:tcMar>
            <w:vAlign w:val="center"/>
          </w:tcPr>
          <w:p w14:paraId="0C941C85">
            <w:pPr>
              <w:rPr>
                <w:highlight w:val="none"/>
              </w:rPr>
            </w:pPr>
          </w:p>
        </w:tc>
        <w:tc>
          <w:tcPr>
            <w:tcW w:w="0" w:type="auto"/>
            <w:tcMar>
              <w:left w:w="108" w:type="dxa"/>
              <w:right w:w="108" w:type="dxa"/>
            </w:tcMar>
            <w:vAlign w:val="center"/>
          </w:tcPr>
          <w:p w14:paraId="32B73553">
            <w:pPr>
              <w:jc w:val="center"/>
              <w:rPr>
                <w:rFonts w:ascii="Times New Roman" w:hAnsi="Times New Roman" w:eastAsia="宋体" w:cs="Times New Roman"/>
                <w:highlight w:val="none"/>
              </w:rPr>
            </w:pPr>
            <w:r>
              <w:rPr>
                <w:rFonts w:ascii="Times New Roman" w:hAnsi="Times New Roman" w:eastAsia="宋体" w:cs="Times New Roman"/>
                <w:highlight w:val="none"/>
              </w:rPr>
              <w:t>闪点（℃）</w:t>
            </w:r>
          </w:p>
        </w:tc>
        <w:tc>
          <w:tcPr>
            <w:tcW w:w="1443" w:type="dxa"/>
            <w:tcMar>
              <w:left w:w="108" w:type="dxa"/>
              <w:right w:w="108" w:type="dxa"/>
            </w:tcMar>
            <w:vAlign w:val="center"/>
          </w:tcPr>
          <w:p w14:paraId="4391CDD7">
            <w:pPr>
              <w:jc w:val="center"/>
              <w:rPr>
                <w:rFonts w:ascii="Times New Roman" w:hAnsi="Times New Roman" w:eastAsia="宋体" w:cs="Times New Roman"/>
                <w:highlight w:val="none"/>
              </w:rPr>
            </w:pPr>
            <w:r>
              <w:rPr>
                <w:rFonts w:ascii="Times New Roman" w:hAnsi="Times New Roman" w:eastAsia="宋体" w:cs="Times New Roman"/>
                <w:highlight w:val="none"/>
              </w:rPr>
              <w:t>-39</w:t>
            </w:r>
          </w:p>
        </w:tc>
        <w:tc>
          <w:tcPr>
            <w:tcW w:w="2241" w:type="dxa"/>
            <w:tcMar>
              <w:left w:w="108" w:type="dxa"/>
              <w:right w:w="108" w:type="dxa"/>
            </w:tcMar>
            <w:vAlign w:val="center"/>
          </w:tcPr>
          <w:p w14:paraId="2E0FD684">
            <w:pPr>
              <w:jc w:val="center"/>
              <w:rPr>
                <w:rFonts w:ascii="Times New Roman" w:hAnsi="Times New Roman" w:eastAsia="宋体" w:cs="Times New Roman"/>
                <w:highlight w:val="none"/>
              </w:rPr>
            </w:pPr>
            <w:r>
              <w:rPr>
                <w:rFonts w:ascii="Times New Roman" w:hAnsi="Times New Roman" w:eastAsia="宋体" w:cs="Times New Roman"/>
                <w:highlight w:val="none"/>
              </w:rPr>
              <w:t>饱和蒸汽压（kPa）</w:t>
            </w:r>
          </w:p>
        </w:tc>
        <w:tc>
          <w:tcPr>
            <w:tcW w:w="3216" w:type="dxa"/>
            <w:tcMar>
              <w:left w:w="108" w:type="dxa"/>
              <w:right w:w="108" w:type="dxa"/>
            </w:tcMar>
            <w:vAlign w:val="center"/>
          </w:tcPr>
          <w:p w14:paraId="286C9241">
            <w:pPr>
              <w:jc w:val="center"/>
              <w:rPr>
                <w:rFonts w:hint="eastAsia" w:ascii="Times New Roman" w:hAnsi="Times New Roman" w:eastAsia="宋体" w:cs="Times New Roman"/>
                <w:highlight w:val="none"/>
                <w:lang w:eastAsia="zh-CN"/>
              </w:rPr>
            </w:pPr>
            <w:r>
              <w:rPr>
                <w:rFonts w:ascii="Times New Roman" w:hAnsi="Times New Roman" w:eastAsia="宋体" w:cs="Times New Roman"/>
                <w:highlight w:val="none"/>
              </w:rPr>
              <w:t>98.64</w:t>
            </w:r>
            <w:r>
              <w:rPr>
                <w:rFonts w:hint="eastAsia" w:cs="Times New Roman"/>
                <w:highlight w:val="none"/>
                <w:lang w:eastAsia="zh-CN"/>
              </w:rPr>
              <w:t>（</w:t>
            </w:r>
            <w:r>
              <w:rPr>
                <w:rFonts w:ascii="Times New Roman" w:hAnsi="Times New Roman" w:eastAsia="宋体" w:cs="Times New Roman"/>
                <w:highlight w:val="none"/>
              </w:rPr>
              <w:t>20℃</w:t>
            </w:r>
            <w:r>
              <w:rPr>
                <w:rFonts w:hint="eastAsia" w:cs="Times New Roman"/>
                <w:highlight w:val="none"/>
                <w:lang w:eastAsia="zh-CN"/>
              </w:rPr>
              <w:t>）</w:t>
            </w:r>
          </w:p>
        </w:tc>
      </w:tr>
      <w:tr w14:paraId="058A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7" w:hRule="atLeast"/>
          <w:jc w:val="center"/>
        </w:trPr>
        <w:tc>
          <w:tcPr>
            <w:tcW w:w="0" w:type="auto"/>
            <w:vMerge w:val="continue"/>
            <w:tcMar>
              <w:left w:w="108" w:type="dxa"/>
              <w:right w:w="108" w:type="dxa"/>
            </w:tcMar>
            <w:vAlign w:val="center"/>
          </w:tcPr>
          <w:p w14:paraId="6FEE09D7">
            <w:pPr>
              <w:rPr>
                <w:highlight w:val="none"/>
              </w:rPr>
            </w:pPr>
          </w:p>
        </w:tc>
        <w:tc>
          <w:tcPr>
            <w:tcW w:w="0" w:type="auto"/>
            <w:tcMar>
              <w:left w:w="108" w:type="dxa"/>
              <w:right w:w="108" w:type="dxa"/>
            </w:tcMar>
            <w:vAlign w:val="center"/>
          </w:tcPr>
          <w:p w14:paraId="415765F2">
            <w:pPr>
              <w:jc w:val="center"/>
              <w:rPr>
                <w:rFonts w:hint="eastAsia" w:ascii="Times New Roman" w:hAnsi="Times New Roman" w:eastAsia="宋体" w:cs="Times New Roman"/>
                <w:highlight w:val="none"/>
                <w:lang w:eastAsia="zh-CN"/>
              </w:rPr>
            </w:pPr>
            <w:r>
              <w:rPr>
                <w:rFonts w:ascii="Times New Roman" w:hAnsi="Times New Roman" w:eastAsia="宋体" w:cs="Times New Roman"/>
                <w:highlight w:val="none"/>
              </w:rPr>
              <w:t>引燃温度</w:t>
            </w:r>
            <w:r>
              <w:rPr>
                <w:rFonts w:hint="eastAsia" w:cs="Times New Roman"/>
                <w:highlight w:val="none"/>
                <w:lang w:eastAsia="zh-CN"/>
              </w:rPr>
              <w:t>（</w:t>
            </w:r>
            <w:r>
              <w:rPr>
                <w:rFonts w:ascii="Times New Roman" w:hAnsi="Times New Roman" w:eastAsia="宋体" w:cs="Times New Roman"/>
                <w:highlight w:val="none"/>
              </w:rPr>
              <w:t>℃</w:t>
            </w:r>
            <w:r>
              <w:rPr>
                <w:rFonts w:hint="eastAsia" w:cs="Times New Roman"/>
                <w:highlight w:val="none"/>
                <w:lang w:eastAsia="zh-CN"/>
              </w:rPr>
              <w:t>）</w:t>
            </w:r>
          </w:p>
        </w:tc>
        <w:tc>
          <w:tcPr>
            <w:tcW w:w="1443" w:type="dxa"/>
            <w:tcMar>
              <w:left w:w="108" w:type="dxa"/>
              <w:right w:w="108" w:type="dxa"/>
            </w:tcMar>
            <w:vAlign w:val="center"/>
          </w:tcPr>
          <w:p w14:paraId="1F4787C2">
            <w:pPr>
              <w:jc w:val="center"/>
              <w:rPr>
                <w:rFonts w:ascii="Times New Roman" w:hAnsi="Times New Roman" w:eastAsia="宋体" w:cs="Times New Roman"/>
                <w:highlight w:val="none"/>
              </w:rPr>
            </w:pPr>
            <w:r>
              <w:rPr>
                <w:rFonts w:ascii="Times New Roman" w:hAnsi="Times New Roman" w:eastAsia="宋体" w:cs="Times New Roman"/>
                <w:highlight w:val="none"/>
              </w:rPr>
              <w:t>140</w:t>
            </w:r>
          </w:p>
        </w:tc>
        <w:tc>
          <w:tcPr>
            <w:tcW w:w="2241" w:type="dxa"/>
            <w:tcMar>
              <w:left w:w="108" w:type="dxa"/>
              <w:right w:w="108" w:type="dxa"/>
            </w:tcMar>
            <w:vAlign w:val="center"/>
          </w:tcPr>
          <w:p w14:paraId="42ABACE5">
            <w:pPr>
              <w:jc w:val="center"/>
              <w:rPr>
                <w:rFonts w:ascii="Times New Roman" w:hAnsi="Times New Roman" w:eastAsia="宋体" w:cs="Times New Roman"/>
                <w:highlight w:val="none"/>
              </w:rPr>
            </w:pPr>
            <w:r>
              <w:rPr>
                <w:rFonts w:ascii="Times New Roman" w:hAnsi="Times New Roman" w:eastAsia="宋体" w:cs="Times New Roman"/>
                <w:highlight w:val="none"/>
              </w:rPr>
              <w:t>爆炸上限/下限</w:t>
            </w:r>
            <w:r>
              <w:rPr>
                <w:rFonts w:hint="eastAsia" w:cs="Times New Roman"/>
                <w:highlight w:val="none"/>
                <w:lang w:eastAsia="zh-CN"/>
              </w:rPr>
              <w:t>（</w:t>
            </w:r>
            <w:r>
              <w:rPr>
                <w:rFonts w:ascii="Times New Roman" w:hAnsi="Times New Roman" w:eastAsia="宋体" w:cs="Times New Roman"/>
                <w:highlight w:val="none"/>
              </w:rPr>
              <w:t>%</w:t>
            </w:r>
            <w:r>
              <w:rPr>
                <w:rFonts w:hint="eastAsia" w:cs="Times New Roman"/>
                <w:highlight w:val="none"/>
                <w:lang w:eastAsia="zh-CN"/>
              </w:rPr>
              <w:t>）</w:t>
            </w:r>
            <w:r>
              <w:rPr>
                <w:rFonts w:ascii="Times New Roman" w:hAnsi="Times New Roman" w:eastAsia="宋体" w:cs="Times New Roman"/>
                <w:highlight w:val="none"/>
              </w:rPr>
              <w:t>V/V</w:t>
            </w:r>
          </w:p>
        </w:tc>
        <w:tc>
          <w:tcPr>
            <w:tcW w:w="3216" w:type="dxa"/>
            <w:tcMar>
              <w:left w:w="108" w:type="dxa"/>
              <w:right w:w="108" w:type="dxa"/>
            </w:tcMar>
            <w:vAlign w:val="center"/>
          </w:tcPr>
          <w:p w14:paraId="6D3922E3">
            <w:pPr>
              <w:jc w:val="center"/>
              <w:rPr>
                <w:rFonts w:ascii="Times New Roman" w:hAnsi="Times New Roman" w:eastAsia="宋体" w:cs="Times New Roman"/>
                <w:highlight w:val="none"/>
              </w:rPr>
            </w:pPr>
            <w:r>
              <w:rPr>
                <w:rFonts w:ascii="Times New Roman" w:hAnsi="Times New Roman" w:eastAsia="宋体" w:cs="Times New Roman"/>
                <w:highlight w:val="none"/>
              </w:rPr>
              <w:t>57.0/4.0</w:t>
            </w:r>
          </w:p>
        </w:tc>
      </w:tr>
      <w:tr w14:paraId="3926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0" w:type="auto"/>
            <w:vMerge w:val="continue"/>
            <w:tcMar>
              <w:left w:w="108" w:type="dxa"/>
              <w:right w:w="108" w:type="dxa"/>
            </w:tcMar>
            <w:vAlign w:val="center"/>
          </w:tcPr>
          <w:p w14:paraId="3FA5F882">
            <w:pPr>
              <w:rPr>
                <w:highlight w:val="none"/>
              </w:rPr>
            </w:pPr>
          </w:p>
        </w:tc>
        <w:tc>
          <w:tcPr>
            <w:tcW w:w="0" w:type="auto"/>
            <w:tcMar>
              <w:left w:w="108" w:type="dxa"/>
              <w:right w:w="108" w:type="dxa"/>
            </w:tcMar>
            <w:vAlign w:val="center"/>
          </w:tcPr>
          <w:p w14:paraId="6838FE3D">
            <w:pPr>
              <w:jc w:val="center"/>
              <w:rPr>
                <w:rFonts w:hint="eastAsia" w:eastAsia="宋体"/>
                <w:highlight w:val="none"/>
                <w:lang w:eastAsia="zh-CN"/>
              </w:rPr>
            </w:pPr>
            <w:r>
              <w:rPr>
                <w:highlight w:val="none"/>
              </w:rPr>
              <w:t>临界压力</w:t>
            </w:r>
            <w:r>
              <w:rPr>
                <w:rFonts w:hint="eastAsia"/>
                <w:highlight w:val="none"/>
                <w:lang w:eastAsia="zh-CN"/>
              </w:rPr>
              <w:t>（</w:t>
            </w:r>
            <w:r>
              <w:rPr>
                <w:highlight w:val="none"/>
              </w:rPr>
              <w:t>Mpa</w:t>
            </w:r>
            <w:r>
              <w:rPr>
                <w:rFonts w:hint="eastAsia"/>
                <w:highlight w:val="none"/>
                <w:lang w:eastAsia="zh-CN"/>
              </w:rPr>
              <w:t>）</w:t>
            </w:r>
          </w:p>
        </w:tc>
        <w:tc>
          <w:tcPr>
            <w:tcW w:w="1443" w:type="dxa"/>
            <w:tcMar>
              <w:left w:w="108" w:type="dxa"/>
              <w:right w:w="108" w:type="dxa"/>
            </w:tcMar>
            <w:vAlign w:val="center"/>
          </w:tcPr>
          <w:p w14:paraId="3A02FB50">
            <w:pPr>
              <w:jc w:val="center"/>
              <w:rPr>
                <w:highlight w:val="none"/>
              </w:rPr>
            </w:pPr>
            <w:r>
              <w:rPr>
                <w:highlight w:val="none"/>
              </w:rPr>
              <w:t>无资料</w:t>
            </w:r>
          </w:p>
        </w:tc>
        <w:tc>
          <w:tcPr>
            <w:tcW w:w="2241" w:type="dxa"/>
            <w:tcMar>
              <w:left w:w="108" w:type="dxa"/>
              <w:right w:w="108" w:type="dxa"/>
            </w:tcMar>
            <w:vAlign w:val="center"/>
          </w:tcPr>
          <w:p w14:paraId="3B98DD5A">
            <w:pPr>
              <w:jc w:val="center"/>
              <w:rPr>
                <w:rFonts w:hint="eastAsia" w:eastAsia="宋体"/>
                <w:highlight w:val="none"/>
                <w:lang w:eastAsia="zh-CN"/>
              </w:rPr>
            </w:pPr>
            <w:r>
              <w:rPr>
                <w:highlight w:val="none"/>
              </w:rPr>
              <w:t>临界温度</w:t>
            </w:r>
            <w:r>
              <w:rPr>
                <w:rFonts w:hint="eastAsia"/>
                <w:highlight w:val="none"/>
                <w:lang w:eastAsia="zh-CN"/>
              </w:rPr>
              <w:t>（</w:t>
            </w:r>
            <w:r>
              <w:rPr>
                <w:highlight w:val="none"/>
              </w:rPr>
              <w:t>℃</w:t>
            </w:r>
            <w:r>
              <w:rPr>
                <w:rFonts w:hint="eastAsia"/>
                <w:highlight w:val="none"/>
                <w:lang w:eastAsia="zh-CN"/>
              </w:rPr>
              <w:t>）</w:t>
            </w:r>
          </w:p>
        </w:tc>
        <w:tc>
          <w:tcPr>
            <w:tcW w:w="3216" w:type="dxa"/>
            <w:tcMar>
              <w:left w:w="108" w:type="dxa"/>
              <w:right w:w="108" w:type="dxa"/>
            </w:tcMar>
            <w:vAlign w:val="center"/>
          </w:tcPr>
          <w:p w14:paraId="02B25391">
            <w:pPr>
              <w:jc w:val="center"/>
              <w:rPr>
                <w:highlight w:val="none"/>
              </w:rPr>
            </w:pPr>
            <w:r>
              <w:rPr>
                <w:highlight w:val="none"/>
              </w:rPr>
              <w:t>188</w:t>
            </w:r>
          </w:p>
        </w:tc>
      </w:tr>
      <w:tr w14:paraId="61E2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0" w:type="auto"/>
            <w:vMerge w:val="continue"/>
            <w:tcMar>
              <w:left w:w="108" w:type="dxa"/>
              <w:right w:w="108" w:type="dxa"/>
            </w:tcMar>
            <w:vAlign w:val="center"/>
          </w:tcPr>
          <w:p w14:paraId="60114B3E">
            <w:pPr>
              <w:rPr>
                <w:highlight w:val="none"/>
              </w:rPr>
            </w:pPr>
          </w:p>
        </w:tc>
        <w:tc>
          <w:tcPr>
            <w:tcW w:w="0" w:type="auto"/>
            <w:tcMar>
              <w:left w:w="108" w:type="dxa"/>
              <w:right w:w="108" w:type="dxa"/>
            </w:tcMar>
            <w:vAlign w:val="center"/>
          </w:tcPr>
          <w:p w14:paraId="0B4C8D2B">
            <w:pPr>
              <w:jc w:val="center"/>
              <w:rPr>
                <w:highlight w:val="none"/>
              </w:rPr>
            </w:pPr>
            <w:r>
              <w:rPr>
                <w:highlight w:val="none"/>
              </w:rPr>
              <w:t>主要用途</w:t>
            </w:r>
          </w:p>
        </w:tc>
        <w:tc>
          <w:tcPr>
            <w:tcW w:w="0" w:type="auto"/>
            <w:gridSpan w:val="3"/>
            <w:tcMar>
              <w:left w:w="108" w:type="dxa"/>
              <w:right w:w="108" w:type="dxa"/>
            </w:tcMar>
            <w:vAlign w:val="center"/>
          </w:tcPr>
          <w:p w14:paraId="28AC20FB">
            <w:pPr>
              <w:jc w:val="center"/>
              <w:rPr>
                <w:highlight w:val="none"/>
              </w:rPr>
            </w:pPr>
            <w:r>
              <w:rPr>
                <w:highlight w:val="none"/>
              </w:rPr>
              <w:t>用于制造醋酸、醋酐和合成树脂。</w:t>
            </w:r>
          </w:p>
        </w:tc>
      </w:tr>
      <w:tr w14:paraId="7E82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0" w:type="auto"/>
            <w:vMerge w:val="continue"/>
            <w:tcMar>
              <w:left w:w="108" w:type="dxa"/>
              <w:right w:w="108" w:type="dxa"/>
            </w:tcMar>
            <w:vAlign w:val="center"/>
          </w:tcPr>
          <w:p w14:paraId="36F4F524">
            <w:pPr>
              <w:rPr>
                <w:highlight w:val="none"/>
              </w:rPr>
            </w:pPr>
          </w:p>
        </w:tc>
        <w:tc>
          <w:tcPr>
            <w:tcW w:w="0" w:type="auto"/>
            <w:tcMar>
              <w:left w:w="108" w:type="dxa"/>
              <w:right w:w="108" w:type="dxa"/>
            </w:tcMar>
            <w:vAlign w:val="center"/>
          </w:tcPr>
          <w:p w14:paraId="4F219F49">
            <w:pPr>
              <w:jc w:val="center"/>
              <w:rPr>
                <w:highlight w:val="none"/>
              </w:rPr>
            </w:pPr>
            <w:r>
              <w:rPr>
                <w:highlight w:val="none"/>
              </w:rPr>
              <w:t>溶解性</w:t>
            </w:r>
          </w:p>
        </w:tc>
        <w:tc>
          <w:tcPr>
            <w:tcW w:w="0" w:type="auto"/>
            <w:gridSpan w:val="3"/>
            <w:tcMar>
              <w:left w:w="108" w:type="dxa"/>
              <w:right w:w="108" w:type="dxa"/>
            </w:tcMar>
            <w:vAlign w:val="center"/>
          </w:tcPr>
          <w:p w14:paraId="03C38C51">
            <w:pPr>
              <w:jc w:val="center"/>
              <w:rPr>
                <w:highlight w:val="none"/>
              </w:rPr>
            </w:pPr>
            <w:r>
              <w:rPr>
                <w:highlight w:val="none"/>
              </w:rPr>
              <w:t>溶于水，可混溶于乙醇</w:t>
            </w:r>
            <w:r>
              <w:rPr>
                <w:rFonts w:hint="eastAsia"/>
                <w:highlight w:val="none"/>
                <w:lang w:eastAsia="zh-CN"/>
              </w:rPr>
              <w:t>和</w:t>
            </w:r>
            <w:r>
              <w:rPr>
                <w:highlight w:val="none"/>
              </w:rPr>
              <w:t>乙醚。</w:t>
            </w:r>
          </w:p>
        </w:tc>
      </w:tr>
      <w:tr w14:paraId="5E6A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0" w:type="auto"/>
            <w:vMerge w:val="restart"/>
            <w:tcMar>
              <w:left w:w="108" w:type="dxa"/>
              <w:right w:w="108" w:type="dxa"/>
            </w:tcMar>
            <w:vAlign w:val="center"/>
          </w:tcPr>
          <w:p w14:paraId="0E483838">
            <w:pPr>
              <w:jc w:val="center"/>
              <w:rPr>
                <w:highlight w:val="none"/>
              </w:rPr>
            </w:pPr>
            <w:r>
              <w:rPr>
                <w:highlight w:val="none"/>
              </w:rPr>
              <w:t>毒性及健康危害</w:t>
            </w:r>
          </w:p>
        </w:tc>
        <w:tc>
          <w:tcPr>
            <w:tcW w:w="0" w:type="auto"/>
            <w:tcMar>
              <w:left w:w="108" w:type="dxa"/>
              <w:right w:w="108" w:type="dxa"/>
            </w:tcMar>
            <w:vAlign w:val="center"/>
          </w:tcPr>
          <w:p w14:paraId="685E3BB9">
            <w:pPr>
              <w:jc w:val="center"/>
              <w:rPr>
                <w:highlight w:val="none"/>
              </w:rPr>
            </w:pPr>
            <w:r>
              <w:rPr>
                <w:highlight w:val="none"/>
              </w:rPr>
              <w:t>急性毒性</w:t>
            </w:r>
          </w:p>
        </w:tc>
        <w:tc>
          <w:tcPr>
            <w:tcW w:w="0" w:type="auto"/>
            <w:gridSpan w:val="3"/>
            <w:tcMar>
              <w:left w:w="108" w:type="dxa"/>
              <w:right w:w="108" w:type="dxa"/>
            </w:tcMar>
            <w:vAlign w:val="center"/>
          </w:tcPr>
          <w:p w14:paraId="0E374039">
            <w:pPr>
              <w:jc w:val="center"/>
              <w:rPr>
                <w:rFonts w:hint="eastAsia" w:eastAsia="宋体"/>
                <w:highlight w:val="none"/>
                <w:lang w:eastAsia="zh-CN"/>
              </w:rPr>
            </w:pPr>
            <w:r>
              <w:rPr>
                <w:highlight w:val="none"/>
              </w:rPr>
              <w:t>LD50：1930 mg/kg</w:t>
            </w:r>
            <w:r>
              <w:rPr>
                <w:rFonts w:hint="eastAsia"/>
                <w:highlight w:val="none"/>
                <w:lang w:eastAsia="zh-CN"/>
              </w:rPr>
              <w:t>（</w:t>
            </w:r>
            <w:r>
              <w:rPr>
                <w:highlight w:val="none"/>
              </w:rPr>
              <w:t>大鼠经口</w:t>
            </w:r>
            <w:r>
              <w:rPr>
                <w:rFonts w:hint="eastAsia"/>
                <w:highlight w:val="none"/>
                <w:lang w:eastAsia="zh-CN"/>
              </w:rPr>
              <w:t>）</w:t>
            </w:r>
            <w:r>
              <w:rPr>
                <w:highlight w:val="none"/>
              </w:rPr>
              <w:t xml:space="preserve"> LC50：37000mg/m</w:t>
            </w:r>
            <w:r>
              <w:rPr>
                <w:highlight w:val="none"/>
                <w:vertAlign w:val="superscript"/>
              </w:rPr>
              <w:t>3</w:t>
            </w:r>
            <w:r>
              <w:rPr>
                <w:highlight w:val="none"/>
              </w:rPr>
              <w:t>，1/2小时</w:t>
            </w:r>
            <w:r>
              <w:rPr>
                <w:rFonts w:hint="eastAsia"/>
                <w:highlight w:val="none"/>
                <w:lang w:eastAsia="zh-CN"/>
              </w:rPr>
              <w:t>（</w:t>
            </w:r>
            <w:r>
              <w:rPr>
                <w:highlight w:val="none"/>
              </w:rPr>
              <w:t>大鼠吸入</w:t>
            </w:r>
            <w:r>
              <w:rPr>
                <w:rFonts w:hint="eastAsia"/>
                <w:highlight w:val="none"/>
                <w:lang w:eastAsia="zh-CN"/>
              </w:rPr>
              <w:t>）</w:t>
            </w:r>
          </w:p>
        </w:tc>
      </w:tr>
      <w:tr w14:paraId="71D6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32" w:hRule="atLeast"/>
          <w:jc w:val="center"/>
        </w:trPr>
        <w:tc>
          <w:tcPr>
            <w:tcW w:w="0" w:type="auto"/>
            <w:vMerge w:val="continue"/>
            <w:tcMar>
              <w:left w:w="108" w:type="dxa"/>
              <w:right w:w="108" w:type="dxa"/>
            </w:tcMar>
            <w:vAlign w:val="center"/>
          </w:tcPr>
          <w:p w14:paraId="33F9A17A">
            <w:pPr>
              <w:jc w:val="center"/>
              <w:rPr>
                <w:highlight w:val="none"/>
              </w:rPr>
            </w:pPr>
          </w:p>
        </w:tc>
        <w:tc>
          <w:tcPr>
            <w:tcW w:w="0" w:type="auto"/>
            <w:tcMar>
              <w:left w:w="108" w:type="dxa"/>
              <w:right w:w="108" w:type="dxa"/>
            </w:tcMar>
            <w:vAlign w:val="center"/>
          </w:tcPr>
          <w:p w14:paraId="4E92E5E2">
            <w:pPr>
              <w:jc w:val="center"/>
              <w:rPr>
                <w:highlight w:val="none"/>
              </w:rPr>
            </w:pPr>
            <w:r>
              <w:rPr>
                <w:highlight w:val="none"/>
              </w:rPr>
              <w:t>健康危害</w:t>
            </w:r>
          </w:p>
        </w:tc>
        <w:tc>
          <w:tcPr>
            <w:tcW w:w="0" w:type="auto"/>
            <w:gridSpan w:val="3"/>
            <w:tcMar>
              <w:left w:w="108" w:type="dxa"/>
              <w:right w:w="108" w:type="dxa"/>
            </w:tcMar>
            <w:vAlign w:val="center"/>
          </w:tcPr>
          <w:p w14:paraId="508FFED9">
            <w:pPr>
              <w:jc w:val="center"/>
              <w:rPr>
                <w:highlight w:val="none"/>
              </w:rPr>
            </w:pPr>
            <w:r>
              <w:rPr>
                <w:highlight w:val="none"/>
              </w:rPr>
              <w:t>低浓度</w:t>
            </w:r>
            <w:r>
              <w:rPr>
                <w:rFonts w:hint="eastAsia"/>
                <w:highlight w:val="none"/>
                <w:lang w:eastAsia="zh-CN"/>
              </w:rPr>
              <w:t>会</w:t>
            </w:r>
            <w:r>
              <w:rPr>
                <w:highlight w:val="none"/>
              </w:rPr>
              <w:t>引起眼、鼻及上呼吸道刺激症状及支气管炎。高浓度吸入尚有麻醉作用。表现出头痛、嗜睡、神志不清及支气管炎、肺水肿、腹泻、蛋白尿和心肌脂肪变性</w:t>
            </w:r>
            <w:r>
              <w:rPr>
                <w:rFonts w:hint="eastAsia"/>
                <w:highlight w:val="none"/>
                <w:lang w:eastAsia="zh-CN"/>
              </w:rPr>
              <w:t>等症状</w:t>
            </w:r>
            <w:r>
              <w:rPr>
                <w:highlight w:val="none"/>
              </w:rPr>
              <w:t>。可致死。误服</w:t>
            </w:r>
            <w:r>
              <w:rPr>
                <w:rFonts w:hint="eastAsia"/>
                <w:highlight w:val="none"/>
                <w:lang w:eastAsia="zh-CN"/>
              </w:rPr>
              <w:t>可</w:t>
            </w:r>
            <w:r>
              <w:rPr>
                <w:highlight w:val="none"/>
              </w:rPr>
              <w:t>出现胃肠道刺激症状、麻醉作用以及心、肝、肾损害。对皮肤有腐蚀性。反复接触</w:t>
            </w:r>
            <w:r>
              <w:rPr>
                <w:rFonts w:hint="eastAsia"/>
                <w:highlight w:val="none"/>
                <w:lang w:eastAsia="zh-CN"/>
              </w:rPr>
              <w:t>蒸汽会</w:t>
            </w:r>
            <w:r>
              <w:rPr>
                <w:highlight w:val="none"/>
              </w:rPr>
              <w:t>引起皮炎、结膜炎。慢性中毒：类似酒精中毒。表现出体重减轻、贫血、谵妄、视听幻觉、智力丧失和精神障碍。</w:t>
            </w:r>
          </w:p>
        </w:tc>
      </w:tr>
      <w:tr w14:paraId="3EB5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0" w:type="auto"/>
            <w:vMerge w:val="restart"/>
            <w:tcMar>
              <w:left w:w="108" w:type="dxa"/>
              <w:right w:w="108" w:type="dxa"/>
            </w:tcMar>
            <w:vAlign w:val="center"/>
          </w:tcPr>
          <w:p w14:paraId="38B8C4F3">
            <w:pPr>
              <w:jc w:val="center"/>
              <w:rPr>
                <w:highlight w:val="none"/>
              </w:rPr>
            </w:pPr>
            <w:r>
              <w:rPr>
                <w:highlight w:val="none"/>
              </w:rPr>
              <w:t>燃烧爆炸危险性</w:t>
            </w:r>
          </w:p>
        </w:tc>
        <w:tc>
          <w:tcPr>
            <w:tcW w:w="0" w:type="auto"/>
            <w:tcMar>
              <w:left w:w="108" w:type="dxa"/>
              <w:right w:w="108" w:type="dxa"/>
            </w:tcMar>
            <w:vAlign w:val="center"/>
          </w:tcPr>
          <w:p w14:paraId="78D661AD">
            <w:pPr>
              <w:jc w:val="center"/>
              <w:rPr>
                <w:highlight w:val="none"/>
              </w:rPr>
            </w:pPr>
            <w:r>
              <w:rPr>
                <w:highlight w:val="none"/>
              </w:rPr>
              <w:t>燃爆危险</w:t>
            </w:r>
          </w:p>
        </w:tc>
        <w:tc>
          <w:tcPr>
            <w:tcW w:w="0" w:type="auto"/>
            <w:gridSpan w:val="3"/>
            <w:tcMar>
              <w:left w:w="108" w:type="dxa"/>
              <w:right w:w="108" w:type="dxa"/>
            </w:tcMar>
            <w:vAlign w:val="center"/>
          </w:tcPr>
          <w:p w14:paraId="0A0346E6">
            <w:pPr>
              <w:jc w:val="center"/>
              <w:rPr>
                <w:highlight w:val="none"/>
              </w:rPr>
            </w:pPr>
            <w:r>
              <w:rPr>
                <w:highlight w:val="none"/>
              </w:rPr>
              <w:t>本品极易燃烧，</w:t>
            </w:r>
            <w:r>
              <w:rPr>
                <w:rFonts w:hint="eastAsia"/>
                <w:highlight w:val="none"/>
                <w:lang w:eastAsia="zh-CN"/>
              </w:rPr>
              <w:t>具有</w:t>
            </w:r>
            <w:r>
              <w:rPr>
                <w:highlight w:val="none"/>
              </w:rPr>
              <w:t>刺激性</w:t>
            </w:r>
            <w:r>
              <w:rPr>
                <w:rFonts w:hint="eastAsia"/>
                <w:highlight w:val="none"/>
                <w:lang w:eastAsia="zh-CN"/>
              </w:rPr>
              <w:t>、</w:t>
            </w:r>
            <w:r>
              <w:rPr>
                <w:highlight w:val="none"/>
              </w:rPr>
              <w:t>致敏性。</w:t>
            </w:r>
          </w:p>
        </w:tc>
      </w:tr>
      <w:tr w14:paraId="410B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6" w:hRule="atLeast"/>
          <w:jc w:val="center"/>
        </w:trPr>
        <w:tc>
          <w:tcPr>
            <w:tcW w:w="0" w:type="auto"/>
            <w:vMerge w:val="continue"/>
            <w:tcMar>
              <w:left w:w="108" w:type="dxa"/>
              <w:right w:w="108" w:type="dxa"/>
            </w:tcMar>
            <w:vAlign w:val="center"/>
          </w:tcPr>
          <w:p w14:paraId="129651AA">
            <w:pPr>
              <w:jc w:val="center"/>
              <w:rPr>
                <w:highlight w:val="none"/>
              </w:rPr>
            </w:pPr>
          </w:p>
        </w:tc>
        <w:tc>
          <w:tcPr>
            <w:tcW w:w="0" w:type="auto"/>
            <w:tcMar>
              <w:left w:w="108" w:type="dxa"/>
              <w:right w:w="108" w:type="dxa"/>
            </w:tcMar>
            <w:vAlign w:val="center"/>
          </w:tcPr>
          <w:p w14:paraId="7A8557EF">
            <w:pPr>
              <w:jc w:val="center"/>
              <w:rPr>
                <w:highlight w:val="none"/>
              </w:rPr>
            </w:pPr>
            <w:r>
              <w:rPr>
                <w:highlight w:val="none"/>
              </w:rPr>
              <w:t>危险特性</w:t>
            </w:r>
          </w:p>
        </w:tc>
        <w:tc>
          <w:tcPr>
            <w:tcW w:w="0" w:type="auto"/>
            <w:gridSpan w:val="3"/>
            <w:tcMar>
              <w:left w:w="108" w:type="dxa"/>
              <w:right w:w="108" w:type="dxa"/>
            </w:tcMar>
            <w:vAlign w:val="center"/>
          </w:tcPr>
          <w:p w14:paraId="3523650A">
            <w:pPr>
              <w:jc w:val="center"/>
              <w:rPr>
                <w:highlight w:val="none"/>
              </w:rPr>
            </w:pPr>
            <w:r>
              <w:rPr>
                <w:highlight w:val="none"/>
              </w:rPr>
              <w:t>极易燃，甚至在低温下的微量也能与空气形成爆炸性混合物</w:t>
            </w:r>
            <w:r>
              <w:rPr>
                <w:rFonts w:hint="eastAsia"/>
                <w:highlight w:val="none"/>
                <w:lang w:eastAsia="zh-CN"/>
              </w:rPr>
              <w:t>。</w:t>
            </w:r>
            <w:r>
              <w:rPr>
                <w:highlight w:val="none"/>
              </w:rPr>
              <w:t>遇火星、高温、氧化剂、易燃物、氨、硫化氢、卤素、磷、强碱、胺类、醇、酮、酯、酚等有燃烧爆炸危险。在空气中含量若升高至能产生爆炸性的过氧化物，受热可能发生剧烈的聚合反应。其</w:t>
            </w:r>
            <w:r>
              <w:rPr>
                <w:rFonts w:hint="eastAsia"/>
                <w:highlight w:val="none"/>
                <w:lang w:eastAsia="zh-CN"/>
              </w:rPr>
              <w:t>蒸汽</w:t>
            </w:r>
            <w:r>
              <w:rPr>
                <w:highlight w:val="none"/>
              </w:rPr>
              <w:t>比空气重，能在较低处扩散到相当远的地方，遇火源会着火回燃。</w:t>
            </w:r>
          </w:p>
        </w:tc>
      </w:tr>
      <w:tr w14:paraId="7EE5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0" w:type="auto"/>
            <w:vMerge w:val="continue"/>
            <w:tcMar>
              <w:left w:w="108" w:type="dxa"/>
              <w:right w:w="108" w:type="dxa"/>
            </w:tcMar>
            <w:vAlign w:val="center"/>
          </w:tcPr>
          <w:p w14:paraId="1CA5D405">
            <w:pPr>
              <w:jc w:val="center"/>
              <w:rPr>
                <w:highlight w:val="none"/>
              </w:rPr>
            </w:pPr>
          </w:p>
        </w:tc>
        <w:tc>
          <w:tcPr>
            <w:tcW w:w="0" w:type="auto"/>
            <w:tcMar>
              <w:left w:w="108" w:type="dxa"/>
              <w:right w:w="108" w:type="dxa"/>
            </w:tcMar>
            <w:vAlign w:val="center"/>
          </w:tcPr>
          <w:p w14:paraId="60943ADC">
            <w:pPr>
              <w:jc w:val="center"/>
              <w:rPr>
                <w:highlight w:val="none"/>
              </w:rPr>
            </w:pPr>
            <w:r>
              <w:rPr>
                <w:highlight w:val="none"/>
              </w:rPr>
              <w:t>灭火方法</w:t>
            </w:r>
          </w:p>
        </w:tc>
        <w:tc>
          <w:tcPr>
            <w:tcW w:w="0" w:type="auto"/>
            <w:gridSpan w:val="3"/>
            <w:tcMar>
              <w:left w:w="108" w:type="dxa"/>
              <w:right w:w="108" w:type="dxa"/>
            </w:tcMar>
            <w:vAlign w:val="center"/>
          </w:tcPr>
          <w:p w14:paraId="73D9EAE7">
            <w:pPr>
              <w:jc w:val="center"/>
              <w:rPr>
                <w:highlight w:val="none"/>
              </w:rPr>
            </w:pPr>
            <w:r>
              <w:rPr>
                <w:highlight w:val="none"/>
              </w:rPr>
              <w:t>遇到大火，消防人员须在有防爆掩蔽处操作。抗溶性泡沫、二氧化碳、干粉、砂土。用水灭火无效。</w:t>
            </w:r>
          </w:p>
        </w:tc>
      </w:tr>
      <w:tr w14:paraId="2B93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0" w:type="auto"/>
            <w:vMerge w:val="continue"/>
            <w:tcMar>
              <w:left w:w="108" w:type="dxa"/>
              <w:right w:w="108" w:type="dxa"/>
            </w:tcMar>
            <w:vAlign w:val="center"/>
          </w:tcPr>
          <w:p w14:paraId="7B897BE7">
            <w:pPr>
              <w:jc w:val="center"/>
              <w:rPr>
                <w:highlight w:val="none"/>
              </w:rPr>
            </w:pPr>
          </w:p>
        </w:tc>
        <w:tc>
          <w:tcPr>
            <w:tcW w:w="0" w:type="auto"/>
            <w:tcMar>
              <w:left w:w="108" w:type="dxa"/>
              <w:right w:w="108" w:type="dxa"/>
            </w:tcMar>
            <w:vAlign w:val="center"/>
          </w:tcPr>
          <w:p w14:paraId="3578E83B">
            <w:pPr>
              <w:jc w:val="center"/>
              <w:rPr>
                <w:highlight w:val="none"/>
              </w:rPr>
            </w:pPr>
            <w:r>
              <w:rPr>
                <w:highlight w:val="none"/>
              </w:rPr>
              <w:t>有害分解产物</w:t>
            </w:r>
          </w:p>
        </w:tc>
        <w:tc>
          <w:tcPr>
            <w:tcW w:w="0" w:type="auto"/>
            <w:gridSpan w:val="3"/>
            <w:tcMar>
              <w:left w:w="108" w:type="dxa"/>
              <w:right w:w="108" w:type="dxa"/>
            </w:tcMar>
            <w:vAlign w:val="center"/>
          </w:tcPr>
          <w:p w14:paraId="624B116B">
            <w:pPr>
              <w:jc w:val="center"/>
              <w:rPr>
                <w:highlight w:val="none"/>
              </w:rPr>
            </w:pPr>
            <w:r>
              <w:rPr>
                <w:highlight w:val="none"/>
              </w:rPr>
              <w:t>一氧化碳、二氧化碳。</w:t>
            </w:r>
          </w:p>
        </w:tc>
      </w:tr>
      <w:tr w14:paraId="6299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0" w:type="auto"/>
            <w:vMerge w:val="restart"/>
            <w:tcMar>
              <w:left w:w="108" w:type="dxa"/>
              <w:right w:w="108" w:type="dxa"/>
            </w:tcMar>
            <w:vAlign w:val="center"/>
          </w:tcPr>
          <w:p w14:paraId="65CE82BC">
            <w:pPr>
              <w:jc w:val="center"/>
              <w:rPr>
                <w:highlight w:val="none"/>
              </w:rPr>
            </w:pPr>
            <w:r>
              <w:rPr>
                <w:highlight w:val="none"/>
              </w:rPr>
              <w:t>急救措施</w:t>
            </w:r>
          </w:p>
        </w:tc>
        <w:tc>
          <w:tcPr>
            <w:tcW w:w="0" w:type="auto"/>
            <w:gridSpan w:val="4"/>
            <w:tcMar>
              <w:left w:w="108" w:type="dxa"/>
              <w:right w:w="108" w:type="dxa"/>
            </w:tcMar>
            <w:vAlign w:val="center"/>
          </w:tcPr>
          <w:p w14:paraId="5963D43D">
            <w:pPr>
              <w:jc w:val="center"/>
              <w:rPr>
                <w:highlight w:val="none"/>
              </w:rPr>
            </w:pPr>
            <w:r>
              <w:rPr>
                <w:highlight w:val="none"/>
              </w:rPr>
              <w:t>①皮肤接触：脱去污染的衣物，用肥皂水和清水彻底冲洗皮肤。</w:t>
            </w:r>
          </w:p>
        </w:tc>
      </w:tr>
      <w:tr w14:paraId="5848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0" w:type="auto"/>
            <w:vMerge w:val="continue"/>
            <w:tcMar>
              <w:left w:w="108" w:type="dxa"/>
              <w:right w:w="108" w:type="dxa"/>
            </w:tcMar>
            <w:vAlign w:val="center"/>
          </w:tcPr>
          <w:p w14:paraId="2C35F5BF">
            <w:pPr>
              <w:jc w:val="center"/>
              <w:rPr>
                <w:highlight w:val="none"/>
              </w:rPr>
            </w:pPr>
          </w:p>
        </w:tc>
        <w:tc>
          <w:tcPr>
            <w:tcW w:w="0" w:type="auto"/>
            <w:gridSpan w:val="4"/>
            <w:tcMar>
              <w:left w:w="108" w:type="dxa"/>
              <w:right w:w="108" w:type="dxa"/>
            </w:tcMar>
            <w:vAlign w:val="center"/>
          </w:tcPr>
          <w:p w14:paraId="6883A97B">
            <w:pPr>
              <w:jc w:val="center"/>
              <w:rPr>
                <w:highlight w:val="none"/>
              </w:rPr>
            </w:pPr>
            <w:r>
              <w:rPr>
                <w:highlight w:val="none"/>
              </w:rPr>
              <w:t>②眼睛接触：提起眼睑，用流动清水或生理盐水冲洗。就医。</w:t>
            </w:r>
          </w:p>
        </w:tc>
      </w:tr>
      <w:tr w14:paraId="411A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0" w:type="auto"/>
            <w:vMerge w:val="continue"/>
            <w:tcMar>
              <w:left w:w="108" w:type="dxa"/>
              <w:right w:w="108" w:type="dxa"/>
            </w:tcMar>
            <w:vAlign w:val="center"/>
          </w:tcPr>
          <w:p w14:paraId="43D6A009">
            <w:pPr>
              <w:jc w:val="center"/>
              <w:rPr>
                <w:highlight w:val="none"/>
              </w:rPr>
            </w:pPr>
          </w:p>
        </w:tc>
        <w:tc>
          <w:tcPr>
            <w:tcW w:w="0" w:type="auto"/>
            <w:gridSpan w:val="4"/>
            <w:tcMar>
              <w:left w:w="108" w:type="dxa"/>
              <w:right w:w="108" w:type="dxa"/>
            </w:tcMar>
            <w:vAlign w:val="center"/>
          </w:tcPr>
          <w:p w14:paraId="10380F15">
            <w:pPr>
              <w:jc w:val="center"/>
              <w:rPr>
                <w:highlight w:val="none"/>
              </w:rPr>
            </w:pPr>
            <w:r>
              <w:rPr>
                <w:highlight w:val="none"/>
              </w:rPr>
              <w:t>③吸入：迅速脱离现场至空气新鲜处。保持呼吸道通畅。</w:t>
            </w:r>
            <w:r>
              <w:rPr>
                <w:rFonts w:hint="eastAsia"/>
                <w:highlight w:val="none"/>
                <w:lang w:eastAsia="zh-CN"/>
              </w:rPr>
              <w:t>如果患者感到呼吸困难，应该给患者输氧。</w:t>
            </w:r>
            <w:r>
              <w:rPr>
                <w:highlight w:val="none"/>
              </w:rPr>
              <w:t>如呼吸停止，立即进行人工呼吸。就医。</w:t>
            </w:r>
          </w:p>
        </w:tc>
      </w:tr>
      <w:tr w14:paraId="1CAA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0" w:type="auto"/>
            <w:vMerge w:val="continue"/>
            <w:tcMar>
              <w:left w:w="108" w:type="dxa"/>
              <w:right w:w="108" w:type="dxa"/>
            </w:tcMar>
            <w:vAlign w:val="center"/>
          </w:tcPr>
          <w:p w14:paraId="0CA7BE22">
            <w:pPr>
              <w:jc w:val="center"/>
              <w:rPr>
                <w:highlight w:val="none"/>
              </w:rPr>
            </w:pPr>
          </w:p>
        </w:tc>
        <w:tc>
          <w:tcPr>
            <w:tcW w:w="0" w:type="auto"/>
            <w:gridSpan w:val="4"/>
            <w:tcMar>
              <w:left w:w="108" w:type="dxa"/>
              <w:right w:w="108" w:type="dxa"/>
            </w:tcMar>
            <w:vAlign w:val="center"/>
          </w:tcPr>
          <w:p w14:paraId="06D36B4D">
            <w:pPr>
              <w:jc w:val="center"/>
              <w:rPr>
                <w:highlight w:val="none"/>
              </w:rPr>
            </w:pPr>
            <w:r>
              <w:rPr>
                <w:highlight w:val="none"/>
              </w:rPr>
              <w:t>④食入：饮足量温水，催吐。就医。</w:t>
            </w:r>
          </w:p>
        </w:tc>
      </w:tr>
      <w:tr w14:paraId="3526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32" w:hRule="atLeast"/>
          <w:jc w:val="center"/>
        </w:trPr>
        <w:tc>
          <w:tcPr>
            <w:tcW w:w="0" w:type="auto"/>
            <w:tcMar>
              <w:left w:w="108" w:type="dxa"/>
              <w:right w:w="108" w:type="dxa"/>
            </w:tcMar>
            <w:vAlign w:val="center"/>
          </w:tcPr>
          <w:p w14:paraId="3E77081D">
            <w:pPr>
              <w:jc w:val="center"/>
              <w:rPr>
                <w:highlight w:val="none"/>
              </w:rPr>
            </w:pPr>
            <w:r>
              <w:rPr>
                <w:highlight w:val="none"/>
              </w:rPr>
              <w:t>泄漏处置</w:t>
            </w:r>
          </w:p>
        </w:tc>
        <w:tc>
          <w:tcPr>
            <w:tcW w:w="0" w:type="auto"/>
            <w:gridSpan w:val="4"/>
            <w:tcMar>
              <w:left w:w="108" w:type="dxa"/>
              <w:right w:w="108" w:type="dxa"/>
            </w:tcMar>
            <w:vAlign w:val="center"/>
          </w:tcPr>
          <w:p w14:paraId="4B52578B">
            <w:pPr>
              <w:jc w:val="center"/>
              <w:rPr>
                <w:highlight w:val="none"/>
              </w:rPr>
            </w:pPr>
            <w:r>
              <w:rPr>
                <w:highlight w:val="none"/>
              </w:rPr>
              <w:t>迅速撤离泄漏污染区人员至安全区，并进行隔离，严格限制出入，切断火源。建议应急处理人员戴自给正压式呼吸器，穿防火纯棉工作服。尽可能切断泄漏源。防止</w:t>
            </w:r>
            <w:r>
              <w:rPr>
                <w:rFonts w:hint="eastAsia"/>
                <w:highlight w:val="none"/>
                <w:lang w:eastAsia="zh-CN"/>
              </w:rPr>
              <w:t>泄漏</w:t>
            </w:r>
            <w:r>
              <w:rPr>
                <w:highlight w:val="none"/>
              </w:rPr>
              <w:t>流入下水道、排沟等限制空间。小量泄漏：用砂土或其他不可燃材料吸附或吸收。也可以用大量水冲洗，洗水稀释后导入废水系统。大量泄漏：构筑围堤或挖坑收容。喷雾状水冷却和稀释蒸汽，保护现场人员、把泄漏物稀释成不燃物。用防爆泵转移至槽车或专用收集容器内，回收或至废物处理所处置。</w:t>
            </w:r>
          </w:p>
        </w:tc>
      </w:tr>
      <w:tr w14:paraId="3495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4" w:hRule="atLeast"/>
          <w:jc w:val="center"/>
        </w:trPr>
        <w:tc>
          <w:tcPr>
            <w:tcW w:w="0" w:type="auto"/>
            <w:tcMar>
              <w:left w:w="108" w:type="dxa"/>
              <w:right w:w="108" w:type="dxa"/>
            </w:tcMar>
            <w:vAlign w:val="center"/>
          </w:tcPr>
          <w:p w14:paraId="54B9905F">
            <w:pPr>
              <w:jc w:val="center"/>
              <w:rPr>
                <w:highlight w:val="none"/>
              </w:rPr>
            </w:pPr>
            <w:r>
              <w:rPr>
                <w:highlight w:val="none"/>
              </w:rPr>
              <w:t>储运注意事项</w:t>
            </w:r>
          </w:p>
        </w:tc>
        <w:tc>
          <w:tcPr>
            <w:tcW w:w="7752" w:type="dxa"/>
            <w:gridSpan w:val="4"/>
            <w:tcMar>
              <w:left w:w="108" w:type="dxa"/>
              <w:right w:w="108" w:type="dxa"/>
            </w:tcMar>
            <w:vAlign w:val="center"/>
          </w:tcPr>
          <w:p w14:paraId="28B18584">
            <w:pPr>
              <w:jc w:val="center"/>
              <w:rPr>
                <w:highlight w:val="none"/>
              </w:rPr>
            </w:pPr>
            <w:r>
              <w:rPr>
                <w:highlight w:val="none"/>
              </w:rPr>
              <w:t>①储存注意事项：储存于阴凉、通风的库房。远离火种、热源。库温不宜超过25℃。包装要求密封，不可与空气接触。应与氧化剂、还原剂、酸类等分开存放，切忌混储。不宜大量储存或久存。采用防爆型照明、通风设施。禁止使用易产生火花的机械设备和工具。储存区应备有泄漏应急处理设备和合适的收容材料。</w:t>
            </w:r>
          </w:p>
          <w:p w14:paraId="64D417B8">
            <w:pPr>
              <w:jc w:val="center"/>
              <w:rPr>
                <w:highlight w:val="none"/>
              </w:rPr>
            </w:pPr>
            <w:r>
              <w:rPr>
                <w:highlight w:val="none"/>
              </w:rPr>
              <w:t>②运输注意事项：本品铁路运输时限使用由液化气企业自备罐车装运，装运前需报有关部门批准。运输时运输车辆应配备相应的种类和数量的消防器材及泄漏应急处理设备。夏季最好早晚运输。运输时所用的槽（罐）车应有接地链，槽内可设金属隔板以减少</w:t>
            </w:r>
            <w:r>
              <w:rPr>
                <w:rFonts w:hint="eastAsia"/>
                <w:highlight w:val="none"/>
                <w:lang w:eastAsia="zh-CN"/>
              </w:rPr>
              <w:t>振动</w:t>
            </w:r>
            <w:r>
              <w:rPr>
                <w:highlight w:val="none"/>
              </w:rPr>
              <w:t>产生静电。严禁与氧化剂、还原剂、酸类、食用化学品等混装混运。运输途中应防止</w:t>
            </w:r>
            <w:r>
              <w:rPr>
                <w:rFonts w:hint="eastAsia"/>
                <w:highlight w:val="none"/>
                <w:lang w:eastAsia="zh-CN"/>
              </w:rPr>
              <w:t>暴晒</w:t>
            </w:r>
            <w:r>
              <w:rPr>
                <w:highlight w:val="none"/>
              </w:rPr>
              <w:t>、雨淋，防高温。中途停留时应远离火种、热源、高温区。装运该物品的车辆排气管必须配备阻火装置，禁止使用易产生火花的机械设备和工具装卸。公路运输时要按国家规定路线行驶，勿在居民区和人口稠密区停留。铁路运输时要禁止溜放。严禁用木船、水泥船</w:t>
            </w:r>
            <w:r>
              <w:rPr>
                <w:rFonts w:hint="eastAsia"/>
                <w:highlight w:val="none"/>
                <w:lang w:eastAsia="zh-CN"/>
              </w:rPr>
              <w:t>等方式</w:t>
            </w:r>
            <w:r>
              <w:rPr>
                <w:highlight w:val="none"/>
              </w:rPr>
              <w:t>散装运输。</w:t>
            </w:r>
          </w:p>
        </w:tc>
      </w:tr>
    </w:tbl>
    <w:p w14:paraId="02BCE416">
      <w:pPr>
        <w:spacing w:line="360" w:lineRule="auto"/>
        <w:jc w:val="center"/>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表</w:t>
      </w:r>
      <w:r>
        <w:rPr>
          <w:rFonts w:hint="eastAsia" w:cs="Times New Roman"/>
          <w:b/>
          <w:bCs/>
          <w:sz w:val="21"/>
          <w:szCs w:val="21"/>
          <w:highlight w:val="none"/>
          <w:lang w:val="en-US" w:eastAsia="zh-CN"/>
        </w:rPr>
        <w:t>3.2</w:t>
      </w:r>
      <w:r>
        <w:rPr>
          <w:rFonts w:hint="eastAsia" w:ascii="Times New Roman" w:hAnsi="Times New Roman" w:eastAsia="宋体" w:cs="Times New Roman"/>
          <w:b/>
          <w:bCs/>
          <w:sz w:val="21"/>
          <w:szCs w:val="21"/>
          <w:highlight w:val="none"/>
          <w:lang w:val="en-US" w:eastAsia="zh-CN"/>
        </w:rPr>
        <w:t>-11   乙烷的理化性质及危险特性</w:t>
      </w:r>
    </w:p>
    <w:tbl>
      <w:tblPr>
        <w:tblStyle w:val="19"/>
        <w:tblW w:w="47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4"/>
        <w:gridCol w:w="1422"/>
        <w:gridCol w:w="1309"/>
        <w:gridCol w:w="664"/>
        <w:gridCol w:w="11"/>
        <w:gridCol w:w="2004"/>
        <w:gridCol w:w="118"/>
        <w:gridCol w:w="661"/>
        <w:gridCol w:w="1490"/>
        <w:gridCol w:w="2"/>
      </w:tblGrid>
      <w:tr w14:paraId="3EE1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restart"/>
            <w:tcMar>
              <w:left w:w="108" w:type="dxa"/>
              <w:right w:w="108" w:type="dxa"/>
            </w:tcMar>
            <w:vAlign w:val="center"/>
          </w:tcPr>
          <w:p w14:paraId="6A53FF1D">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标识</w:t>
            </w:r>
          </w:p>
        </w:tc>
        <w:tc>
          <w:tcPr>
            <w:tcW w:w="862" w:type="pct"/>
            <w:tcMar>
              <w:left w:w="108" w:type="dxa"/>
              <w:right w:w="108" w:type="dxa"/>
            </w:tcMar>
            <w:vAlign w:val="center"/>
          </w:tcPr>
          <w:p w14:paraId="55FA970A">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中文名称：</w:t>
            </w:r>
          </w:p>
        </w:tc>
        <w:tc>
          <w:tcPr>
            <w:tcW w:w="3795" w:type="pct"/>
            <w:gridSpan w:val="8"/>
            <w:tcMar>
              <w:left w:w="108" w:type="dxa"/>
              <w:right w:w="108" w:type="dxa"/>
            </w:tcMar>
            <w:vAlign w:val="center"/>
          </w:tcPr>
          <w:p w14:paraId="44FADE58">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乙烷</w:t>
            </w:r>
          </w:p>
        </w:tc>
      </w:tr>
      <w:tr w14:paraId="776B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28D92598">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05520C3F">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英文名称：</w:t>
            </w:r>
          </w:p>
        </w:tc>
        <w:tc>
          <w:tcPr>
            <w:tcW w:w="3795" w:type="pct"/>
            <w:gridSpan w:val="8"/>
            <w:tcMar>
              <w:left w:w="108" w:type="dxa"/>
              <w:right w:w="108" w:type="dxa"/>
            </w:tcMar>
            <w:vAlign w:val="center"/>
          </w:tcPr>
          <w:p w14:paraId="17776269">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ethane</w:t>
            </w:r>
          </w:p>
        </w:tc>
      </w:tr>
      <w:tr w14:paraId="55E5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7A3A5F99">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2D78EC09">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分子式：</w:t>
            </w:r>
          </w:p>
        </w:tc>
        <w:tc>
          <w:tcPr>
            <w:tcW w:w="1196" w:type="pct"/>
            <w:gridSpan w:val="2"/>
            <w:tcMar>
              <w:left w:w="108" w:type="dxa"/>
              <w:right w:w="108" w:type="dxa"/>
            </w:tcMar>
            <w:vAlign w:val="center"/>
          </w:tcPr>
          <w:p w14:paraId="07CA3AEE">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C</w:t>
            </w:r>
            <w:r>
              <w:rPr>
                <w:rFonts w:hint="default" w:ascii="Times New Roman" w:hAnsi="Times New Roman" w:cs="Times New Roman" w:eastAsiaTheme="minorEastAsia"/>
                <w:sz w:val="21"/>
                <w:szCs w:val="21"/>
                <w:highlight w:val="none"/>
                <w:vertAlign w:val="subscript"/>
              </w:rPr>
              <w:t>2</w:t>
            </w:r>
            <w:r>
              <w:rPr>
                <w:rFonts w:hint="default" w:ascii="Times New Roman" w:hAnsi="Times New Roman" w:cs="Times New Roman" w:eastAsiaTheme="minorEastAsia"/>
                <w:sz w:val="21"/>
                <w:szCs w:val="21"/>
                <w:highlight w:val="none"/>
              </w:rPr>
              <w:t>H</w:t>
            </w:r>
            <w:r>
              <w:rPr>
                <w:rFonts w:hint="default" w:ascii="Times New Roman" w:hAnsi="Times New Roman" w:cs="Times New Roman" w:eastAsiaTheme="minorEastAsia"/>
                <w:sz w:val="21"/>
                <w:szCs w:val="21"/>
                <w:highlight w:val="none"/>
                <w:vertAlign w:val="subscript"/>
              </w:rPr>
              <w:t>6</w:t>
            </w:r>
          </w:p>
        </w:tc>
        <w:tc>
          <w:tcPr>
            <w:tcW w:w="1694" w:type="pct"/>
            <w:gridSpan w:val="4"/>
            <w:tcMar>
              <w:left w:w="108" w:type="dxa"/>
              <w:right w:w="108" w:type="dxa"/>
            </w:tcMar>
            <w:vAlign w:val="center"/>
          </w:tcPr>
          <w:p w14:paraId="3C69FEE6">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相对分子质量：</w:t>
            </w:r>
          </w:p>
        </w:tc>
        <w:tc>
          <w:tcPr>
            <w:tcW w:w="904" w:type="pct"/>
            <w:gridSpan w:val="2"/>
            <w:tcMar>
              <w:left w:w="108" w:type="dxa"/>
              <w:right w:w="108" w:type="dxa"/>
            </w:tcMar>
            <w:vAlign w:val="center"/>
          </w:tcPr>
          <w:p w14:paraId="4A1EF9A6">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30.08</w:t>
            </w:r>
          </w:p>
        </w:tc>
      </w:tr>
      <w:tr w14:paraId="6802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135133FE">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0328A56F">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用途：</w:t>
            </w:r>
          </w:p>
        </w:tc>
        <w:tc>
          <w:tcPr>
            <w:tcW w:w="3795" w:type="pct"/>
            <w:gridSpan w:val="8"/>
            <w:tcMar>
              <w:left w:w="108" w:type="dxa"/>
              <w:right w:w="108" w:type="dxa"/>
            </w:tcMar>
            <w:vAlign w:val="center"/>
          </w:tcPr>
          <w:p w14:paraId="1ECED284">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用于制乙烯、氯乙烯、乙炔</w:t>
            </w:r>
            <w:r>
              <w:rPr>
                <w:rFonts w:hint="eastAsia" w:cs="Times New Roman" w:eastAsiaTheme="minorEastAsia"/>
                <w:sz w:val="21"/>
                <w:szCs w:val="21"/>
                <w:highlight w:val="none"/>
                <w:lang w:eastAsia="zh-CN"/>
              </w:rPr>
              <w:t>等</w:t>
            </w:r>
            <w:r>
              <w:rPr>
                <w:rFonts w:hint="default" w:ascii="Times New Roman" w:hAnsi="Times New Roman" w:cs="Times New Roman" w:eastAsiaTheme="minorEastAsia"/>
                <w:sz w:val="21"/>
                <w:szCs w:val="21"/>
                <w:highlight w:val="none"/>
              </w:rPr>
              <w:t>，用作冷冻剂、燃料等。</w:t>
            </w:r>
          </w:p>
        </w:tc>
      </w:tr>
      <w:tr w14:paraId="09BC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restart"/>
            <w:tcMar>
              <w:left w:w="108" w:type="dxa"/>
              <w:right w:w="108" w:type="dxa"/>
            </w:tcMar>
            <w:vAlign w:val="center"/>
          </w:tcPr>
          <w:p w14:paraId="2576B176">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危险概述</w:t>
            </w:r>
          </w:p>
        </w:tc>
        <w:tc>
          <w:tcPr>
            <w:tcW w:w="862" w:type="pct"/>
            <w:tcMar>
              <w:left w:w="108" w:type="dxa"/>
              <w:right w:w="108" w:type="dxa"/>
            </w:tcMar>
            <w:vAlign w:val="center"/>
          </w:tcPr>
          <w:p w14:paraId="2A1105A9">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概述：</w:t>
            </w:r>
          </w:p>
        </w:tc>
        <w:tc>
          <w:tcPr>
            <w:tcW w:w="3795" w:type="pct"/>
            <w:gridSpan w:val="8"/>
            <w:tcMar>
              <w:left w:w="108" w:type="dxa"/>
              <w:right w:w="108" w:type="dxa"/>
            </w:tcMar>
            <w:vAlign w:val="center"/>
          </w:tcPr>
          <w:p w14:paraId="6AA47F79">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极易燃气体，内装加压气体；遇热可能爆炸。</w:t>
            </w:r>
          </w:p>
        </w:tc>
      </w:tr>
      <w:tr w14:paraId="2372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165B2504">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0F7D6DE5">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危险性类别：</w:t>
            </w:r>
          </w:p>
        </w:tc>
        <w:tc>
          <w:tcPr>
            <w:tcW w:w="3795" w:type="pct"/>
            <w:gridSpan w:val="8"/>
            <w:tcMar>
              <w:left w:w="108" w:type="dxa"/>
              <w:right w:w="108" w:type="dxa"/>
            </w:tcMar>
            <w:vAlign w:val="center"/>
          </w:tcPr>
          <w:p w14:paraId="272A4CB3">
            <w:pPr>
              <w:jc w:val="center"/>
              <w:rPr>
                <w:rFonts w:hint="eastAsia"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易燃气体，类：1；加压气体</w:t>
            </w:r>
            <w:r>
              <w:rPr>
                <w:rFonts w:hint="eastAsia" w:cs="Times New Roman" w:eastAsiaTheme="minorEastAsia"/>
                <w:sz w:val="21"/>
                <w:szCs w:val="21"/>
                <w:highlight w:val="none"/>
                <w:lang w:eastAsia="zh-CN"/>
              </w:rPr>
              <w:t>。</w:t>
            </w:r>
          </w:p>
        </w:tc>
      </w:tr>
      <w:tr w14:paraId="2FFA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1A9FB56B">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4BA54744">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防范说明：</w:t>
            </w:r>
          </w:p>
        </w:tc>
        <w:tc>
          <w:tcPr>
            <w:tcW w:w="3795" w:type="pct"/>
            <w:gridSpan w:val="8"/>
            <w:tcMar>
              <w:left w:w="108" w:type="dxa"/>
              <w:right w:w="108" w:type="dxa"/>
            </w:tcMar>
            <w:vAlign w:val="center"/>
          </w:tcPr>
          <w:p w14:paraId="1CBE31F2">
            <w:pPr>
              <w:jc w:val="left"/>
              <w:rPr>
                <w:rFonts w:hint="eastAsia"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预防措施：远离热源、火花、明火、热表面</w:t>
            </w:r>
            <w:r>
              <w:rPr>
                <w:rFonts w:hint="eastAsia" w:cs="Times New Roman" w:eastAsiaTheme="minorEastAsia"/>
                <w:sz w:val="21"/>
                <w:szCs w:val="21"/>
                <w:highlight w:val="none"/>
                <w:lang w:eastAsia="zh-CN"/>
              </w:rPr>
              <w:t>等</w:t>
            </w:r>
            <w:r>
              <w:rPr>
                <w:rFonts w:hint="default" w:ascii="Times New Roman" w:hAnsi="Times New Roman" w:cs="Times New Roman" w:eastAsiaTheme="minorEastAsia"/>
                <w:sz w:val="21"/>
                <w:szCs w:val="21"/>
                <w:highlight w:val="none"/>
              </w:rPr>
              <w:t>。禁止吸烟。</w:t>
            </w:r>
            <w:r>
              <w:rPr>
                <w:rFonts w:hint="default" w:ascii="Times New Roman" w:hAnsi="Times New Roman" w:cs="Times New Roman" w:eastAsiaTheme="minorEastAsia"/>
                <w:sz w:val="21"/>
                <w:szCs w:val="21"/>
                <w:highlight w:val="none"/>
              </w:rPr>
              <w:br w:type="textWrapping"/>
            </w:r>
            <w:r>
              <w:rPr>
                <w:rFonts w:hint="default" w:ascii="Times New Roman" w:hAnsi="Times New Roman" w:cs="Times New Roman" w:eastAsiaTheme="minorEastAsia"/>
                <w:sz w:val="21"/>
                <w:szCs w:val="21"/>
                <w:highlight w:val="none"/>
              </w:rPr>
              <w:t>事故响应：漏气着火：切勿灭火，除非漏气能够安全地制止。如果没有危险，消除一切火源。</w:t>
            </w:r>
            <w:r>
              <w:rPr>
                <w:rFonts w:hint="default" w:ascii="Times New Roman" w:hAnsi="Times New Roman" w:cs="Times New Roman" w:eastAsiaTheme="minorEastAsia"/>
                <w:sz w:val="21"/>
                <w:szCs w:val="21"/>
                <w:highlight w:val="none"/>
              </w:rPr>
              <w:br w:type="textWrapping"/>
            </w:r>
            <w:r>
              <w:rPr>
                <w:rFonts w:hint="default" w:ascii="Times New Roman" w:hAnsi="Times New Roman" w:cs="Times New Roman" w:eastAsiaTheme="minorEastAsia"/>
                <w:sz w:val="21"/>
                <w:szCs w:val="21"/>
                <w:highlight w:val="none"/>
              </w:rPr>
              <w:t>安全储存：存放在通风良好的地方。防日晒。存放在通风良好的地方。</w:t>
            </w:r>
            <w:r>
              <w:rPr>
                <w:rFonts w:hint="default" w:ascii="Times New Roman" w:hAnsi="Times New Roman" w:cs="Times New Roman" w:eastAsiaTheme="minorEastAsia"/>
                <w:sz w:val="21"/>
                <w:szCs w:val="21"/>
                <w:highlight w:val="none"/>
              </w:rPr>
              <w:br w:type="textWrapping"/>
            </w:r>
            <w:r>
              <w:rPr>
                <w:rFonts w:hint="default" w:ascii="Times New Roman" w:hAnsi="Times New Roman" w:cs="Times New Roman" w:eastAsiaTheme="minorEastAsia"/>
                <w:sz w:val="21"/>
                <w:szCs w:val="21"/>
                <w:highlight w:val="none"/>
              </w:rPr>
              <w:t>废弃处置：</w:t>
            </w:r>
            <w:r>
              <w:rPr>
                <w:rFonts w:hint="eastAsia" w:cs="Times New Roman" w:eastAsiaTheme="minorEastAsia"/>
                <w:sz w:val="21"/>
                <w:szCs w:val="21"/>
                <w:highlight w:val="none"/>
                <w:lang w:eastAsia="zh-CN"/>
              </w:rPr>
              <w:t>无。</w:t>
            </w:r>
          </w:p>
        </w:tc>
      </w:tr>
      <w:tr w14:paraId="76E4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6F71242A">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1CE6466E">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物理和化学危险：</w:t>
            </w:r>
          </w:p>
        </w:tc>
        <w:tc>
          <w:tcPr>
            <w:tcW w:w="3795" w:type="pct"/>
            <w:gridSpan w:val="8"/>
            <w:tcMar>
              <w:left w:w="108" w:type="dxa"/>
              <w:right w:w="108" w:type="dxa"/>
            </w:tcMar>
            <w:vAlign w:val="center"/>
          </w:tcPr>
          <w:p w14:paraId="60BE9DA0">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极易燃，与空气混合能形成爆炸性混合物。</w:t>
            </w:r>
          </w:p>
        </w:tc>
      </w:tr>
      <w:tr w14:paraId="73AA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5DF2D9E1">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548E9F34">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健康危害：</w:t>
            </w:r>
          </w:p>
        </w:tc>
        <w:tc>
          <w:tcPr>
            <w:tcW w:w="3795" w:type="pct"/>
            <w:gridSpan w:val="8"/>
            <w:tcMar>
              <w:left w:w="108" w:type="dxa"/>
              <w:right w:w="108" w:type="dxa"/>
            </w:tcMar>
            <w:vAlign w:val="center"/>
          </w:tcPr>
          <w:p w14:paraId="08E2BBAC">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高浓度时，有单纯性窒息作用。有轻度麻醉作用。空气中浓度大于6%时，出现眩晕、轻度恶心、麻醉症状；达40%以上时，可引起惊厥，甚至窒息死亡。</w:t>
            </w:r>
          </w:p>
        </w:tc>
      </w:tr>
      <w:tr w14:paraId="11FA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724CDEAF">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6FFFB487">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环境危害：</w:t>
            </w:r>
          </w:p>
        </w:tc>
        <w:tc>
          <w:tcPr>
            <w:tcW w:w="3795" w:type="pct"/>
            <w:gridSpan w:val="8"/>
            <w:tcMar>
              <w:left w:w="108" w:type="dxa"/>
              <w:right w:w="108" w:type="dxa"/>
            </w:tcMar>
            <w:vAlign w:val="center"/>
          </w:tcPr>
          <w:p w14:paraId="00E3AB75">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对环境可能有害。</w:t>
            </w:r>
          </w:p>
        </w:tc>
      </w:tr>
      <w:tr w14:paraId="55C6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104C0AA7">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73EBF129">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成分/组成信息</w:t>
            </w:r>
          </w:p>
        </w:tc>
        <w:tc>
          <w:tcPr>
            <w:tcW w:w="3795" w:type="pct"/>
            <w:gridSpan w:val="8"/>
            <w:tcMar>
              <w:left w:w="108" w:type="dxa"/>
              <w:right w:w="108" w:type="dxa"/>
            </w:tcMar>
            <w:vAlign w:val="center"/>
          </w:tcPr>
          <w:p w14:paraId="45595ACA">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 xml:space="preserve">☑ 物质 </w:t>
            </w:r>
            <w:r>
              <w:rPr>
                <w:rFonts w:hint="eastAsia" w:cs="Times New Roman" w:eastAsiaTheme="minorEastAsia"/>
                <w:sz w:val="21"/>
                <w:szCs w:val="21"/>
                <w:highlight w:val="none"/>
                <w:lang w:eastAsia="zh-CN"/>
              </w:rPr>
              <w:t>，</w:t>
            </w:r>
            <w:r>
              <w:rPr>
                <w:rFonts w:hint="default" w:ascii="Times New Roman" w:hAnsi="Times New Roman" w:cs="Times New Roman" w:eastAsiaTheme="minorEastAsia"/>
                <w:sz w:val="21"/>
                <w:szCs w:val="21"/>
                <w:highlight w:val="none"/>
              </w:rPr>
              <w:t>口混合物：</w:t>
            </w:r>
          </w:p>
        </w:tc>
      </w:tr>
      <w:tr w14:paraId="64F9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46B1B024">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4E0110C4">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急救</w:t>
            </w:r>
          </w:p>
        </w:tc>
        <w:tc>
          <w:tcPr>
            <w:tcW w:w="3795" w:type="pct"/>
            <w:gridSpan w:val="8"/>
            <w:tcMar>
              <w:left w:w="108" w:type="dxa"/>
              <w:right w:w="108" w:type="dxa"/>
            </w:tcMar>
            <w:vAlign w:val="center"/>
          </w:tcPr>
          <w:p w14:paraId="5BA29931">
            <w:pPr>
              <w:jc w:val="center"/>
              <w:rPr>
                <w:rFonts w:hint="eastAsia"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吸入：迅速脱离现场至空气新鲜处。保持呼吸道通畅。</w:t>
            </w:r>
            <w:r>
              <w:rPr>
                <w:rFonts w:hint="eastAsia" w:cs="Times New Roman" w:eastAsiaTheme="minorEastAsia"/>
                <w:sz w:val="21"/>
                <w:szCs w:val="21"/>
                <w:highlight w:val="none"/>
                <w:lang w:eastAsia="zh-CN"/>
              </w:rPr>
              <w:t>如果患者感到呼吸困难，应该给患者输氧。</w:t>
            </w:r>
            <w:r>
              <w:rPr>
                <w:rFonts w:hint="default" w:ascii="Times New Roman" w:hAnsi="Times New Roman" w:cs="Times New Roman" w:eastAsiaTheme="minorEastAsia"/>
                <w:sz w:val="21"/>
                <w:szCs w:val="21"/>
                <w:highlight w:val="none"/>
              </w:rPr>
              <w:t>如呼吸、心跳停止，立即进行心肺复苏术。就医</w:t>
            </w:r>
            <w:r>
              <w:rPr>
                <w:rFonts w:hint="eastAsia" w:cs="Times New Roman" w:eastAsiaTheme="minorEastAsia"/>
                <w:sz w:val="21"/>
                <w:szCs w:val="21"/>
                <w:highlight w:val="none"/>
                <w:lang w:eastAsia="zh-CN"/>
              </w:rPr>
              <w:t>。</w:t>
            </w:r>
          </w:p>
        </w:tc>
      </w:tr>
      <w:tr w14:paraId="41AB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35979634">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0D6EA1E6">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措施</w:t>
            </w:r>
          </w:p>
        </w:tc>
        <w:tc>
          <w:tcPr>
            <w:tcW w:w="1196" w:type="pct"/>
            <w:gridSpan w:val="2"/>
            <w:tcMar>
              <w:left w:w="108" w:type="dxa"/>
              <w:right w:w="108" w:type="dxa"/>
            </w:tcMar>
            <w:vAlign w:val="center"/>
          </w:tcPr>
          <w:p w14:paraId="5493EF4E">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皮肤接触：</w:t>
            </w:r>
          </w:p>
        </w:tc>
        <w:tc>
          <w:tcPr>
            <w:tcW w:w="2599" w:type="pct"/>
            <w:gridSpan w:val="6"/>
            <w:tcMar>
              <w:left w:w="108" w:type="dxa"/>
              <w:right w:w="108" w:type="dxa"/>
            </w:tcMar>
            <w:vAlign w:val="center"/>
          </w:tcPr>
          <w:p w14:paraId="5146FF01">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w:t>
            </w:r>
          </w:p>
        </w:tc>
      </w:tr>
      <w:tr w14:paraId="22D7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tcMar>
              <w:left w:w="108" w:type="dxa"/>
              <w:right w:w="108" w:type="dxa"/>
            </w:tcMar>
            <w:vAlign w:val="center"/>
          </w:tcPr>
          <w:p w14:paraId="3F780BC6">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63D85D96">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眼睛接触：</w:t>
            </w:r>
          </w:p>
        </w:tc>
        <w:tc>
          <w:tcPr>
            <w:tcW w:w="3795" w:type="pct"/>
            <w:gridSpan w:val="8"/>
            <w:tcMar>
              <w:left w:w="108" w:type="dxa"/>
              <w:right w:w="108" w:type="dxa"/>
            </w:tcMar>
            <w:vAlign w:val="center"/>
          </w:tcPr>
          <w:p w14:paraId="0F5E9F08">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w:t>
            </w:r>
          </w:p>
        </w:tc>
      </w:tr>
      <w:tr w14:paraId="2E45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tcMar>
              <w:left w:w="108" w:type="dxa"/>
              <w:right w:w="108" w:type="dxa"/>
            </w:tcMar>
            <w:vAlign w:val="center"/>
          </w:tcPr>
          <w:p w14:paraId="59F35960">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4C43BE4F">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食入：</w:t>
            </w:r>
          </w:p>
        </w:tc>
        <w:tc>
          <w:tcPr>
            <w:tcW w:w="3795" w:type="pct"/>
            <w:gridSpan w:val="8"/>
            <w:tcMar>
              <w:left w:w="108" w:type="dxa"/>
              <w:right w:w="108" w:type="dxa"/>
            </w:tcMar>
            <w:vAlign w:val="center"/>
          </w:tcPr>
          <w:p w14:paraId="4C55EE4C">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w:t>
            </w:r>
          </w:p>
        </w:tc>
      </w:tr>
      <w:tr w14:paraId="5ADD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restart"/>
            <w:tcMar>
              <w:left w:w="108" w:type="dxa"/>
              <w:right w:w="108" w:type="dxa"/>
            </w:tcMar>
            <w:vAlign w:val="center"/>
          </w:tcPr>
          <w:p w14:paraId="2013F15D">
            <w:pPr>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消防</w:t>
            </w:r>
            <w:r>
              <w:rPr>
                <w:rFonts w:hint="default" w:ascii="Times New Roman" w:hAnsi="Times New Roman" w:cs="Times New Roman" w:eastAsiaTheme="minorEastAsia"/>
                <w:sz w:val="21"/>
                <w:szCs w:val="21"/>
                <w:highlight w:val="none"/>
                <w:lang w:val="en-US" w:eastAsia="zh-CN"/>
              </w:rPr>
              <w:t>措施</w:t>
            </w:r>
          </w:p>
        </w:tc>
        <w:tc>
          <w:tcPr>
            <w:tcW w:w="862" w:type="pct"/>
            <w:tcMar>
              <w:left w:w="108" w:type="dxa"/>
              <w:right w:w="108" w:type="dxa"/>
            </w:tcMar>
            <w:vAlign w:val="center"/>
          </w:tcPr>
          <w:p w14:paraId="72AC1A2E">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灭火剂：</w:t>
            </w:r>
          </w:p>
        </w:tc>
        <w:tc>
          <w:tcPr>
            <w:tcW w:w="3795" w:type="pct"/>
            <w:gridSpan w:val="8"/>
            <w:tcMar>
              <w:left w:w="108" w:type="dxa"/>
              <w:right w:w="108" w:type="dxa"/>
            </w:tcMar>
            <w:vAlign w:val="center"/>
          </w:tcPr>
          <w:p w14:paraId="647389BA">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用雾状水、泡沫、二氧化碳、干粉</w:t>
            </w:r>
            <w:r>
              <w:rPr>
                <w:rFonts w:hint="eastAsia" w:cs="Times New Roman" w:eastAsiaTheme="minorEastAsia"/>
                <w:sz w:val="21"/>
                <w:szCs w:val="21"/>
                <w:highlight w:val="none"/>
                <w:lang w:eastAsia="zh-CN"/>
              </w:rPr>
              <w:t>等</w:t>
            </w:r>
            <w:r>
              <w:rPr>
                <w:rFonts w:hint="default" w:ascii="Times New Roman" w:hAnsi="Times New Roman" w:cs="Times New Roman" w:eastAsiaTheme="minorEastAsia"/>
                <w:sz w:val="21"/>
                <w:szCs w:val="21"/>
                <w:highlight w:val="none"/>
              </w:rPr>
              <w:t>灭火。</w:t>
            </w:r>
          </w:p>
        </w:tc>
      </w:tr>
      <w:tr w14:paraId="2C20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6235AA7C">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52286A2E">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特别危险性：</w:t>
            </w:r>
          </w:p>
        </w:tc>
        <w:tc>
          <w:tcPr>
            <w:tcW w:w="3795" w:type="pct"/>
            <w:gridSpan w:val="8"/>
            <w:tcMar>
              <w:left w:w="108" w:type="dxa"/>
              <w:right w:w="108" w:type="dxa"/>
            </w:tcMar>
            <w:vAlign w:val="center"/>
          </w:tcPr>
          <w:p w14:paraId="4F4EB252">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与空气混合能形成爆炸性混合物，遇热源和明火有燃烧爆炸的危险。与氧、氯等接触会发生剧烈的化学反应。燃烧</w:t>
            </w:r>
            <w:r>
              <w:rPr>
                <w:rFonts w:hint="eastAsia" w:cs="Times New Roman" w:eastAsiaTheme="minorEastAsia"/>
                <w:sz w:val="21"/>
                <w:szCs w:val="21"/>
                <w:highlight w:val="none"/>
                <w:lang w:eastAsia="zh-CN"/>
              </w:rPr>
              <w:t>会</w:t>
            </w:r>
            <w:r>
              <w:rPr>
                <w:rFonts w:hint="default" w:ascii="Times New Roman" w:hAnsi="Times New Roman" w:cs="Times New Roman" w:eastAsiaTheme="minorEastAsia"/>
                <w:sz w:val="21"/>
                <w:szCs w:val="21"/>
                <w:highlight w:val="none"/>
              </w:rPr>
              <w:t>生成有害的一氧化碳。</w:t>
            </w:r>
          </w:p>
        </w:tc>
      </w:tr>
      <w:tr w14:paraId="02F8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4CE8FC65">
            <w:pPr>
              <w:jc w:val="center"/>
              <w:rPr>
                <w:rFonts w:hint="default" w:ascii="Times New Roman" w:hAnsi="Times New Roman" w:cs="Times New Roman" w:eastAsiaTheme="minorEastAsia"/>
                <w:sz w:val="21"/>
                <w:szCs w:val="21"/>
                <w:highlight w:val="none"/>
              </w:rPr>
            </w:pPr>
          </w:p>
        </w:tc>
        <w:tc>
          <w:tcPr>
            <w:tcW w:w="4657" w:type="pct"/>
            <w:gridSpan w:val="9"/>
            <w:tcMar>
              <w:left w:w="108" w:type="dxa"/>
              <w:right w:w="108" w:type="dxa"/>
            </w:tcMar>
            <w:vAlign w:val="center"/>
          </w:tcPr>
          <w:p w14:paraId="7191A519">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注意事项及防护措施：</w:t>
            </w:r>
          </w:p>
          <w:p w14:paraId="21930A15">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切断气源。若不能切断气源，则不允许熄灭泄漏处的火焰。消防人员必须佩戴空气呼吸器、穿全身防火防毒服，在上风向灭火。尽可能将容器从火场移至空旷处。喷水保持火场容器冷却。直至灭火结束。</w:t>
            </w:r>
          </w:p>
        </w:tc>
      </w:tr>
      <w:tr w14:paraId="58EF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tcMar>
              <w:left w:w="108" w:type="dxa"/>
              <w:right w:w="108" w:type="dxa"/>
            </w:tcMar>
            <w:vAlign w:val="center"/>
          </w:tcPr>
          <w:p w14:paraId="69F77CFB">
            <w:pPr>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泄漏应急措施</w:t>
            </w:r>
          </w:p>
        </w:tc>
        <w:tc>
          <w:tcPr>
            <w:tcW w:w="4657" w:type="pct"/>
            <w:gridSpan w:val="9"/>
            <w:tcMar>
              <w:left w:w="108" w:type="dxa"/>
              <w:right w:w="108" w:type="dxa"/>
            </w:tcMar>
            <w:vAlign w:val="center"/>
          </w:tcPr>
          <w:p w14:paraId="0FF4C59D">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作业人员防护措施、防护装备和应急处置程序：</w:t>
            </w:r>
            <w:r>
              <w:rPr>
                <w:rFonts w:hint="default" w:ascii="Times New Roman" w:hAnsi="Times New Roman" w:cs="Times New Roman" w:eastAsiaTheme="minorEastAsia"/>
                <w:sz w:val="21"/>
                <w:szCs w:val="21"/>
                <w:highlight w:val="none"/>
              </w:rPr>
              <w:br w:type="textWrapping"/>
            </w:r>
            <w:r>
              <w:rPr>
                <w:rFonts w:hint="default" w:ascii="Times New Roman" w:hAnsi="Times New Roman" w:cs="Times New Roman" w:eastAsiaTheme="minorEastAsia"/>
                <w:sz w:val="21"/>
                <w:szCs w:val="21"/>
                <w:highlight w:val="none"/>
              </w:rPr>
              <w:t>消除所有火源。根据气体扩散的影响区域划定警戒区，无关人员从侧风、上风向撤离至安全区。建议应急处理人员戴正压自给式呼吸器，穿防静电服。作业时使用的所有设备应接地。尽可能切断泄漏源。若可能翻动容器，使之逸出气体而非液体。喷雾状水抑制</w:t>
            </w:r>
            <w:r>
              <w:rPr>
                <w:rFonts w:hint="eastAsia" w:cs="Times New Roman" w:eastAsiaTheme="minorEastAsia"/>
                <w:sz w:val="21"/>
                <w:szCs w:val="21"/>
                <w:highlight w:val="none"/>
                <w:lang w:eastAsia="zh-CN"/>
              </w:rPr>
              <w:t>蒸汽</w:t>
            </w:r>
            <w:r>
              <w:rPr>
                <w:rFonts w:hint="default" w:ascii="Times New Roman" w:hAnsi="Times New Roman" w:cs="Times New Roman" w:eastAsiaTheme="minorEastAsia"/>
                <w:sz w:val="21"/>
                <w:szCs w:val="21"/>
                <w:highlight w:val="none"/>
              </w:rPr>
              <w:t>或改变</w:t>
            </w:r>
            <w:r>
              <w:rPr>
                <w:rFonts w:hint="eastAsia" w:cs="Times New Roman" w:eastAsiaTheme="minorEastAsia"/>
                <w:sz w:val="21"/>
                <w:szCs w:val="21"/>
                <w:highlight w:val="none"/>
                <w:lang w:eastAsia="zh-CN"/>
              </w:rPr>
              <w:t>蒸汽</w:t>
            </w:r>
            <w:r>
              <w:rPr>
                <w:rFonts w:hint="default" w:ascii="Times New Roman" w:hAnsi="Times New Roman" w:cs="Times New Roman" w:eastAsiaTheme="minorEastAsia"/>
                <w:sz w:val="21"/>
                <w:szCs w:val="21"/>
                <w:highlight w:val="none"/>
              </w:rPr>
              <w:t>云流向，避免水流入接触泄漏物。禁止用水直接冲击泄漏物或泄漏源。</w:t>
            </w:r>
          </w:p>
          <w:p w14:paraId="67F6A35E">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环境保护措施：</w:t>
            </w:r>
            <w:r>
              <w:rPr>
                <w:rFonts w:hint="default" w:ascii="Times New Roman" w:hAnsi="Times New Roman" w:cs="Times New Roman" w:eastAsiaTheme="minorEastAsia"/>
                <w:sz w:val="21"/>
                <w:szCs w:val="21"/>
                <w:highlight w:val="none"/>
              </w:rPr>
              <w:br w:type="textWrapping"/>
            </w:r>
            <w:r>
              <w:rPr>
                <w:rFonts w:hint="eastAsia" w:cs="Times New Roman" w:eastAsiaTheme="minorEastAsia"/>
                <w:sz w:val="21"/>
                <w:szCs w:val="21"/>
                <w:highlight w:val="none"/>
                <w:lang w:eastAsia="zh-CN"/>
              </w:rPr>
              <w:t>防止气体通过下水道、通风系统和有限空间等方式</w:t>
            </w:r>
            <w:r>
              <w:rPr>
                <w:rFonts w:hint="default" w:ascii="Times New Roman" w:hAnsi="Times New Roman" w:cs="Times New Roman" w:eastAsiaTheme="minorEastAsia"/>
                <w:sz w:val="21"/>
                <w:szCs w:val="21"/>
                <w:highlight w:val="none"/>
              </w:rPr>
              <w:t>扩散。</w:t>
            </w:r>
            <w:r>
              <w:rPr>
                <w:rFonts w:hint="default" w:ascii="Times New Roman" w:hAnsi="Times New Roman" w:cs="Times New Roman" w:eastAsiaTheme="minorEastAsia"/>
                <w:sz w:val="21"/>
                <w:szCs w:val="21"/>
                <w:highlight w:val="none"/>
              </w:rPr>
              <w:br w:type="textWrapping"/>
            </w:r>
            <w:r>
              <w:rPr>
                <w:rFonts w:hint="default" w:ascii="Times New Roman" w:hAnsi="Times New Roman" w:cs="Times New Roman" w:eastAsiaTheme="minorEastAsia"/>
                <w:sz w:val="21"/>
                <w:szCs w:val="21"/>
                <w:highlight w:val="none"/>
              </w:rPr>
              <w:t>泄漏化学品的收容、清除方法及所使用的处置材料：</w:t>
            </w:r>
            <w:r>
              <w:rPr>
                <w:rFonts w:hint="default" w:ascii="Times New Roman" w:hAnsi="Times New Roman" w:cs="Times New Roman" w:eastAsiaTheme="minorEastAsia"/>
                <w:sz w:val="21"/>
                <w:szCs w:val="21"/>
                <w:highlight w:val="none"/>
              </w:rPr>
              <w:br w:type="textWrapping"/>
            </w:r>
            <w:r>
              <w:rPr>
                <w:rFonts w:hint="default" w:ascii="Times New Roman" w:hAnsi="Times New Roman" w:cs="Times New Roman" w:eastAsiaTheme="minorEastAsia"/>
                <w:sz w:val="21"/>
                <w:szCs w:val="21"/>
                <w:highlight w:val="none"/>
              </w:rPr>
              <w:t>隔离泄漏区直至气体散尽。</w:t>
            </w:r>
          </w:p>
        </w:tc>
      </w:tr>
      <w:tr w14:paraId="4C731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restart"/>
            <w:tcMar>
              <w:left w:w="108" w:type="dxa"/>
              <w:right w:w="108" w:type="dxa"/>
            </w:tcMar>
            <w:vAlign w:val="center"/>
          </w:tcPr>
          <w:p w14:paraId="7DD27697">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操作与储存</w:t>
            </w:r>
          </w:p>
        </w:tc>
        <w:tc>
          <w:tcPr>
            <w:tcW w:w="862" w:type="pct"/>
            <w:tcMar>
              <w:left w:w="108" w:type="dxa"/>
              <w:right w:w="108" w:type="dxa"/>
            </w:tcMar>
            <w:vAlign w:val="center"/>
          </w:tcPr>
          <w:p w14:paraId="3F54BAA1">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操作注意事项：</w:t>
            </w:r>
          </w:p>
        </w:tc>
        <w:tc>
          <w:tcPr>
            <w:tcW w:w="3795" w:type="pct"/>
            <w:gridSpan w:val="8"/>
            <w:tcMar>
              <w:left w:w="108" w:type="dxa"/>
              <w:right w:w="108" w:type="dxa"/>
            </w:tcMar>
            <w:vAlign w:val="center"/>
          </w:tcPr>
          <w:p w14:paraId="1C064E87">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密闭操作，全面通风。操作人员必须经过专门培训，严格遵守操作规程。建议操作人员穿戴防静电工作服。远离火种、热源。工作场所严禁吸烟。使用防爆型的通风系统和设备。防止气体泄漏到工作场所空气中。避免与氧化剂、卤素接触。在传送过程中，钢瓶和容器必须接地和跨接，防止产生静电。搬运时轻装轻卸。防止钢瓶在地面滚动。配备相应品种和数量的消防器材及泄漏应急处理设备。</w:t>
            </w:r>
          </w:p>
        </w:tc>
      </w:tr>
      <w:tr w14:paraId="3A3A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1B62B2B3">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21638DB6">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储存注意事项：</w:t>
            </w:r>
          </w:p>
        </w:tc>
        <w:tc>
          <w:tcPr>
            <w:tcW w:w="3795" w:type="pct"/>
            <w:gridSpan w:val="8"/>
            <w:tcMar>
              <w:left w:w="108" w:type="dxa"/>
              <w:right w:w="108" w:type="dxa"/>
            </w:tcMar>
            <w:vAlign w:val="center"/>
          </w:tcPr>
          <w:p w14:paraId="6E83A74D">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储存于阴凉、通风的易燃气体专用库房。远离火种、热源。库温不宜超过30℃。应与氧化剂、卤素分开存放，切忌混储。采用防爆型照明、通风设施。禁止</w:t>
            </w:r>
            <w:r>
              <w:rPr>
                <w:rFonts w:hint="eastAsia" w:cs="Times New Roman" w:eastAsiaTheme="minorEastAsia"/>
                <w:sz w:val="21"/>
                <w:szCs w:val="21"/>
                <w:highlight w:val="none"/>
                <w:lang w:eastAsia="zh-CN"/>
              </w:rPr>
              <w:t>使用</w:t>
            </w:r>
            <w:r>
              <w:rPr>
                <w:rFonts w:hint="default" w:ascii="Times New Roman" w:hAnsi="Times New Roman" w:cs="Times New Roman" w:eastAsiaTheme="minorEastAsia"/>
                <w:sz w:val="21"/>
                <w:szCs w:val="21"/>
                <w:highlight w:val="none"/>
              </w:rPr>
              <w:t>易燃产生火花的机械设备和工具。储区应备有泄漏应急处理设备。</w:t>
            </w:r>
          </w:p>
        </w:tc>
      </w:tr>
      <w:tr w14:paraId="2556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restart"/>
            <w:tcMar>
              <w:left w:w="108" w:type="dxa"/>
              <w:right w:w="108" w:type="dxa"/>
            </w:tcMar>
            <w:vAlign w:val="center"/>
          </w:tcPr>
          <w:p w14:paraId="76302956">
            <w:pPr>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接触控制和防护</w:t>
            </w:r>
          </w:p>
        </w:tc>
        <w:tc>
          <w:tcPr>
            <w:tcW w:w="862" w:type="pct"/>
            <w:tcMar>
              <w:left w:w="108" w:type="dxa"/>
              <w:right w:w="108" w:type="dxa"/>
            </w:tcMar>
            <w:vAlign w:val="center"/>
          </w:tcPr>
          <w:p w14:paraId="7C819767">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职业接触限值：</w:t>
            </w:r>
          </w:p>
        </w:tc>
        <w:tc>
          <w:tcPr>
            <w:tcW w:w="793" w:type="pct"/>
            <w:tcMar>
              <w:left w:w="108" w:type="dxa"/>
              <w:right w:w="108" w:type="dxa"/>
            </w:tcMar>
            <w:vAlign w:val="center"/>
          </w:tcPr>
          <w:p w14:paraId="44B91D40">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未制定标准</w:t>
            </w:r>
          </w:p>
        </w:tc>
        <w:tc>
          <w:tcPr>
            <w:tcW w:w="1624" w:type="pct"/>
            <w:gridSpan w:val="3"/>
            <w:tcMar>
              <w:left w:w="108" w:type="dxa"/>
              <w:right w:w="108" w:type="dxa"/>
            </w:tcMar>
            <w:vAlign w:val="center"/>
          </w:tcPr>
          <w:p w14:paraId="63B426A2">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生物接触限值：</w:t>
            </w:r>
          </w:p>
        </w:tc>
        <w:tc>
          <w:tcPr>
            <w:tcW w:w="1377" w:type="pct"/>
            <w:gridSpan w:val="4"/>
            <w:tcMar>
              <w:left w:w="108" w:type="dxa"/>
              <w:right w:w="108" w:type="dxa"/>
            </w:tcMar>
            <w:vAlign w:val="center"/>
          </w:tcPr>
          <w:p w14:paraId="24F4A4C5">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未制定标准</w:t>
            </w:r>
          </w:p>
        </w:tc>
      </w:tr>
      <w:tr w14:paraId="6661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6C0D0849">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6282DE35">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监测方法：</w:t>
            </w:r>
          </w:p>
        </w:tc>
        <w:tc>
          <w:tcPr>
            <w:tcW w:w="3795" w:type="pct"/>
            <w:gridSpan w:val="8"/>
            <w:tcMar>
              <w:left w:w="108" w:type="dxa"/>
              <w:right w:w="108" w:type="dxa"/>
            </w:tcMar>
            <w:vAlign w:val="center"/>
          </w:tcPr>
          <w:p w14:paraId="720EF44C">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未制定标准</w:t>
            </w:r>
          </w:p>
        </w:tc>
      </w:tr>
      <w:tr w14:paraId="0F61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4FA83CA5">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2708D8E3">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工程控制：</w:t>
            </w:r>
          </w:p>
        </w:tc>
        <w:tc>
          <w:tcPr>
            <w:tcW w:w="3795" w:type="pct"/>
            <w:gridSpan w:val="8"/>
            <w:tcMar>
              <w:left w:w="108" w:type="dxa"/>
              <w:right w:w="108" w:type="dxa"/>
            </w:tcMar>
            <w:vAlign w:val="center"/>
          </w:tcPr>
          <w:p w14:paraId="264C07DB">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生产过程封闭，全面通风。个体防护装备。</w:t>
            </w:r>
          </w:p>
        </w:tc>
      </w:tr>
      <w:tr w14:paraId="4698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3CFFE1F4">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3308191B">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个体防护装备：</w:t>
            </w:r>
          </w:p>
        </w:tc>
        <w:tc>
          <w:tcPr>
            <w:tcW w:w="3795" w:type="pct"/>
            <w:gridSpan w:val="8"/>
            <w:tcMar>
              <w:left w:w="108" w:type="dxa"/>
              <w:right w:w="108" w:type="dxa"/>
            </w:tcMar>
            <w:vAlign w:val="center"/>
          </w:tcPr>
          <w:p w14:paraId="5D791D73">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呼吸系统防护：一般需要特殊防护，但建议</w:t>
            </w:r>
            <w:r>
              <w:rPr>
                <w:rFonts w:hint="eastAsia" w:cs="Times New Roman" w:eastAsiaTheme="minorEastAsia"/>
                <w:sz w:val="21"/>
                <w:szCs w:val="21"/>
                <w:highlight w:val="none"/>
                <w:lang w:eastAsia="zh-CN"/>
              </w:rPr>
              <w:t>在</w:t>
            </w:r>
            <w:r>
              <w:rPr>
                <w:rFonts w:hint="default" w:ascii="Times New Roman" w:hAnsi="Times New Roman" w:cs="Times New Roman" w:eastAsiaTheme="minorEastAsia"/>
                <w:sz w:val="21"/>
                <w:szCs w:val="21"/>
                <w:highlight w:val="none"/>
              </w:rPr>
              <w:t>特殊情况下，佩戴过滤式防毒面具（半面罩）。</w:t>
            </w:r>
            <w:r>
              <w:rPr>
                <w:rFonts w:hint="default" w:ascii="Times New Roman" w:hAnsi="Times New Roman" w:cs="Times New Roman" w:eastAsiaTheme="minorEastAsia"/>
                <w:sz w:val="21"/>
                <w:szCs w:val="21"/>
                <w:highlight w:val="none"/>
              </w:rPr>
              <w:br w:type="textWrapping"/>
            </w:r>
            <w:r>
              <w:rPr>
                <w:rFonts w:hint="default" w:ascii="Times New Roman" w:hAnsi="Times New Roman" w:cs="Times New Roman" w:eastAsiaTheme="minorEastAsia"/>
                <w:sz w:val="21"/>
                <w:szCs w:val="21"/>
                <w:highlight w:val="none"/>
              </w:rPr>
              <w:t>眼睛防护：一般不需要特殊防护。</w:t>
            </w:r>
            <w:r>
              <w:rPr>
                <w:rFonts w:hint="default" w:ascii="Times New Roman" w:hAnsi="Times New Roman" w:cs="Times New Roman" w:eastAsiaTheme="minorEastAsia"/>
                <w:sz w:val="21"/>
                <w:szCs w:val="21"/>
                <w:highlight w:val="none"/>
              </w:rPr>
              <w:br w:type="textWrapping"/>
            </w:r>
            <w:r>
              <w:rPr>
                <w:rFonts w:hint="default" w:ascii="Times New Roman" w:hAnsi="Times New Roman" w:cs="Times New Roman" w:eastAsiaTheme="minorEastAsia"/>
                <w:sz w:val="21"/>
                <w:szCs w:val="21"/>
                <w:highlight w:val="none"/>
              </w:rPr>
              <w:t>皮肤和身体防护：穿防静电工作服。</w:t>
            </w:r>
            <w:r>
              <w:rPr>
                <w:rFonts w:hint="default" w:ascii="Times New Roman" w:hAnsi="Times New Roman" w:cs="Times New Roman" w:eastAsiaTheme="minorEastAsia"/>
                <w:sz w:val="21"/>
                <w:szCs w:val="21"/>
                <w:highlight w:val="none"/>
              </w:rPr>
              <w:br w:type="textWrapping"/>
            </w:r>
            <w:r>
              <w:rPr>
                <w:rFonts w:hint="default" w:ascii="Times New Roman" w:hAnsi="Times New Roman" w:cs="Times New Roman" w:eastAsiaTheme="minorEastAsia"/>
                <w:sz w:val="21"/>
                <w:szCs w:val="21"/>
                <w:highlight w:val="none"/>
              </w:rPr>
              <w:t>手防护：戴一般作业防护手套。</w:t>
            </w:r>
          </w:p>
        </w:tc>
      </w:tr>
      <w:tr w14:paraId="65BC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restart"/>
            <w:tcMar>
              <w:left w:w="108" w:type="dxa"/>
              <w:right w:w="108" w:type="dxa"/>
            </w:tcMar>
            <w:vAlign w:val="center"/>
          </w:tcPr>
          <w:p w14:paraId="6BCCD67B">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理化特性</w:t>
            </w:r>
          </w:p>
        </w:tc>
        <w:tc>
          <w:tcPr>
            <w:tcW w:w="862" w:type="pct"/>
            <w:tcMar>
              <w:left w:w="108" w:type="dxa"/>
              <w:right w:w="108" w:type="dxa"/>
            </w:tcMar>
            <w:vAlign w:val="center"/>
          </w:tcPr>
          <w:p w14:paraId="20AA8DD1">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外观与性状：</w:t>
            </w:r>
          </w:p>
        </w:tc>
        <w:tc>
          <w:tcPr>
            <w:tcW w:w="3795" w:type="pct"/>
            <w:gridSpan w:val="8"/>
            <w:tcMar>
              <w:left w:w="108" w:type="dxa"/>
              <w:right w:w="108" w:type="dxa"/>
            </w:tcMar>
            <w:vAlign w:val="center"/>
          </w:tcPr>
          <w:p w14:paraId="1DD5F0E4">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无色无味气体。</w:t>
            </w:r>
          </w:p>
        </w:tc>
      </w:tr>
      <w:tr w14:paraId="34D2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3AEAB4F7">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2A531B1B">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pH值：</w:t>
            </w:r>
          </w:p>
        </w:tc>
        <w:tc>
          <w:tcPr>
            <w:tcW w:w="793" w:type="pct"/>
            <w:tcMar>
              <w:left w:w="108" w:type="dxa"/>
              <w:right w:w="108" w:type="dxa"/>
            </w:tcMar>
            <w:vAlign w:val="center"/>
          </w:tcPr>
          <w:p w14:paraId="1F509F95">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无意义</w:t>
            </w:r>
          </w:p>
        </w:tc>
        <w:tc>
          <w:tcPr>
            <w:tcW w:w="1624" w:type="pct"/>
            <w:gridSpan w:val="3"/>
            <w:tcMar>
              <w:left w:w="108" w:type="dxa"/>
              <w:right w:w="108" w:type="dxa"/>
            </w:tcMar>
            <w:vAlign w:val="center"/>
          </w:tcPr>
          <w:p w14:paraId="6D0DCFB1">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熔点（℃）：</w:t>
            </w:r>
          </w:p>
        </w:tc>
        <w:tc>
          <w:tcPr>
            <w:tcW w:w="1377" w:type="pct"/>
            <w:gridSpan w:val="4"/>
            <w:tcMar>
              <w:left w:w="108" w:type="dxa"/>
              <w:right w:w="108" w:type="dxa"/>
            </w:tcMar>
            <w:vAlign w:val="center"/>
          </w:tcPr>
          <w:p w14:paraId="237A8B85">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-172~ -183</w:t>
            </w:r>
          </w:p>
        </w:tc>
      </w:tr>
      <w:tr w14:paraId="18B6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234A269B">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1FCB17CD">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沸点（℃）：</w:t>
            </w:r>
          </w:p>
        </w:tc>
        <w:tc>
          <w:tcPr>
            <w:tcW w:w="793" w:type="pct"/>
            <w:tcMar>
              <w:left w:w="108" w:type="dxa"/>
              <w:right w:w="108" w:type="dxa"/>
            </w:tcMar>
            <w:vAlign w:val="center"/>
          </w:tcPr>
          <w:p w14:paraId="52603844">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-88.6</w:t>
            </w:r>
          </w:p>
        </w:tc>
        <w:tc>
          <w:tcPr>
            <w:tcW w:w="1624" w:type="pct"/>
            <w:gridSpan w:val="3"/>
            <w:tcMar>
              <w:left w:w="108" w:type="dxa"/>
              <w:right w:w="108" w:type="dxa"/>
            </w:tcMar>
            <w:vAlign w:val="center"/>
          </w:tcPr>
          <w:p w14:paraId="425B4DF8">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相对水密度（水=1）：</w:t>
            </w:r>
          </w:p>
        </w:tc>
        <w:tc>
          <w:tcPr>
            <w:tcW w:w="1377" w:type="pct"/>
            <w:gridSpan w:val="4"/>
            <w:tcMar>
              <w:left w:w="108" w:type="dxa"/>
              <w:right w:w="108" w:type="dxa"/>
            </w:tcMar>
            <w:vAlign w:val="center"/>
          </w:tcPr>
          <w:p w14:paraId="3F2BF0F2">
            <w:pPr>
              <w:jc w:val="center"/>
              <w:rPr>
                <w:rFonts w:hint="eastAsia"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0.45</w:t>
            </w:r>
            <w:r>
              <w:rPr>
                <w:rFonts w:hint="eastAsia" w:cs="Times New Roman" w:eastAsiaTheme="minorEastAsia"/>
                <w:sz w:val="21"/>
                <w:szCs w:val="21"/>
                <w:highlight w:val="none"/>
                <w:lang w:eastAsia="zh-CN"/>
              </w:rPr>
              <w:t>（</w:t>
            </w:r>
            <w:r>
              <w:rPr>
                <w:rFonts w:hint="default" w:ascii="Times New Roman" w:hAnsi="Times New Roman" w:cs="Times New Roman" w:eastAsiaTheme="minorEastAsia"/>
                <w:sz w:val="21"/>
                <w:szCs w:val="21"/>
                <w:highlight w:val="none"/>
              </w:rPr>
              <w:t>0℃</w:t>
            </w:r>
            <w:r>
              <w:rPr>
                <w:rFonts w:hint="eastAsia" w:cs="Times New Roman" w:eastAsiaTheme="minorEastAsia"/>
                <w:sz w:val="21"/>
                <w:szCs w:val="21"/>
                <w:highlight w:val="none"/>
                <w:lang w:eastAsia="zh-CN"/>
              </w:rPr>
              <w:t>）</w:t>
            </w:r>
          </w:p>
        </w:tc>
      </w:tr>
      <w:tr w14:paraId="318D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285588F7">
            <w:pPr>
              <w:jc w:val="center"/>
              <w:rPr>
                <w:rFonts w:hint="default" w:ascii="Times New Roman" w:hAnsi="Times New Roman" w:cs="Times New Roman" w:eastAsiaTheme="minorEastAsia"/>
                <w:sz w:val="21"/>
                <w:szCs w:val="21"/>
                <w:highlight w:val="none"/>
              </w:rPr>
            </w:pPr>
          </w:p>
        </w:tc>
        <w:tc>
          <w:tcPr>
            <w:tcW w:w="1656" w:type="pct"/>
            <w:gridSpan w:val="2"/>
            <w:tcMar>
              <w:left w:w="108" w:type="dxa"/>
              <w:right w:w="108" w:type="dxa"/>
            </w:tcMar>
            <w:vAlign w:val="center"/>
          </w:tcPr>
          <w:p w14:paraId="1ED25797">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相对空气密度（空气=1）：</w:t>
            </w:r>
          </w:p>
        </w:tc>
        <w:tc>
          <w:tcPr>
            <w:tcW w:w="3001" w:type="pct"/>
            <w:gridSpan w:val="7"/>
            <w:tcMar>
              <w:left w:w="108" w:type="dxa"/>
              <w:right w:w="108" w:type="dxa"/>
            </w:tcMar>
            <w:vAlign w:val="center"/>
          </w:tcPr>
          <w:p w14:paraId="2FF9D407">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1.05</w:t>
            </w:r>
          </w:p>
        </w:tc>
      </w:tr>
      <w:tr w14:paraId="5BED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6018E3EA">
            <w:pPr>
              <w:jc w:val="center"/>
              <w:rPr>
                <w:rFonts w:hint="default" w:ascii="Times New Roman" w:hAnsi="Times New Roman" w:cs="Times New Roman" w:eastAsiaTheme="minorEastAsia"/>
                <w:sz w:val="21"/>
                <w:szCs w:val="21"/>
                <w:highlight w:val="none"/>
              </w:rPr>
            </w:pPr>
          </w:p>
        </w:tc>
        <w:tc>
          <w:tcPr>
            <w:tcW w:w="1656" w:type="pct"/>
            <w:gridSpan w:val="2"/>
            <w:tcMar>
              <w:left w:w="108" w:type="dxa"/>
              <w:right w:w="108" w:type="dxa"/>
            </w:tcMar>
            <w:vAlign w:val="center"/>
          </w:tcPr>
          <w:p w14:paraId="6C98723E">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饱和蒸汽压（kPa）：</w:t>
            </w:r>
          </w:p>
        </w:tc>
        <w:tc>
          <w:tcPr>
            <w:tcW w:w="3001" w:type="pct"/>
            <w:gridSpan w:val="7"/>
            <w:tcMar>
              <w:left w:w="108" w:type="dxa"/>
              <w:right w:w="108" w:type="dxa"/>
            </w:tcMar>
            <w:vAlign w:val="center"/>
          </w:tcPr>
          <w:p w14:paraId="693F4EED">
            <w:pPr>
              <w:jc w:val="center"/>
              <w:rPr>
                <w:rFonts w:hint="eastAsia"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3850</w:t>
            </w:r>
            <w:r>
              <w:rPr>
                <w:rFonts w:hint="eastAsia" w:cs="Times New Roman" w:eastAsiaTheme="minorEastAsia"/>
                <w:sz w:val="21"/>
                <w:szCs w:val="21"/>
                <w:highlight w:val="none"/>
                <w:lang w:eastAsia="zh-CN"/>
              </w:rPr>
              <w:t>（</w:t>
            </w:r>
            <w:r>
              <w:rPr>
                <w:rFonts w:hint="default" w:ascii="Times New Roman" w:hAnsi="Times New Roman" w:cs="Times New Roman" w:eastAsiaTheme="minorEastAsia"/>
                <w:sz w:val="21"/>
                <w:szCs w:val="21"/>
                <w:highlight w:val="none"/>
              </w:rPr>
              <w:t>20℃</w:t>
            </w:r>
            <w:r>
              <w:rPr>
                <w:rFonts w:hint="eastAsia" w:cs="Times New Roman" w:eastAsiaTheme="minorEastAsia"/>
                <w:sz w:val="21"/>
                <w:szCs w:val="21"/>
                <w:highlight w:val="none"/>
                <w:lang w:eastAsia="zh-CN"/>
              </w:rPr>
              <w:t>）</w:t>
            </w:r>
          </w:p>
        </w:tc>
      </w:tr>
      <w:tr w14:paraId="7CC8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549A10BE">
            <w:pPr>
              <w:jc w:val="center"/>
              <w:rPr>
                <w:rFonts w:hint="default" w:ascii="Times New Roman" w:hAnsi="Times New Roman" w:cs="Times New Roman" w:eastAsiaTheme="minorEastAsia"/>
                <w:sz w:val="21"/>
                <w:szCs w:val="21"/>
                <w:highlight w:val="none"/>
              </w:rPr>
            </w:pPr>
          </w:p>
        </w:tc>
        <w:tc>
          <w:tcPr>
            <w:tcW w:w="1656" w:type="pct"/>
            <w:gridSpan w:val="2"/>
            <w:tcMar>
              <w:left w:w="108" w:type="dxa"/>
              <w:right w:w="108" w:type="dxa"/>
            </w:tcMar>
            <w:vAlign w:val="center"/>
          </w:tcPr>
          <w:p w14:paraId="62B754DE">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燃烧热（kJ/mol）：1558.3</w:t>
            </w:r>
          </w:p>
        </w:tc>
        <w:tc>
          <w:tcPr>
            <w:tcW w:w="1624" w:type="pct"/>
            <w:gridSpan w:val="3"/>
            <w:tcMar>
              <w:left w:w="108" w:type="dxa"/>
              <w:right w:w="108" w:type="dxa"/>
            </w:tcMar>
            <w:vAlign w:val="center"/>
          </w:tcPr>
          <w:p w14:paraId="00057319">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临界温度（℃）：</w:t>
            </w:r>
          </w:p>
        </w:tc>
        <w:tc>
          <w:tcPr>
            <w:tcW w:w="1377" w:type="pct"/>
            <w:gridSpan w:val="4"/>
            <w:tcMar>
              <w:left w:w="108" w:type="dxa"/>
              <w:right w:w="108" w:type="dxa"/>
            </w:tcMar>
            <w:vAlign w:val="center"/>
          </w:tcPr>
          <w:p w14:paraId="48B2432C">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32.2</w:t>
            </w:r>
          </w:p>
        </w:tc>
      </w:tr>
      <w:tr w14:paraId="667E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2E3F64B7">
            <w:pPr>
              <w:jc w:val="center"/>
              <w:rPr>
                <w:rFonts w:hint="default" w:ascii="Times New Roman" w:hAnsi="Times New Roman" w:cs="Times New Roman" w:eastAsiaTheme="minorEastAsia"/>
                <w:sz w:val="21"/>
                <w:szCs w:val="21"/>
                <w:highlight w:val="none"/>
              </w:rPr>
            </w:pPr>
          </w:p>
        </w:tc>
        <w:tc>
          <w:tcPr>
            <w:tcW w:w="1656" w:type="pct"/>
            <w:gridSpan w:val="2"/>
            <w:tcMar>
              <w:left w:w="108" w:type="dxa"/>
              <w:right w:w="108" w:type="dxa"/>
            </w:tcMar>
            <w:vAlign w:val="center"/>
          </w:tcPr>
          <w:p w14:paraId="54735FE7">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临界压力（MPa）：4.87</w:t>
            </w:r>
          </w:p>
        </w:tc>
        <w:tc>
          <w:tcPr>
            <w:tcW w:w="1624" w:type="pct"/>
            <w:gridSpan w:val="3"/>
            <w:tcMar>
              <w:left w:w="108" w:type="dxa"/>
              <w:right w:w="108" w:type="dxa"/>
            </w:tcMar>
            <w:vAlign w:val="center"/>
          </w:tcPr>
          <w:p w14:paraId="31566976">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辛醇/水分配系数：</w:t>
            </w:r>
          </w:p>
        </w:tc>
        <w:tc>
          <w:tcPr>
            <w:tcW w:w="1377" w:type="pct"/>
            <w:gridSpan w:val="4"/>
            <w:tcMar>
              <w:left w:w="108" w:type="dxa"/>
              <w:right w:w="108" w:type="dxa"/>
            </w:tcMar>
            <w:vAlign w:val="center"/>
          </w:tcPr>
          <w:p w14:paraId="1C5EBF36">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1.81</w:t>
            </w:r>
          </w:p>
        </w:tc>
      </w:tr>
      <w:tr w14:paraId="09A9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5302ECBF">
            <w:pPr>
              <w:jc w:val="center"/>
              <w:rPr>
                <w:rFonts w:hint="default" w:ascii="Times New Roman" w:hAnsi="Times New Roman" w:cs="Times New Roman" w:eastAsiaTheme="minorEastAsia"/>
                <w:sz w:val="21"/>
                <w:szCs w:val="21"/>
                <w:highlight w:val="none"/>
              </w:rPr>
            </w:pPr>
          </w:p>
        </w:tc>
        <w:tc>
          <w:tcPr>
            <w:tcW w:w="1656" w:type="pct"/>
            <w:gridSpan w:val="2"/>
            <w:tcMar>
              <w:left w:w="108" w:type="dxa"/>
              <w:right w:w="108" w:type="dxa"/>
            </w:tcMar>
            <w:vAlign w:val="center"/>
          </w:tcPr>
          <w:p w14:paraId="54E6E19E">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闪点（℃）：-135</w:t>
            </w:r>
          </w:p>
        </w:tc>
        <w:tc>
          <w:tcPr>
            <w:tcW w:w="1624" w:type="pct"/>
            <w:gridSpan w:val="3"/>
            <w:tcMar>
              <w:left w:w="108" w:type="dxa"/>
              <w:right w:w="108" w:type="dxa"/>
            </w:tcMar>
            <w:vAlign w:val="center"/>
          </w:tcPr>
          <w:p w14:paraId="51FEFED3">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自燃温度（℃）：</w:t>
            </w:r>
          </w:p>
        </w:tc>
        <w:tc>
          <w:tcPr>
            <w:tcW w:w="1377" w:type="pct"/>
            <w:gridSpan w:val="4"/>
            <w:tcMar>
              <w:left w:w="108" w:type="dxa"/>
              <w:right w:w="108" w:type="dxa"/>
            </w:tcMar>
            <w:vAlign w:val="center"/>
          </w:tcPr>
          <w:p w14:paraId="25238AA2">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472</w:t>
            </w:r>
          </w:p>
        </w:tc>
      </w:tr>
      <w:tr w14:paraId="5CD5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40717C3C">
            <w:pPr>
              <w:jc w:val="center"/>
              <w:rPr>
                <w:rFonts w:hint="default" w:ascii="Times New Roman" w:hAnsi="Times New Roman" w:cs="Times New Roman" w:eastAsiaTheme="minorEastAsia"/>
                <w:sz w:val="21"/>
                <w:szCs w:val="21"/>
                <w:highlight w:val="none"/>
              </w:rPr>
            </w:pPr>
          </w:p>
        </w:tc>
        <w:tc>
          <w:tcPr>
            <w:tcW w:w="1656" w:type="pct"/>
            <w:gridSpan w:val="2"/>
            <w:tcMar>
              <w:left w:w="108" w:type="dxa"/>
              <w:right w:w="108" w:type="dxa"/>
            </w:tcMar>
            <w:vAlign w:val="center"/>
          </w:tcPr>
          <w:p w14:paraId="0B8C8A07">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爆炸下限（%）：3.0</w:t>
            </w:r>
          </w:p>
        </w:tc>
        <w:tc>
          <w:tcPr>
            <w:tcW w:w="1624" w:type="pct"/>
            <w:gridSpan w:val="3"/>
            <w:tcMar>
              <w:left w:w="108" w:type="dxa"/>
              <w:right w:w="108" w:type="dxa"/>
            </w:tcMar>
            <w:vAlign w:val="center"/>
          </w:tcPr>
          <w:p w14:paraId="7CA298BC">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爆炸上限（%）：</w:t>
            </w:r>
          </w:p>
        </w:tc>
        <w:tc>
          <w:tcPr>
            <w:tcW w:w="1377" w:type="pct"/>
            <w:gridSpan w:val="4"/>
            <w:tcMar>
              <w:left w:w="108" w:type="dxa"/>
              <w:right w:w="108" w:type="dxa"/>
            </w:tcMar>
            <w:vAlign w:val="center"/>
          </w:tcPr>
          <w:p w14:paraId="1D02BE1E">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12.5</w:t>
            </w:r>
          </w:p>
        </w:tc>
      </w:tr>
      <w:tr w14:paraId="3F17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04427DDB">
            <w:pPr>
              <w:jc w:val="center"/>
              <w:rPr>
                <w:rFonts w:hint="default" w:ascii="Times New Roman" w:hAnsi="Times New Roman" w:cs="Times New Roman" w:eastAsiaTheme="minorEastAsia"/>
                <w:sz w:val="21"/>
                <w:szCs w:val="21"/>
                <w:highlight w:val="none"/>
              </w:rPr>
            </w:pPr>
          </w:p>
        </w:tc>
        <w:tc>
          <w:tcPr>
            <w:tcW w:w="1656" w:type="pct"/>
            <w:gridSpan w:val="2"/>
            <w:tcMar>
              <w:left w:w="108" w:type="dxa"/>
              <w:right w:w="108" w:type="dxa"/>
            </w:tcMar>
            <w:vAlign w:val="center"/>
          </w:tcPr>
          <w:p w14:paraId="0145BAA0">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分解温度（℃）：无资料</w:t>
            </w:r>
          </w:p>
        </w:tc>
        <w:tc>
          <w:tcPr>
            <w:tcW w:w="1624" w:type="pct"/>
            <w:gridSpan w:val="3"/>
            <w:tcMar>
              <w:left w:w="108" w:type="dxa"/>
              <w:right w:w="108" w:type="dxa"/>
            </w:tcMar>
            <w:vAlign w:val="center"/>
          </w:tcPr>
          <w:p w14:paraId="490F91D8">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黏度（MPa·s）：</w:t>
            </w:r>
          </w:p>
        </w:tc>
        <w:tc>
          <w:tcPr>
            <w:tcW w:w="1377" w:type="pct"/>
            <w:gridSpan w:val="4"/>
            <w:tcMar>
              <w:left w:w="108" w:type="dxa"/>
              <w:right w:w="108" w:type="dxa"/>
            </w:tcMar>
            <w:vAlign w:val="center"/>
          </w:tcPr>
          <w:p w14:paraId="10A4CF56">
            <w:pPr>
              <w:jc w:val="center"/>
              <w:rPr>
                <w:rFonts w:hint="eastAsia"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0.009</w:t>
            </w:r>
            <w:r>
              <w:rPr>
                <w:rFonts w:hint="eastAsia" w:cs="Times New Roman" w:eastAsiaTheme="minorEastAsia"/>
                <w:sz w:val="21"/>
                <w:szCs w:val="21"/>
                <w:highlight w:val="none"/>
                <w:lang w:eastAsia="zh-CN"/>
              </w:rPr>
              <w:t>（</w:t>
            </w:r>
            <w:r>
              <w:rPr>
                <w:rFonts w:hint="default" w:ascii="Times New Roman" w:hAnsi="Times New Roman" w:cs="Times New Roman" w:eastAsiaTheme="minorEastAsia"/>
                <w:sz w:val="21"/>
                <w:szCs w:val="21"/>
                <w:highlight w:val="none"/>
              </w:rPr>
              <w:t>27℃</w:t>
            </w:r>
            <w:r>
              <w:rPr>
                <w:rFonts w:hint="eastAsia" w:cs="Times New Roman" w:eastAsiaTheme="minorEastAsia"/>
                <w:sz w:val="21"/>
                <w:szCs w:val="21"/>
                <w:highlight w:val="none"/>
                <w:lang w:eastAsia="zh-CN"/>
              </w:rPr>
              <w:t>）</w:t>
            </w:r>
          </w:p>
        </w:tc>
      </w:tr>
      <w:tr w14:paraId="0A73B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0E26A596">
            <w:pPr>
              <w:jc w:val="center"/>
              <w:rPr>
                <w:rFonts w:hint="default" w:ascii="Times New Roman" w:hAnsi="Times New Roman" w:cs="Times New Roman" w:eastAsiaTheme="minorEastAsia"/>
                <w:sz w:val="21"/>
                <w:szCs w:val="21"/>
                <w:highlight w:val="none"/>
              </w:rPr>
            </w:pPr>
          </w:p>
        </w:tc>
        <w:tc>
          <w:tcPr>
            <w:tcW w:w="1656" w:type="pct"/>
            <w:gridSpan w:val="2"/>
            <w:tcMar>
              <w:left w:w="108" w:type="dxa"/>
              <w:right w:w="108" w:type="dxa"/>
            </w:tcMar>
            <w:vAlign w:val="center"/>
          </w:tcPr>
          <w:p w14:paraId="2C06EDF9">
            <w:pPr>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溶解性</w:t>
            </w:r>
          </w:p>
        </w:tc>
        <w:tc>
          <w:tcPr>
            <w:tcW w:w="3001" w:type="pct"/>
            <w:gridSpan w:val="7"/>
            <w:tcMar>
              <w:left w:w="108" w:type="dxa"/>
              <w:right w:w="108" w:type="dxa"/>
            </w:tcMar>
            <w:vAlign w:val="center"/>
          </w:tcPr>
          <w:p w14:paraId="46EEF3CD">
            <w:pPr>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不溶于水、溶于乙醇、乙醚、丙酮、苯</w:t>
            </w:r>
          </w:p>
        </w:tc>
      </w:tr>
      <w:tr w14:paraId="3251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restart"/>
            <w:tcMar>
              <w:left w:w="108" w:type="dxa"/>
              <w:right w:w="108" w:type="dxa"/>
            </w:tcMar>
            <w:vAlign w:val="center"/>
          </w:tcPr>
          <w:p w14:paraId="7BFDE1DE">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稳定性和反应性</w:t>
            </w:r>
          </w:p>
        </w:tc>
        <w:tc>
          <w:tcPr>
            <w:tcW w:w="862" w:type="pct"/>
            <w:tcMar>
              <w:left w:w="108" w:type="dxa"/>
              <w:right w:w="108" w:type="dxa"/>
            </w:tcMar>
            <w:vAlign w:val="center"/>
          </w:tcPr>
          <w:p w14:paraId="5EC28BE8">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稳定性：</w:t>
            </w:r>
          </w:p>
        </w:tc>
        <w:tc>
          <w:tcPr>
            <w:tcW w:w="3795" w:type="pct"/>
            <w:gridSpan w:val="8"/>
            <w:tcMar>
              <w:left w:w="108" w:type="dxa"/>
              <w:right w:w="108" w:type="dxa"/>
            </w:tcMar>
            <w:vAlign w:val="center"/>
          </w:tcPr>
          <w:p w14:paraId="0C1C1732">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稳定</w:t>
            </w:r>
          </w:p>
        </w:tc>
      </w:tr>
      <w:tr w14:paraId="7B04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2EE83BA8">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1BFA2F47">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危险反应：</w:t>
            </w:r>
          </w:p>
        </w:tc>
        <w:tc>
          <w:tcPr>
            <w:tcW w:w="3795" w:type="pct"/>
            <w:gridSpan w:val="8"/>
            <w:tcMar>
              <w:left w:w="108" w:type="dxa"/>
              <w:right w:w="108" w:type="dxa"/>
            </w:tcMar>
            <w:vAlign w:val="center"/>
          </w:tcPr>
          <w:p w14:paraId="703C9BEE">
            <w:pPr>
              <w:jc w:val="center"/>
              <w:rPr>
                <w:rFonts w:hint="eastAsia"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与强氧化剂等禁配物接触。有发生火灾和爆炸的危险</w:t>
            </w:r>
            <w:r>
              <w:rPr>
                <w:rFonts w:hint="eastAsia" w:cs="Times New Roman" w:eastAsiaTheme="minorEastAsia"/>
                <w:sz w:val="21"/>
                <w:szCs w:val="21"/>
                <w:highlight w:val="none"/>
                <w:lang w:eastAsia="zh-CN"/>
              </w:rPr>
              <w:t>。</w:t>
            </w:r>
          </w:p>
        </w:tc>
      </w:tr>
      <w:tr w14:paraId="6E31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21D85D75">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7F642DDB">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避免接触的条件：</w:t>
            </w:r>
          </w:p>
        </w:tc>
        <w:tc>
          <w:tcPr>
            <w:tcW w:w="3795" w:type="pct"/>
            <w:gridSpan w:val="8"/>
            <w:tcMar>
              <w:left w:w="108" w:type="dxa"/>
              <w:right w:w="108" w:type="dxa"/>
            </w:tcMar>
            <w:vAlign w:val="center"/>
          </w:tcPr>
          <w:p w14:paraId="01262F7D">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无资料</w:t>
            </w:r>
          </w:p>
        </w:tc>
      </w:tr>
      <w:tr w14:paraId="0726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2765E781">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3E5C42F2">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禁配物：</w:t>
            </w:r>
          </w:p>
        </w:tc>
        <w:tc>
          <w:tcPr>
            <w:tcW w:w="3795" w:type="pct"/>
            <w:gridSpan w:val="8"/>
            <w:tcMar>
              <w:left w:w="108" w:type="dxa"/>
              <w:right w:w="108" w:type="dxa"/>
            </w:tcMar>
            <w:vAlign w:val="center"/>
          </w:tcPr>
          <w:p w14:paraId="0137843E">
            <w:pPr>
              <w:jc w:val="center"/>
              <w:rPr>
                <w:rFonts w:hint="eastAsia"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强氧化剂、强酸、强碱、卤素</w:t>
            </w:r>
            <w:r>
              <w:rPr>
                <w:rFonts w:hint="eastAsia" w:cs="Times New Roman" w:eastAsiaTheme="minorEastAsia"/>
                <w:sz w:val="21"/>
                <w:szCs w:val="21"/>
                <w:highlight w:val="none"/>
                <w:lang w:eastAsia="zh-CN"/>
              </w:rPr>
              <w:t>等。</w:t>
            </w:r>
          </w:p>
        </w:tc>
      </w:tr>
      <w:tr w14:paraId="5C80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08962B55">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135335D1">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危险的分解产物：</w:t>
            </w:r>
          </w:p>
        </w:tc>
        <w:tc>
          <w:tcPr>
            <w:tcW w:w="3795" w:type="pct"/>
            <w:gridSpan w:val="8"/>
            <w:tcMar>
              <w:left w:w="108" w:type="dxa"/>
              <w:right w:w="108" w:type="dxa"/>
            </w:tcMar>
            <w:vAlign w:val="center"/>
          </w:tcPr>
          <w:p w14:paraId="6280611F">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无资料</w:t>
            </w:r>
          </w:p>
        </w:tc>
      </w:tr>
      <w:tr w14:paraId="2C4A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restart"/>
            <w:tcMar>
              <w:left w:w="108" w:type="dxa"/>
              <w:right w:w="108" w:type="dxa"/>
            </w:tcMar>
            <w:vAlign w:val="center"/>
          </w:tcPr>
          <w:p w14:paraId="549EA2A3">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毒性信息</w:t>
            </w:r>
          </w:p>
        </w:tc>
        <w:tc>
          <w:tcPr>
            <w:tcW w:w="862" w:type="pct"/>
            <w:tcMar>
              <w:left w:w="108" w:type="dxa"/>
              <w:right w:w="108" w:type="dxa"/>
            </w:tcMar>
            <w:vAlign w:val="center"/>
          </w:tcPr>
          <w:p w14:paraId="5AE66437">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急性中毒：</w:t>
            </w:r>
          </w:p>
        </w:tc>
        <w:tc>
          <w:tcPr>
            <w:tcW w:w="3795" w:type="pct"/>
            <w:gridSpan w:val="8"/>
            <w:tcMar>
              <w:left w:w="108" w:type="dxa"/>
              <w:right w:w="108" w:type="dxa"/>
            </w:tcMar>
            <w:vAlign w:val="center"/>
          </w:tcPr>
          <w:p w14:paraId="0A66E7BC">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无资料</w:t>
            </w:r>
          </w:p>
        </w:tc>
      </w:tr>
      <w:tr w14:paraId="78D0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74D8F398">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16A55933">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皮肤刺激或腐蚀：</w:t>
            </w:r>
          </w:p>
        </w:tc>
        <w:tc>
          <w:tcPr>
            <w:tcW w:w="793" w:type="pct"/>
            <w:tcMar>
              <w:left w:w="108" w:type="dxa"/>
              <w:right w:w="108" w:type="dxa"/>
            </w:tcMar>
            <w:vAlign w:val="center"/>
          </w:tcPr>
          <w:p w14:paraId="6553B9A8">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无资料</w:t>
            </w:r>
          </w:p>
        </w:tc>
        <w:tc>
          <w:tcPr>
            <w:tcW w:w="1624" w:type="pct"/>
            <w:gridSpan w:val="3"/>
            <w:tcMar>
              <w:left w:w="108" w:type="dxa"/>
              <w:right w:w="108" w:type="dxa"/>
            </w:tcMar>
            <w:vAlign w:val="center"/>
          </w:tcPr>
          <w:p w14:paraId="5C99561B">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眼睛刺激或腐蚀：</w:t>
            </w:r>
          </w:p>
        </w:tc>
        <w:tc>
          <w:tcPr>
            <w:tcW w:w="1377" w:type="pct"/>
            <w:gridSpan w:val="4"/>
            <w:tcMar>
              <w:left w:w="108" w:type="dxa"/>
              <w:right w:w="108" w:type="dxa"/>
            </w:tcMar>
            <w:vAlign w:val="center"/>
          </w:tcPr>
          <w:p w14:paraId="2FCA3C51">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无资料</w:t>
            </w:r>
          </w:p>
        </w:tc>
      </w:tr>
      <w:tr w14:paraId="096E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5F4C4FE5">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6602DF82">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呼吸</w:t>
            </w:r>
            <w:r>
              <w:rPr>
                <w:rFonts w:hint="eastAsia" w:cs="Times New Roman" w:eastAsiaTheme="minorEastAsia"/>
                <w:sz w:val="21"/>
                <w:szCs w:val="21"/>
                <w:highlight w:val="none"/>
                <w:lang w:eastAsia="zh-CN"/>
              </w:rPr>
              <w:t>道</w:t>
            </w:r>
            <w:r>
              <w:rPr>
                <w:rFonts w:hint="default" w:ascii="Times New Roman" w:hAnsi="Times New Roman" w:cs="Times New Roman" w:eastAsiaTheme="minorEastAsia"/>
                <w:sz w:val="21"/>
                <w:szCs w:val="21"/>
                <w:highlight w:val="none"/>
              </w:rPr>
              <w:t>或皮肤过敏：</w:t>
            </w:r>
          </w:p>
        </w:tc>
        <w:tc>
          <w:tcPr>
            <w:tcW w:w="793" w:type="pct"/>
            <w:tcMar>
              <w:left w:w="108" w:type="dxa"/>
              <w:right w:w="108" w:type="dxa"/>
            </w:tcMar>
            <w:vAlign w:val="center"/>
          </w:tcPr>
          <w:p w14:paraId="7079593F">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无资料</w:t>
            </w:r>
          </w:p>
        </w:tc>
        <w:tc>
          <w:tcPr>
            <w:tcW w:w="1624" w:type="pct"/>
            <w:gridSpan w:val="3"/>
            <w:tcMar>
              <w:left w:w="108" w:type="dxa"/>
              <w:right w:w="108" w:type="dxa"/>
            </w:tcMar>
            <w:vAlign w:val="center"/>
          </w:tcPr>
          <w:p w14:paraId="229944B9">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生殖细胞</w:t>
            </w:r>
            <w:r>
              <w:rPr>
                <w:rFonts w:hint="eastAsia" w:cs="Times New Roman" w:eastAsiaTheme="minorEastAsia"/>
                <w:sz w:val="21"/>
                <w:szCs w:val="21"/>
                <w:highlight w:val="none"/>
                <w:lang w:eastAsia="zh-CN"/>
              </w:rPr>
              <w:t>致</w:t>
            </w:r>
            <w:r>
              <w:rPr>
                <w:rFonts w:hint="default" w:ascii="Times New Roman" w:hAnsi="Times New Roman" w:cs="Times New Roman" w:eastAsiaTheme="minorEastAsia"/>
                <w:sz w:val="21"/>
                <w:szCs w:val="21"/>
                <w:highlight w:val="none"/>
              </w:rPr>
              <w:t>突变性：</w:t>
            </w:r>
          </w:p>
        </w:tc>
        <w:tc>
          <w:tcPr>
            <w:tcW w:w="1377" w:type="pct"/>
            <w:gridSpan w:val="4"/>
            <w:tcMar>
              <w:left w:w="108" w:type="dxa"/>
              <w:right w:w="108" w:type="dxa"/>
            </w:tcMar>
            <w:vAlign w:val="center"/>
          </w:tcPr>
          <w:p w14:paraId="7DFFB610">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无资料</w:t>
            </w:r>
          </w:p>
        </w:tc>
      </w:tr>
      <w:tr w14:paraId="15BA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3E5A864E">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2B16DA43">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致癌性：</w:t>
            </w:r>
          </w:p>
        </w:tc>
        <w:tc>
          <w:tcPr>
            <w:tcW w:w="793" w:type="pct"/>
            <w:tcMar>
              <w:left w:w="108" w:type="dxa"/>
              <w:right w:w="108" w:type="dxa"/>
            </w:tcMar>
            <w:vAlign w:val="center"/>
          </w:tcPr>
          <w:p w14:paraId="75B8ACC3">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无资料</w:t>
            </w:r>
          </w:p>
        </w:tc>
        <w:tc>
          <w:tcPr>
            <w:tcW w:w="1624" w:type="pct"/>
            <w:gridSpan w:val="3"/>
            <w:tcMar>
              <w:left w:w="108" w:type="dxa"/>
              <w:right w:w="108" w:type="dxa"/>
            </w:tcMar>
            <w:vAlign w:val="center"/>
          </w:tcPr>
          <w:p w14:paraId="6AAC3463">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生殖毒性：</w:t>
            </w:r>
          </w:p>
        </w:tc>
        <w:tc>
          <w:tcPr>
            <w:tcW w:w="1377" w:type="pct"/>
            <w:gridSpan w:val="4"/>
            <w:tcMar>
              <w:left w:w="108" w:type="dxa"/>
              <w:right w:w="108" w:type="dxa"/>
            </w:tcMar>
            <w:vAlign w:val="center"/>
          </w:tcPr>
          <w:p w14:paraId="70DFA3F4">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无资料</w:t>
            </w:r>
          </w:p>
        </w:tc>
      </w:tr>
      <w:tr w14:paraId="1BA8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76E8731E">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32B4CCC3">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特异性靶器官系统毒性一次接触：</w:t>
            </w:r>
          </w:p>
        </w:tc>
        <w:tc>
          <w:tcPr>
            <w:tcW w:w="3795" w:type="pct"/>
            <w:gridSpan w:val="8"/>
            <w:tcMar>
              <w:left w:w="108" w:type="dxa"/>
              <w:right w:w="108" w:type="dxa"/>
            </w:tcMar>
            <w:vAlign w:val="center"/>
          </w:tcPr>
          <w:p w14:paraId="54113B08">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无资料</w:t>
            </w:r>
          </w:p>
        </w:tc>
      </w:tr>
      <w:tr w14:paraId="1BC9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5F7187EE">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1C4B8F02">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特异性靶器官系统毒性反复接触：</w:t>
            </w:r>
          </w:p>
        </w:tc>
        <w:tc>
          <w:tcPr>
            <w:tcW w:w="3795" w:type="pct"/>
            <w:gridSpan w:val="8"/>
            <w:tcMar>
              <w:left w:w="108" w:type="dxa"/>
              <w:right w:w="108" w:type="dxa"/>
            </w:tcMar>
            <w:vAlign w:val="center"/>
          </w:tcPr>
          <w:p w14:paraId="6B714190">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无资料</w:t>
            </w:r>
          </w:p>
        </w:tc>
      </w:tr>
      <w:tr w14:paraId="2317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6D8A9A48">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0C4038D6">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吸入危害：</w:t>
            </w:r>
          </w:p>
        </w:tc>
        <w:tc>
          <w:tcPr>
            <w:tcW w:w="3795" w:type="pct"/>
            <w:gridSpan w:val="8"/>
            <w:tcMar>
              <w:left w:w="108" w:type="dxa"/>
              <w:right w:w="108" w:type="dxa"/>
            </w:tcMar>
            <w:vAlign w:val="center"/>
          </w:tcPr>
          <w:p w14:paraId="6A7A4823">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无资料</w:t>
            </w:r>
          </w:p>
        </w:tc>
      </w:tr>
      <w:tr w14:paraId="207F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restart"/>
            <w:tcMar>
              <w:left w:w="108" w:type="dxa"/>
              <w:right w:w="108" w:type="dxa"/>
            </w:tcMar>
            <w:vAlign w:val="center"/>
          </w:tcPr>
          <w:p w14:paraId="3472A99C">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生态毒性</w:t>
            </w:r>
          </w:p>
        </w:tc>
        <w:tc>
          <w:tcPr>
            <w:tcW w:w="862" w:type="pct"/>
            <w:tcMar>
              <w:left w:w="108" w:type="dxa"/>
              <w:right w:w="108" w:type="dxa"/>
            </w:tcMar>
            <w:vAlign w:val="center"/>
          </w:tcPr>
          <w:p w14:paraId="4F4B7037">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生态毒性：</w:t>
            </w:r>
          </w:p>
        </w:tc>
        <w:tc>
          <w:tcPr>
            <w:tcW w:w="3795" w:type="pct"/>
            <w:gridSpan w:val="8"/>
            <w:tcMar>
              <w:left w:w="108" w:type="dxa"/>
              <w:right w:w="108" w:type="dxa"/>
            </w:tcMar>
            <w:vAlign w:val="center"/>
          </w:tcPr>
          <w:p w14:paraId="675C436A">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无资料</w:t>
            </w:r>
          </w:p>
        </w:tc>
      </w:tr>
      <w:tr w14:paraId="1DAF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6A079CBD">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26DAC314">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持久性和降解性：</w:t>
            </w:r>
          </w:p>
        </w:tc>
        <w:tc>
          <w:tcPr>
            <w:tcW w:w="3795" w:type="pct"/>
            <w:gridSpan w:val="8"/>
            <w:tcMar>
              <w:left w:w="108" w:type="dxa"/>
              <w:right w:w="108" w:type="dxa"/>
            </w:tcMar>
            <w:vAlign w:val="center"/>
          </w:tcPr>
          <w:p w14:paraId="76D21B48">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生物</w:t>
            </w:r>
            <w:r>
              <w:rPr>
                <w:rFonts w:hint="eastAsia" w:cs="Times New Roman" w:eastAsiaTheme="minorEastAsia"/>
                <w:sz w:val="21"/>
                <w:szCs w:val="21"/>
                <w:highlight w:val="none"/>
                <w:lang w:eastAsia="zh-CN"/>
              </w:rPr>
              <w:t>可</w:t>
            </w:r>
            <w:r>
              <w:rPr>
                <w:rFonts w:hint="default" w:ascii="Times New Roman" w:hAnsi="Times New Roman" w:cs="Times New Roman" w:eastAsiaTheme="minorEastAsia"/>
                <w:sz w:val="21"/>
                <w:szCs w:val="21"/>
                <w:highlight w:val="none"/>
              </w:rPr>
              <w:t>降解性：无资料</w:t>
            </w:r>
            <w:r>
              <w:rPr>
                <w:rFonts w:hint="default" w:ascii="Times New Roman" w:hAnsi="Times New Roman" w:cs="Times New Roman" w:eastAsiaTheme="minorEastAsia"/>
                <w:sz w:val="21"/>
                <w:szCs w:val="21"/>
                <w:highlight w:val="none"/>
              </w:rPr>
              <w:br w:type="textWrapping"/>
            </w:r>
            <w:r>
              <w:rPr>
                <w:rFonts w:hint="default" w:ascii="Times New Roman" w:hAnsi="Times New Roman" w:cs="Times New Roman" w:eastAsiaTheme="minorEastAsia"/>
                <w:sz w:val="21"/>
                <w:szCs w:val="21"/>
                <w:highlight w:val="none"/>
              </w:rPr>
              <w:t>非生物</w:t>
            </w:r>
            <w:r>
              <w:rPr>
                <w:rFonts w:hint="eastAsia" w:cs="Times New Roman" w:eastAsiaTheme="minorEastAsia"/>
                <w:sz w:val="21"/>
                <w:szCs w:val="21"/>
                <w:highlight w:val="none"/>
                <w:lang w:eastAsia="zh-CN"/>
              </w:rPr>
              <w:t>可</w:t>
            </w:r>
            <w:r>
              <w:rPr>
                <w:rFonts w:hint="default" w:ascii="Times New Roman" w:hAnsi="Times New Roman" w:cs="Times New Roman" w:eastAsiaTheme="minorEastAsia"/>
                <w:sz w:val="21"/>
                <w:szCs w:val="21"/>
                <w:highlight w:val="none"/>
              </w:rPr>
              <w:t>降解性：无资料</w:t>
            </w:r>
          </w:p>
        </w:tc>
      </w:tr>
      <w:tr w14:paraId="47DD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3C807A07">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4E086C38">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潜在的生物累积性：</w:t>
            </w:r>
          </w:p>
        </w:tc>
        <w:tc>
          <w:tcPr>
            <w:tcW w:w="3795" w:type="pct"/>
            <w:gridSpan w:val="8"/>
            <w:tcMar>
              <w:left w:w="108" w:type="dxa"/>
              <w:right w:w="108" w:type="dxa"/>
            </w:tcMar>
            <w:vAlign w:val="center"/>
          </w:tcPr>
          <w:p w14:paraId="3EC5552E">
            <w:pPr>
              <w:jc w:val="center"/>
              <w:rPr>
                <w:rFonts w:hint="eastAsia"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该物质的生物累积性可能较弱</w:t>
            </w:r>
            <w:r>
              <w:rPr>
                <w:rFonts w:hint="eastAsia" w:cs="Times New Roman" w:eastAsiaTheme="minorEastAsia"/>
                <w:sz w:val="21"/>
                <w:szCs w:val="21"/>
                <w:highlight w:val="none"/>
                <w:lang w:eastAsia="zh-CN"/>
              </w:rPr>
              <w:t>。</w:t>
            </w:r>
          </w:p>
        </w:tc>
      </w:tr>
      <w:tr w14:paraId="48A6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465D58CD">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2DC37865">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土壤中的迁移性：</w:t>
            </w:r>
          </w:p>
        </w:tc>
        <w:tc>
          <w:tcPr>
            <w:tcW w:w="3795" w:type="pct"/>
            <w:gridSpan w:val="8"/>
            <w:tcMar>
              <w:left w:w="108" w:type="dxa"/>
              <w:right w:w="108" w:type="dxa"/>
            </w:tcMar>
            <w:vAlign w:val="center"/>
          </w:tcPr>
          <w:p w14:paraId="77C38E52">
            <w:pPr>
              <w:jc w:val="center"/>
              <w:rPr>
                <w:rFonts w:hint="eastAsia"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该物质可能易发生迁移</w:t>
            </w:r>
            <w:r>
              <w:rPr>
                <w:rFonts w:hint="eastAsia" w:cs="Times New Roman" w:eastAsiaTheme="minorEastAsia"/>
                <w:sz w:val="21"/>
                <w:szCs w:val="21"/>
                <w:highlight w:val="none"/>
                <w:lang w:eastAsia="zh-CN"/>
              </w:rPr>
              <w:t>。</w:t>
            </w:r>
          </w:p>
        </w:tc>
      </w:tr>
      <w:tr w14:paraId="0076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restart"/>
            <w:tcMar>
              <w:left w:w="108" w:type="dxa"/>
              <w:right w:w="108" w:type="dxa"/>
            </w:tcMar>
            <w:vAlign w:val="center"/>
          </w:tcPr>
          <w:p w14:paraId="1F4C6E79">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废弃处置</w:t>
            </w:r>
          </w:p>
        </w:tc>
        <w:tc>
          <w:tcPr>
            <w:tcW w:w="862" w:type="pct"/>
            <w:tcMar>
              <w:left w:w="108" w:type="dxa"/>
              <w:right w:w="108" w:type="dxa"/>
            </w:tcMar>
            <w:vAlign w:val="center"/>
          </w:tcPr>
          <w:p w14:paraId="1B78FB39">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废弃化学品：</w:t>
            </w:r>
          </w:p>
        </w:tc>
        <w:tc>
          <w:tcPr>
            <w:tcW w:w="3795" w:type="pct"/>
            <w:gridSpan w:val="8"/>
            <w:tcMar>
              <w:left w:w="108" w:type="dxa"/>
              <w:right w:w="108" w:type="dxa"/>
            </w:tcMar>
            <w:vAlign w:val="center"/>
          </w:tcPr>
          <w:p w14:paraId="68AF4FB3">
            <w:pPr>
              <w:jc w:val="center"/>
              <w:rPr>
                <w:rFonts w:hint="eastAsia"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建议用焚烧法处置</w:t>
            </w:r>
            <w:r>
              <w:rPr>
                <w:rFonts w:hint="eastAsia" w:cs="Times New Roman" w:eastAsiaTheme="minorEastAsia"/>
                <w:sz w:val="21"/>
                <w:szCs w:val="21"/>
                <w:highlight w:val="none"/>
                <w:lang w:eastAsia="zh-CN"/>
              </w:rPr>
              <w:t>。</w:t>
            </w:r>
          </w:p>
        </w:tc>
      </w:tr>
      <w:tr w14:paraId="7260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58DF65D9">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7AA8988C">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污染包装物：</w:t>
            </w:r>
          </w:p>
        </w:tc>
        <w:tc>
          <w:tcPr>
            <w:tcW w:w="3795" w:type="pct"/>
            <w:gridSpan w:val="8"/>
            <w:tcMar>
              <w:left w:w="108" w:type="dxa"/>
              <w:right w:w="108" w:type="dxa"/>
            </w:tcMar>
            <w:vAlign w:val="center"/>
          </w:tcPr>
          <w:p w14:paraId="2C763370">
            <w:pPr>
              <w:jc w:val="center"/>
              <w:rPr>
                <w:rFonts w:hint="eastAsia"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将容器返还生产商或按照国家和</w:t>
            </w:r>
            <w:r>
              <w:rPr>
                <w:rFonts w:hint="eastAsia" w:cs="Times New Roman" w:eastAsiaTheme="minorEastAsia"/>
                <w:sz w:val="21"/>
                <w:szCs w:val="21"/>
                <w:highlight w:val="none"/>
                <w:lang w:eastAsia="zh-CN"/>
              </w:rPr>
              <w:t>地方性法规</w:t>
            </w:r>
            <w:r>
              <w:rPr>
                <w:rFonts w:hint="default" w:ascii="Times New Roman" w:hAnsi="Times New Roman" w:cs="Times New Roman" w:eastAsiaTheme="minorEastAsia"/>
                <w:sz w:val="21"/>
                <w:szCs w:val="21"/>
                <w:highlight w:val="none"/>
              </w:rPr>
              <w:t>处置</w:t>
            </w:r>
            <w:r>
              <w:rPr>
                <w:rFonts w:hint="eastAsia" w:cs="Times New Roman" w:eastAsiaTheme="minorEastAsia"/>
                <w:sz w:val="21"/>
                <w:szCs w:val="21"/>
                <w:highlight w:val="none"/>
                <w:lang w:eastAsia="zh-CN"/>
              </w:rPr>
              <w:t>。</w:t>
            </w:r>
          </w:p>
        </w:tc>
      </w:tr>
      <w:tr w14:paraId="5EBB6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32E77E42">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7D6B27EC">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废弃注意事项：</w:t>
            </w:r>
          </w:p>
        </w:tc>
        <w:tc>
          <w:tcPr>
            <w:tcW w:w="3795" w:type="pct"/>
            <w:gridSpan w:val="8"/>
            <w:tcMar>
              <w:left w:w="108" w:type="dxa"/>
              <w:right w:w="108" w:type="dxa"/>
            </w:tcMar>
            <w:vAlign w:val="center"/>
          </w:tcPr>
          <w:p w14:paraId="17D112B1">
            <w:pPr>
              <w:jc w:val="center"/>
              <w:rPr>
                <w:rFonts w:hint="eastAsia"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处置前应参阅国家和地方有关法规</w:t>
            </w:r>
            <w:r>
              <w:rPr>
                <w:rFonts w:hint="eastAsia" w:cs="Times New Roman" w:eastAsiaTheme="minorEastAsia"/>
                <w:sz w:val="21"/>
                <w:szCs w:val="21"/>
                <w:highlight w:val="none"/>
                <w:lang w:eastAsia="zh-CN"/>
              </w:rPr>
              <w:t>。</w:t>
            </w:r>
          </w:p>
        </w:tc>
      </w:tr>
      <w:tr w14:paraId="4259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restart"/>
            <w:tcMar>
              <w:left w:w="108" w:type="dxa"/>
              <w:right w:w="108" w:type="dxa"/>
            </w:tcMar>
            <w:vAlign w:val="center"/>
          </w:tcPr>
          <w:p w14:paraId="2346EFB3">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运输信息</w:t>
            </w:r>
          </w:p>
        </w:tc>
        <w:tc>
          <w:tcPr>
            <w:tcW w:w="1656" w:type="pct"/>
            <w:gridSpan w:val="2"/>
            <w:tcMar>
              <w:left w:w="108" w:type="dxa"/>
              <w:right w:w="108" w:type="dxa"/>
            </w:tcMar>
            <w:vAlign w:val="center"/>
          </w:tcPr>
          <w:p w14:paraId="4F1EAFA1">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联合国危险货物编号（UN号）：</w:t>
            </w:r>
          </w:p>
        </w:tc>
        <w:tc>
          <w:tcPr>
            <w:tcW w:w="3001" w:type="pct"/>
            <w:gridSpan w:val="7"/>
            <w:tcMar>
              <w:left w:w="108" w:type="dxa"/>
              <w:right w:w="108" w:type="dxa"/>
            </w:tcMar>
            <w:vAlign w:val="center"/>
          </w:tcPr>
          <w:p w14:paraId="75132BF7">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1035:1961（液化）</w:t>
            </w:r>
          </w:p>
        </w:tc>
      </w:tr>
      <w:tr w14:paraId="4AD7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07F411D7">
            <w:pPr>
              <w:jc w:val="center"/>
              <w:rPr>
                <w:rFonts w:hint="default" w:ascii="Times New Roman" w:hAnsi="Times New Roman" w:cs="Times New Roman" w:eastAsiaTheme="minorEastAsia"/>
                <w:sz w:val="21"/>
                <w:szCs w:val="21"/>
                <w:highlight w:val="none"/>
              </w:rPr>
            </w:pPr>
          </w:p>
        </w:tc>
        <w:tc>
          <w:tcPr>
            <w:tcW w:w="1656" w:type="pct"/>
            <w:gridSpan w:val="2"/>
            <w:tcMar>
              <w:left w:w="108" w:type="dxa"/>
              <w:right w:w="108" w:type="dxa"/>
            </w:tcMar>
            <w:vAlign w:val="center"/>
          </w:tcPr>
          <w:p w14:paraId="2E3332D6">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联合国运输名称：</w:t>
            </w:r>
          </w:p>
        </w:tc>
        <w:tc>
          <w:tcPr>
            <w:tcW w:w="1624" w:type="pct"/>
            <w:gridSpan w:val="3"/>
            <w:tcMar>
              <w:left w:w="108" w:type="dxa"/>
              <w:right w:w="108" w:type="dxa"/>
            </w:tcMar>
            <w:vAlign w:val="center"/>
          </w:tcPr>
          <w:p w14:paraId="48881A60">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乙烷；冷冻液态乙烷（液化）</w:t>
            </w:r>
          </w:p>
        </w:tc>
        <w:tc>
          <w:tcPr>
            <w:tcW w:w="1377" w:type="pct"/>
            <w:gridSpan w:val="4"/>
            <w:tcMar>
              <w:left w:w="108" w:type="dxa"/>
              <w:right w:w="108" w:type="dxa"/>
            </w:tcMar>
            <w:vAlign w:val="center"/>
          </w:tcPr>
          <w:p w14:paraId="4E637A95">
            <w:pPr>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联合国危险性类别：</w:t>
            </w:r>
            <w:r>
              <w:rPr>
                <w:rFonts w:hint="default" w:ascii="Times New Roman" w:hAnsi="Times New Roman" w:cs="Times New Roman" w:eastAsiaTheme="minorEastAsia"/>
                <w:sz w:val="21"/>
                <w:szCs w:val="21"/>
                <w:highlight w:val="none"/>
                <w:lang w:val="en-US" w:eastAsia="zh-CN"/>
              </w:rPr>
              <w:t>1</w:t>
            </w:r>
          </w:p>
        </w:tc>
      </w:tr>
      <w:tr w14:paraId="5597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1BD82EE3">
            <w:pPr>
              <w:jc w:val="center"/>
              <w:rPr>
                <w:rFonts w:hint="default" w:ascii="Times New Roman" w:hAnsi="Times New Roman" w:cs="Times New Roman" w:eastAsiaTheme="minorEastAsia"/>
                <w:sz w:val="21"/>
                <w:szCs w:val="21"/>
                <w:highlight w:val="none"/>
              </w:rPr>
            </w:pPr>
          </w:p>
        </w:tc>
        <w:tc>
          <w:tcPr>
            <w:tcW w:w="1656" w:type="pct"/>
            <w:gridSpan w:val="2"/>
            <w:tcMar>
              <w:left w:w="108" w:type="dxa"/>
              <w:right w:w="108" w:type="dxa"/>
            </w:tcMar>
            <w:vAlign w:val="center"/>
          </w:tcPr>
          <w:p w14:paraId="5F5A8E60">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包装类别：</w:t>
            </w:r>
          </w:p>
        </w:tc>
        <w:tc>
          <w:tcPr>
            <w:tcW w:w="1624" w:type="pct"/>
            <w:gridSpan w:val="3"/>
            <w:tcMar>
              <w:left w:w="108" w:type="dxa"/>
              <w:right w:w="108" w:type="dxa"/>
            </w:tcMar>
            <w:vAlign w:val="center"/>
          </w:tcPr>
          <w:p w14:paraId="379F6A5F">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w:t>
            </w:r>
          </w:p>
        </w:tc>
        <w:tc>
          <w:tcPr>
            <w:tcW w:w="1377" w:type="pct"/>
            <w:gridSpan w:val="4"/>
            <w:tcMar>
              <w:left w:w="108" w:type="dxa"/>
              <w:right w:w="108" w:type="dxa"/>
            </w:tcMar>
            <w:vAlign w:val="center"/>
          </w:tcPr>
          <w:p w14:paraId="6C23A951">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海洋污染物：否</w:t>
            </w:r>
          </w:p>
        </w:tc>
      </w:tr>
      <w:tr w14:paraId="1649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2" w:type="pct"/>
            <w:vMerge w:val="continue"/>
            <w:tcMar>
              <w:left w:w="108" w:type="dxa"/>
              <w:right w:w="108" w:type="dxa"/>
            </w:tcMar>
            <w:vAlign w:val="center"/>
          </w:tcPr>
          <w:p w14:paraId="0A61CDE1">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30FEBF49">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运输注意事项：</w:t>
            </w:r>
          </w:p>
        </w:tc>
        <w:tc>
          <w:tcPr>
            <w:tcW w:w="3795" w:type="pct"/>
            <w:gridSpan w:val="8"/>
            <w:tcMar>
              <w:left w:w="108" w:type="dxa"/>
              <w:right w:w="108" w:type="dxa"/>
            </w:tcMar>
            <w:vAlign w:val="center"/>
          </w:tcPr>
          <w:p w14:paraId="256648CB">
            <w:pPr>
              <w:jc w:val="center"/>
              <w:rPr>
                <w:rFonts w:hint="eastAsia"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采用钢瓶运输时必须有可靠钢瓶上的安全帽。钢瓶一般平放，并将钢瓶口朝一个方向，不可交叉。高度不得超过钢瓶的护罩板，并用三角木垫上、下防止滚动。运输时运输车辆应配备相应品种和数量的消防器材。装运该物品的车辆排气管</w:t>
            </w:r>
            <w:r>
              <w:rPr>
                <w:rFonts w:hint="eastAsia" w:cs="Times New Roman" w:eastAsiaTheme="minorEastAsia"/>
                <w:sz w:val="21"/>
                <w:szCs w:val="21"/>
                <w:highlight w:val="none"/>
                <w:lang w:eastAsia="zh-CN"/>
              </w:rPr>
              <w:t>。</w:t>
            </w:r>
          </w:p>
          <w:p w14:paraId="4323C390">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必须配备阻火装置。禁止使用易产生火花的机械设备和工具装卸。严禁与氧化剂、卤素等混装混运。夏季应早晚运输，防止日光</w:t>
            </w:r>
            <w:r>
              <w:rPr>
                <w:rFonts w:hint="eastAsia" w:cs="Times New Roman" w:eastAsiaTheme="minorEastAsia"/>
                <w:sz w:val="21"/>
                <w:szCs w:val="21"/>
                <w:highlight w:val="none"/>
                <w:lang w:eastAsia="zh-CN"/>
              </w:rPr>
              <w:t>暴晒</w:t>
            </w:r>
            <w:r>
              <w:rPr>
                <w:rFonts w:hint="default" w:ascii="Times New Roman" w:hAnsi="Times New Roman" w:cs="Times New Roman" w:eastAsiaTheme="minorEastAsia"/>
                <w:sz w:val="21"/>
                <w:szCs w:val="21"/>
                <w:highlight w:val="none"/>
              </w:rPr>
              <w:t>。中途停留时应远离火种、热源。公路运输时要按规定路线行驶，勿在居民区和人口稠密区停留。铁路运输时要禁止溜放。</w:t>
            </w:r>
          </w:p>
        </w:tc>
      </w:tr>
      <w:tr w14:paraId="7720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90" w:hRule="atLeast"/>
          <w:jc w:val="center"/>
        </w:trPr>
        <w:tc>
          <w:tcPr>
            <w:tcW w:w="342" w:type="pct"/>
            <w:vMerge w:val="restart"/>
            <w:tcMar>
              <w:left w:w="108" w:type="dxa"/>
              <w:right w:w="108" w:type="dxa"/>
            </w:tcMar>
            <w:vAlign w:val="center"/>
          </w:tcPr>
          <w:p w14:paraId="7941E6A4">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法规信息</w:t>
            </w:r>
          </w:p>
        </w:tc>
        <w:tc>
          <w:tcPr>
            <w:tcW w:w="862" w:type="pct"/>
            <w:tcMar>
              <w:left w:w="108" w:type="dxa"/>
              <w:right w:w="108" w:type="dxa"/>
            </w:tcMar>
            <w:vAlign w:val="center"/>
          </w:tcPr>
          <w:p w14:paraId="391E6F9E">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危险化学品目录：</w:t>
            </w:r>
          </w:p>
        </w:tc>
        <w:tc>
          <w:tcPr>
            <w:tcW w:w="1203" w:type="pct"/>
            <w:gridSpan w:val="3"/>
            <w:tcMar>
              <w:left w:w="108" w:type="dxa"/>
              <w:right w:w="108" w:type="dxa"/>
            </w:tcMar>
            <w:vAlign w:val="center"/>
          </w:tcPr>
          <w:p w14:paraId="0A914040">
            <w:pPr>
              <w:jc w:val="center"/>
              <w:rPr>
                <w:rFonts w:hint="default" w:ascii="Times New Roman" w:hAnsi="Times New Roman" w:cs="Times New Roman" w:eastAsiaTheme="minorEastAsia"/>
                <w:sz w:val="21"/>
                <w:szCs w:val="21"/>
                <w:highlight w:val="none"/>
              </w:rPr>
            </w:pPr>
            <w:r>
              <w:rPr>
                <w:rFonts w:hint="eastAsia" w:cs="Times New Roman"/>
                <w:bCs/>
                <w:szCs w:val="21"/>
                <w:highlight w:val="none"/>
                <w:lang w:eastAsia="zh-CN"/>
              </w:rPr>
              <w:t>□</w:t>
            </w:r>
            <w:r>
              <w:rPr>
                <w:rFonts w:hint="default" w:ascii="Times New Roman" w:hAnsi="Times New Roman" w:cs="Times New Roman" w:eastAsiaTheme="minorEastAsia"/>
                <w:sz w:val="21"/>
                <w:szCs w:val="21"/>
                <w:highlight w:val="none"/>
              </w:rPr>
              <w:t>未列入</w:t>
            </w:r>
            <w:r>
              <w:rPr>
                <w:rFonts w:hint="eastAsia" w:cs="Times New Roman" w:eastAsiaTheme="minorEastAsia"/>
                <w:sz w:val="21"/>
                <w:szCs w:val="21"/>
                <w:highlight w:val="none"/>
                <w:lang w:eastAsia="zh-CN"/>
              </w:rPr>
              <w:t>，</w:t>
            </w:r>
            <w:r>
              <w:rPr>
                <w:rFonts w:hint="default" w:ascii="Times New Roman" w:hAnsi="Times New Roman" w:cs="Times New Roman" w:eastAsiaTheme="minorEastAsia"/>
                <w:sz w:val="21"/>
                <w:szCs w:val="21"/>
                <w:highlight w:val="none"/>
              </w:rPr>
              <w:t>☑列入：</w:t>
            </w:r>
          </w:p>
        </w:tc>
        <w:tc>
          <w:tcPr>
            <w:tcW w:w="1286" w:type="pct"/>
            <w:gridSpan w:val="2"/>
            <w:tcMar>
              <w:left w:w="108" w:type="dxa"/>
              <w:right w:w="108" w:type="dxa"/>
            </w:tcMar>
            <w:vAlign w:val="center"/>
          </w:tcPr>
          <w:p w14:paraId="41FF2B4E">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高毒物品目录：</w:t>
            </w:r>
          </w:p>
        </w:tc>
        <w:tc>
          <w:tcPr>
            <w:tcW w:w="1304" w:type="pct"/>
            <w:gridSpan w:val="2"/>
            <w:tcMar>
              <w:left w:w="108" w:type="dxa"/>
              <w:right w:w="108" w:type="dxa"/>
            </w:tcMar>
            <w:vAlign w:val="center"/>
          </w:tcPr>
          <w:p w14:paraId="25323493">
            <w:pPr>
              <w:jc w:val="center"/>
              <w:rPr>
                <w:rFonts w:hint="default" w:ascii="Times New Roman" w:hAnsi="Times New Roman" w:cs="Times New Roman" w:eastAsiaTheme="minorEastAsia"/>
                <w:sz w:val="21"/>
                <w:szCs w:val="21"/>
                <w:highlight w:val="none"/>
              </w:rPr>
            </w:pPr>
            <w:r>
              <w:rPr>
                <w:rFonts w:hint="eastAsia" w:cs="Times New Roman"/>
                <w:bCs/>
                <w:szCs w:val="21"/>
                <w:highlight w:val="none"/>
                <w:lang w:eastAsia="zh-CN"/>
              </w:rPr>
              <w:t>□</w:t>
            </w:r>
            <w:r>
              <w:rPr>
                <w:rFonts w:hint="default" w:ascii="Times New Roman" w:hAnsi="Times New Roman" w:cs="Times New Roman" w:eastAsiaTheme="minorEastAsia"/>
                <w:sz w:val="21"/>
                <w:szCs w:val="21"/>
                <w:highlight w:val="none"/>
              </w:rPr>
              <w:t>列入☑未列入</w:t>
            </w:r>
          </w:p>
        </w:tc>
      </w:tr>
      <w:tr w14:paraId="7608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90" w:hRule="atLeast"/>
          <w:jc w:val="center"/>
        </w:trPr>
        <w:tc>
          <w:tcPr>
            <w:tcW w:w="342" w:type="pct"/>
            <w:vMerge w:val="continue"/>
            <w:tcMar>
              <w:left w:w="108" w:type="dxa"/>
              <w:right w:w="108" w:type="dxa"/>
            </w:tcMar>
            <w:vAlign w:val="center"/>
          </w:tcPr>
          <w:p w14:paraId="0588219A">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18CE8ED0">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职业病分类和目录：</w:t>
            </w:r>
          </w:p>
        </w:tc>
        <w:tc>
          <w:tcPr>
            <w:tcW w:w="3794" w:type="pct"/>
            <w:gridSpan w:val="7"/>
            <w:tcMar>
              <w:left w:w="108" w:type="dxa"/>
              <w:right w:w="108" w:type="dxa"/>
            </w:tcMar>
            <w:vAlign w:val="center"/>
          </w:tcPr>
          <w:p w14:paraId="7FD476F1">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☑未列入</w:t>
            </w:r>
            <w:r>
              <w:rPr>
                <w:rFonts w:hint="eastAsia" w:cs="Times New Roman" w:eastAsiaTheme="minorEastAsia"/>
                <w:sz w:val="21"/>
                <w:szCs w:val="21"/>
                <w:highlight w:val="none"/>
                <w:lang w:eastAsia="zh-CN"/>
              </w:rPr>
              <w:t>，</w:t>
            </w:r>
            <w:r>
              <w:rPr>
                <w:rFonts w:hint="eastAsia" w:cs="Times New Roman"/>
                <w:bCs/>
                <w:szCs w:val="21"/>
                <w:highlight w:val="none"/>
                <w:lang w:eastAsia="zh-CN"/>
              </w:rPr>
              <w:t>□</w:t>
            </w:r>
            <w:r>
              <w:rPr>
                <w:rFonts w:hint="default" w:ascii="Times New Roman" w:hAnsi="Times New Roman" w:cs="Times New Roman" w:eastAsiaTheme="minorEastAsia"/>
                <w:sz w:val="21"/>
                <w:szCs w:val="21"/>
                <w:highlight w:val="none"/>
              </w:rPr>
              <w:t>列入：</w:t>
            </w:r>
          </w:p>
        </w:tc>
      </w:tr>
      <w:tr w14:paraId="5F58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90" w:hRule="atLeast"/>
          <w:jc w:val="center"/>
        </w:trPr>
        <w:tc>
          <w:tcPr>
            <w:tcW w:w="342" w:type="pct"/>
            <w:vMerge w:val="continue"/>
            <w:tcMar>
              <w:left w:w="108" w:type="dxa"/>
              <w:right w:w="108" w:type="dxa"/>
            </w:tcMar>
            <w:vAlign w:val="center"/>
          </w:tcPr>
          <w:p w14:paraId="66FACF5D">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0EE6FC31">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易制爆危险化学品名录：</w:t>
            </w:r>
          </w:p>
        </w:tc>
        <w:tc>
          <w:tcPr>
            <w:tcW w:w="3794" w:type="pct"/>
            <w:gridSpan w:val="7"/>
            <w:tcMar>
              <w:left w:w="108" w:type="dxa"/>
              <w:right w:w="108" w:type="dxa"/>
            </w:tcMar>
            <w:vAlign w:val="center"/>
          </w:tcPr>
          <w:p w14:paraId="511B618F">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☑未列入</w:t>
            </w:r>
            <w:r>
              <w:rPr>
                <w:rFonts w:hint="eastAsia" w:cs="Times New Roman" w:eastAsiaTheme="minorEastAsia"/>
                <w:sz w:val="21"/>
                <w:szCs w:val="21"/>
                <w:highlight w:val="none"/>
                <w:lang w:eastAsia="zh-CN"/>
              </w:rPr>
              <w:t>，</w:t>
            </w:r>
            <w:r>
              <w:rPr>
                <w:rFonts w:hint="eastAsia" w:cs="Times New Roman"/>
                <w:bCs/>
                <w:szCs w:val="21"/>
                <w:highlight w:val="none"/>
                <w:lang w:eastAsia="zh-CN"/>
              </w:rPr>
              <w:t>□</w:t>
            </w:r>
            <w:r>
              <w:rPr>
                <w:rFonts w:hint="default" w:ascii="Times New Roman" w:hAnsi="Times New Roman" w:cs="Times New Roman" w:eastAsiaTheme="minorEastAsia"/>
                <w:sz w:val="21"/>
                <w:szCs w:val="21"/>
                <w:highlight w:val="none"/>
              </w:rPr>
              <w:t>列入：</w:t>
            </w:r>
          </w:p>
        </w:tc>
      </w:tr>
      <w:tr w14:paraId="44D7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90" w:hRule="atLeast"/>
          <w:jc w:val="center"/>
        </w:trPr>
        <w:tc>
          <w:tcPr>
            <w:tcW w:w="342" w:type="pct"/>
            <w:vMerge w:val="continue"/>
            <w:tcMar>
              <w:left w:w="108" w:type="dxa"/>
              <w:right w:w="108" w:type="dxa"/>
            </w:tcMar>
            <w:vAlign w:val="center"/>
          </w:tcPr>
          <w:p w14:paraId="3E59AA6B">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6A6BD083">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重点监管的危险化学品名录：</w:t>
            </w:r>
          </w:p>
        </w:tc>
        <w:tc>
          <w:tcPr>
            <w:tcW w:w="3794" w:type="pct"/>
            <w:gridSpan w:val="7"/>
            <w:tcMar>
              <w:left w:w="108" w:type="dxa"/>
              <w:right w:w="108" w:type="dxa"/>
            </w:tcMar>
            <w:vAlign w:val="center"/>
          </w:tcPr>
          <w:p w14:paraId="59C48DB3">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☑未列入</w:t>
            </w:r>
            <w:r>
              <w:rPr>
                <w:rFonts w:hint="eastAsia" w:cs="Times New Roman" w:eastAsiaTheme="minorEastAsia"/>
                <w:sz w:val="21"/>
                <w:szCs w:val="21"/>
                <w:highlight w:val="none"/>
                <w:lang w:eastAsia="zh-CN"/>
              </w:rPr>
              <w:t>，</w:t>
            </w:r>
            <w:r>
              <w:rPr>
                <w:rFonts w:hint="eastAsia" w:cs="Times New Roman"/>
                <w:bCs/>
                <w:szCs w:val="21"/>
                <w:highlight w:val="none"/>
                <w:lang w:eastAsia="zh-CN"/>
              </w:rPr>
              <w:t>□</w:t>
            </w:r>
            <w:r>
              <w:rPr>
                <w:rFonts w:hint="default" w:ascii="Times New Roman" w:hAnsi="Times New Roman" w:cs="Times New Roman" w:eastAsiaTheme="minorEastAsia"/>
                <w:sz w:val="21"/>
                <w:szCs w:val="21"/>
                <w:highlight w:val="none"/>
              </w:rPr>
              <w:t>列入：</w:t>
            </w:r>
          </w:p>
        </w:tc>
      </w:tr>
      <w:tr w14:paraId="19E5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90" w:hRule="atLeast"/>
          <w:jc w:val="center"/>
        </w:trPr>
        <w:tc>
          <w:tcPr>
            <w:tcW w:w="342" w:type="pct"/>
            <w:vMerge w:val="continue"/>
            <w:tcMar>
              <w:left w:w="108" w:type="dxa"/>
              <w:right w:w="108" w:type="dxa"/>
            </w:tcMar>
            <w:vAlign w:val="center"/>
          </w:tcPr>
          <w:p w14:paraId="75126A13">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11A1150C">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《危险化学品重大危险源辨识》（表1）：</w:t>
            </w:r>
          </w:p>
        </w:tc>
        <w:tc>
          <w:tcPr>
            <w:tcW w:w="3794" w:type="pct"/>
            <w:gridSpan w:val="7"/>
            <w:tcMar>
              <w:left w:w="108" w:type="dxa"/>
              <w:right w:w="108" w:type="dxa"/>
            </w:tcMar>
            <w:vAlign w:val="center"/>
          </w:tcPr>
          <w:p w14:paraId="0A005270">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☑未列入</w:t>
            </w:r>
            <w:r>
              <w:rPr>
                <w:rFonts w:hint="eastAsia" w:cs="Times New Roman" w:eastAsiaTheme="minorEastAsia"/>
                <w:sz w:val="21"/>
                <w:szCs w:val="21"/>
                <w:highlight w:val="none"/>
                <w:lang w:eastAsia="zh-CN"/>
              </w:rPr>
              <w:t>，</w:t>
            </w:r>
            <w:r>
              <w:rPr>
                <w:rFonts w:hint="eastAsia" w:cs="Times New Roman"/>
                <w:bCs/>
                <w:szCs w:val="21"/>
                <w:highlight w:val="none"/>
                <w:lang w:eastAsia="zh-CN"/>
              </w:rPr>
              <w:t>□</w:t>
            </w:r>
            <w:r>
              <w:rPr>
                <w:rFonts w:hint="default" w:ascii="Times New Roman" w:hAnsi="Times New Roman" w:cs="Times New Roman" w:eastAsiaTheme="minorEastAsia"/>
                <w:sz w:val="21"/>
                <w:szCs w:val="21"/>
                <w:highlight w:val="none"/>
              </w:rPr>
              <w:t>列入：</w:t>
            </w:r>
          </w:p>
        </w:tc>
      </w:tr>
      <w:tr w14:paraId="02B5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90" w:hRule="atLeast"/>
          <w:jc w:val="center"/>
        </w:trPr>
        <w:tc>
          <w:tcPr>
            <w:tcW w:w="342" w:type="pct"/>
            <w:vMerge w:val="continue"/>
            <w:tcMar>
              <w:left w:w="108" w:type="dxa"/>
              <w:right w:w="108" w:type="dxa"/>
            </w:tcMar>
            <w:vAlign w:val="center"/>
          </w:tcPr>
          <w:p w14:paraId="7D9614FF">
            <w:pPr>
              <w:jc w:val="center"/>
              <w:rPr>
                <w:rFonts w:hint="default" w:ascii="Times New Roman" w:hAnsi="Times New Roman" w:cs="Times New Roman" w:eastAsiaTheme="minorEastAsia"/>
                <w:sz w:val="21"/>
                <w:szCs w:val="21"/>
                <w:highlight w:val="none"/>
              </w:rPr>
            </w:pPr>
          </w:p>
        </w:tc>
        <w:tc>
          <w:tcPr>
            <w:tcW w:w="862" w:type="pct"/>
            <w:tcMar>
              <w:left w:w="108" w:type="dxa"/>
              <w:right w:w="108" w:type="dxa"/>
            </w:tcMar>
            <w:vAlign w:val="center"/>
          </w:tcPr>
          <w:p w14:paraId="1CD61D27">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易制毒化学品的分类和品种目录：</w:t>
            </w:r>
          </w:p>
        </w:tc>
        <w:tc>
          <w:tcPr>
            <w:tcW w:w="3794" w:type="pct"/>
            <w:gridSpan w:val="7"/>
            <w:tcMar>
              <w:left w:w="108" w:type="dxa"/>
              <w:right w:w="108" w:type="dxa"/>
            </w:tcMar>
            <w:vAlign w:val="center"/>
          </w:tcPr>
          <w:p w14:paraId="205824A7">
            <w:pPr>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☑未列入</w:t>
            </w:r>
            <w:r>
              <w:rPr>
                <w:rFonts w:hint="eastAsia" w:cs="Times New Roman" w:eastAsiaTheme="minorEastAsia"/>
                <w:sz w:val="21"/>
                <w:szCs w:val="21"/>
                <w:highlight w:val="none"/>
                <w:lang w:eastAsia="zh-CN"/>
              </w:rPr>
              <w:t>，</w:t>
            </w:r>
            <w:r>
              <w:rPr>
                <w:rFonts w:hint="eastAsia" w:cs="Times New Roman"/>
                <w:bCs/>
                <w:szCs w:val="21"/>
                <w:highlight w:val="none"/>
                <w:lang w:eastAsia="zh-CN"/>
              </w:rPr>
              <w:t>□</w:t>
            </w:r>
            <w:r>
              <w:rPr>
                <w:rFonts w:hint="default" w:ascii="Times New Roman" w:hAnsi="Times New Roman" w:cs="Times New Roman" w:eastAsiaTheme="minorEastAsia"/>
                <w:sz w:val="21"/>
                <w:szCs w:val="21"/>
                <w:highlight w:val="none"/>
              </w:rPr>
              <w:t>列入：</w:t>
            </w:r>
          </w:p>
        </w:tc>
      </w:tr>
    </w:tbl>
    <w:p w14:paraId="7CDF3204">
      <w:pPr>
        <w:keepNext/>
        <w:keepLines/>
        <w:spacing w:line="360" w:lineRule="auto"/>
        <w:outlineLvl w:val="1"/>
        <w:rPr>
          <w:b/>
          <w:bCs/>
          <w:sz w:val="28"/>
          <w:szCs w:val="28"/>
          <w:highlight w:val="none"/>
        </w:rPr>
      </w:pPr>
      <w:r>
        <w:rPr>
          <w:rFonts w:hint="eastAsia"/>
          <w:b/>
          <w:bCs/>
          <w:sz w:val="28"/>
          <w:szCs w:val="28"/>
          <w:highlight w:val="none"/>
        </w:rPr>
        <w:t>3.</w:t>
      </w:r>
      <w:r>
        <w:rPr>
          <w:rFonts w:hint="eastAsia"/>
          <w:b/>
          <w:bCs/>
          <w:sz w:val="28"/>
          <w:szCs w:val="28"/>
          <w:highlight w:val="none"/>
          <w:lang w:val="en-US" w:eastAsia="zh-CN"/>
        </w:rPr>
        <w:t>3</w:t>
      </w:r>
      <w:r>
        <w:rPr>
          <w:rFonts w:hint="eastAsia"/>
          <w:b/>
          <w:bCs/>
          <w:sz w:val="28"/>
          <w:szCs w:val="28"/>
          <w:highlight w:val="none"/>
        </w:rPr>
        <w:t>生产系统危险性识别</w:t>
      </w:r>
      <w:bookmarkEnd w:id="67"/>
    </w:p>
    <w:p w14:paraId="060BF8FC">
      <w:pPr>
        <w:spacing w:line="360" w:lineRule="auto"/>
        <w:ind w:firstLine="480" w:firstLineChars="200"/>
        <w:rPr>
          <w:rFonts w:hint="eastAsia" w:eastAsia="宋体"/>
          <w:sz w:val="24"/>
          <w:highlight w:val="none"/>
          <w:lang w:eastAsia="zh-CN"/>
        </w:rPr>
      </w:pPr>
      <w:r>
        <w:rPr>
          <w:sz w:val="24"/>
          <w:highlight w:val="none"/>
        </w:rPr>
        <w:t>本项目不涉及产品的生产加工，仅涉及《建设项目环境风险评价技术导则》</w:t>
      </w:r>
      <w:r>
        <w:rPr>
          <w:rFonts w:hint="eastAsia"/>
          <w:sz w:val="24"/>
          <w:highlight w:val="none"/>
          <w:lang w:eastAsia="zh-CN"/>
        </w:rPr>
        <w:t>（</w:t>
      </w:r>
      <w:r>
        <w:rPr>
          <w:sz w:val="24"/>
          <w:highlight w:val="none"/>
        </w:rPr>
        <w:t>HJ169-2018</w:t>
      </w:r>
      <w:r>
        <w:rPr>
          <w:rFonts w:hint="eastAsia"/>
          <w:sz w:val="24"/>
          <w:highlight w:val="none"/>
          <w:lang w:eastAsia="zh-CN"/>
        </w:rPr>
        <w:t>）</w:t>
      </w:r>
      <w:r>
        <w:rPr>
          <w:sz w:val="24"/>
          <w:highlight w:val="none"/>
        </w:rPr>
        <w:t>规定的危险物质管道运输，</w:t>
      </w:r>
      <w:r>
        <w:rPr>
          <w:rFonts w:hint="eastAsia"/>
          <w:sz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在合成脱碳尾气、未变换净化气、WRT甲烷气、回用水、富甲烷气管道上设置快速切断阀，WRT甲烷气和污水2管线设置压力调节阀组和流量计</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其</w:t>
      </w:r>
      <w:r>
        <w:rPr>
          <w:rFonts w:hint="eastAsia" w:cs="Times New Roman"/>
          <w:color w:val="auto"/>
          <w:sz w:val="24"/>
          <w:szCs w:val="24"/>
          <w:highlight w:val="none"/>
          <w:lang w:val="en-US" w:eastAsia="zh-CN"/>
        </w:rPr>
        <w:t>他</w:t>
      </w:r>
      <w:r>
        <w:rPr>
          <w:rFonts w:hint="eastAsia" w:ascii="Times New Roman" w:hAnsi="Times New Roman" w:eastAsia="宋体" w:cs="Times New Roman"/>
          <w:color w:val="auto"/>
          <w:sz w:val="24"/>
          <w:szCs w:val="24"/>
          <w:highlight w:val="none"/>
          <w:lang w:val="en-US" w:eastAsia="zh-CN"/>
        </w:rPr>
        <w:t>工艺和公用工程管道仅设置流量计用于计量结算，管线末端设置手动切断阀组。在物料输出端和接收端设置中控系统和紧急切断阀</w:t>
      </w:r>
      <w:r>
        <w:rPr>
          <w:rFonts w:hint="eastAsia"/>
          <w:sz w:val="24"/>
          <w:highlight w:val="none"/>
          <w:lang w:eastAsia="zh-CN"/>
        </w:rPr>
        <w:t>。</w:t>
      </w:r>
      <w:r>
        <w:rPr>
          <w:sz w:val="24"/>
          <w:highlight w:val="none"/>
        </w:rPr>
        <w:t>管段连接仅采用法兰和焊接方式，管道输送过程</w:t>
      </w:r>
      <w:r>
        <w:rPr>
          <w:rFonts w:hint="eastAsia"/>
          <w:sz w:val="24"/>
          <w:highlight w:val="none"/>
          <w:lang w:eastAsia="zh-CN"/>
        </w:rPr>
        <w:t>存在</w:t>
      </w:r>
      <w:r>
        <w:rPr>
          <w:sz w:val="24"/>
          <w:highlight w:val="none"/>
        </w:rPr>
        <w:t>一定的物料泄漏、火灾和爆炸风险。引发事故的原因主要包括如下方面</w:t>
      </w:r>
      <w:r>
        <w:rPr>
          <w:rFonts w:hint="eastAsia"/>
          <w:sz w:val="24"/>
          <w:highlight w:val="none"/>
          <w:lang w:eastAsia="zh-CN"/>
        </w:rPr>
        <w:t>：</w:t>
      </w:r>
    </w:p>
    <w:p w14:paraId="0448BB54">
      <w:pPr>
        <w:spacing w:line="360" w:lineRule="auto"/>
        <w:ind w:firstLine="480" w:firstLineChars="200"/>
        <w:rPr>
          <w:sz w:val="24"/>
          <w:highlight w:val="none"/>
        </w:rPr>
      </w:pPr>
      <w:r>
        <w:rPr>
          <w:rFonts w:hint="eastAsia"/>
          <w:sz w:val="24"/>
          <w:highlight w:val="none"/>
        </w:rPr>
        <w:t>（1）</w:t>
      </w:r>
      <w:r>
        <w:rPr>
          <w:sz w:val="24"/>
          <w:highlight w:val="none"/>
        </w:rPr>
        <w:t>设计不合理</w:t>
      </w:r>
    </w:p>
    <w:p w14:paraId="61D9EABA">
      <w:pPr>
        <w:spacing w:line="360" w:lineRule="auto"/>
        <w:ind w:firstLine="480" w:firstLineChars="200"/>
        <w:rPr>
          <w:sz w:val="24"/>
          <w:highlight w:val="none"/>
        </w:rPr>
      </w:pPr>
      <w:r>
        <w:rPr>
          <w:sz w:val="24"/>
          <w:highlight w:val="none"/>
        </w:rPr>
        <w:t>主要包括材料选材、设备选型不合理</w:t>
      </w:r>
      <w:r>
        <w:rPr>
          <w:rFonts w:hint="eastAsia"/>
          <w:sz w:val="24"/>
          <w:highlight w:val="none"/>
        </w:rPr>
        <w:t>；</w:t>
      </w:r>
      <w:r>
        <w:rPr>
          <w:sz w:val="24"/>
          <w:highlight w:val="none"/>
        </w:rPr>
        <w:t>管线布置、柔性考虑不周，造成因热胀冷缩产生变形破坏或振动导致管道位移</w:t>
      </w:r>
      <w:r>
        <w:rPr>
          <w:rFonts w:hint="eastAsia"/>
          <w:sz w:val="24"/>
          <w:highlight w:val="none"/>
        </w:rPr>
        <w:t>：</w:t>
      </w:r>
      <w:r>
        <w:rPr>
          <w:sz w:val="24"/>
          <w:highlight w:val="none"/>
        </w:rPr>
        <w:t>结构设计不合理造成管道投入使用后产生工艺操作问题和安全隐患</w:t>
      </w:r>
      <w:r>
        <w:rPr>
          <w:rFonts w:hint="eastAsia"/>
          <w:sz w:val="24"/>
          <w:highlight w:val="none"/>
        </w:rPr>
        <w:t>；</w:t>
      </w:r>
      <w:r>
        <w:rPr>
          <w:sz w:val="24"/>
          <w:highlight w:val="none"/>
        </w:rPr>
        <w:t>防雷、防静电设计缺陷等。</w:t>
      </w:r>
    </w:p>
    <w:p w14:paraId="08D01D48">
      <w:pPr>
        <w:spacing w:line="360" w:lineRule="auto"/>
        <w:ind w:firstLine="480" w:firstLineChars="200"/>
        <w:rPr>
          <w:sz w:val="24"/>
          <w:highlight w:val="none"/>
        </w:rPr>
      </w:pPr>
      <w:r>
        <w:rPr>
          <w:rFonts w:hint="eastAsia"/>
          <w:sz w:val="24"/>
          <w:highlight w:val="none"/>
        </w:rPr>
        <w:t>（2）</w:t>
      </w:r>
      <w:r>
        <w:rPr>
          <w:sz w:val="24"/>
          <w:highlight w:val="none"/>
        </w:rPr>
        <w:t>施工原因</w:t>
      </w:r>
    </w:p>
    <w:p w14:paraId="6FCF52CD">
      <w:pPr>
        <w:spacing w:line="360" w:lineRule="auto"/>
        <w:ind w:firstLine="480" w:firstLineChars="200"/>
        <w:rPr>
          <w:sz w:val="24"/>
          <w:highlight w:val="none"/>
        </w:rPr>
      </w:pPr>
      <w:r>
        <w:rPr>
          <w:sz w:val="24"/>
          <w:highlight w:val="none"/>
        </w:rPr>
        <w:t>施工原因造成的泄漏事故主要集中在焊缝上。如果在环形焊缝处存在未焊透、熔蚀、错边等缺陷，一旦管道投入运行，在一定压力或某种外力在断面上产生的应力作用下，导致焊缝断裂，为泄漏事故留下隐患。</w:t>
      </w:r>
    </w:p>
    <w:p w14:paraId="1D25B182">
      <w:pPr>
        <w:spacing w:line="360" w:lineRule="auto"/>
        <w:ind w:firstLine="480" w:firstLineChars="200"/>
        <w:rPr>
          <w:sz w:val="24"/>
          <w:highlight w:val="none"/>
        </w:rPr>
      </w:pPr>
      <w:r>
        <w:rPr>
          <w:rFonts w:hint="eastAsia"/>
          <w:sz w:val="24"/>
          <w:highlight w:val="none"/>
        </w:rPr>
        <w:t>（3）</w:t>
      </w:r>
      <w:r>
        <w:rPr>
          <w:sz w:val="24"/>
          <w:highlight w:val="none"/>
        </w:rPr>
        <w:t>腐蚀原因</w:t>
      </w:r>
    </w:p>
    <w:p w14:paraId="75B4C027">
      <w:pPr>
        <w:spacing w:line="360" w:lineRule="auto"/>
        <w:ind w:firstLine="480" w:firstLineChars="200"/>
        <w:rPr>
          <w:sz w:val="24"/>
          <w:highlight w:val="none"/>
        </w:rPr>
      </w:pPr>
      <w:r>
        <w:rPr>
          <w:sz w:val="24"/>
          <w:highlight w:val="none"/>
        </w:rPr>
        <w:t>腐蚀缩短了管道的使用寿命，降低了管道输送能力，引起生产营运费用的增加和意外事故发生。在国内外管道事故原因中，腐蚀为主要因素。因此，应采取有效的防腐措施防止和减缓腐蚀对输气管道的损坏，延长管道使用寿命，</w:t>
      </w:r>
      <w:r>
        <w:rPr>
          <w:rFonts w:hint="eastAsia"/>
          <w:sz w:val="24"/>
          <w:highlight w:val="none"/>
          <w:lang w:eastAsia="zh-CN"/>
        </w:rPr>
        <w:t>减少</w:t>
      </w:r>
      <w:r>
        <w:rPr>
          <w:sz w:val="24"/>
          <w:highlight w:val="none"/>
        </w:rPr>
        <w:t>事故发生频率。</w:t>
      </w:r>
    </w:p>
    <w:p w14:paraId="0AB06312">
      <w:pPr>
        <w:spacing w:line="360" w:lineRule="auto"/>
        <w:ind w:firstLine="480" w:firstLineChars="200"/>
        <w:rPr>
          <w:sz w:val="24"/>
          <w:highlight w:val="none"/>
        </w:rPr>
      </w:pPr>
      <w:r>
        <w:rPr>
          <w:rFonts w:hint="eastAsia"/>
          <w:sz w:val="24"/>
          <w:highlight w:val="none"/>
        </w:rPr>
        <w:t>（4）</w:t>
      </w:r>
      <w:r>
        <w:rPr>
          <w:sz w:val="24"/>
          <w:highlight w:val="none"/>
        </w:rPr>
        <w:t>引起的泄漏事故主要包括管道投运前试压未按规程操作而造成管道憋压和阀门损坏，在运行过程</w:t>
      </w:r>
      <w:r>
        <w:rPr>
          <w:rFonts w:hint="eastAsia"/>
          <w:sz w:val="24"/>
          <w:highlight w:val="none"/>
          <w:lang w:eastAsia="zh-CN"/>
        </w:rPr>
        <w:t>中</w:t>
      </w:r>
      <w:r>
        <w:rPr>
          <w:sz w:val="24"/>
          <w:highlight w:val="none"/>
        </w:rPr>
        <w:t>没有执行调度命令或有关操作规程造成管道憋压。</w:t>
      </w:r>
    </w:p>
    <w:p w14:paraId="3A2E9C0B">
      <w:pPr>
        <w:spacing w:line="360" w:lineRule="auto"/>
        <w:jc w:val="center"/>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表3.3-1   主要危险单元及风险源识别一览表</w:t>
      </w:r>
    </w:p>
    <w:tbl>
      <w:tblPr>
        <w:tblStyle w:val="19"/>
        <w:tblW w:w="7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13"/>
        <w:gridCol w:w="1613"/>
        <w:gridCol w:w="809"/>
        <w:gridCol w:w="982"/>
        <w:gridCol w:w="982"/>
        <w:gridCol w:w="982"/>
        <w:gridCol w:w="982"/>
      </w:tblGrid>
      <w:tr w14:paraId="6DC6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6" w:hRule="atLeast"/>
          <w:jc w:val="center"/>
        </w:trPr>
        <w:tc>
          <w:tcPr>
            <w:tcW w:w="1613" w:type="dxa"/>
            <w:shd w:val="clear" w:color="auto" w:fill="auto"/>
            <w:noWrap/>
            <w:vAlign w:val="center"/>
          </w:tcPr>
          <w:p w14:paraId="4FD5B9F3">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风险单元</w:t>
            </w:r>
          </w:p>
        </w:tc>
        <w:tc>
          <w:tcPr>
            <w:tcW w:w="1613" w:type="dxa"/>
            <w:shd w:val="clear" w:color="auto" w:fill="auto"/>
            <w:noWrap/>
            <w:vAlign w:val="center"/>
          </w:tcPr>
          <w:p w14:paraId="1F18226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风险源</w:t>
            </w:r>
          </w:p>
        </w:tc>
        <w:tc>
          <w:tcPr>
            <w:tcW w:w="809" w:type="dxa"/>
            <w:shd w:val="clear" w:color="auto" w:fill="auto"/>
            <w:vAlign w:val="center"/>
          </w:tcPr>
          <w:p w14:paraId="7B5FE737">
            <w:pPr>
              <w:keepNext w:val="0"/>
              <w:keepLines w:val="0"/>
              <w:widowControl/>
              <w:suppressLineNumbers w:val="0"/>
              <w:jc w:val="center"/>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风险物质</w:t>
            </w:r>
          </w:p>
        </w:tc>
        <w:tc>
          <w:tcPr>
            <w:tcW w:w="982" w:type="dxa"/>
            <w:shd w:val="clear" w:color="auto" w:fill="auto"/>
            <w:noWrap/>
            <w:vAlign w:val="center"/>
          </w:tcPr>
          <w:p w14:paraId="69CF91D5">
            <w:pPr>
              <w:pStyle w:val="56"/>
              <w:ind w:firstLine="0" w:firstLineChars="0"/>
              <w:rPr>
                <w:rFonts w:hint="eastAsia"/>
                <w:sz w:val="21"/>
                <w:szCs w:val="21"/>
                <w:highlight w:val="none"/>
                <w:lang w:val="en-US" w:eastAsia="zh-CN"/>
              </w:rPr>
            </w:pPr>
            <w:r>
              <w:rPr>
                <w:rFonts w:hint="eastAsia"/>
                <w:sz w:val="21"/>
                <w:szCs w:val="21"/>
                <w:highlight w:val="none"/>
                <w:lang w:val="en-US" w:eastAsia="zh-CN"/>
              </w:rPr>
              <w:t>操作参数T（</w:t>
            </w:r>
            <w:r>
              <w:rPr>
                <w:rFonts w:ascii="微软雅黑" w:hAnsi="微软雅黑" w:eastAsia="微软雅黑" w:cs="微软雅黑"/>
                <w:i w:val="0"/>
                <w:iCs w:val="0"/>
                <w:caps w:val="0"/>
                <w:color w:val="333333"/>
                <w:spacing w:val="0"/>
                <w:sz w:val="21"/>
                <w:szCs w:val="21"/>
                <w:highlight w:val="none"/>
                <w:shd w:val="clear" w:fill="FFFFFF"/>
              </w:rPr>
              <w:t>℃</w:t>
            </w:r>
            <w:r>
              <w:rPr>
                <w:rFonts w:hint="eastAsia"/>
                <w:sz w:val="21"/>
                <w:szCs w:val="21"/>
                <w:highlight w:val="none"/>
                <w:lang w:val="en-US" w:eastAsia="zh-CN"/>
              </w:rPr>
              <w:t>）</w:t>
            </w:r>
          </w:p>
          <w:p w14:paraId="2C988CDF">
            <w:pPr>
              <w:pStyle w:val="56"/>
              <w:ind w:firstLine="0" w:firstLineChars="0"/>
              <w:rPr>
                <w:rFonts w:hint="eastAsia" w:ascii="宋体" w:hAnsi="宋体" w:eastAsia="宋体" w:cs="宋体"/>
                <w:i w:val="0"/>
                <w:iCs w:val="0"/>
                <w:color w:val="000000"/>
                <w:sz w:val="21"/>
                <w:szCs w:val="21"/>
                <w:highlight w:val="none"/>
                <w:u w:val="none"/>
              </w:rPr>
            </w:pPr>
            <w:r>
              <w:rPr>
                <w:rFonts w:hint="eastAsia"/>
                <w:sz w:val="21"/>
                <w:szCs w:val="21"/>
                <w:highlight w:val="none"/>
                <w:lang w:val="en-US" w:eastAsia="zh-CN"/>
              </w:rPr>
              <w:t>P（MPa）</w:t>
            </w:r>
          </w:p>
        </w:tc>
        <w:tc>
          <w:tcPr>
            <w:tcW w:w="982" w:type="dxa"/>
            <w:shd w:val="clear" w:color="auto" w:fill="auto"/>
            <w:noWrap/>
            <w:vAlign w:val="center"/>
          </w:tcPr>
          <w:p w14:paraId="09F5A7B4">
            <w:pPr>
              <w:pStyle w:val="56"/>
              <w:ind w:firstLine="0" w:firstLineChars="0"/>
              <w:rPr>
                <w:rFonts w:hint="eastAsia"/>
                <w:sz w:val="21"/>
                <w:szCs w:val="21"/>
                <w:highlight w:val="none"/>
              </w:rPr>
            </w:pPr>
            <w:r>
              <w:rPr>
                <w:rFonts w:hint="eastAsia"/>
                <w:sz w:val="21"/>
                <w:szCs w:val="21"/>
                <w:highlight w:val="none"/>
                <w:lang w:val="en-US" w:eastAsia="zh-CN"/>
              </w:rPr>
              <w:t>长度</w:t>
            </w:r>
            <w:r>
              <w:rPr>
                <w:rFonts w:hint="eastAsia"/>
                <w:sz w:val="21"/>
                <w:szCs w:val="21"/>
                <w:highlight w:val="none"/>
              </w:rPr>
              <w:t>（</w:t>
            </w:r>
            <w:r>
              <w:rPr>
                <w:sz w:val="21"/>
                <w:szCs w:val="21"/>
                <w:highlight w:val="none"/>
              </w:rPr>
              <w:t>m</w:t>
            </w:r>
            <w:r>
              <w:rPr>
                <w:rFonts w:hint="eastAsia"/>
                <w:sz w:val="21"/>
                <w:szCs w:val="21"/>
                <w:highlight w:val="none"/>
              </w:rPr>
              <w:t>）</w:t>
            </w:r>
          </w:p>
        </w:tc>
        <w:tc>
          <w:tcPr>
            <w:tcW w:w="982" w:type="dxa"/>
            <w:shd w:val="clear" w:color="auto" w:fill="auto"/>
            <w:noWrap/>
            <w:vAlign w:val="center"/>
          </w:tcPr>
          <w:p w14:paraId="364C5535">
            <w:pPr>
              <w:pStyle w:val="56"/>
              <w:ind w:firstLine="0" w:firstLineChars="0"/>
              <w:rPr>
                <w:rFonts w:hint="eastAsia"/>
                <w:sz w:val="21"/>
                <w:szCs w:val="21"/>
                <w:highlight w:val="none"/>
              </w:rPr>
            </w:pPr>
            <w:r>
              <w:rPr>
                <w:rFonts w:hint="eastAsia"/>
                <w:sz w:val="21"/>
                <w:szCs w:val="21"/>
                <w:highlight w:val="none"/>
              </w:rPr>
              <w:t>环境风险类型</w:t>
            </w:r>
          </w:p>
        </w:tc>
        <w:tc>
          <w:tcPr>
            <w:tcW w:w="982" w:type="dxa"/>
            <w:shd w:val="clear" w:color="auto" w:fill="auto"/>
            <w:noWrap/>
            <w:vAlign w:val="center"/>
          </w:tcPr>
          <w:p w14:paraId="13CDF62A">
            <w:pPr>
              <w:pStyle w:val="56"/>
              <w:ind w:firstLine="0" w:firstLineChars="0"/>
              <w:rPr>
                <w:rFonts w:hint="eastAsia"/>
                <w:sz w:val="21"/>
                <w:szCs w:val="21"/>
                <w:highlight w:val="none"/>
              </w:rPr>
            </w:pPr>
            <w:r>
              <w:rPr>
                <w:rFonts w:hint="eastAsia"/>
                <w:sz w:val="21"/>
                <w:szCs w:val="21"/>
                <w:highlight w:val="none"/>
              </w:rPr>
              <w:t>环境影响途径</w:t>
            </w:r>
          </w:p>
        </w:tc>
      </w:tr>
      <w:tr w14:paraId="6BF6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restart"/>
            <w:shd w:val="clear" w:color="auto" w:fill="auto"/>
            <w:noWrap/>
            <w:vAlign w:val="center"/>
          </w:tcPr>
          <w:p w14:paraId="28CE9288">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管道</w:t>
            </w:r>
          </w:p>
        </w:tc>
        <w:tc>
          <w:tcPr>
            <w:tcW w:w="1613" w:type="dxa"/>
            <w:vMerge w:val="restart"/>
            <w:shd w:val="clear" w:color="auto" w:fill="auto"/>
            <w:noWrap/>
            <w:vAlign w:val="center"/>
          </w:tcPr>
          <w:p w14:paraId="3E029D7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合成脱碳尾气</w:t>
            </w:r>
          </w:p>
        </w:tc>
        <w:tc>
          <w:tcPr>
            <w:tcW w:w="809" w:type="dxa"/>
            <w:shd w:val="clear" w:color="auto" w:fill="auto"/>
            <w:vAlign w:val="center"/>
          </w:tcPr>
          <w:p w14:paraId="4CAA392F">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CO</w:t>
            </w:r>
          </w:p>
        </w:tc>
        <w:tc>
          <w:tcPr>
            <w:tcW w:w="982" w:type="dxa"/>
            <w:vMerge w:val="restart"/>
            <w:shd w:val="clear" w:color="auto" w:fill="auto"/>
            <w:noWrap/>
            <w:vAlign w:val="center"/>
          </w:tcPr>
          <w:p w14:paraId="5E456A63">
            <w:pPr>
              <w:jc w:val="center"/>
              <w:rPr>
                <w:rFonts w:hint="default" w:ascii="Times New Roman" w:hAnsi="Times New Roman" w:eastAsia="宋体" w:cs="Times New Roman"/>
                <w:i w:val="0"/>
                <w:iCs w:val="0"/>
                <w:color w:val="000000"/>
                <w:sz w:val="21"/>
                <w:szCs w:val="21"/>
                <w:highlight w:val="none"/>
                <w:u w:val="none"/>
              </w:rPr>
            </w:pPr>
            <w:r>
              <w:rPr>
                <w:rFonts w:hint="eastAsia"/>
                <w:sz w:val="21"/>
                <w:szCs w:val="21"/>
                <w:highlight w:val="none"/>
                <w:lang w:val="en-US" w:eastAsia="zh-CN"/>
              </w:rPr>
              <w:t>50/3.2</w:t>
            </w:r>
          </w:p>
        </w:tc>
        <w:tc>
          <w:tcPr>
            <w:tcW w:w="982" w:type="dxa"/>
            <w:vMerge w:val="restart"/>
            <w:shd w:val="clear" w:color="auto" w:fill="auto"/>
            <w:noWrap/>
            <w:vAlign w:val="center"/>
          </w:tcPr>
          <w:p w14:paraId="2B70300B">
            <w:pPr>
              <w:snapToGrid w:val="0"/>
              <w:jc w:val="center"/>
              <w:rPr>
                <w:rFonts w:hint="eastAsia"/>
                <w:sz w:val="21"/>
                <w:szCs w:val="21"/>
                <w:highlight w:val="none"/>
                <w:lang w:val="en-US" w:eastAsia="zh-CN"/>
              </w:rPr>
            </w:pPr>
            <w:r>
              <w:rPr>
                <w:rFonts w:hint="eastAsia"/>
                <w:sz w:val="21"/>
                <w:szCs w:val="21"/>
                <w:highlight w:val="none"/>
              </w:rPr>
              <w:t>288</w:t>
            </w:r>
          </w:p>
        </w:tc>
        <w:tc>
          <w:tcPr>
            <w:tcW w:w="982" w:type="dxa"/>
            <w:vMerge w:val="restart"/>
            <w:shd w:val="clear" w:color="auto" w:fill="auto"/>
            <w:noWrap/>
            <w:vAlign w:val="center"/>
          </w:tcPr>
          <w:p w14:paraId="5777CD9F">
            <w:pPr>
              <w:jc w:val="center"/>
              <w:rPr>
                <w:rFonts w:hint="default"/>
                <w:sz w:val="21"/>
                <w:szCs w:val="21"/>
                <w:highlight w:val="none"/>
                <w:lang w:val="en-US" w:eastAsia="zh-CN"/>
              </w:rPr>
            </w:pPr>
            <w:r>
              <w:rPr>
                <w:rFonts w:hint="eastAsia"/>
                <w:sz w:val="21"/>
                <w:szCs w:val="21"/>
                <w:highlight w:val="none"/>
                <w:lang w:val="en-US" w:eastAsia="zh-CN"/>
              </w:rPr>
              <w:t>管道破裂发生泄漏</w:t>
            </w:r>
          </w:p>
        </w:tc>
        <w:tc>
          <w:tcPr>
            <w:tcW w:w="982" w:type="dxa"/>
            <w:vMerge w:val="restart"/>
            <w:shd w:val="clear" w:color="auto" w:fill="auto"/>
            <w:noWrap/>
            <w:vAlign w:val="center"/>
          </w:tcPr>
          <w:p w14:paraId="3FDBE763">
            <w:pPr>
              <w:jc w:val="center"/>
              <w:rPr>
                <w:rFonts w:hint="default"/>
                <w:sz w:val="21"/>
                <w:szCs w:val="21"/>
                <w:highlight w:val="none"/>
                <w:lang w:val="en-US" w:eastAsia="zh-CN"/>
              </w:rPr>
            </w:pPr>
            <w:r>
              <w:rPr>
                <w:rFonts w:hint="eastAsia"/>
                <w:sz w:val="21"/>
                <w:szCs w:val="21"/>
                <w:highlight w:val="none"/>
                <w:lang w:val="en-US" w:eastAsia="zh-CN"/>
              </w:rPr>
              <w:t>环境空气</w:t>
            </w:r>
          </w:p>
        </w:tc>
      </w:tr>
      <w:tr w14:paraId="1A98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613" w:type="dxa"/>
            <w:vMerge w:val="continue"/>
            <w:shd w:val="clear" w:color="auto" w:fill="auto"/>
            <w:noWrap/>
            <w:vAlign w:val="center"/>
          </w:tcPr>
          <w:p w14:paraId="2D4F539C">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5B9383C6">
            <w:pPr>
              <w:jc w:val="center"/>
              <w:rPr>
                <w:rFonts w:hint="eastAsia" w:ascii="宋体" w:hAnsi="宋体" w:eastAsia="宋体" w:cs="宋体"/>
                <w:i w:val="0"/>
                <w:iCs w:val="0"/>
                <w:color w:val="000000"/>
                <w:sz w:val="21"/>
                <w:szCs w:val="21"/>
                <w:highlight w:val="none"/>
                <w:u w:val="none"/>
              </w:rPr>
            </w:pPr>
          </w:p>
        </w:tc>
        <w:tc>
          <w:tcPr>
            <w:tcW w:w="809" w:type="dxa"/>
            <w:shd w:val="clear" w:color="auto" w:fill="auto"/>
            <w:vAlign w:val="center"/>
          </w:tcPr>
          <w:p w14:paraId="5EA7D9F7">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CH</w:t>
            </w:r>
            <w:r>
              <w:rPr>
                <w:rStyle w:val="53"/>
                <w:rFonts w:eastAsia="宋体"/>
                <w:sz w:val="21"/>
                <w:szCs w:val="21"/>
                <w:highlight w:val="none"/>
                <w:lang w:val="en-US" w:eastAsia="zh-CN" w:bidi="ar"/>
              </w:rPr>
              <w:t>4</w:t>
            </w:r>
          </w:p>
        </w:tc>
        <w:tc>
          <w:tcPr>
            <w:tcW w:w="982" w:type="dxa"/>
            <w:vMerge w:val="continue"/>
            <w:shd w:val="clear" w:color="auto" w:fill="auto"/>
            <w:noWrap/>
            <w:vAlign w:val="center"/>
          </w:tcPr>
          <w:p w14:paraId="1949022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3DE5387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51ECE44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2A88069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6847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613" w:type="dxa"/>
            <w:vMerge w:val="continue"/>
            <w:shd w:val="clear" w:color="auto" w:fill="auto"/>
            <w:noWrap/>
            <w:vAlign w:val="center"/>
          </w:tcPr>
          <w:p w14:paraId="3D5BA046">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0D26E87B">
            <w:pPr>
              <w:jc w:val="center"/>
              <w:rPr>
                <w:rFonts w:hint="eastAsia" w:ascii="宋体" w:hAnsi="宋体" w:eastAsia="宋体" w:cs="宋体"/>
                <w:i w:val="0"/>
                <w:iCs w:val="0"/>
                <w:color w:val="000000"/>
                <w:sz w:val="21"/>
                <w:szCs w:val="21"/>
                <w:highlight w:val="none"/>
                <w:u w:val="none"/>
              </w:rPr>
            </w:pPr>
          </w:p>
        </w:tc>
        <w:tc>
          <w:tcPr>
            <w:tcW w:w="809" w:type="dxa"/>
            <w:shd w:val="clear" w:color="auto" w:fill="auto"/>
            <w:vAlign w:val="center"/>
          </w:tcPr>
          <w:p w14:paraId="06694307">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000000"/>
                <w:kern w:val="0"/>
                <w:sz w:val="21"/>
                <w:szCs w:val="21"/>
                <w:highlight w:val="none"/>
                <w:u w:val="none"/>
                <w:lang w:val="en-US" w:eastAsia="zh-CN" w:bidi="ar"/>
              </w:rPr>
              <w:t>H</w:t>
            </w:r>
            <w:r>
              <w:rPr>
                <w:rStyle w:val="53"/>
                <w:rFonts w:eastAsia="宋体"/>
                <w:sz w:val="21"/>
                <w:szCs w:val="21"/>
                <w:highlight w:val="none"/>
                <w:lang w:val="en-US" w:eastAsia="zh-CN" w:bidi="ar"/>
              </w:rPr>
              <w:t>6</w:t>
            </w:r>
          </w:p>
        </w:tc>
        <w:tc>
          <w:tcPr>
            <w:tcW w:w="982" w:type="dxa"/>
            <w:vMerge w:val="continue"/>
            <w:shd w:val="clear" w:color="auto" w:fill="auto"/>
            <w:noWrap/>
            <w:vAlign w:val="center"/>
          </w:tcPr>
          <w:p w14:paraId="4AE6DF3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1C0DE21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1C824F6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7D97D90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4B48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6E9A0861">
            <w:pPr>
              <w:keepNext w:val="0"/>
              <w:keepLines w:val="0"/>
              <w:widowControl/>
              <w:suppressLineNumbers w:val="0"/>
              <w:jc w:val="center"/>
              <w:textAlignment w:val="bottom"/>
              <w:rPr>
                <w:rFonts w:hint="eastAsia" w:ascii="宋体" w:hAnsi="宋体" w:eastAsia="宋体" w:cs="宋体"/>
                <w:i w:val="0"/>
                <w:iCs w:val="0"/>
                <w:color w:val="000000"/>
                <w:kern w:val="0"/>
                <w:sz w:val="21"/>
                <w:szCs w:val="21"/>
                <w:highlight w:val="none"/>
                <w:u w:val="none"/>
                <w:lang w:val="en-US" w:eastAsia="zh-CN" w:bidi="ar"/>
              </w:rPr>
            </w:pPr>
          </w:p>
        </w:tc>
        <w:tc>
          <w:tcPr>
            <w:tcW w:w="1613" w:type="dxa"/>
            <w:vMerge w:val="restart"/>
            <w:shd w:val="clear" w:color="auto" w:fill="auto"/>
            <w:noWrap/>
            <w:vAlign w:val="center"/>
          </w:tcPr>
          <w:p w14:paraId="07176AFA">
            <w:pPr>
              <w:keepNext w:val="0"/>
              <w:keepLines w:val="0"/>
              <w:widowControl/>
              <w:suppressLineNumbers w:val="0"/>
              <w:jc w:val="center"/>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未变换净化气</w:t>
            </w:r>
          </w:p>
        </w:tc>
        <w:tc>
          <w:tcPr>
            <w:tcW w:w="809" w:type="dxa"/>
            <w:shd w:val="clear" w:color="auto" w:fill="auto"/>
            <w:noWrap/>
            <w:vAlign w:val="center"/>
          </w:tcPr>
          <w:p w14:paraId="332D23D7">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CO</w:t>
            </w:r>
          </w:p>
        </w:tc>
        <w:tc>
          <w:tcPr>
            <w:tcW w:w="982" w:type="dxa"/>
            <w:vMerge w:val="restart"/>
            <w:shd w:val="clear" w:color="auto" w:fill="auto"/>
            <w:noWrap/>
            <w:vAlign w:val="center"/>
          </w:tcPr>
          <w:p w14:paraId="166B1C5B">
            <w:pPr>
              <w:jc w:val="center"/>
              <w:rPr>
                <w:rFonts w:hint="default" w:ascii="Times New Roman" w:hAnsi="Times New Roman" w:eastAsia="宋体" w:cs="Times New Roman"/>
                <w:i w:val="0"/>
                <w:iCs w:val="0"/>
                <w:color w:val="000000"/>
                <w:sz w:val="21"/>
                <w:szCs w:val="21"/>
                <w:highlight w:val="none"/>
                <w:u w:val="none"/>
              </w:rPr>
            </w:pPr>
            <w:r>
              <w:rPr>
                <w:rFonts w:hint="eastAsia"/>
                <w:sz w:val="21"/>
                <w:szCs w:val="21"/>
                <w:highlight w:val="none"/>
                <w:lang w:val="en-US" w:eastAsia="zh-CN"/>
              </w:rPr>
              <w:t>40/3.3</w:t>
            </w:r>
          </w:p>
        </w:tc>
        <w:tc>
          <w:tcPr>
            <w:tcW w:w="982" w:type="dxa"/>
            <w:vMerge w:val="restart"/>
            <w:shd w:val="clear" w:color="auto" w:fill="auto"/>
            <w:noWrap/>
            <w:vAlign w:val="center"/>
          </w:tcPr>
          <w:p w14:paraId="43E2AC38">
            <w:pPr>
              <w:jc w:val="center"/>
              <w:rPr>
                <w:rFonts w:hint="default"/>
                <w:sz w:val="21"/>
                <w:szCs w:val="21"/>
                <w:highlight w:val="none"/>
                <w:lang w:val="en-US" w:eastAsia="zh-CN"/>
              </w:rPr>
            </w:pPr>
            <w:r>
              <w:rPr>
                <w:rFonts w:hint="eastAsia"/>
                <w:sz w:val="21"/>
                <w:szCs w:val="21"/>
                <w:highlight w:val="none"/>
                <w:lang w:val="en-US" w:eastAsia="zh-CN"/>
              </w:rPr>
              <w:t>597</w:t>
            </w:r>
          </w:p>
        </w:tc>
        <w:tc>
          <w:tcPr>
            <w:tcW w:w="982" w:type="dxa"/>
            <w:vMerge w:val="continue"/>
            <w:shd w:val="clear" w:color="auto" w:fill="auto"/>
            <w:noWrap/>
            <w:vAlign w:val="center"/>
          </w:tcPr>
          <w:p w14:paraId="6B1FEABC">
            <w:pPr>
              <w:jc w:val="center"/>
              <w:rPr>
                <w:rFonts w:hint="eastAsia"/>
                <w:sz w:val="21"/>
                <w:szCs w:val="21"/>
                <w:highlight w:val="none"/>
                <w:lang w:val="en-US" w:eastAsia="zh-CN"/>
              </w:rPr>
            </w:pPr>
          </w:p>
        </w:tc>
        <w:tc>
          <w:tcPr>
            <w:tcW w:w="982" w:type="dxa"/>
            <w:vMerge w:val="continue"/>
            <w:shd w:val="clear" w:color="auto" w:fill="auto"/>
            <w:noWrap/>
            <w:vAlign w:val="center"/>
          </w:tcPr>
          <w:p w14:paraId="1F83B9F3">
            <w:pPr>
              <w:jc w:val="center"/>
              <w:rPr>
                <w:rFonts w:hint="eastAsia"/>
                <w:sz w:val="21"/>
                <w:szCs w:val="21"/>
                <w:highlight w:val="none"/>
                <w:lang w:val="en-US" w:eastAsia="zh-CN"/>
              </w:rPr>
            </w:pPr>
          </w:p>
        </w:tc>
      </w:tr>
      <w:tr w14:paraId="73EE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0E1336B9">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306CCD3F">
            <w:pPr>
              <w:jc w:val="center"/>
              <w:rPr>
                <w:rFonts w:hint="eastAsia" w:ascii="宋体" w:hAnsi="宋体" w:eastAsia="宋体" w:cs="宋体"/>
                <w:i w:val="0"/>
                <w:iCs w:val="0"/>
                <w:color w:val="000000"/>
                <w:sz w:val="21"/>
                <w:szCs w:val="21"/>
                <w:highlight w:val="none"/>
                <w:u w:val="none"/>
              </w:rPr>
            </w:pPr>
          </w:p>
        </w:tc>
        <w:tc>
          <w:tcPr>
            <w:tcW w:w="809" w:type="dxa"/>
            <w:shd w:val="clear" w:color="auto" w:fill="auto"/>
            <w:noWrap/>
            <w:vAlign w:val="center"/>
          </w:tcPr>
          <w:p w14:paraId="6939F379">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4</w:t>
            </w:r>
          </w:p>
        </w:tc>
        <w:tc>
          <w:tcPr>
            <w:tcW w:w="982" w:type="dxa"/>
            <w:vMerge w:val="continue"/>
            <w:shd w:val="clear" w:color="auto" w:fill="auto"/>
            <w:noWrap/>
            <w:vAlign w:val="center"/>
          </w:tcPr>
          <w:p w14:paraId="46C8F4B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18A2ABD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37B327C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436D7B4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4020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03451A8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1613" w:type="dxa"/>
            <w:vMerge w:val="restart"/>
            <w:shd w:val="clear" w:color="auto" w:fill="auto"/>
            <w:noWrap/>
            <w:vAlign w:val="center"/>
          </w:tcPr>
          <w:p w14:paraId="50924CB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WRT</w:t>
            </w:r>
            <w:r>
              <w:rPr>
                <w:rStyle w:val="54"/>
                <w:sz w:val="21"/>
                <w:szCs w:val="21"/>
                <w:highlight w:val="none"/>
                <w:lang w:val="en-US" w:eastAsia="zh-CN" w:bidi="ar"/>
              </w:rPr>
              <w:t>甲烷气</w:t>
            </w:r>
          </w:p>
        </w:tc>
        <w:tc>
          <w:tcPr>
            <w:tcW w:w="809" w:type="dxa"/>
            <w:shd w:val="clear" w:color="auto" w:fill="auto"/>
            <w:noWrap/>
            <w:vAlign w:val="center"/>
          </w:tcPr>
          <w:p w14:paraId="56D605B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甲烷</w:t>
            </w:r>
          </w:p>
        </w:tc>
        <w:tc>
          <w:tcPr>
            <w:tcW w:w="982" w:type="dxa"/>
            <w:vMerge w:val="restart"/>
            <w:shd w:val="clear" w:color="auto" w:fill="auto"/>
            <w:noWrap/>
            <w:vAlign w:val="center"/>
          </w:tcPr>
          <w:p w14:paraId="663EFF3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sz w:val="21"/>
                <w:szCs w:val="21"/>
                <w:highlight w:val="none"/>
                <w:lang w:val="en-US" w:eastAsia="zh-CN"/>
              </w:rPr>
              <w:t>AMB/0.4</w:t>
            </w:r>
          </w:p>
        </w:tc>
        <w:tc>
          <w:tcPr>
            <w:tcW w:w="982" w:type="dxa"/>
            <w:vMerge w:val="restart"/>
            <w:shd w:val="clear" w:color="auto" w:fill="auto"/>
            <w:noWrap/>
            <w:vAlign w:val="center"/>
          </w:tcPr>
          <w:p w14:paraId="107804EF">
            <w:pPr>
              <w:snapToGrid w:val="0"/>
              <w:jc w:val="center"/>
              <w:rPr>
                <w:rFonts w:hint="default" w:eastAsia="宋体"/>
                <w:sz w:val="21"/>
                <w:szCs w:val="21"/>
                <w:highlight w:val="none"/>
                <w:lang w:val="en-US" w:eastAsia="zh-CN"/>
              </w:rPr>
            </w:pPr>
            <w:r>
              <w:rPr>
                <w:rFonts w:hint="eastAsia"/>
                <w:sz w:val="21"/>
                <w:szCs w:val="21"/>
                <w:highlight w:val="none"/>
                <w:lang w:val="en-US" w:eastAsia="zh-CN"/>
              </w:rPr>
              <w:t>961</w:t>
            </w:r>
          </w:p>
        </w:tc>
        <w:tc>
          <w:tcPr>
            <w:tcW w:w="982" w:type="dxa"/>
            <w:vMerge w:val="continue"/>
            <w:shd w:val="clear" w:color="auto" w:fill="auto"/>
            <w:noWrap/>
            <w:vAlign w:val="center"/>
          </w:tcPr>
          <w:p w14:paraId="1DB33A12">
            <w:pPr>
              <w:keepNext w:val="0"/>
              <w:keepLines w:val="0"/>
              <w:widowControl/>
              <w:suppressLineNumbers w:val="0"/>
              <w:jc w:val="center"/>
              <w:textAlignment w:val="center"/>
              <w:rPr>
                <w:rFonts w:hint="eastAsia"/>
                <w:sz w:val="21"/>
                <w:szCs w:val="21"/>
                <w:highlight w:val="none"/>
                <w:lang w:val="en-US" w:eastAsia="zh-CN"/>
              </w:rPr>
            </w:pPr>
          </w:p>
        </w:tc>
        <w:tc>
          <w:tcPr>
            <w:tcW w:w="982" w:type="dxa"/>
            <w:vMerge w:val="continue"/>
            <w:shd w:val="clear" w:color="auto" w:fill="auto"/>
            <w:noWrap/>
            <w:vAlign w:val="center"/>
          </w:tcPr>
          <w:p w14:paraId="5D7DDDD2">
            <w:pPr>
              <w:keepNext w:val="0"/>
              <w:keepLines w:val="0"/>
              <w:widowControl/>
              <w:suppressLineNumbers w:val="0"/>
              <w:jc w:val="center"/>
              <w:textAlignment w:val="center"/>
              <w:rPr>
                <w:rFonts w:hint="eastAsia"/>
                <w:sz w:val="21"/>
                <w:szCs w:val="21"/>
                <w:highlight w:val="none"/>
                <w:lang w:val="en-US" w:eastAsia="zh-CN"/>
              </w:rPr>
            </w:pPr>
          </w:p>
        </w:tc>
      </w:tr>
      <w:tr w14:paraId="5341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613" w:type="dxa"/>
            <w:vMerge w:val="continue"/>
            <w:shd w:val="clear" w:color="auto" w:fill="auto"/>
            <w:noWrap/>
            <w:vAlign w:val="center"/>
          </w:tcPr>
          <w:p w14:paraId="71CC69E0">
            <w:pPr>
              <w:jc w:val="center"/>
              <w:rPr>
                <w:rFonts w:hint="default" w:ascii="Times New Roman" w:hAnsi="Times New Roman" w:eastAsia="宋体" w:cs="Times New Roman"/>
                <w:i w:val="0"/>
                <w:iCs w:val="0"/>
                <w:color w:val="000000"/>
                <w:sz w:val="21"/>
                <w:szCs w:val="21"/>
                <w:highlight w:val="none"/>
                <w:u w:val="none"/>
              </w:rPr>
            </w:pPr>
          </w:p>
        </w:tc>
        <w:tc>
          <w:tcPr>
            <w:tcW w:w="1613" w:type="dxa"/>
            <w:vMerge w:val="continue"/>
            <w:shd w:val="clear" w:color="auto" w:fill="auto"/>
            <w:noWrap/>
            <w:vAlign w:val="center"/>
          </w:tcPr>
          <w:p w14:paraId="3F76A110">
            <w:pPr>
              <w:jc w:val="center"/>
              <w:rPr>
                <w:rFonts w:hint="default" w:ascii="Times New Roman" w:hAnsi="Times New Roman" w:eastAsia="宋体" w:cs="Times New Roman"/>
                <w:i w:val="0"/>
                <w:iCs w:val="0"/>
                <w:color w:val="000000"/>
                <w:sz w:val="21"/>
                <w:szCs w:val="21"/>
                <w:highlight w:val="none"/>
                <w:u w:val="none"/>
              </w:rPr>
            </w:pPr>
          </w:p>
        </w:tc>
        <w:tc>
          <w:tcPr>
            <w:tcW w:w="809" w:type="dxa"/>
            <w:shd w:val="clear" w:color="auto" w:fill="auto"/>
            <w:noWrap/>
            <w:vAlign w:val="center"/>
          </w:tcPr>
          <w:p w14:paraId="7C80712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硫化氢</w:t>
            </w:r>
          </w:p>
        </w:tc>
        <w:tc>
          <w:tcPr>
            <w:tcW w:w="982" w:type="dxa"/>
            <w:vMerge w:val="continue"/>
            <w:shd w:val="clear" w:color="auto" w:fill="auto"/>
            <w:noWrap/>
            <w:vAlign w:val="center"/>
          </w:tcPr>
          <w:p w14:paraId="2D0884A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348BDC2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169E2C3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6325E70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70B8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2CFC1DB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613" w:type="dxa"/>
            <w:vMerge w:val="restart"/>
            <w:shd w:val="clear" w:color="auto" w:fill="auto"/>
            <w:noWrap/>
            <w:vAlign w:val="center"/>
          </w:tcPr>
          <w:p w14:paraId="6A33E29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甲烷</w:t>
            </w:r>
          </w:p>
        </w:tc>
        <w:tc>
          <w:tcPr>
            <w:tcW w:w="809" w:type="dxa"/>
            <w:shd w:val="clear" w:color="auto" w:fill="auto"/>
            <w:noWrap/>
            <w:vAlign w:val="center"/>
          </w:tcPr>
          <w:p w14:paraId="50233BDA">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4</w:t>
            </w:r>
            <w:r>
              <w:rPr>
                <w:rFonts w:hint="eastAsia"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eastAsia" w:cs="Times New Roman"/>
                <w:i w:val="0"/>
                <w:iCs w:val="0"/>
                <w:color w:val="000000"/>
                <w:kern w:val="0"/>
                <w:sz w:val="21"/>
                <w:szCs w:val="21"/>
                <w:highlight w:val="none"/>
                <w:u w:val="none"/>
                <w:lang w:val="en-US" w:eastAsia="zh-CN" w:bidi="ar"/>
              </w:rPr>
              <w:t>）</w:t>
            </w:r>
          </w:p>
        </w:tc>
        <w:tc>
          <w:tcPr>
            <w:tcW w:w="982" w:type="dxa"/>
            <w:vMerge w:val="restart"/>
            <w:shd w:val="clear" w:color="auto" w:fill="auto"/>
            <w:noWrap/>
            <w:vAlign w:val="center"/>
          </w:tcPr>
          <w:p w14:paraId="1EE98B9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sz w:val="21"/>
                <w:szCs w:val="21"/>
                <w:highlight w:val="none"/>
                <w:lang w:val="en-US" w:eastAsia="zh-CN"/>
              </w:rPr>
              <w:t>AMB/0.8</w:t>
            </w:r>
          </w:p>
        </w:tc>
        <w:tc>
          <w:tcPr>
            <w:tcW w:w="982" w:type="dxa"/>
            <w:vMerge w:val="restart"/>
            <w:shd w:val="clear" w:color="auto" w:fill="auto"/>
            <w:noWrap/>
            <w:vAlign w:val="center"/>
          </w:tcPr>
          <w:p w14:paraId="3DCD862A">
            <w:pPr>
              <w:keepNext w:val="0"/>
              <w:keepLines w:val="0"/>
              <w:widowControl/>
              <w:suppressLineNumbers w:val="0"/>
              <w:jc w:val="center"/>
              <w:textAlignment w:val="center"/>
              <w:rPr>
                <w:rFonts w:hint="eastAsia"/>
                <w:sz w:val="21"/>
                <w:szCs w:val="21"/>
                <w:highlight w:val="none"/>
                <w:lang w:val="en-US" w:eastAsia="zh-CN"/>
              </w:rPr>
            </w:pPr>
            <w:r>
              <w:rPr>
                <w:rFonts w:hint="eastAsia"/>
                <w:sz w:val="21"/>
                <w:szCs w:val="21"/>
                <w:highlight w:val="none"/>
              </w:rPr>
              <w:t>904</w:t>
            </w:r>
          </w:p>
        </w:tc>
        <w:tc>
          <w:tcPr>
            <w:tcW w:w="982" w:type="dxa"/>
            <w:vMerge w:val="continue"/>
            <w:shd w:val="clear" w:color="auto" w:fill="auto"/>
            <w:noWrap/>
            <w:vAlign w:val="center"/>
          </w:tcPr>
          <w:p w14:paraId="1E779D15">
            <w:pPr>
              <w:keepNext w:val="0"/>
              <w:keepLines w:val="0"/>
              <w:widowControl/>
              <w:suppressLineNumbers w:val="0"/>
              <w:jc w:val="center"/>
              <w:textAlignment w:val="center"/>
              <w:rPr>
                <w:rFonts w:hint="eastAsia"/>
                <w:sz w:val="21"/>
                <w:szCs w:val="21"/>
                <w:highlight w:val="none"/>
                <w:lang w:val="en-US" w:eastAsia="zh-CN"/>
              </w:rPr>
            </w:pPr>
          </w:p>
        </w:tc>
        <w:tc>
          <w:tcPr>
            <w:tcW w:w="982" w:type="dxa"/>
            <w:vMerge w:val="continue"/>
            <w:shd w:val="clear" w:color="auto" w:fill="auto"/>
            <w:noWrap/>
            <w:vAlign w:val="center"/>
          </w:tcPr>
          <w:p w14:paraId="11824DFE">
            <w:pPr>
              <w:keepNext w:val="0"/>
              <w:keepLines w:val="0"/>
              <w:widowControl/>
              <w:suppressLineNumbers w:val="0"/>
              <w:jc w:val="center"/>
              <w:textAlignment w:val="center"/>
              <w:rPr>
                <w:rFonts w:hint="eastAsia"/>
                <w:sz w:val="21"/>
                <w:szCs w:val="21"/>
                <w:highlight w:val="none"/>
                <w:lang w:val="en-US" w:eastAsia="zh-CN"/>
              </w:rPr>
            </w:pPr>
          </w:p>
        </w:tc>
      </w:tr>
      <w:tr w14:paraId="3D35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0AA2A9DC">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6B73247F">
            <w:pPr>
              <w:jc w:val="center"/>
              <w:rPr>
                <w:rFonts w:hint="eastAsia" w:ascii="宋体" w:hAnsi="宋体" w:eastAsia="宋体" w:cs="宋体"/>
                <w:i w:val="0"/>
                <w:iCs w:val="0"/>
                <w:color w:val="000000"/>
                <w:sz w:val="21"/>
                <w:szCs w:val="21"/>
                <w:highlight w:val="none"/>
                <w:u w:val="none"/>
              </w:rPr>
            </w:pPr>
          </w:p>
        </w:tc>
        <w:tc>
          <w:tcPr>
            <w:tcW w:w="809" w:type="dxa"/>
            <w:shd w:val="clear" w:color="auto" w:fill="auto"/>
            <w:noWrap/>
            <w:vAlign w:val="center"/>
          </w:tcPr>
          <w:p w14:paraId="1622F213">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000000"/>
                <w:kern w:val="0"/>
                <w:sz w:val="21"/>
                <w:szCs w:val="21"/>
                <w:highlight w:val="none"/>
                <w:u w:val="none"/>
                <w:lang w:val="en-US" w:eastAsia="zh-CN" w:bidi="ar"/>
              </w:rPr>
              <w:t>S</w:t>
            </w:r>
            <w:r>
              <w:rPr>
                <w:rFonts w:hint="eastAsia"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eastAsia" w:cs="Times New Roman"/>
                <w:i w:val="0"/>
                <w:iCs w:val="0"/>
                <w:color w:val="000000"/>
                <w:kern w:val="0"/>
                <w:sz w:val="21"/>
                <w:szCs w:val="21"/>
                <w:highlight w:val="none"/>
                <w:u w:val="none"/>
                <w:lang w:val="en-US" w:eastAsia="zh-CN" w:bidi="ar"/>
              </w:rPr>
              <w:t>）</w:t>
            </w:r>
          </w:p>
        </w:tc>
        <w:tc>
          <w:tcPr>
            <w:tcW w:w="982" w:type="dxa"/>
            <w:vMerge w:val="continue"/>
            <w:shd w:val="clear" w:color="auto" w:fill="auto"/>
            <w:noWrap/>
            <w:vAlign w:val="center"/>
          </w:tcPr>
          <w:p w14:paraId="76831A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116C2DA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1271574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1661670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5374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208F4A0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613" w:type="dxa"/>
            <w:vMerge w:val="restart"/>
            <w:shd w:val="clear" w:color="auto" w:fill="auto"/>
            <w:noWrap/>
            <w:vAlign w:val="center"/>
          </w:tcPr>
          <w:p w14:paraId="50F8107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低压含烃火炬气工况1</w:t>
            </w:r>
          </w:p>
        </w:tc>
        <w:tc>
          <w:tcPr>
            <w:tcW w:w="809" w:type="dxa"/>
            <w:shd w:val="clear" w:color="auto" w:fill="auto"/>
            <w:noWrap/>
            <w:vAlign w:val="center"/>
          </w:tcPr>
          <w:p w14:paraId="414C653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丁醇</w:t>
            </w:r>
          </w:p>
        </w:tc>
        <w:tc>
          <w:tcPr>
            <w:tcW w:w="982" w:type="dxa"/>
            <w:vMerge w:val="restart"/>
            <w:shd w:val="clear" w:color="auto" w:fill="auto"/>
            <w:noWrap/>
            <w:vAlign w:val="center"/>
          </w:tcPr>
          <w:p w14:paraId="4825E12C">
            <w:pPr>
              <w:jc w:val="center"/>
              <w:rPr>
                <w:rFonts w:hint="default" w:ascii="Times New Roman" w:hAnsi="Times New Roman" w:eastAsia="宋体" w:cs="Times New Roman"/>
                <w:i w:val="0"/>
                <w:iCs w:val="0"/>
                <w:color w:val="000000"/>
                <w:sz w:val="21"/>
                <w:szCs w:val="21"/>
                <w:highlight w:val="none"/>
                <w:u w:val="none"/>
              </w:rPr>
            </w:pPr>
            <w:r>
              <w:rPr>
                <w:rFonts w:hint="eastAsia"/>
                <w:sz w:val="21"/>
                <w:szCs w:val="21"/>
                <w:highlight w:val="none"/>
                <w:lang w:val="en-US" w:eastAsia="zh-CN"/>
              </w:rPr>
              <w:t>40/0.15</w:t>
            </w:r>
          </w:p>
        </w:tc>
        <w:tc>
          <w:tcPr>
            <w:tcW w:w="982" w:type="dxa"/>
            <w:vMerge w:val="restart"/>
            <w:shd w:val="clear" w:color="auto" w:fill="auto"/>
            <w:noWrap/>
            <w:vAlign w:val="center"/>
          </w:tcPr>
          <w:p w14:paraId="7E3AF760">
            <w:pPr>
              <w:snapToGrid w:val="0"/>
              <w:jc w:val="center"/>
              <w:rPr>
                <w:rFonts w:hint="eastAsia"/>
                <w:sz w:val="21"/>
                <w:szCs w:val="21"/>
                <w:highlight w:val="none"/>
                <w:lang w:val="en-US" w:eastAsia="zh-CN"/>
              </w:rPr>
            </w:pPr>
            <w:r>
              <w:rPr>
                <w:rFonts w:hint="eastAsia"/>
                <w:sz w:val="21"/>
                <w:szCs w:val="21"/>
                <w:highlight w:val="none"/>
              </w:rPr>
              <w:t>1229</w:t>
            </w:r>
          </w:p>
        </w:tc>
        <w:tc>
          <w:tcPr>
            <w:tcW w:w="982" w:type="dxa"/>
            <w:vMerge w:val="continue"/>
            <w:shd w:val="clear" w:color="auto" w:fill="auto"/>
            <w:noWrap/>
            <w:vAlign w:val="center"/>
          </w:tcPr>
          <w:p w14:paraId="3BAE580F">
            <w:pPr>
              <w:jc w:val="center"/>
              <w:rPr>
                <w:rFonts w:hint="eastAsia"/>
                <w:sz w:val="21"/>
                <w:szCs w:val="21"/>
                <w:highlight w:val="none"/>
                <w:lang w:val="en-US" w:eastAsia="zh-CN"/>
              </w:rPr>
            </w:pPr>
          </w:p>
        </w:tc>
        <w:tc>
          <w:tcPr>
            <w:tcW w:w="982" w:type="dxa"/>
            <w:vMerge w:val="continue"/>
            <w:shd w:val="clear" w:color="auto" w:fill="auto"/>
            <w:noWrap/>
            <w:vAlign w:val="center"/>
          </w:tcPr>
          <w:p w14:paraId="622ED3C4">
            <w:pPr>
              <w:jc w:val="center"/>
              <w:rPr>
                <w:rFonts w:hint="eastAsia"/>
                <w:sz w:val="21"/>
                <w:szCs w:val="21"/>
                <w:highlight w:val="none"/>
                <w:lang w:val="en-US" w:eastAsia="zh-CN"/>
              </w:rPr>
            </w:pPr>
          </w:p>
        </w:tc>
      </w:tr>
      <w:tr w14:paraId="4D2E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63FDE475">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068E3C7C">
            <w:pPr>
              <w:jc w:val="center"/>
              <w:rPr>
                <w:rFonts w:hint="eastAsia" w:ascii="宋体" w:hAnsi="宋体" w:eastAsia="宋体" w:cs="宋体"/>
                <w:i w:val="0"/>
                <w:iCs w:val="0"/>
                <w:color w:val="000000"/>
                <w:sz w:val="21"/>
                <w:szCs w:val="21"/>
                <w:highlight w:val="none"/>
                <w:u w:val="none"/>
              </w:rPr>
            </w:pPr>
          </w:p>
        </w:tc>
        <w:tc>
          <w:tcPr>
            <w:tcW w:w="809" w:type="dxa"/>
            <w:shd w:val="clear" w:color="auto" w:fill="auto"/>
            <w:noWrap/>
            <w:vAlign w:val="center"/>
          </w:tcPr>
          <w:p w14:paraId="57F177D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乙酸乙酯</w:t>
            </w:r>
          </w:p>
        </w:tc>
        <w:tc>
          <w:tcPr>
            <w:tcW w:w="982" w:type="dxa"/>
            <w:vMerge w:val="continue"/>
            <w:shd w:val="clear" w:color="auto" w:fill="auto"/>
            <w:noWrap/>
            <w:vAlign w:val="center"/>
          </w:tcPr>
          <w:p w14:paraId="19FCFAA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45B561F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0E0570C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57A993C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4BB9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6CC4C41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613" w:type="dxa"/>
            <w:shd w:val="clear" w:color="auto" w:fill="auto"/>
            <w:noWrap/>
            <w:vAlign w:val="center"/>
          </w:tcPr>
          <w:p w14:paraId="6BC764F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低压含烃火炬气工况</w:t>
            </w:r>
            <w:r>
              <w:rPr>
                <w:rStyle w:val="52"/>
                <w:rFonts w:eastAsia="宋体"/>
                <w:sz w:val="21"/>
                <w:szCs w:val="21"/>
                <w:highlight w:val="none"/>
                <w:lang w:val="en-US" w:eastAsia="zh-CN" w:bidi="ar"/>
              </w:rPr>
              <w:t>4</w:t>
            </w:r>
          </w:p>
        </w:tc>
        <w:tc>
          <w:tcPr>
            <w:tcW w:w="809" w:type="dxa"/>
            <w:shd w:val="clear" w:color="auto" w:fill="auto"/>
            <w:noWrap/>
            <w:vAlign w:val="center"/>
          </w:tcPr>
          <w:p w14:paraId="4A4C341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甲醇</w:t>
            </w:r>
          </w:p>
        </w:tc>
        <w:tc>
          <w:tcPr>
            <w:tcW w:w="982" w:type="dxa"/>
            <w:shd w:val="clear" w:color="auto" w:fill="auto"/>
            <w:noWrap/>
            <w:vAlign w:val="center"/>
          </w:tcPr>
          <w:p w14:paraId="2BDD2FC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sz w:val="21"/>
                <w:szCs w:val="21"/>
                <w:highlight w:val="none"/>
                <w:lang w:val="en-US" w:eastAsia="zh-CN"/>
              </w:rPr>
              <w:t>40/0.15</w:t>
            </w:r>
          </w:p>
        </w:tc>
        <w:tc>
          <w:tcPr>
            <w:tcW w:w="982" w:type="dxa"/>
            <w:vMerge w:val="continue"/>
            <w:shd w:val="clear" w:color="auto" w:fill="auto"/>
            <w:noWrap/>
            <w:vAlign w:val="center"/>
          </w:tcPr>
          <w:p w14:paraId="1A89146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09D0B41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7885C6A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2F79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6BC3861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613" w:type="dxa"/>
            <w:vMerge w:val="restart"/>
            <w:shd w:val="clear" w:color="auto" w:fill="auto"/>
            <w:noWrap/>
            <w:vAlign w:val="center"/>
          </w:tcPr>
          <w:p w14:paraId="5557AA0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湿酸火炬气</w:t>
            </w:r>
            <w:r>
              <w:rPr>
                <w:rStyle w:val="52"/>
                <w:rFonts w:eastAsia="宋体"/>
                <w:sz w:val="21"/>
                <w:szCs w:val="21"/>
                <w:highlight w:val="none"/>
                <w:lang w:val="en-US" w:eastAsia="zh-CN" w:bidi="ar"/>
              </w:rPr>
              <w:t>1</w:t>
            </w:r>
          </w:p>
        </w:tc>
        <w:tc>
          <w:tcPr>
            <w:tcW w:w="809" w:type="dxa"/>
            <w:shd w:val="clear" w:color="auto" w:fill="auto"/>
            <w:noWrap/>
            <w:vAlign w:val="center"/>
          </w:tcPr>
          <w:p w14:paraId="7DE12B88">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CO</w:t>
            </w:r>
          </w:p>
        </w:tc>
        <w:tc>
          <w:tcPr>
            <w:tcW w:w="982" w:type="dxa"/>
            <w:vMerge w:val="restart"/>
            <w:shd w:val="clear" w:color="auto" w:fill="auto"/>
            <w:noWrap/>
            <w:vAlign w:val="center"/>
          </w:tcPr>
          <w:p w14:paraId="1C4B5DC5">
            <w:pPr>
              <w:jc w:val="center"/>
              <w:rPr>
                <w:rFonts w:hint="default" w:ascii="Times New Roman" w:hAnsi="Times New Roman" w:eastAsia="宋体" w:cs="Times New Roman"/>
                <w:i w:val="0"/>
                <w:iCs w:val="0"/>
                <w:color w:val="000000"/>
                <w:sz w:val="21"/>
                <w:szCs w:val="21"/>
                <w:highlight w:val="none"/>
                <w:u w:val="none"/>
              </w:rPr>
            </w:pPr>
            <w:r>
              <w:rPr>
                <w:rFonts w:hint="eastAsia"/>
                <w:sz w:val="21"/>
                <w:szCs w:val="21"/>
                <w:highlight w:val="none"/>
                <w:lang w:val="en-US" w:eastAsia="zh-CN"/>
              </w:rPr>
              <w:t>40/0.4</w:t>
            </w:r>
          </w:p>
        </w:tc>
        <w:tc>
          <w:tcPr>
            <w:tcW w:w="982" w:type="dxa"/>
            <w:vMerge w:val="restart"/>
            <w:shd w:val="clear" w:color="auto" w:fill="auto"/>
            <w:noWrap/>
            <w:vAlign w:val="center"/>
          </w:tcPr>
          <w:p w14:paraId="51544E42">
            <w:pPr>
              <w:snapToGrid w:val="0"/>
              <w:jc w:val="center"/>
              <w:rPr>
                <w:rFonts w:hint="eastAsia"/>
                <w:sz w:val="21"/>
                <w:szCs w:val="21"/>
                <w:highlight w:val="none"/>
                <w:lang w:val="en-US" w:eastAsia="zh-CN"/>
              </w:rPr>
            </w:pPr>
            <w:r>
              <w:rPr>
                <w:rFonts w:hint="eastAsia"/>
                <w:sz w:val="21"/>
                <w:szCs w:val="21"/>
                <w:highlight w:val="none"/>
              </w:rPr>
              <w:t>707</w:t>
            </w:r>
          </w:p>
        </w:tc>
        <w:tc>
          <w:tcPr>
            <w:tcW w:w="982" w:type="dxa"/>
            <w:vMerge w:val="continue"/>
            <w:shd w:val="clear" w:color="auto" w:fill="auto"/>
            <w:noWrap/>
            <w:vAlign w:val="center"/>
          </w:tcPr>
          <w:p w14:paraId="61955087">
            <w:pPr>
              <w:jc w:val="center"/>
              <w:rPr>
                <w:rFonts w:hint="eastAsia"/>
                <w:sz w:val="21"/>
                <w:szCs w:val="21"/>
                <w:highlight w:val="none"/>
                <w:lang w:val="en-US" w:eastAsia="zh-CN"/>
              </w:rPr>
            </w:pPr>
          </w:p>
        </w:tc>
        <w:tc>
          <w:tcPr>
            <w:tcW w:w="982" w:type="dxa"/>
            <w:vMerge w:val="continue"/>
            <w:shd w:val="clear" w:color="auto" w:fill="auto"/>
            <w:noWrap/>
            <w:vAlign w:val="center"/>
          </w:tcPr>
          <w:p w14:paraId="5C22C1B9">
            <w:pPr>
              <w:jc w:val="center"/>
              <w:rPr>
                <w:rFonts w:hint="eastAsia"/>
                <w:sz w:val="21"/>
                <w:szCs w:val="21"/>
                <w:highlight w:val="none"/>
                <w:lang w:val="en-US" w:eastAsia="zh-CN"/>
              </w:rPr>
            </w:pPr>
          </w:p>
        </w:tc>
      </w:tr>
      <w:tr w14:paraId="5988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48A9DDBF">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33AB7B84">
            <w:pPr>
              <w:jc w:val="center"/>
              <w:rPr>
                <w:rFonts w:hint="eastAsia" w:ascii="宋体" w:hAnsi="宋体" w:eastAsia="宋体" w:cs="宋体"/>
                <w:i w:val="0"/>
                <w:iCs w:val="0"/>
                <w:color w:val="000000"/>
                <w:sz w:val="21"/>
                <w:szCs w:val="21"/>
                <w:highlight w:val="none"/>
                <w:u w:val="none"/>
              </w:rPr>
            </w:pPr>
          </w:p>
        </w:tc>
        <w:tc>
          <w:tcPr>
            <w:tcW w:w="809" w:type="dxa"/>
            <w:shd w:val="clear" w:color="auto" w:fill="auto"/>
            <w:noWrap/>
            <w:vAlign w:val="center"/>
          </w:tcPr>
          <w:p w14:paraId="72BC5EFD">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4</w:t>
            </w:r>
          </w:p>
        </w:tc>
        <w:tc>
          <w:tcPr>
            <w:tcW w:w="982" w:type="dxa"/>
            <w:vMerge w:val="continue"/>
            <w:shd w:val="clear" w:color="auto" w:fill="auto"/>
            <w:noWrap/>
            <w:vAlign w:val="center"/>
          </w:tcPr>
          <w:p w14:paraId="201D5C3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0FC94DF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09CE655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4DD01EF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2154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5069EF71">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43F9854A">
            <w:pPr>
              <w:jc w:val="center"/>
              <w:rPr>
                <w:rFonts w:hint="eastAsia" w:ascii="宋体" w:hAnsi="宋体" w:eastAsia="宋体" w:cs="宋体"/>
                <w:i w:val="0"/>
                <w:iCs w:val="0"/>
                <w:color w:val="000000"/>
                <w:sz w:val="21"/>
                <w:szCs w:val="21"/>
                <w:highlight w:val="none"/>
                <w:u w:val="none"/>
              </w:rPr>
            </w:pPr>
          </w:p>
        </w:tc>
        <w:tc>
          <w:tcPr>
            <w:tcW w:w="809" w:type="dxa"/>
            <w:shd w:val="clear" w:color="auto" w:fill="auto"/>
            <w:noWrap/>
            <w:vAlign w:val="center"/>
          </w:tcPr>
          <w:p w14:paraId="74E1C404">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000000"/>
                <w:kern w:val="0"/>
                <w:sz w:val="21"/>
                <w:szCs w:val="21"/>
                <w:highlight w:val="none"/>
                <w:u w:val="none"/>
                <w:lang w:val="en-US" w:eastAsia="zh-CN" w:bidi="ar"/>
              </w:rPr>
              <w:t>S</w:t>
            </w:r>
          </w:p>
        </w:tc>
        <w:tc>
          <w:tcPr>
            <w:tcW w:w="982" w:type="dxa"/>
            <w:vMerge w:val="continue"/>
            <w:shd w:val="clear" w:color="auto" w:fill="auto"/>
            <w:noWrap/>
            <w:vAlign w:val="center"/>
          </w:tcPr>
          <w:p w14:paraId="002702A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0629080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487BAB8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24D2BBD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2634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10E1068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613" w:type="dxa"/>
            <w:vMerge w:val="restart"/>
            <w:shd w:val="clear" w:color="auto" w:fill="auto"/>
            <w:noWrap/>
            <w:vAlign w:val="center"/>
          </w:tcPr>
          <w:p w14:paraId="0A3E2DD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酸性气（脱硫脱碳再生气体）</w:t>
            </w:r>
          </w:p>
        </w:tc>
        <w:tc>
          <w:tcPr>
            <w:tcW w:w="809" w:type="dxa"/>
            <w:shd w:val="clear" w:color="auto" w:fill="auto"/>
            <w:noWrap/>
            <w:vAlign w:val="center"/>
          </w:tcPr>
          <w:p w14:paraId="27A1C1EF">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000000"/>
                <w:kern w:val="0"/>
                <w:sz w:val="21"/>
                <w:szCs w:val="21"/>
                <w:highlight w:val="none"/>
                <w:u w:val="none"/>
                <w:lang w:val="en-US" w:eastAsia="zh-CN" w:bidi="ar"/>
              </w:rPr>
              <w:t>S</w:t>
            </w:r>
          </w:p>
        </w:tc>
        <w:tc>
          <w:tcPr>
            <w:tcW w:w="982" w:type="dxa"/>
            <w:vMerge w:val="restart"/>
            <w:shd w:val="clear" w:color="auto" w:fill="auto"/>
            <w:noWrap/>
            <w:vAlign w:val="center"/>
          </w:tcPr>
          <w:p w14:paraId="4A3133F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sz w:val="21"/>
                <w:szCs w:val="21"/>
                <w:highlight w:val="none"/>
                <w:lang w:val="en-US" w:eastAsia="zh-CN"/>
              </w:rPr>
              <w:t>AMB/0.15</w:t>
            </w:r>
          </w:p>
        </w:tc>
        <w:tc>
          <w:tcPr>
            <w:tcW w:w="982" w:type="dxa"/>
            <w:vMerge w:val="restart"/>
            <w:shd w:val="clear" w:color="auto" w:fill="auto"/>
            <w:noWrap/>
            <w:vAlign w:val="center"/>
          </w:tcPr>
          <w:p w14:paraId="3C80A87D">
            <w:pPr>
              <w:keepNext w:val="0"/>
              <w:keepLines w:val="0"/>
              <w:widowControl/>
              <w:suppressLineNumbers w:val="0"/>
              <w:jc w:val="center"/>
              <w:textAlignment w:val="center"/>
              <w:rPr>
                <w:rFonts w:hint="eastAsia"/>
                <w:sz w:val="21"/>
                <w:szCs w:val="21"/>
                <w:highlight w:val="none"/>
                <w:lang w:val="en-US" w:eastAsia="zh-CN"/>
              </w:rPr>
            </w:pPr>
            <w:r>
              <w:rPr>
                <w:rFonts w:hint="eastAsia"/>
                <w:sz w:val="21"/>
                <w:szCs w:val="21"/>
                <w:highlight w:val="none"/>
              </w:rPr>
              <w:t>907</w:t>
            </w:r>
          </w:p>
        </w:tc>
        <w:tc>
          <w:tcPr>
            <w:tcW w:w="982" w:type="dxa"/>
            <w:vMerge w:val="continue"/>
            <w:shd w:val="clear" w:color="auto" w:fill="auto"/>
            <w:noWrap/>
            <w:vAlign w:val="center"/>
          </w:tcPr>
          <w:p w14:paraId="2DDB89CC">
            <w:pPr>
              <w:keepNext w:val="0"/>
              <w:keepLines w:val="0"/>
              <w:widowControl/>
              <w:suppressLineNumbers w:val="0"/>
              <w:jc w:val="center"/>
              <w:textAlignment w:val="center"/>
              <w:rPr>
                <w:rFonts w:hint="eastAsia"/>
                <w:sz w:val="21"/>
                <w:szCs w:val="21"/>
                <w:highlight w:val="none"/>
                <w:lang w:val="en-US" w:eastAsia="zh-CN"/>
              </w:rPr>
            </w:pPr>
          </w:p>
        </w:tc>
        <w:tc>
          <w:tcPr>
            <w:tcW w:w="982" w:type="dxa"/>
            <w:vMerge w:val="continue"/>
            <w:shd w:val="clear" w:color="auto" w:fill="auto"/>
            <w:noWrap/>
            <w:vAlign w:val="center"/>
          </w:tcPr>
          <w:p w14:paraId="2947E81E">
            <w:pPr>
              <w:keepNext w:val="0"/>
              <w:keepLines w:val="0"/>
              <w:widowControl/>
              <w:suppressLineNumbers w:val="0"/>
              <w:jc w:val="center"/>
              <w:textAlignment w:val="center"/>
              <w:rPr>
                <w:rFonts w:hint="eastAsia"/>
                <w:sz w:val="21"/>
                <w:szCs w:val="21"/>
                <w:highlight w:val="none"/>
                <w:lang w:val="en-US" w:eastAsia="zh-CN"/>
              </w:rPr>
            </w:pPr>
          </w:p>
        </w:tc>
      </w:tr>
      <w:tr w14:paraId="17C8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09968B49">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7EF3B20E">
            <w:pPr>
              <w:jc w:val="center"/>
              <w:rPr>
                <w:rFonts w:hint="eastAsia" w:ascii="宋体" w:hAnsi="宋体" w:eastAsia="宋体" w:cs="宋体"/>
                <w:i w:val="0"/>
                <w:iCs w:val="0"/>
                <w:color w:val="000000"/>
                <w:sz w:val="21"/>
                <w:szCs w:val="21"/>
                <w:highlight w:val="none"/>
                <w:u w:val="none"/>
              </w:rPr>
            </w:pPr>
          </w:p>
        </w:tc>
        <w:tc>
          <w:tcPr>
            <w:tcW w:w="809" w:type="dxa"/>
            <w:shd w:val="clear" w:color="auto" w:fill="auto"/>
            <w:noWrap/>
            <w:vAlign w:val="center"/>
          </w:tcPr>
          <w:p w14:paraId="469469AE">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4</w:t>
            </w:r>
          </w:p>
        </w:tc>
        <w:tc>
          <w:tcPr>
            <w:tcW w:w="982" w:type="dxa"/>
            <w:vMerge w:val="continue"/>
            <w:shd w:val="clear" w:color="auto" w:fill="auto"/>
            <w:noWrap/>
            <w:vAlign w:val="center"/>
          </w:tcPr>
          <w:p w14:paraId="55EB5C5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6A7A8F3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55713C0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05B5CA1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40DB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665C4DC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613" w:type="dxa"/>
            <w:shd w:val="clear" w:color="auto" w:fill="auto"/>
            <w:noWrap/>
            <w:vAlign w:val="center"/>
          </w:tcPr>
          <w:p w14:paraId="020D15F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尾气</w:t>
            </w:r>
          </w:p>
        </w:tc>
        <w:tc>
          <w:tcPr>
            <w:tcW w:w="809" w:type="dxa"/>
            <w:shd w:val="clear" w:color="auto" w:fill="auto"/>
            <w:noWrap/>
            <w:vAlign w:val="center"/>
          </w:tcPr>
          <w:p w14:paraId="2A582DA0">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4</w:t>
            </w:r>
          </w:p>
        </w:tc>
        <w:tc>
          <w:tcPr>
            <w:tcW w:w="982" w:type="dxa"/>
            <w:shd w:val="clear" w:color="auto" w:fill="auto"/>
            <w:noWrap/>
            <w:vAlign w:val="center"/>
          </w:tcPr>
          <w:p w14:paraId="750315D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sz w:val="21"/>
                <w:szCs w:val="21"/>
                <w:highlight w:val="none"/>
                <w:lang w:val="en-US" w:eastAsia="zh-CN"/>
              </w:rPr>
              <w:t>33/0.5</w:t>
            </w:r>
          </w:p>
        </w:tc>
        <w:tc>
          <w:tcPr>
            <w:tcW w:w="982" w:type="dxa"/>
            <w:shd w:val="clear" w:color="auto" w:fill="auto"/>
            <w:noWrap/>
            <w:vAlign w:val="center"/>
          </w:tcPr>
          <w:p w14:paraId="40C6C330">
            <w:pPr>
              <w:keepNext w:val="0"/>
              <w:keepLines w:val="0"/>
              <w:widowControl/>
              <w:suppressLineNumbers w:val="0"/>
              <w:jc w:val="center"/>
              <w:textAlignment w:val="center"/>
              <w:rPr>
                <w:rFonts w:hint="default" w:eastAsia="宋体"/>
                <w:sz w:val="21"/>
                <w:szCs w:val="21"/>
                <w:highlight w:val="none"/>
                <w:lang w:val="en-US" w:eastAsia="zh-CN"/>
              </w:rPr>
            </w:pPr>
            <w:r>
              <w:rPr>
                <w:rFonts w:hint="eastAsia"/>
                <w:sz w:val="21"/>
                <w:szCs w:val="21"/>
                <w:highlight w:val="none"/>
                <w:lang w:val="en-US" w:eastAsia="zh-CN"/>
              </w:rPr>
              <w:t>417</w:t>
            </w:r>
          </w:p>
        </w:tc>
        <w:tc>
          <w:tcPr>
            <w:tcW w:w="982" w:type="dxa"/>
            <w:vMerge w:val="continue"/>
            <w:shd w:val="clear" w:color="auto" w:fill="auto"/>
            <w:noWrap/>
            <w:vAlign w:val="center"/>
          </w:tcPr>
          <w:p w14:paraId="0DF8AEAC">
            <w:pPr>
              <w:keepNext w:val="0"/>
              <w:keepLines w:val="0"/>
              <w:widowControl/>
              <w:suppressLineNumbers w:val="0"/>
              <w:jc w:val="center"/>
              <w:textAlignment w:val="center"/>
              <w:rPr>
                <w:rFonts w:hint="eastAsia"/>
                <w:sz w:val="21"/>
                <w:szCs w:val="21"/>
                <w:highlight w:val="none"/>
                <w:lang w:val="en-US" w:eastAsia="zh-CN"/>
              </w:rPr>
            </w:pPr>
          </w:p>
        </w:tc>
        <w:tc>
          <w:tcPr>
            <w:tcW w:w="982" w:type="dxa"/>
            <w:vMerge w:val="continue"/>
            <w:shd w:val="clear" w:color="auto" w:fill="auto"/>
            <w:noWrap/>
            <w:vAlign w:val="center"/>
          </w:tcPr>
          <w:p w14:paraId="70904198">
            <w:pPr>
              <w:keepNext w:val="0"/>
              <w:keepLines w:val="0"/>
              <w:widowControl/>
              <w:suppressLineNumbers w:val="0"/>
              <w:jc w:val="center"/>
              <w:textAlignment w:val="center"/>
              <w:rPr>
                <w:rFonts w:hint="eastAsia"/>
                <w:sz w:val="21"/>
                <w:szCs w:val="21"/>
                <w:highlight w:val="none"/>
                <w:lang w:val="en-US" w:eastAsia="zh-CN"/>
              </w:rPr>
            </w:pPr>
          </w:p>
        </w:tc>
      </w:tr>
      <w:tr w14:paraId="101B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4E354E6B">
            <w:pPr>
              <w:keepNext w:val="0"/>
              <w:keepLines w:val="0"/>
              <w:widowControl/>
              <w:suppressLineNumbers w:val="0"/>
              <w:jc w:val="center"/>
              <w:textAlignment w:val="bottom"/>
              <w:rPr>
                <w:rFonts w:hint="eastAsia" w:ascii="宋体" w:hAnsi="宋体" w:eastAsia="宋体" w:cs="宋体"/>
                <w:i w:val="0"/>
                <w:iCs w:val="0"/>
                <w:color w:val="000000"/>
                <w:kern w:val="0"/>
                <w:sz w:val="21"/>
                <w:szCs w:val="21"/>
                <w:highlight w:val="none"/>
                <w:u w:val="none"/>
                <w:lang w:val="en-US" w:eastAsia="zh-CN" w:bidi="ar"/>
              </w:rPr>
            </w:pPr>
          </w:p>
        </w:tc>
        <w:tc>
          <w:tcPr>
            <w:tcW w:w="1613" w:type="dxa"/>
            <w:vMerge w:val="restart"/>
            <w:shd w:val="clear" w:color="auto" w:fill="auto"/>
            <w:noWrap/>
            <w:vAlign w:val="center"/>
          </w:tcPr>
          <w:p w14:paraId="0295A876">
            <w:pPr>
              <w:keepNext w:val="0"/>
              <w:keepLines w:val="0"/>
              <w:widowControl/>
              <w:suppressLineNumbers w:val="0"/>
              <w:jc w:val="center"/>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富甲烷气</w:t>
            </w:r>
          </w:p>
        </w:tc>
        <w:tc>
          <w:tcPr>
            <w:tcW w:w="809" w:type="dxa"/>
            <w:shd w:val="clear" w:color="auto" w:fill="auto"/>
            <w:noWrap/>
            <w:vAlign w:val="center"/>
          </w:tcPr>
          <w:p w14:paraId="0EF142D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4</w:t>
            </w:r>
          </w:p>
        </w:tc>
        <w:tc>
          <w:tcPr>
            <w:tcW w:w="982" w:type="dxa"/>
            <w:vMerge w:val="restart"/>
            <w:shd w:val="clear" w:color="auto" w:fill="auto"/>
            <w:noWrap/>
            <w:vAlign w:val="center"/>
          </w:tcPr>
          <w:p w14:paraId="1AD7B9BD">
            <w:pPr>
              <w:jc w:val="center"/>
              <w:rPr>
                <w:rFonts w:hint="default" w:ascii="Times New Roman" w:hAnsi="Times New Roman" w:eastAsia="宋体" w:cs="Times New Roman"/>
                <w:i w:val="0"/>
                <w:iCs w:val="0"/>
                <w:color w:val="000000"/>
                <w:sz w:val="21"/>
                <w:szCs w:val="21"/>
                <w:highlight w:val="none"/>
                <w:u w:val="none"/>
              </w:rPr>
            </w:pPr>
            <w:r>
              <w:rPr>
                <w:rFonts w:hint="eastAsia"/>
                <w:sz w:val="21"/>
                <w:szCs w:val="21"/>
                <w:highlight w:val="none"/>
                <w:lang w:val="en-US" w:eastAsia="zh-CN"/>
              </w:rPr>
              <w:t>40/4.5</w:t>
            </w:r>
          </w:p>
        </w:tc>
        <w:tc>
          <w:tcPr>
            <w:tcW w:w="982" w:type="dxa"/>
            <w:vMerge w:val="restart"/>
            <w:shd w:val="clear" w:color="auto" w:fill="auto"/>
            <w:noWrap/>
            <w:vAlign w:val="center"/>
          </w:tcPr>
          <w:p w14:paraId="0078143E">
            <w:pPr>
              <w:snapToGrid w:val="0"/>
              <w:jc w:val="center"/>
              <w:rPr>
                <w:rFonts w:hint="eastAsia"/>
                <w:sz w:val="21"/>
                <w:szCs w:val="21"/>
                <w:highlight w:val="none"/>
                <w:lang w:val="en-US" w:eastAsia="zh-CN"/>
              </w:rPr>
            </w:pPr>
            <w:r>
              <w:rPr>
                <w:rFonts w:hint="eastAsia"/>
                <w:sz w:val="21"/>
                <w:szCs w:val="21"/>
                <w:highlight w:val="none"/>
              </w:rPr>
              <w:t>637</w:t>
            </w:r>
          </w:p>
        </w:tc>
        <w:tc>
          <w:tcPr>
            <w:tcW w:w="982" w:type="dxa"/>
            <w:vMerge w:val="continue"/>
            <w:shd w:val="clear" w:color="auto" w:fill="auto"/>
            <w:noWrap/>
            <w:vAlign w:val="center"/>
          </w:tcPr>
          <w:p w14:paraId="45CF28E9">
            <w:pPr>
              <w:jc w:val="center"/>
              <w:rPr>
                <w:rFonts w:hint="eastAsia"/>
                <w:sz w:val="21"/>
                <w:szCs w:val="21"/>
                <w:highlight w:val="none"/>
                <w:lang w:val="en-US" w:eastAsia="zh-CN"/>
              </w:rPr>
            </w:pPr>
          </w:p>
        </w:tc>
        <w:tc>
          <w:tcPr>
            <w:tcW w:w="982" w:type="dxa"/>
            <w:vMerge w:val="continue"/>
            <w:shd w:val="clear" w:color="auto" w:fill="auto"/>
            <w:noWrap/>
            <w:vAlign w:val="center"/>
          </w:tcPr>
          <w:p w14:paraId="44319975">
            <w:pPr>
              <w:jc w:val="center"/>
              <w:rPr>
                <w:rFonts w:hint="eastAsia"/>
                <w:sz w:val="21"/>
                <w:szCs w:val="21"/>
                <w:highlight w:val="none"/>
                <w:lang w:val="en-US" w:eastAsia="zh-CN"/>
              </w:rPr>
            </w:pPr>
          </w:p>
        </w:tc>
      </w:tr>
      <w:tr w14:paraId="4CEB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37C1856E">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1260E177">
            <w:pPr>
              <w:jc w:val="center"/>
              <w:rPr>
                <w:rFonts w:hint="eastAsia" w:ascii="宋体" w:hAnsi="宋体" w:eastAsia="宋体" w:cs="宋体"/>
                <w:i w:val="0"/>
                <w:iCs w:val="0"/>
                <w:color w:val="000000"/>
                <w:sz w:val="21"/>
                <w:szCs w:val="21"/>
                <w:highlight w:val="none"/>
                <w:u w:val="none"/>
              </w:rPr>
            </w:pPr>
          </w:p>
        </w:tc>
        <w:tc>
          <w:tcPr>
            <w:tcW w:w="809" w:type="dxa"/>
            <w:shd w:val="clear" w:color="auto" w:fill="auto"/>
            <w:noWrap/>
            <w:vAlign w:val="center"/>
          </w:tcPr>
          <w:p w14:paraId="032AFEE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000000"/>
                <w:kern w:val="0"/>
                <w:sz w:val="21"/>
                <w:szCs w:val="21"/>
                <w:highlight w:val="none"/>
                <w:u w:val="none"/>
                <w:lang w:val="en-US" w:eastAsia="zh-CN" w:bidi="ar"/>
              </w:rPr>
              <w:t>S</w:t>
            </w:r>
          </w:p>
        </w:tc>
        <w:tc>
          <w:tcPr>
            <w:tcW w:w="982" w:type="dxa"/>
            <w:vMerge w:val="continue"/>
            <w:shd w:val="clear" w:color="auto" w:fill="auto"/>
            <w:noWrap/>
            <w:vAlign w:val="center"/>
          </w:tcPr>
          <w:p w14:paraId="4FFF725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21A9DE1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69525B5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0013018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78C5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59F6ADC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613" w:type="dxa"/>
            <w:vMerge w:val="restart"/>
            <w:shd w:val="clear" w:color="auto" w:fill="auto"/>
            <w:noWrap/>
            <w:vAlign w:val="center"/>
          </w:tcPr>
          <w:p w14:paraId="1058832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真空尾气</w:t>
            </w:r>
          </w:p>
        </w:tc>
        <w:tc>
          <w:tcPr>
            <w:tcW w:w="809" w:type="dxa"/>
            <w:shd w:val="clear" w:color="auto" w:fill="auto"/>
            <w:noWrap/>
            <w:vAlign w:val="center"/>
          </w:tcPr>
          <w:p w14:paraId="121CF08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丁醇</w:t>
            </w:r>
          </w:p>
        </w:tc>
        <w:tc>
          <w:tcPr>
            <w:tcW w:w="982" w:type="dxa"/>
            <w:vMerge w:val="restart"/>
            <w:shd w:val="clear" w:color="auto" w:fill="auto"/>
            <w:noWrap/>
            <w:vAlign w:val="center"/>
          </w:tcPr>
          <w:p w14:paraId="1DC0D73D">
            <w:pPr>
              <w:jc w:val="center"/>
              <w:rPr>
                <w:rFonts w:hint="default" w:ascii="Times New Roman" w:hAnsi="Times New Roman" w:eastAsia="宋体" w:cs="Times New Roman"/>
                <w:i w:val="0"/>
                <w:iCs w:val="0"/>
                <w:color w:val="000000"/>
                <w:sz w:val="21"/>
                <w:szCs w:val="21"/>
                <w:highlight w:val="none"/>
                <w:u w:val="none"/>
                <w:lang w:val="en-US"/>
              </w:rPr>
            </w:pPr>
            <w:r>
              <w:rPr>
                <w:rFonts w:hint="eastAsia"/>
                <w:sz w:val="21"/>
                <w:szCs w:val="21"/>
                <w:highlight w:val="none"/>
                <w:lang w:val="en-US" w:eastAsia="zh-CN"/>
              </w:rPr>
              <w:t>40/-0.01</w:t>
            </w:r>
          </w:p>
        </w:tc>
        <w:tc>
          <w:tcPr>
            <w:tcW w:w="982" w:type="dxa"/>
            <w:vMerge w:val="restart"/>
            <w:shd w:val="clear" w:color="auto" w:fill="auto"/>
            <w:noWrap/>
            <w:vAlign w:val="center"/>
          </w:tcPr>
          <w:p w14:paraId="79094AE1">
            <w:pPr>
              <w:snapToGrid w:val="0"/>
              <w:jc w:val="center"/>
              <w:rPr>
                <w:rFonts w:hint="eastAsia"/>
                <w:sz w:val="21"/>
                <w:szCs w:val="21"/>
                <w:highlight w:val="none"/>
                <w:lang w:val="en-US" w:eastAsia="zh-CN"/>
              </w:rPr>
            </w:pPr>
            <w:r>
              <w:rPr>
                <w:rFonts w:hint="eastAsia"/>
                <w:sz w:val="21"/>
                <w:szCs w:val="21"/>
                <w:highlight w:val="none"/>
              </w:rPr>
              <w:t>930</w:t>
            </w:r>
          </w:p>
        </w:tc>
        <w:tc>
          <w:tcPr>
            <w:tcW w:w="982" w:type="dxa"/>
            <w:vMerge w:val="continue"/>
            <w:shd w:val="clear" w:color="auto" w:fill="auto"/>
            <w:noWrap/>
            <w:vAlign w:val="center"/>
          </w:tcPr>
          <w:p w14:paraId="170F2A41">
            <w:pPr>
              <w:jc w:val="center"/>
              <w:rPr>
                <w:rFonts w:hint="eastAsia"/>
                <w:sz w:val="21"/>
                <w:szCs w:val="21"/>
                <w:highlight w:val="none"/>
                <w:lang w:val="en-US" w:eastAsia="zh-CN"/>
              </w:rPr>
            </w:pPr>
          </w:p>
        </w:tc>
        <w:tc>
          <w:tcPr>
            <w:tcW w:w="982" w:type="dxa"/>
            <w:vMerge w:val="continue"/>
            <w:shd w:val="clear" w:color="auto" w:fill="auto"/>
            <w:noWrap/>
            <w:vAlign w:val="center"/>
          </w:tcPr>
          <w:p w14:paraId="28985673">
            <w:pPr>
              <w:jc w:val="center"/>
              <w:rPr>
                <w:rFonts w:hint="eastAsia"/>
                <w:sz w:val="21"/>
                <w:szCs w:val="21"/>
                <w:highlight w:val="none"/>
                <w:lang w:val="en-US" w:eastAsia="zh-CN"/>
              </w:rPr>
            </w:pPr>
          </w:p>
        </w:tc>
      </w:tr>
      <w:tr w14:paraId="753A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12FB37EB">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4A739704">
            <w:pPr>
              <w:jc w:val="center"/>
              <w:rPr>
                <w:rFonts w:hint="eastAsia" w:ascii="宋体" w:hAnsi="宋体" w:eastAsia="宋体" w:cs="宋体"/>
                <w:i w:val="0"/>
                <w:iCs w:val="0"/>
                <w:color w:val="000000"/>
                <w:sz w:val="21"/>
                <w:szCs w:val="21"/>
                <w:highlight w:val="none"/>
                <w:u w:val="none"/>
              </w:rPr>
            </w:pPr>
          </w:p>
        </w:tc>
        <w:tc>
          <w:tcPr>
            <w:tcW w:w="809" w:type="dxa"/>
            <w:shd w:val="clear" w:color="auto" w:fill="auto"/>
            <w:noWrap/>
            <w:vAlign w:val="center"/>
          </w:tcPr>
          <w:p w14:paraId="0B478E9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甲醇</w:t>
            </w:r>
          </w:p>
        </w:tc>
        <w:tc>
          <w:tcPr>
            <w:tcW w:w="982" w:type="dxa"/>
            <w:vMerge w:val="continue"/>
            <w:shd w:val="clear" w:color="auto" w:fill="auto"/>
            <w:noWrap/>
            <w:vAlign w:val="center"/>
          </w:tcPr>
          <w:p w14:paraId="4852631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50F2681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7E4122F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0C6D23E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28CD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09E1FD9A">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6718A0E5">
            <w:pPr>
              <w:jc w:val="center"/>
              <w:rPr>
                <w:rFonts w:hint="eastAsia" w:ascii="宋体" w:hAnsi="宋体" w:eastAsia="宋体" w:cs="宋体"/>
                <w:i w:val="0"/>
                <w:iCs w:val="0"/>
                <w:color w:val="000000"/>
                <w:sz w:val="21"/>
                <w:szCs w:val="21"/>
                <w:highlight w:val="none"/>
                <w:u w:val="none"/>
              </w:rPr>
            </w:pPr>
          </w:p>
        </w:tc>
        <w:tc>
          <w:tcPr>
            <w:tcW w:w="809" w:type="dxa"/>
            <w:shd w:val="clear" w:color="auto" w:fill="auto"/>
            <w:noWrap/>
            <w:vAlign w:val="center"/>
          </w:tcPr>
          <w:p w14:paraId="233A7FA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正丙醇</w:t>
            </w:r>
          </w:p>
        </w:tc>
        <w:tc>
          <w:tcPr>
            <w:tcW w:w="982" w:type="dxa"/>
            <w:vMerge w:val="continue"/>
            <w:shd w:val="clear" w:color="auto" w:fill="auto"/>
            <w:noWrap/>
            <w:vAlign w:val="center"/>
          </w:tcPr>
          <w:p w14:paraId="3E5A1BA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5DCD533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7BBCD7F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28B2EBA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1BA3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01D46BC6">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5B6AD32A">
            <w:pPr>
              <w:jc w:val="center"/>
              <w:rPr>
                <w:rFonts w:hint="eastAsia" w:ascii="宋体" w:hAnsi="宋体" w:eastAsia="宋体" w:cs="宋体"/>
                <w:i w:val="0"/>
                <w:iCs w:val="0"/>
                <w:color w:val="000000"/>
                <w:sz w:val="21"/>
                <w:szCs w:val="21"/>
                <w:highlight w:val="none"/>
                <w:u w:val="none"/>
              </w:rPr>
            </w:pPr>
          </w:p>
        </w:tc>
        <w:tc>
          <w:tcPr>
            <w:tcW w:w="809" w:type="dxa"/>
            <w:shd w:val="clear" w:color="auto" w:fill="auto"/>
            <w:noWrap/>
            <w:vAlign w:val="center"/>
          </w:tcPr>
          <w:p w14:paraId="74712F5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异丙醇</w:t>
            </w:r>
          </w:p>
        </w:tc>
        <w:tc>
          <w:tcPr>
            <w:tcW w:w="982" w:type="dxa"/>
            <w:vMerge w:val="continue"/>
            <w:shd w:val="clear" w:color="auto" w:fill="auto"/>
            <w:noWrap/>
            <w:vAlign w:val="center"/>
          </w:tcPr>
          <w:p w14:paraId="090A180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42AFF52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1EF36BF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02601F7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4692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7772308D">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0E257E18">
            <w:pPr>
              <w:jc w:val="center"/>
              <w:rPr>
                <w:rFonts w:hint="eastAsia" w:ascii="宋体" w:hAnsi="宋体" w:eastAsia="宋体" w:cs="宋体"/>
                <w:i w:val="0"/>
                <w:iCs w:val="0"/>
                <w:color w:val="000000"/>
                <w:sz w:val="21"/>
                <w:szCs w:val="21"/>
                <w:highlight w:val="none"/>
                <w:u w:val="none"/>
              </w:rPr>
            </w:pPr>
          </w:p>
        </w:tc>
        <w:tc>
          <w:tcPr>
            <w:tcW w:w="809" w:type="dxa"/>
            <w:shd w:val="clear" w:color="auto" w:fill="auto"/>
            <w:noWrap/>
            <w:vAlign w:val="center"/>
          </w:tcPr>
          <w:p w14:paraId="2905791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乙酸</w:t>
            </w:r>
          </w:p>
        </w:tc>
        <w:tc>
          <w:tcPr>
            <w:tcW w:w="982" w:type="dxa"/>
            <w:vMerge w:val="continue"/>
            <w:shd w:val="clear" w:color="auto" w:fill="auto"/>
            <w:noWrap/>
            <w:vAlign w:val="center"/>
          </w:tcPr>
          <w:p w14:paraId="5775479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41C16F1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28CB94B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760DB90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251B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17EA9891">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449C665A">
            <w:pPr>
              <w:jc w:val="center"/>
              <w:rPr>
                <w:rFonts w:hint="eastAsia" w:ascii="宋体" w:hAnsi="宋体" w:eastAsia="宋体" w:cs="宋体"/>
                <w:i w:val="0"/>
                <w:iCs w:val="0"/>
                <w:color w:val="000000"/>
                <w:sz w:val="21"/>
                <w:szCs w:val="21"/>
                <w:highlight w:val="none"/>
                <w:u w:val="none"/>
              </w:rPr>
            </w:pPr>
          </w:p>
        </w:tc>
        <w:tc>
          <w:tcPr>
            <w:tcW w:w="809" w:type="dxa"/>
            <w:shd w:val="clear" w:color="auto" w:fill="auto"/>
            <w:noWrap/>
            <w:vAlign w:val="center"/>
          </w:tcPr>
          <w:p w14:paraId="6F25081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乙酸乙酯</w:t>
            </w:r>
          </w:p>
        </w:tc>
        <w:tc>
          <w:tcPr>
            <w:tcW w:w="982" w:type="dxa"/>
            <w:vMerge w:val="continue"/>
            <w:shd w:val="clear" w:color="auto" w:fill="auto"/>
            <w:noWrap/>
            <w:vAlign w:val="center"/>
          </w:tcPr>
          <w:p w14:paraId="37EBB82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4131F2F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20BB625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21B8BC5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4BC6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141034A4">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601CE923">
            <w:pPr>
              <w:jc w:val="center"/>
              <w:rPr>
                <w:rFonts w:hint="eastAsia" w:ascii="宋体" w:hAnsi="宋体" w:eastAsia="宋体" w:cs="宋体"/>
                <w:i w:val="0"/>
                <w:iCs w:val="0"/>
                <w:color w:val="000000"/>
                <w:sz w:val="21"/>
                <w:szCs w:val="21"/>
                <w:highlight w:val="none"/>
                <w:u w:val="none"/>
              </w:rPr>
            </w:pPr>
          </w:p>
        </w:tc>
        <w:tc>
          <w:tcPr>
            <w:tcW w:w="809" w:type="dxa"/>
            <w:shd w:val="clear" w:color="auto" w:fill="auto"/>
            <w:noWrap/>
            <w:vAlign w:val="center"/>
          </w:tcPr>
          <w:p w14:paraId="0C600CF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乙醛</w:t>
            </w:r>
          </w:p>
        </w:tc>
        <w:tc>
          <w:tcPr>
            <w:tcW w:w="982" w:type="dxa"/>
            <w:vMerge w:val="continue"/>
            <w:shd w:val="clear" w:color="auto" w:fill="auto"/>
            <w:noWrap/>
            <w:vAlign w:val="center"/>
          </w:tcPr>
          <w:p w14:paraId="0B0C39D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1B1A046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7D441B1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6D3CCD3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6262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2E1D6023">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027DA716">
            <w:pPr>
              <w:jc w:val="center"/>
              <w:rPr>
                <w:rFonts w:hint="eastAsia" w:ascii="宋体" w:hAnsi="宋体" w:eastAsia="宋体" w:cs="宋体"/>
                <w:i w:val="0"/>
                <w:iCs w:val="0"/>
                <w:color w:val="000000"/>
                <w:sz w:val="21"/>
                <w:szCs w:val="21"/>
                <w:highlight w:val="none"/>
                <w:u w:val="none"/>
              </w:rPr>
            </w:pPr>
          </w:p>
        </w:tc>
        <w:tc>
          <w:tcPr>
            <w:tcW w:w="809" w:type="dxa"/>
            <w:shd w:val="clear" w:color="auto" w:fill="auto"/>
            <w:noWrap/>
            <w:vAlign w:val="center"/>
          </w:tcPr>
          <w:p w14:paraId="48DC281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4</w:t>
            </w:r>
          </w:p>
        </w:tc>
        <w:tc>
          <w:tcPr>
            <w:tcW w:w="982" w:type="dxa"/>
            <w:vMerge w:val="continue"/>
            <w:shd w:val="clear" w:color="auto" w:fill="auto"/>
            <w:noWrap/>
            <w:vAlign w:val="center"/>
          </w:tcPr>
          <w:p w14:paraId="5E40518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27FE6C2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16D4E75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49A3879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233C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05C62A3E">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7975DC28">
            <w:pPr>
              <w:jc w:val="center"/>
              <w:rPr>
                <w:rFonts w:hint="eastAsia" w:ascii="宋体" w:hAnsi="宋体" w:eastAsia="宋体" w:cs="宋体"/>
                <w:i w:val="0"/>
                <w:iCs w:val="0"/>
                <w:color w:val="000000"/>
                <w:sz w:val="21"/>
                <w:szCs w:val="21"/>
                <w:highlight w:val="none"/>
                <w:u w:val="none"/>
              </w:rPr>
            </w:pPr>
          </w:p>
        </w:tc>
        <w:tc>
          <w:tcPr>
            <w:tcW w:w="809" w:type="dxa"/>
            <w:shd w:val="clear" w:color="auto" w:fill="auto"/>
            <w:noWrap/>
            <w:vAlign w:val="center"/>
          </w:tcPr>
          <w:p w14:paraId="783AE90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000000"/>
                <w:kern w:val="0"/>
                <w:sz w:val="21"/>
                <w:szCs w:val="21"/>
                <w:highlight w:val="none"/>
                <w:u w:val="none"/>
                <w:lang w:val="en-US" w:eastAsia="zh-CN" w:bidi="ar"/>
              </w:rPr>
              <w:t>S</w:t>
            </w:r>
          </w:p>
        </w:tc>
        <w:tc>
          <w:tcPr>
            <w:tcW w:w="982" w:type="dxa"/>
            <w:vMerge w:val="continue"/>
            <w:shd w:val="clear" w:color="auto" w:fill="auto"/>
            <w:noWrap/>
            <w:vAlign w:val="center"/>
          </w:tcPr>
          <w:p w14:paraId="267CCA4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6648D25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020E904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77EA6C8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r w14:paraId="41B5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13" w:type="dxa"/>
            <w:vMerge w:val="continue"/>
            <w:shd w:val="clear" w:color="auto" w:fill="auto"/>
            <w:noWrap/>
            <w:vAlign w:val="center"/>
          </w:tcPr>
          <w:p w14:paraId="71522514">
            <w:pPr>
              <w:jc w:val="center"/>
              <w:rPr>
                <w:rFonts w:hint="eastAsia" w:ascii="宋体" w:hAnsi="宋体" w:eastAsia="宋体" w:cs="宋体"/>
                <w:i w:val="0"/>
                <w:iCs w:val="0"/>
                <w:color w:val="000000"/>
                <w:sz w:val="21"/>
                <w:szCs w:val="21"/>
                <w:highlight w:val="none"/>
                <w:u w:val="none"/>
              </w:rPr>
            </w:pPr>
          </w:p>
        </w:tc>
        <w:tc>
          <w:tcPr>
            <w:tcW w:w="1613" w:type="dxa"/>
            <w:vMerge w:val="continue"/>
            <w:shd w:val="clear" w:color="auto" w:fill="auto"/>
            <w:noWrap/>
            <w:vAlign w:val="center"/>
          </w:tcPr>
          <w:p w14:paraId="3810C40F">
            <w:pPr>
              <w:jc w:val="center"/>
              <w:rPr>
                <w:rFonts w:hint="eastAsia" w:ascii="宋体" w:hAnsi="宋体" w:eastAsia="宋体" w:cs="宋体"/>
                <w:i w:val="0"/>
                <w:iCs w:val="0"/>
                <w:color w:val="000000"/>
                <w:sz w:val="21"/>
                <w:szCs w:val="21"/>
                <w:highlight w:val="none"/>
                <w:u w:val="none"/>
              </w:rPr>
            </w:pPr>
          </w:p>
        </w:tc>
        <w:tc>
          <w:tcPr>
            <w:tcW w:w="809" w:type="dxa"/>
            <w:shd w:val="clear" w:color="auto" w:fill="auto"/>
            <w:noWrap/>
            <w:vAlign w:val="center"/>
          </w:tcPr>
          <w:p w14:paraId="3B90FC9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NH</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3</w:t>
            </w:r>
          </w:p>
        </w:tc>
        <w:tc>
          <w:tcPr>
            <w:tcW w:w="982" w:type="dxa"/>
            <w:vMerge w:val="continue"/>
            <w:shd w:val="clear" w:color="auto" w:fill="auto"/>
            <w:noWrap/>
            <w:vAlign w:val="center"/>
          </w:tcPr>
          <w:p w14:paraId="04FB768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0599C5B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2DAD366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c>
          <w:tcPr>
            <w:tcW w:w="982" w:type="dxa"/>
            <w:vMerge w:val="continue"/>
            <w:shd w:val="clear" w:color="auto" w:fill="auto"/>
            <w:noWrap/>
            <w:vAlign w:val="center"/>
          </w:tcPr>
          <w:p w14:paraId="62E2EB0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p>
        </w:tc>
      </w:tr>
    </w:tbl>
    <w:p w14:paraId="414CEA85">
      <w:pPr>
        <w:keepNext/>
        <w:keepLines/>
        <w:spacing w:line="360" w:lineRule="auto"/>
        <w:outlineLvl w:val="1"/>
        <w:rPr>
          <w:b/>
          <w:bCs/>
          <w:sz w:val="28"/>
          <w:szCs w:val="28"/>
          <w:highlight w:val="none"/>
        </w:rPr>
      </w:pPr>
      <w:bookmarkStart w:id="68" w:name="_Toc24903_WPSOffice_Level1"/>
      <w:r>
        <w:rPr>
          <w:rFonts w:hint="eastAsia"/>
          <w:b/>
          <w:bCs/>
          <w:sz w:val="28"/>
          <w:szCs w:val="28"/>
          <w:highlight w:val="none"/>
        </w:rPr>
        <w:t>3.</w:t>
      </w:r>
      <w:r>
        <w:rPr>
          <w:rFonts w:hint="eastAsia"/>
          <w:b/>
          <w:bCs/>
          <w:sz w:val="28"/>
          <w:szCs w:val="28"/>
          <w:highlight w:val="none"/>
          <w:lang w:val="en-US" w:eastAsia="zh-CN"/>
        </w:rPr>
        <w:t>4</w:t>
      </w:r>
      <w:r>
        <w:rPr>
          <w:rFonts w:hint="eastAsia"/>
          <w:b/>
          <w:bCs/>
          <w:sz w:val="28"/>
          <w:szCs w:val="28"/>
          <w:highlight w:val="none"/>
        </w:rPr>
        <w:t>风险识别结果</w:t>
      </w:r>
      <w:bookmarkEnd w:id="68"/>
    </w:p>
    <w:p w14:paraId="521379BE">
      <w:pPr>
        <w:spacing w:line="360" w:lineRule="auto"/>
        <w:ind w:firstLine="480" w:firstLineChars="200"/>
        <w:rPr>
          <w:sz w:val="24"/>
          <w:highlight w:val="none"/>
        </w:rPr>
      </w:pPr>
      <w:r>
        <w:rPr>
          <w:sz w:val="24"/>
          <w:highlight w:val="none"/>
        </w:rPr>
        <w:t>根据以上分析，建设项目环境风险识别汇总见表3.3</w:t>
      </w:r>
      <w:r>
        <w:rPr>
          <w:rFonts w:hint="eastAsia"/>
          <w:sz w:val="24"/>
          <w:highlight w:val="none"/>
        </w:rPr>
        <w:t>-</w:t>
      </w:r>
      <w:r>
        <w:rPr>
          <w:sz w:val="24"/>
          <w:highlight w:val="none"/>
        </w:rPr>
        <w:t>1，本项目危险单元为</w:t>
      </w:r>
      <w:r>
        <w:rPr>
          <w:rFonts w:hint="eastAsia"/>
          <w:sz w:val="24"/>
          <w:highlight w:val="none"/>
          <w:lang w:val="en-US" w:eastAsia="zh-CN"/>
        </w:rPr>
        <w:t>合成脱碳尾气、未变换净化气、尾气、WRT甲烷气、甲烷、低压含烃火炬、酸湿火炬、酸性气、富甲烷气、真空尾气泵</w:t>
      </w:r>
      <w:r>
        <w:rPr>
          <w:sz w:val="24"/>
          <w:highlight w:val="none"/>
        </w:rPr>
        <w:t>输送管道。</w:t>
      </w:r>
    </w:p>
    <w:p w14:paraId="16C52A3F">
      <w:pPr>
        <w:spacing w:line="360" w:lineRule="auto"/>
        <w:ind w:firstLine="480" w:firstLineChars="200"/>
        <w:rPr>
          <w:sz w:val="24"/>
          <w:highlight w:val="none"/>
        </w:rPr>
      </w:pPr>
      <w:r>
        <w:rPr>
          <w:sz w:val="24"/>
          <w:highlight w:val="none"/>
        </w:rPr>
        <w:t>本项目危险物质对环境的影响途径包括直接污染和次生/伴生污染。</w:t>
      </w:r>
    </w:p>
    <w:p w14:paraId="6B93DE0A">
      <w:pPr>
        <w:spacing w:line="360" w:lineRule="auto"/>
        <w:ind w:firstLine="480" w:firstLineChars="200"/>
        <w:rPr>
          <w:sz w:val="24"/>
          <w:highlight w:val="none"/>
        </w:rPr>
      </w:pPr>
      <w:r>
        <w:rPr>
          <w:sz w:val="24"/>
          <w:highlight w:val="none"/>
        </w:rPr>
        <w:t>直接污染事故通常的起因是设备（包括管线、阀门或其</w:t>
      </w:r>
      <w:r>
        <w:rPr>
          <w:rFonts w:hint="eastAsia"/>
          <w:sz w:val="24"/>
          <w:highlight w:val="none"/>
          <w:lang w:eastAsia="zh-CN"/>
        </w:rPr>
        <w:t>他</w:t>
      </w:r>
      <w:r>
        <w:rPr>
          <w:sz w:val="24"/>
          <w:highlight w:val="none"/>
        </w:rPr>
        <w:t>设施）出现故障或操作失误等，使有毒有害物质泄漏至大气环境，造成环境污染。伴生/次生污染主要指</w:t>
      </w:r>
      <w:r>
        <w:rPr>
          <w:rFonts w:hint="eastAsia"/>
          <w:sz w:val="24"/>
          <w:highlight w:val="none"/>
          <w:lang w:eastAsia="zh-CN"/>
        </w:rPr>
        <w:t>：</w:t>
      </w:r>
      <w:r>
        <w:rPr>
          <w:sz w:val="24"/>
          <w:highlight w:val="none"/>
        </w:rPr>
        <w:t>可燃或易燃物质发生火灾、爆炸事故产生的CO、</w:t>
      </w:r>
      <w:r>
        <w:rPr>
          <w:rFonts w:hint="eastAsia"/>
          <w:sz w:val="24"/>
          <w:highlight w:val="none"/>
        </w:rPr>
        <w:t>SO</w:t>
      </w:r>
      <w:r>
        <w:rPr>
          <w:rFonts w:hint="eastAsia"/>
          <w:sz w:val="24"/>
          <w:highlight w:val="none"/>
          <w:vertAlign w:val="subscript"/>
        </w:rPr>
        <w:t>2</w:t>
      </w:r>
      <w:r>
        <w:rPr>
          <w:rFonts w:hint="eastAsia"/>
          <w:sz w:val="24"/>
          <w:highlight w:val="none"/>
        </w:rPr>
        <w:t>、烟尘</w:t>
      </w:r>
      <w:r>
        <w:rPr>
          <w:sz w:val="24"/>
          <w:highlight w:val="none"/>
        </w:rPr>
        <w:t>等有毒有害烟气污染大气环境；</w:t>
      </w:r>
      <w:r>
        <w:rPr>
          <w:rFonts w:hint="eastAsia"/>
          <w:sz w:val="24"/>
          <w:highlight w:val="none"/>
          <w:lang w:val="en-US" w:eastAsia="zh-CN"/>
        </w:rPr>
        <w:t>火灾爆炸灭火产生的消防废水，</w:t>
      </w:r>
      <w:r>
        <w:rPr>
          <w:sz w:val="24"/>
          <w:highlight w:val="none"/>
        </w:rPr>
        <w:t>可能造成</w:t>
      </w:r>
      <w:r>
        <w:rPr>
          <w:rFonts w:hint="eastAsia"/>
          <w:sz w:val="24"/>
          <w:highlight w:val="none"/>
          <w:lang w:val="en-US" w:eastAsia="zh-CN"/>
        </w:rPr>
        <w:t>土壤、水环境</w:t>
      </w:r>
      <w:r>
        <w:rPr>
          <w:sz w:val="24"/>
          <w:highlight w:val="none"/>
        </w:rPr>
        <w:t>污染。</w:t>
      </w:r>
    </w:p>
    <w:p w14:paraId="6061C218">
      <w:pPr>
        <w:spacing w:line="360" w:lineRule="auto"/>
        <w:ind w:firstLine="480" w:firstLineChars="200"/>
        <w:rPr>
          <w:sz w:val="24"/>
          <w:highlight w:val="none"/>
        </w:rPr>
      </w:pPr>
      <w:r>
        <w:rPr>
          <w:sz w:val="24"/>
          <w:highlight w:val="none"/>
        </w:rPr>
        <w:t>本项目发生环境风险事故时可能的环境影响途径见</w:t>
      </w:r>
      <w:r>
        <w:rPr>
          <w:sz w:val="24"/>
          <w:highlight w:val="none"/>
        </w:rPr>
        <w:fldChar w:fldCharType="begin"/>
      </w:r>
      <w:r>
        <w:rPr>
          <w:sz w:val="24"/>
          <w:highlight w:val="none"/>
        </w:rPr>
        <w:instrText xml:space="preserve"> REF _Ref163813390 \r \h  \* MERGEFORMAT </w:instrText>
      </w:r>
      <w:r>
        <w:rPr>
          <w:sz w:val="24"/>
          <w:highlight w:val="none"/>
        </w:rPr>
        <w:fldChar w:fldCharType="separate"/>
      </w:r>
      <w:r>
        <w:rPr>
          <w:rFonts w:hint="eastAsia"/>
          <w:sz w:val="24"/>
          <w:highlight w:val="none"/>
        </w:rPr>
        <w:t>图</w:t>
      </w:r>
      <w:r>
        <w:rPr>
          <w:rFonts w:hint="eastAsia"/>
          <w:sz w:val="24"/>
          <w:highlight w:val="none"/>
          <w:lang w:val="en-US" w:eastAsia="zh-CN"/>
        </w:rPr>
        <w:t>3</w:t>
      </w:r>
      <w:r>
        <w:rPr>
          <w:rFonts w:hint="eastAsia"/>
          <w:sz w:val="24"/>
          <w:highlight w:val="none"/>
        </w:rPr>
        <w:fldChar w:fldCharType="end"/>
      </w:r>
      <w:r>
        <w:rPr>
          <w:rFonts w:hint="eastAsia"/>
          <w:sz w:val="24"/>
          <w:highlight w:val="none"/>
          <w:lang w:val="en-US" w:eastAsia="zh-CN"/>
        </w:rPr>
        <w:t>.4-1</w:t>
      </w:r>
      <w:r>
        <w:rPr>
          <w:sz w:val="24"/>
          <w:highlight w:val="none"/>
        </w:rPr>
        <w:t>。</w:t>
      </w:r>
    </w:p>
    <w:p w14:paraId="2DA41B1C">
      <w:pPr>
        <w:spacing w:line="360" w:lineRule="auto"/>
        <w:jc w:val="center"/>
        <w:rPr>
          <w:rFonts w:hAnsiTheme="minorEastAsia" w:eastAsiaTheme="minorEastAsia"/>
          <w:kern w:val="0"/>
          <w:szCs w:val="20"/>
          <w:highlight w:val="none"/>
        </w:rPr>
      </w:pPr>
      <w:r>
        <w:rPr>
          <w:rFonts w:hAnsiTheme="minorEastAsia" w:eastAsiaTheme="minorEastAsia"/>
          <w:kern w:val="0"/>
          <w:szCs w:val="20"/>
          <w:highlight w:val="none"/>
        </w:rPr>
        <w:drawing>
          <wp:inline distT="0" distB="0" distL="0" distR="0">
            <wp:extent cx="5064760" cy="2132330"/>
            <wp:effectExtent l="0" t="0" r="2540" b="1270"/>
            <wp:docPr id="80" name="图片 4" descr="C:\Users\h2547smh\Documents\WeChat Files\huihui8227\FileStorage\Temp\1715582950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descr="C:\Users\h2547smh\Documents\WeChat Files\huihui8227\FileStorage\Temp\1715582950019.png"/>
                    <pic:cNvPicPr>
                      <a:picLocks noChangeAspect="1" noChangeArrowheads="1"/>
                    </pic:cNvPicPr>
                  </pic:nvPicPr>
                  <pic:blipFill>
                    <a:blip r:embed="rId31"/>
                    <a:srcRect/>
                    <a:stretch>
                      <a:fillRect/>
                    </a:stretch>
                  </pic:blipFill>
                  <pic:spPr>
                    <a:xfrm>
                      <a:off x="0" y="0"/>
                      <a:ext cx="5064760" cy="2132330"/>
                    </a:xfrm>
                    <a:prstGeom prst="rect">
                      <a:avLst/>
                    </a:prstGeom>
                    <a:noFill/>
                    <a:ln w="9525">
                      <a:noFill/>
                      <a:miter lim="800000"/>
                      <a:headEnd/>
                      <a:tailEnd/>
                    </a:ln>
                  </pic:spPr>
                </pic:pic>
              </a:graphicData>
            </a:graphic>
          </wp:inline>
        </w:drawing>
      </w:r>
    </w:p>
    <w:p w14:paraId="2DCF809D">
      <w:pPr>
        <w:spacing w:line="360" w:lineRule="auto"/>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3.4-</w:t>
      </w:r>
      <w:r>
        <w:rPr>
          <w:rFonts w:hint="eastAsia" w:cs="Times New Roman"/>
          <w:b/>
          <w:bCs/>
          <w:sz w:val="21"/>
          <w:szCs w:val="21"/>
          <w:highlight w:val="none"/>
          <w:lang w:val="en-US" w:eastAsia="zh-CN"/>
        </w:rPr>
        <w:t>1</w:t>
      </w:r>
      <w:r>
        <w:rPr>
          <w:rFonts w:hint="eastAsia" w:ascii="Times New Roman" w:hAnsi="Times New Roman" w:eastAsia="宋体" w:cs="Times New Roman"/>
          <w:b/>
          <w:bCs/>
          <w:sz w:val="21"/>
          <w:szCs w:val="21"/>
          <w:highlight w:val="none"/>
          <w:lang w:val="en-US" w:eastAsia="zh-CN"/>
        </w:rPr>
        <w:t xml:space="preserve">   影响途径</w:t>
      </w:r>
    </w:p>
    <w:p w14:paraId="64BADCDA">
      <w:pPr>
        <w:keepNext/>
        <w:keepLines/>
        <w:spacing w:before="240" w:beforeLines="100" w:line="360" w:lineRule="auto"/>
        <w:outlineLvl w:val="0"/>
        <w:rPr>
          <w:rFonts w:hint="eastAsia"/>
          <w:b/>
          <w:bCs/>
          <w:kern w:val="44"/>
          <w:sz w:val="32"/>
          <w:szCs w:val="32"/>
          <w:highlight w:val="none"/>
        </w:rPr>
      </w:pPr>
      <w:bookmarkStart w:id="69" w:name="_Toc14317_WPSOffice_Level1"/>
      <w:r>
        <w:rPr>
          <w:rFonts w:hint="eastAsia"/>
          <w:b/>
          <w:bCs/>
          <w:kern w:val="44"/>
          <w:sz w:val="32"/>
          <w:szCs w:val="32"/>
          <w:highlight w:val="none"/>
        </w:rPr>
        <w:t>4</w:t>
      </w:r>
      <w:r>
        <w:rPr>
          <w:rFonts w:hint="eastAsia"/>
          <w:b/>
          <w:bCs/>
          <w:kern w:val="44"/>
          <w:sz w:val="32"/>
          <w:szCs w:val="32"/>
          <w:highlight w:val="none"/>
          <w:lang w:val="en-US" w:eastAsia="zh-CN"/>
        </w:rPr>
        <w:t>.</w:t>
      </w:r>
      <w:r>
        <w:rPr>
          <w:rFonts w:hint="eastAsia"/>
          <w:b/>
          <w:bCs/>
          <w:kern w:val="44"/>
          <w:sz w:val="32"/>
          <w:szCs w:val="32"/>
          <w:highlight w:val="none"/>
        </w:rPr>
        <w:t>环境风险分析</w:t>
      </w:r>
      <w:bookmarkEnd w:id="69"/>
    </w:p>
    <w:p w14:paraId="1444BC71">
      <w:pPr>
        <w:keepNext/>
        <w:keepLines/>
        <w:spacing w:line="360" w:lineRule="auto"/>
        <w:outlineLvl w:val="1"/>
        <w:rPr>
          <w:rFonts w:hint="default" w:eastAsia="宋体"/>
          <w:b/>
          <w:bCs/>
          <w:sz w:val="28"/>
          <w:szCs w:val="28"/>
          <w:highlight w:val="none"/>
          <w:lang w:val="en-US" w:eastAsia="zh-CN"/>
        </w:rPr>
      </w:pPr>
      <w:r>
        <w:rPr>
          <w:rFonts w:hint="eastAsia"/>
          <w:b/>
          <w:bCs/>
          <w:sz w:val="28"/>
          <w:szCs w:val="28"/>
          <w:highlight w:val="none"/>
        </w:rPr>
        <w:t>4.1</w:t>
      </w:r>
      <w:r>
        <w:rPr>
          <w:rFonts w:hint="eastAsia"/>
          <w:b/>
          <w:bCs/>
          <w:sz w:val="28"/>
          <w:szCs w:val="28"/>
          <w:highlight w:val="none"/>
          <w:lang w:val="en-US" w:eastAsia="zh-CN"/>
        </w:rPr>
        <w:t>突发环境事件案例</w:t>
      </w:r>
    </w:p>
    <w:p w14:paraId="1969BF14">
      <w:pPr>
        <w:spacing w:line="360" w:lineRule="auto"/>
        <w:ind w:firstLine="480" w:firstLineChars="200"/>
        <w:rPr>
          <w:rFonts w:ascii="Times New Roman" w:hAnsi="Times New Roman" w:eastAsia="宋体" w:cs="Times New Roman"/>
          <w:sz w:val="24"/>
          <w:highlight w:val="none"/>
          <w:lang w:val="zh-CN"/>
        </w:rPr>
      </w:pPr>
      <w:r>
        <w:rPr>
          <w:rFonts w:hint="eastAsia" w:ascii="Times New Roman" w:hAnsi="Times New Roman" w:eastAsia="宋体" w:cs="Times New Roman"/>
          <w:sz w:val="24"/>
          <w:highlight w:val="none"/>
          <w:lang w:val="zh-CN"/>
        </w:rPr>
        <w:t>贵州遵义桐梓中石化西南成品油管道柴油泄漏事故次生重大突发环境事件</w:t>
      </w:r>
    </w:p>
    <w:p w14:paraId="3947B957">
      <w:pPr>
        <w:spacing w:line="360" w:lineRule="auto"/>
        <w:ind w:firstLine="480" w:firstLineChars="200"/>
        <w:rPr>
          <w:rFonts w:hint="eastAsia" w:ascii="Times New Roman" w:hAnsi="Times New Roman" w:eastAsia="宋体" w:cs="Times New Roman"/>
          <w:sz w:val="24"/>
          <w:highlight w:val="none"/>
          <w:lang w:val="en-US" w:eastAsia="zh-CN"/>
        </w:rPr>
      </w:pPr>
      <w:r>
        <w:rPr>
          <w:rFonts w:ascii="Times New Roman" w:hAnsi="Times New Roman" w:eastAsia="宋体" w:cs="Times New Roman"/>
          <w:sz w:val="24"/>
          <w:highlight w:val="none"/>
          <w:lang w:val="zh-CN"/>
        </w:rPr>
        <w:t>2020年7月14日6时6分许，贵州省遵义市桐梓县境内中石化西南成品油管道柴油发生泄漏，造成跨贵州、重庆两省（市）的重大突发环境事件</w:t>
      </w:r>
      <w:r>
        <w:rPr>
          <w:rFonts w:hint="eastAsia" w:cs="Times New Roman"/>
          <w:sz w:val="24"/>
          <w:highlight w:val="none"/>
          <w:lang w:val="zh-CN"/>
        </w:rPr>
        <w:t>。</w:t>
      </w:r>
      <w:r>
        <w:rPr>
          <w:rFonts w:hint="eastAsia" w:ascii="Times New Roman" w:hAnsi="Times New Roman" w:eastAsia="宋体" w:cs="Times New Roman"/>
          <w:sz w:val="24"/>
          <w:highlight w:val="none"/>
          <w:lang w:val="en-US" w:eastAsia="zh-CN"/>
        </w:rPr>
        <w:t>7月14日6时6分，中石化华南分公司值守人员发现管道发生柴油泄漏。</w:t>
      </w:r>
    </w:p>
    <w:p w14:paraId="551F485B">
      <w:pPr>
        <w:spacing w:line="360" w:lineRule="auto"/>
        <w:ind w:firstLine="480" w:firstLineChars="200"/>
        <w:rPr>
          <w:rFonts w:hint="default" w:ascii="Times New Roman" w:hAnsi="Times New Roman" w:eastAsia="宋体" w:cs="Times New Roman"/>
          <w:sz w:val="24"/>
          <w:highlight w:val="none"/>
          <w:lang w:val="en-US" w:eastAsia="zh-CN"/>
        </w:rPr>
      </w:pPr>
      <w:r>
        <w:rPr>
          <w:rFonts w:hint="eastAsia" w:cs="Times New Roman"/>
          <w:sz w:val="24"/>
          <w:highlight w:val="none"/>
          <w:lang w:val="en-US" w:eastAsia="zh-CN"/>
        </w:rPr>
        <w:t>（一）事件经过</w:t>
      </w:r>
    </w:p>
    <w:p w14:paraId="59E59511">
      <w:pPr>
        <w:spacing w:line="360" w:lineRule="auto"/>
        <w:ind w:firstLine="480" w:firstLineChars="200"/>
        <w:rPr>
          <w:rFonts w:ascii="Times New Roman" w:hAnsi="Times New Roman" w:eastAsia="宋体" w:cs="Times New Roman"/>
          <w:sz w:val="24"/>
          <w:highlight w:val="none"/>
          <w:lang w:val="zh-CN"/>
        </w:rPr>
      </w:pPr>
      <w:r>
        <w:rPr>
          <w:rFonts w:hint="eastAsia" w:ascii="Times New Roman" w:hAnsi="Times New Roman" w:eastAsia="宋体" w:cs="Times New Roman"/>
          <w:sz w:val="24"/>
          <w:highlight w:val="none"/>
          <w:lang w:val="en-US" w:eastAsia="zh-CN"/>
        </w:rPr>
        <w:t>7月14日14时起，松坎河贵州</w:t>
      </w:r>
      <w:r>
        <w:rPr>
          <w:rFonts w:hint="eastAsia" w:cs="Times New Roman"/>
          <w:sz w:val="24"/>
          <w:highlight w:val="none"/>
          <w:lang w:val="en-US" w:eastAsia="zh-CN"/>
        </w:rPr>
        <w:t>和</w:t>
      </w:r>
      <w:r>
        <w:rPr>
          <w:rFonts w:hint="eastAsia" w:ascii="Times New Roman" w:hAnsi="Times New Roman" w:eastAsia="宋体" w:cs="Times New Roman"/>
          <w:sz w:val="24"/>
          <w:highlight w:val="none"/>
          <w:lang w:val="en-US" w:eastAsia="zh-CN"/>
        </w:rPr>
        <w:t>重庆交界断面石油类浓度开始超标［参考《地表水环境质量标准》（GB3838-2002）Ⅲ类标准0.05mg/L，下同］；14日16时45分，污染团前锋到达松藻煤矿取水点；15日8时35分，污染团前锋到达綦江区三江四钢取水点；16日9时10分，污染团前锋到达綦江区出境断面；16日16时20分，污染团前锋到达江津区广兴饮用水水源地。</w:t>
      </w:r>
    </w:p>
    <w:p w14:paraId="5CA9C2E8">
      <w:pPr>
        <w:spacing w:line="360" w:lineRule="auto"/>
        <w:ind w:firstLine="480" w:firstLineChars="200"/>
        <w:rPr>
          <w:rFonts w:hint="eastAsia" w:ascii="Times New Roman" w:hAnsi="Times New Roman" w:eastAsia="宋体" w:cs="Times New Roman"/>
          <w:sz w:val="24"/>
          <w:highlight w:val="none"/>
          <w:lang w:val="zh-CN"/>
        </w:rPr>
      </w:pPr>
      <w:r>
        <w:rPr>
          <w:rFonts w:hint="eastAsia" w:ascii="Times New Roman" w:hAnsi="Times New Roman" w:eastAsia="宋体" w:cs="Times New Roman"/>
          <w:sz w:val="24"/>
          <w:highlight w:val="none"/>
          <w:lang w:val="en-US" w:eastAsia="zh-CN"/>
        </w:rPr>
        <w:t>重庆市境内监测断面水质于7月18日6时起全面达标，贵州省境内监测断面水质于7月19日6时起全面达标。</w:t>
      </w:r>
    </w:p>
    <w:p w14:paraId="225ADB74">
      <w:pPr>
        <w:spacing w:line="360" w:lineRule="auto"/>
        <w:ind w:firstLine="480" w:firstLineChars="200"/>
        <w:rPr>
          <w:rFonts w:hint="eastAsia" w:ascii="Times New Roman" w:hAnsi="Times New Roman" w:eastAsia="宋体" w:cs="Times New Roman"/>
          <w:sz w:val="24"/>
          <w:highlight w:val="none"/>
          <w:lang w:val="zh-CN"/>
        </w:rPr>
      </w:pPr>
      <w:r>
        <w:rPr>
          <w:rFonts w:hint="eastAsia" w:ascii="Times New Roman" w:hAnsi="Times New Roman" w:eastAsia="宋体" w:cs="Times New Roman"/>
          <w:sz w:val="24"/>
          <w:highlight w:val="none"/>
          <w:lang w:val="en-US" w:eastAsia="zh-CN"/>
        </w:rPr>
        <w:t>（</w:t>
      </w:r>
      <w:r>
        <w:rPr>
          <w:rFonts w:hint="eastAsia" w:cs="Times New Roman"/>
          <w:sz w:val="24"/>
          <w:highlight w:val="none"/>
          <w:lang w:val="en-US" w:eastAsia="zh-CN"/>
        </w:rPr>
        <w:t>二</w:t>
      </w:r>
      <w:r>
        <w:rPr>
          <w:rFonts w:hint="eastAsia" w:ascii="Times New Roman" w:hAnsi="Times New Roman" w:eastAsia="宋体" w:cs="Times New Roman"/>
          <w:sz w:val="24"/>
          <w:highlight w:val="none"/>
          <w:lang w:val="en-US" w:eastAsia="zh-CN"/>
        </w:rPr>
        <w:t>）直接经济损失情况</w:t>
      </w:r>
    </w:p>
    <w:p w14:paraId="08260073">
      <w:pPr>
        <w:spacing w:line="360" w:lineRule="auto"/>
        <w:ind w:firstLine="480" w:firstLineChars="200"/>
        <w:rPr>
          <w:rFonts w:hint="eastAsia" w:ascii="Times New Roman" w:hAnsi="Times New Roman" w:eastAsia="宋体" w:cs="Times New Roman"/>
          <w:sz w:val="24"/>
          <w:highlight w:val="none"/>
          <w:lang w:val="zh-CN"/>
        </w:rPr>
      </w:pPr>
      <w:r>
        <w:rPr>
          <w:rFonts w:hint="eastAsia" w:ascii="Times New Roman" w:hAnsi="Times New Roman" w:eastAsia="宋体" w:cs="Times New Roman"/>
          <w:sz w:val="24"/>
          <w:highlight w:val="none"/>
          <w:lang w:val="en-US" w:eastAsia="zh-CN"/>
        </w:rPr>
        <w:t>经评估，本次突发环境事件应急响应阶段共造成直接经济损失148.73万元，其中，贵州省直接经济损失89.54万元，重庆市直接经济损失59.19万元。</w:t>
      </w:r>
    </w:p>
    <w:p w14:paraId="2CF9742F">
      <w:pPr>
        <w:spacing w:line="360" w:lineRule="auto"/>
        <w:ind w:firstLine="480" w:firstLineChars="200"/>
        <w:rPr>
          <w:rFonts w:hint="eastAsia" w:ascii="Times New Roman" w:hAnsi="Times New Roman" w:eastAsia="宋体" w:cs="Times New Roman"/>
          <w:sz w:val="24"/>
          <w:highlight w:val="none"/>
          <w:lang w:val="zh-CN"/>
        </w:rPr>
      </w:pPr>
      <w:r>
        <w:rPr>
          <w:rFonts w:hint="eastAsia" w:ascii="Times New Roman" w:hAnsi="Times New Roman" w:eastAsia="宋体" w:cs="Times New Roman"/>
          <w:sz w:val="24"/>
          <w:highlight w:val="none"/>
          <w:lang w:val="en-US" w:eastAsia="zh-CN"/>
        </w:rPr>
        <w:t>（</w:t>
      </w:r>
      <w:r>
        <w:rPr>
          <w:rFonts w:hint="eastAsia" w:cs="Times New Roman"/>
          <w:sz w:val="24"/>
          <w:highlight w:val="none"/>
          <w:lang w:val="en-US" w:eastAsia="zh-CN"/>
        </w:rPr>
        <w:t>三</w:t>
      </w:r>
      <w:r>
        <w:rPr>
          <w:rFonts w:hint="eastAsia" w:ascii="Times New Roman" w:hAnsi="Times New Roman" w:eastAsia="宋体" w:cs="Times New Roman"/>
          <w:sz w:val="24"/>
          <w:highlight w:val="none"/>
          <w:lang w:val="en-US" w:eastAsia="zh-CN"/>
        </w:rPr>
        <w:t>）环境影响情况</w:t>
      </w:r>
    </w:p>
    <w:p w14:paraId="721172B4">
      <w:pPr>
        <w:spacing w:line="360" w:lineRule="auto"/>
        <w:ind w:firstLine="480" w:firstLineChars="200"/>
        <w:rPr>
          <w:rFonts w:hint="eastAsia" w:ascii="Times New Roman" w:hAnsi="Times New Roman" w:eastAsia="宋体" w:cs="Times New Roman"/>
          <w:sz w:val="24"/>
          <w:highlight w:val="none"/>
          <w:lang w:val="zh-CN"/>
        </w:rPr>
      </w:pPr>
      <w:r>
        <w:rPr>
          <w:rFonts w:hint="eastAsia" w:ascii="Times New Roman" w:hAnsi="Times New Roman" w:eastAsia="宋体" w:cs="Times New Roman"/>
          <w:sz w:val="24"/>
          <w:highlight w:val="none"/>
          <w:lang w:val="en-US" w:eastAsia="zh-CN"/>
        </w:rPr>
        <w:t>经专家核算，此次事件中柴油泄漏量约为289.91吨。其中，回收约252.21吨，吸附约3.67吨，入土壤约20.58吨，入河约13.45吨。事件造成事故点下游捷阵溪、松坎河及綦江共计119公里河道石油类超标。綦江区三江水厂因饮用水水源地水质超标中断取水19小时，缩减了供水区域。事故点周边4.5亩农田被污染，受污染土壤约461.9吨。</w:t>
      </w:r>
    </w:p>
    <w:p w14:paraId="03C8FA41">
      <w:pPr>
        <w:spacing w:line="360" w:lineRule="auto"/>
        <w:ind w:firstLine="480" w:firstLineChars="200"/>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7月14日发现泄漏后，中石化华南分公司紧急停止输油，迅速关闭泄漏点上游的板桥镇阀室、夜郎阀室、东山阀室，并对泄漏点下游的尧龙山站通过大流量泄放进行泄压。6时34分起，现场投入280余人，以及挖机8台、油罐车21辆次、抽油设备14台、围油栏1680米、吸油毡210包等应急物资开展应急处置工作，7月15日10时完成封堵</w:t>
      </w:r>
      <w:r>
        <w:rPr>
          <w:rFonts w:hint="eastAsia" w:cs="Times New Roman"/>
          <w:sz w:val="24"/>
          <w:highlight w:val="none"/>
          <w:lang w:val="en-US" w:eastAsia="zh-CN"/>
        </w:rPr>
        <w:t>。</w:t>
      </w:r>
    </w:p>
    <w:p w14:paraId="6DD0B647">
      <w:pPr>
        <w:spacing w:line="360" w:lineRule="auto"/>
        <w:ind w:firstLine="480" w:firstLineChars="200"/>
        <w:rPr>
          <w:rFonts w:ascii="Times New Roman" w:hAnsi="Times New Roman" w:eastAsia="宋体" w:cs="Times New Roman"/>
          <w:sz w:val="24"/>
          <w:highlight w:val="none"/>
          <w:lang w:val="zh-CN"/>
        </w:rPr>
      </w:pPr>
      <w:r>
        <w:rPr>
          <w:rFonts w:ascii="Times New Roman" w:hAnsi="Times New Roman" w:eastAsia="宋体" w:cs="Times New Roman"/>
          <w:sz w:val="24"/>
          <w:highlight w:val="none"/>
          <w:lang w:val="zh-CN"/>
        </w:rPr>
        <w:t>风险事故概率</w:t>
      </w:r>
    </w:p>
    <w:p w14:paraId="5D0C88F3">
      <w:pPr>
        <w:spacing w:line="360" w:lineRule="auto"/>
        <w:ind w:firstLine="480" w:firstLineChars="200"/>
        <w:rPr>
          <w:rFonts w:ascii="Times New Roman" w:hAnsi="Times New Roman" w:eastAsia="宋体" w:cs="Times New Roman"/>
          <w:sz w:val="24"/>
          <w:highlight w:val="none"/>
          <w:lang w:val="zh-CN"/>
        </w:rPr>
      </w:pPr>
      <w:r>
        <w:rPr>
          <w:rFonts w:ascii="Times New Roman" w:hAnsi="Times New Roman" w:eastAsia="宋体" w:cs="Times New Roman"/>
          <w:sz w:val="24"/>
          <w:highlight w:val="none"/>
          <w:lang w:val="zh-CN"/>
        </w:rPr>
        <w:t>在风险识别的基础上，选择对环境影响较大并具有代表性的事故类型，设定风险事故情形。由于事故触发因素具有不确定性，因此事故情形的设定并不能包含全部可能的环境风险</w:t>
      </w:r>
      <w:r>
        <w:rPr>
          <w:rFonts w:hint="eastAsia" w:cs="Times New Roman"/>
          <w:sz w:val="24"/>
          <w:highlight w:val="none"/>
          <w:lang w:val="zh-CN"/>
        </w:rPr>
        <w:t>。</w:t>
      </w:r>
      <w:r>
        <w:rPr>
          <w:rFonts w:ascii="Times New Roman" w:hAnsi="Times New Roman" w:eastAsia="宋体" w:cs="Times New Roman"/>
          <w:sz w:val="24"/>
          <w:highlight w:val="none"/>
          <w:lang w:val="zh-CN"/>
        </w:rPr>
        <w:t>但通过具有代表性的事故情形分析可为风险管理提供科学依据。</w:t>
      </w:r>
    </w:p>
    <w:p w14:paraId="24DDA57C">
      <w:pPr>
        <w:spacing w:line="360" w:lineRule="auto"/>
        <w:ind w:firstLine="480" w:firstLineChars="200"/>
        <w:rPr>
          <w:rFonts w:ascii="Times New Roman" w:hAnsi="Times New Roman" w:eastAsia="宋体" w:cs="Times New Roman"/>
          <w:sz w:val="24"/>
          <w:highlight w:val="none"/>
          <w:lang w:val="zh-CN"/>
        </w:rPr>
      </w:pPr>
      <w:r>
        <w:rPr>
          <w:rFonts w:ascii="Times New Roman" w:hAnsi="Times New Roman" w:eastAsia="宋体" w:cs="Times New Roman"/>
          <w:sz w:val="24"/>
          <w:highlight w:val="none"/>
          <w:lang w:val="zh-CN"/>
        </w:rPr>
        <w:t>泄漏事故类型包括容器、管道、泵体、压缩机、装卸臂和装卸软管的泄漏和破裂等，按照《建设项目环境风险评价技术导则》（HJ169-2018）附录，各个泄漏事故类型</w:t>
      </w:r>
      <w:r>
        <w:rPr>
          <w:rFonts w:hint="eastAsia" w:cs="Times New Roman"/>
          <w:sz w:val="24"/>
          <w:highlight w:val="none"/>
          <w:lang w:val="zh-CN"/>
        </w:rPr>
        <w:t>的</w:t>
      </w:r>
      <w:r>
        <w:rPr>
          <w:rFonts w:ascii="Times New Roman" w:hAnsi="Times New Roman" w:eastAsia="宋体" w:cs="Times New Roman"/>
          <w:sz w:val="24"/>
          <w:highlight w:val="none"/>
          <w:lang w:val="zh-CN"/>
        </w:rPr>
        <w:t>泄漏频率见表</w:t>
      </w:r>
      <w:r>
        <w:rPr>
          <w:rFonts w:hint="eastAsia" w:ascii="Times New Roman" w:hAnsi="Times New Roman" w:eastAsia="宋体" w:cs="Times New Roman"/>
          <w:sz w:val="24"/>
          <w:highlight w:val="none"/>
          <w:lang w:val="en-US" w:eastAsia="zh-CN"/>
        </w:rPr>
        <w:t>4.1-</w:t>
      </w:r>
      <w:r>
        <w:rPr>
          <w:rFonts w:hint="eastAsia" w:cs="Times New Roman"/>
          <w:sz w:val="24"/>
          <w:highlight w:val="none"/>
          <w:lang w:val="en-US" w:eastAsia="zh-CN"/>
        </w:rPr>
        <w:t>1</w:t>
      </w:r>
      <w:r>
        <w:rPr>
          <w:rFonts w:ascii="Times New Roman" w:hAnsi="Times New Roman" w:eastAsia="宋体" w:cs="Times New Roman"/>
          <w:sz w:val="24"/>
          <w:highlight w:val="none"/>
          <w:lang w:val="zh-CN"/>
        </w:rPr>
        <w:t>。</w:t>
      </w:r>
    </w:p>
    <w:p w14:paraId="06B19D21">
      <w:pPr>
        <w:spacing w:line="360" w:lineRule="auto"/>
        <w:jc w:val="center"/>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表4.1-</w:t>
      </w:r>
      <w:r>
        <w:rPr>
          <w:rFonts w:hint="eastAsia" w:cs="Times New Roman"/>
          <w:b/>
          <w:bCs/>
          <w:sz w:val="21"/>
          <w:szCs w:val="21"/>
          <w:highlight w:val="none"/>
          <w:lang w:val="en-US" w:eastAsia="zh-CN"/>
        </w:rPr>
        <w:t>1</w:t>
      </w:r>
      <w:r>
        <w:rPr>
          <w:rFonts w:hint="eastAsia" w:ascii="Times New Roman" w:hAnsi="Times New Roman" w:eastAsia="宋体" w:cs="Times New Roman"/>
          <w:b/>
          <w:bCs/>
          <w:sz w:val="21"/>
          <w:szCs w:val="21"/>
          <w:highlight w:val="none"/>
          <w:lang w:val="en-US" w:eastAsia="zh-CN"/>
        </w:rPr>
        <w:t xml:space="preserve">   常用设备泄漏频率一览表</w:t>
      </w:r>
    </w:p>
    <w:tbl>
      <w:tblPr>
        <w:tblStyle w:val="19"/>
        <w:tblW w:w="8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5704"/>
        <w:gridCol w:w="1560"/>
      </w:tblGrid>
      <w:tr w14:paraId="095B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35D91D29">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部件类型</w:t>
            </w:r>
          </w:p>
        </w:tc>
        <w:tc>
          <w:tcPr>
            <w:tcW w:w="5704" w:type="dxa"/>
            <w:vAlign w:val="center"/>
          </w:tcPr>
          <w:p w14:paraId="14602C8D">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泄漏模式</w:t>
            </w:r>
          </w:p>
        </w:tc>
        <w:tc>
          <w:tcPr>
            <w:tcW w:w="1560" w:type="dxa"/>
            <w:vAlign w:val="center"/>
          </w:tcPr>
          <w:p w14:paraId="20AD0788">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泄漏频率</w:t>
            </w:r>
          </w:p>
        </w:tc>
      </w:tr>
      <w:tr w14:paraId="5A69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1937F42E">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反应器/工艺储罐/气体储罐/塔器</w:t>
            </w:r>
          </w:p>
        </w:tc>
        <w:tc>
          <w:tcPr>
            <w:tcW w:w="5704" w:type="dxa"/>
            <w:vAlign w:val="center"/>
          </w:tcPr>
          <w:p w14:paraId="2AB0AA7D">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泄漏孔径为10mm孔径</w:t>
            </w:r>
          </w:p>
          <w:p w14:paraId="3EF9387F">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10min内储罐泄漏完</w:t>
            </w:r>
          </w:p>
          <w:p w14:paraId="468DBF15">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储罐</w:t>
            </w:r>
            <w:r>
              <w:rPr>
                <w:rFonts w:hint="eastAsia" w:cs="Times New Roman" w:eastAsiaTheme="minorEastAsia"/>
                <w:bCs/>
                <w:sz w:val="21"/>
                <w:szCs w:val="21"/>
                <w:highlight w:val="none"/>
                <w:lang w:eastAsia="zh-CN"/>
              </w:rPr>
              <w:t>完</w:t>
            </w:r>
            <w:r>
              <w:rPr>
                <w:rFonts w:cs="Times New Roman" w:eastAsiaTheme="minorEastAsia"/>
                <w:bCs/>
                <w:sz w:val="21"/>
                <w:szCs w:val="21"/>
                <w:highlight w:val="none"/>
              </w:rPr>
              <w:t>全破裂</w:t>
            </w:r>
          </w:p>
        </w:tc>
        <w:tc>
          <w:tcPr>
            <w:tcW w:w="1560" w:type="dxa"/>
            <w:vAlign w:val="center"/>
          </w:tcPr>
          <w:p w14:paraId="6B3169C8">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1.00×10</w:t>
            </w:r>
            <w:r>
              <w:rPr>
                <w:rFonts w:cs="Times New Roman" w:eastAsiaTheme="minorEastAsia"/>
                <w:bCs/>
                <w:sz w:val="21"/>
                <w:szCs w:val="21"/>
                <w:highlight w:val="none"/>
                <w:vertAlign w:val="superscript"/>
              </w:rPr>
              <w:t>-4</w:t>
            </w:r>
            <w:r>
              <w:rPr>
                <w:rFonts w:cs="Times New Roman" w:eastAsiaTheme="minorEastAsia"/>
                <w:bCs/>
                <w:sz w:val="21"/>
                <w:szCs w:val="21"/>
                <w:highlight w:val="none"/>
              </w:rPr>
              <w:t>/a</w:t>
            </w:r>
          </w:p>
          <w:p w14:paraId="608C1535">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5.00×10</w:t>
            </w:r>
            <w:r>
              <w:rPr>
                <w:rFonts w:cs="Times New Roman" w:eastAsiaTheme="minorEastAsia"/>
                <w:bCs/>
                <w:sz w:val="21"/>
                <w:szCs w:val="21"/>
                <w:highlight w:val="none"/>
                <w:vertAlign w:val="superscript"/>
              </w:rPr>
              <w:t>-6</w:t>
            </w:r>
            <w:r>
              <w:rPr>
                <w:rFonts w:cs="Times New Roman" w:eastAsiaTheme="minorEastAsia"/>
                <w:bCs/>
                <w:sz w:val="21"/>
                <w:szCs w:val="21"/>
                <w:highlight w:val="none"/>
              </w:rPr>
              <w:t>/a</w:t>
            </w:r>
          </w:p>
          <w:p w14:paraId="62A0C905">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5.00×10</w:t>
            </w:r>
            <w:r>
              <w:rPr>
                <w:rFonts w:cs="Times New Roman" w:eastAsiaTheme="minorEastAsia"/>
                <w:bCs/>
                <w:sz w:val="21"/>
                <w:szCs w:val="21"/>
                <w:highlight w:val="none"/>
                <w:vertAlign w:val="superscript"/>
              </w:rPr>
              <w:t>-6</w:t>
            </w:r>
            <w:r>
              <w:rPr>
                <w:rFonts w:cs="Times New Roman" w:eastAsiaTheme="minorEastAsia"/>
                <w:bCs/>
                <w:sz w:val="21"/>
                <w:szCs w:val="21"/>
                <w:highlight w:val="none"/>
              </w:rPr>
              <w:t>/a</w:t>
            </w:r>
          </w:p>
        </w:tc>
      </w:tr>
      <w:tr w14:paraId="02B9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521C8F1D">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常压单包容储罐</w:t>
            </w:r>
          </w:p>
        </w:tc>
        <w:tc>
          <w:tcPr>
            <w:tcW w:w="5704" w:type="dxa"/>
            <w:vAlign w:val="center"/>
          </w:tcPr>
          <w:p w14:paraId="7CFFCE24">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泄漏孔径为10 mm孔径</w:t>
            </w:r>
          </w:p>
          <w:p w14:paraId="765BA337">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10 min内储罐泄漏完</w:t>
            </w:r>
          </w:p>
          <w:p w14:paraId="5656E822">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储罐</w:t>
            </w:r>
            <w:r>
              <w:rPr>
                <w:rFonts w:hint="eastAsia" w:cs="Times New Roman" w:eastAsiaTheme="minorEastAsia"/>
                <w:bCs/>
                <w:sz w:val="21"/>
                <w:szCs w:val="21"/>
                <w:highlight w:val="none"/>
                <w:lang w:eastAsia="zh-CN"/>
              </w:rPr>
              <w:t>完</w:t>
            </w:r>
            <w:r>
              <w:rPr>
                <w:rFonts w:cs="Times New Roman" w:eastAsiaTheme="minorEastAsia"/>
                <w:bCs/>
                <w:sz w:val="21"/>
                <w:szCs w:val="21"/>
                <w:highlight w:val="none"/>
              </w:rPr>
              <w:t>全破裂</w:t>
            </w:r>
          </w:p>
        </w:tc>
        <w:tc>
          <w:tcPr>
            <w:tcW w:w="1560" w:type="dxa"/>
            <w:vAlign w:val="center"/>
          </w:tcPr>
          <w:p w14:paraId="288E3017">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1.00×10</w:t>
            </w:r>
            <w:r>
              <w:rPr>
                <w:rFonts w:cs="Times New Roman" w:eastAsiaTheme="minorEastAsia"/>
                <w:bCs/>
                <w:sz w:val="21"/>
                <w:szCs w:val="21"/>
                <w:highlight w:val="none"/>
                <w:vertAlign w:val="superscript"/>
              </w:rPr>
              <w:t>-4</w:t>
            </w:r>
            <w:r>
              <w:rPr>
                <w:rFonts w:cs="Times New Roman" w:eastAsiaTheme="minorEastAsia"/>
                <w:bCs/>
                <w:sz w:val="21"/>
                <w:szCs w:val="21"/>
                <w:highlight w:val="none"/>
              </w:rPr>
              <w:t>/a</w:t>
            </w:r>
          </w:p>
          <w:p w14:paraId="2960142E">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5.00×10</w:t>
            </w:r>
            <w:r>
              <w:rPr>
                <w:rFonts w:cs="Times New Roman" w:eastAsiaTheme="minorEastAsia"/>
                <w:bCs/>
                <w:sz w:val="21"/>
                <w:szCs w:val="21"/>
                <w:highlight w:val="none"/>
                <w:vertAlign w:val="superscript"/>
              </w:rPr>
              <w:t>-6</w:t>
            </w:r>
            <w:r>
              <w:rPr>
                <w:rFonts w:cs="Times New Roman" w:eastAsiaTheme="minorEastAsia"/>
                <w:bCs/>
                <w:sz w:val="21"/>
                <w:szCs w:val="21"/>
                <w:highlight w:val="none"/>
              </w:rPr>
              <w:t>/a</w:t>
            </w:r>
          </w:p>
          <w:p w14:paraId="4456FC00">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5.00×10</w:t>
            </w:r>
            <w:r>
              <w:rPr>
                <w:rFonts w:cs="Times New Roman" w:eastAsiaTheme="minorEastAsia"/>
                <w:bCs/>
                <w:sz w:val="21"/>
                <w:szCs w:val="21"/>
                <w:highlight w:val="none"/>
                <w:vertAlign w:val="superscript"/>
              </w:rPr>
              <w:t>-6</w:t>
            </w:r>
            <w:r>
              <w:rPr>
                <w:rFonts w:cs="Times New Roman" w:eastAsiaTheme="minorEastAsia"/>
                <w:bCs/>
                <w:sz w:val="21"/>
                <w:szCs w:val="21"/>
                <w:highlight w:val="none"/>
              </w:rPr>
              <w:t>/a</w:t>
            </w:r>
          </w:p>
        </w:tc>
      </w:tr>
      <w:tr w14:paraId="5E3E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00F6317A">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常压双包容储罐</w:t>
            </w:r>
          </w:p>
        </w:tc>
        <w:tc>
          <w:tcPr>
            <w:tcW w:w="5704" w:type="dxa"/>
            <w:vAlign w:val="center"/>
          </w:tcPr>
          <w:p w14:paraId="7ADC8179">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泄漏孔径为10 mm孔径</w:t>
            </w:r>
          </w:p>
          <w:p w14:paraId="79AC2548">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10 min内储罐泄漏完</w:t>
            </w:r>
          </w:p>
          <w:p w14:paraId="3867E2C0">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储罐</w:t>
            </w:r>
            <w:r>
              <w:rPr>
                <w:rFonts w:hint="eastAsia" w:cs="Times New Roman" w:eastAsiaTheme="minorEastAsia"/>
                <w:bCs/>
                <w:sz w:val="21"/>
                <w:szCs w:val="21"/>
                <w:highlight w:val="none"/>
                <w:lang w:eastAsia="zh-CN"/>
              </w:rPr>
              <w:t>完</w:t>
            </w:r>
            <w:r>
              <w:rPr>
                <w:rFonts w:cs="Times New Roman" w:eastAsiaTheme="minorEastAsia"/>
                <w:bCs/>
                <w:sz w:val="21"/>
                <w:szCs w:val="21"/>
                <w:highlight w:val="none"/>
              </w:rPr>
              <w:t>全破裂</w:t>
            </w:r>
          </w:p>
        </w:tc>
        <w:tc>
          <w:tcPr>
            <w:tcW w:w="1560" w:type="dxa"/>
            <w:vAlign w:val="center"/>
          </w:tcPr>
          <w:p w14:paraId="7EF4CF7F">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1.00×10</w:t>
            </w:r>
            <w:r>
              <w:rPr>
                <w:rFonts w:cs="Times New Roman" w:eastAsiaTheme="minorEastAsia"/>
                <w:bCs/>
                <w:sz w:val="21"/>
                <w:szCs w:val="21"/>
                <w:highlight w:val="none"/>
                <w:vertAlign w:val="superscript"/>
              </w:rPr>
              <w:t>-4</w:t>
            </w:r>
            <w:r>
              <w:rPr>
                <w:rFonts w:cs="Times New Roman" w:eastAsiaTheme="minorEastAsia"/>
                <w:bCs/>
                <w:sz w:val="21"/>
                <w:szCs w:val="21"/>
                <w:highlight w:val="none"/>
              </w:rPr>
              <w:t>/a</w:t>
            </w:r>
          </w:p>
          <w:p w14:paraId="616FCF19">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1.25×10</w:t>
            </w:r>
            <w:r>
              <w:rPr>
                <w:rFonts w:cs="Times New Roman" w:eastAsiaTheme="minorEastAsia"/>
                <w:bCs/>
                <w:sz w:val="21"/>
                <w:szCs w:val="21"/>
                <w:highlight w:val="none"/>
                <w:vertAlign w:val="superscript"/>
              </w:rPr>
              <w:t>-8</w:t>
            </w:r>
            <w:r>
              <w:rPr>
                <w:rFonts w:cs="Times New Roman" w:eastAsiaTheme="minorEastAsia"/>
                <w:bCs/>
                <w:sz w:val="21"/>
                <w:szCs w:val="21"/>
                <w:highlight w:val="none"/>
              </w:rPr>
              <w:t>/a</w:t>
            </w:r>
          </w:p>
          <w:p w14:paraId="47EAC927">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1.25×10</w:t>
            </w:r>
            <w:r>
              <w:rPr>
                <w:rFonts w:cs="Times New Roman" w:eastAsiaTheme="minorEastAsia"/>
                <w:bCs/>
                <w:sz w:val="21"/>
                <w:szCs w:val="21"/>
                <w:highlight w:val="none"/>
                <w:vertAlign w:val="superscript"/>
              </w:rPr>
              <w:t>-8</w:t>
            </w:r>
            <w:r>
              <w:rPr>
                <w:rFonts w:cs="Times New Roman" w:eastAsiaTheme="minorEastAsia"/>
                <w:bCs/>
                <w:sz w:val="21"/>
                <w:szCs w:val="21"/>
                <w:highlight w:val="none"/>
              </w:rPr>
              <w:t>/a</w:t>
            </w:r>
          </w:p>
        </w:tc>
      </w:tr>
      <w:tr w14:paraId="2A57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4DD36CB2">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常压全包容储罐</w:t>
            </w:r>
          </w:p>
        </w:tc>
        <w:tc>
          <w:tcPr>
            <w:tcW w:w="5704" w:type="dxa"/>
            <w:vAlign w:val="center"/>
          </w:tcPr>
          <w:p w14:paraId="50B17027">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储罐</w:t>
            </w:r>
            <w:r>
              <w:rPr>
                <w:rFonts w:hint="eastAsia" w:cs="Times New Roman" w:eastAsiaTheme="minorEastAsia"/>
                <w:bCs/>
                <w:sz w:val="21"/>
                <w:szCs w:val="21"/>
                <w:highlight w:val="none"/>
                <w:lang w:eastAsia="zh-CN"/>
              </w:rPr>
              <w:t>完</w:t>
            </w:r>
            <w:r>
              <w:rPr>
                <w:rFonts w:cs="Times New Roman" w:eastAsiaTheme="minorEastAsia"/>
                <w:bCs/>
                <w:sz w:val="21"/>
                <w:szCs w:val="21"/>
                <w:highlight w:val="none"/>
              </w:rPr>
              <w:t>全破裂</w:t>
            </w:r>
          </w:p>
        </w:tc>
        <w:tc>
          <w:tcPr>
            <w:tcW w:w="1560" w:type="dxa"/>
            <w:vAlign w:val="center"/>
          </w:tcPr>
          <w:p w14:paraId="7BBBDC66">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1.00×10</w:t>
            </w:r>
            <w:r>
              <w:rPr>
                <w:rFonts w:cs="Times New Roman" w:eastAsiaTheme="minorEastAsia"/>
                <w:bCs/>
                <w:sz w:val="21"/>
                <w:szCs w:val="21"/>
                <w:highlight w:val="none"/>
                <w:vertAlign w:val="superscript"/>
              </w:rPr>
              <w:t>-8</w:t>
            </w:r>
            <w:r>
              <w:rPr>
                <w:rFonts w:cs="Times New Roman" w:eastAsiaTheme="minorEastAsia"/>
                <w:bCs/>
                <w:sz w:val="21"/>
                <w:szCs w:val="21"/>
                <w:highlight w:val="none"/>
              </w:rPr>
              <w:t>/a</w:t>
            </w:r>
          </w:p>
        </w:tc>
      </w:tr>
      <w:tr w14:paraId="1991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147C91B9">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内径≤75mm的管道</w:t>
            </w:r>
          </w:p>
        </w:tc>
        <w:tc>
          <w:tcPr>
            <w:tcW w:w="5704" w:type="dxa"/>
            <w:vAlign w:val="center"/>
          </w:tcPr>
          <w:p w14:paraId="79A49387">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泄漏孔径为10%孔径</w:t>
            </w:r>
          </w:p>
          <w:p w14:paraId="4E580B67">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全管径泄漏</w:t>
            </w:r>
          </w:p>
        </w:tc>
        <w:tc>
          <w:tcPr>
            <w:tcW w:w="1560" w:type="dxa"/>
            <w:vAlign w:val="center"/>
          </w:tcPr>
          <w:p w14:paraId="09F3E457">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5.00×10</w:t>
            </w:r>
            <w:r>
              <w:rPr>
                <w:rFonts w:cs="Times New Roman" w:eastAsiaTheme="minorEastAsia"/>
                <w:bCs/>
                <w:sz w:val="21"/>
                <w:szCs w:val="21"/>
                <w:highlight w:val="none"/>
                <w:vertAlign w:val="superscript"/>
              </w:rPr>
              <w:t>-6</w:t>
            </w:r>
            <w:r>
              <w:rPr>
                <w:rFonts w:cs="Times New Roman" w:eastAsiaTheme="minorEastAsia"/>
                <w:bCs/>
                <w:sz w:val="21"/>
                <w:szCs w:val="21"/>
                <w:highlight w:val="none"/>
              </w:rPr>
              <w:t>/m·a</w:t>
            </w:r>
          </w:p>
          <w:p w14:paraId="38624659">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1.00×10</w:t>
            </w:r>
            <w:r>
              <w:rPr>
                <w:rFonts w:cs="Times New Roman" w:eastAsiaTheme="minorEastAsia"/>
                <w:bCs/>
                <w:sz w:val="21"/>
                <w:szCs w:val="21"/>
                <w:highlight w:val="none"/>
                <w:vertAlign w:val="superscript"/>
              </w:rPr>
              <w:t>-6</w:t>
            </w:r>
            <w:r>
              <w:rPr>
                <w:rFonts w:cs="Times New Roman" w:eastAsiaTheme="minorEastAsia"/>
                <w:bCs/>
                <w:sz w:val="21"/>
                <w:szCs w:val="21"/>
                <w:highlight w:val="none"/>
              </w:rPr>
              <w:t>/m·a</w:t>
            </w:r>
          </w:p>
        </w:tc>
      </w:tr>
      <w:tr w14:paraId="01D2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6FB50D03">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75mm&lt;内径≤150mm的管道</w:t>
            </w:r>
          </w:p>
        </w:tc>
        <w:tc>
          <w:tcPr>
            <w:tcW w:w="5704" w:type="dxa"/>
            <w:vAlign w:val="center"/>
          </w:tcPr>
          <w:p w14:paraId="6221FEAB">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泄漏孔径为10%孔径</w:t>
            </w:r>
          </w:p>
          <w:p w14:paraId="13DC080C">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全管径泄漏</w:t>
            </w:r>
          </w:p>
        </w:tc>
        <w:tc>
          <w:tcPr>
            <w:tcW w:w="1560" w:type="dxa"/>
            <w:vAlign w:val="center"/>
          </w:tcPr>
          <w:p w14:paraId="17A96B09">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2.00×10</w:t>
            </w:r>
            <w:r>
              <w:rPr>
                <w:rFonts w:cs="Times New Roman" w:eastAsiaTheme="minorEastAsia"/>
                <w:bCs/>
                <w:sz w:val="21"/>
                <w:szCs w:val="21"/>
                <w:highlight w:val="none"/>
                <w:vertAlign w:val="superscript"/>
              </w:rPr>
              <w:t>-6</w:t>
            </w:r>
            <w:r>
              <w:rPr>
                <w:rFonts w:cs="Times New Roman" w:eastAsiaTheme="minorEastAsia"/>
                <w:bCs/>
                <w:sz w:val="21"/>
                <w:szCs w:val="21"/>
                <w:highlight w:val="none"/>
              </w:rPr>
              <w:t>/m·a</w:t>
            </w:r>
          </w:p>
          <w:p w14:paraId="41D772FA">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3.00×10</w:t>
            </w:r>
            <w:r>
              <w:rPr>
                <w:rFonts w:cs="Times New Roman" w:eastAsiaTheme="minorEastAsia"/>
                <w:bCs/>
                <w:sz w:val="21"/>
                <w:szCs w:val="21"/>
                <w:highlight w:val="none"/>
                <w:vertAlign w:val="superscript"/>
              </w:rPr>
              <w:t>-7</w:t>
            </w:r>
            <w:r>
              <w:rPr>
                <w:rFonts w:cs="Times New Roman" w:eastAsiaTheme="minorEastAsia"/>
                <w:bCs/>
                <w:sz w:val="21"/>
                <w:szCs w:val="21"/>
                <w:highlight w:val="none"/>
              </w:rPr>
              <w:t>/m·a</w:t>
            </w:r>
          </w:p>
        </w:tc>
      </w:tr>
      <w:tr w14:paraId="594C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7A1CD005">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内径＞150mm的管道</w:t>
            </w:r>
          </w:p>
        </w:tc>
        <w:tc>
          <w:tcPr>
            <w:tcW w:w="5704" w:type="dxa"/>
            <w:vAlign w:val="center"/>
          </w:tcPr>
          <w:p w14:paraId="2F8DD401">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泄漏孔径为10%孔径（最大50 mm）</w:t>
            </w:r>
          </w:p>
          <w:p w14:paraId="0BF31383">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全管径泄漏</w:t>
            </w:r>
          </w:p>
        </w:tc>
        <w:tc>
          <w:tcPr>
            <w:tcW w:w="1560" w:type="dxa"/>
            <w:vAlign w:val="center"/>
          </w:tcPr>
          <w:p w14:paraId="0FE47BB9">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2.40×10</w:t>
            </w:r>
            <w:r>
              <w:rPr>
                <w:rFonts w:cs="Times New Roman" w:eastAsiaTheme="minorEastAsia"/>
                <w:bCs/>
                <w:sz w:val="21"/>
                <w:szCs w:val="21"/>
                <w:highlight w:val="none"/>
                <w:vertAlign w:val="superscript"/>
              </w:rPr>
              <w:t>-6</w:t>
            </w:r>
            <w:r>
              <w:rPr>
                <w:rFonts w:cs="Times New Roman" w:eastAsiaTheme="minorEastAsia"/>
                <w:bCs/>
                <w:sz w:val="21"/>
                <w:szCs w:val="21"/>
                <w:highlight w:val="none"/>
              </w:rPr>
              <w:t>/m·a</w:t>
            </w:r>
          </w:p>
          <w:p w14:paraId="42E12246">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1.00×10</w:t>
            </w:r>
            <w:r>
              <w:rPr>
                <w:rFonts w:cs="Times New Roman" w:eastAsiaTheme="minorEastAsia"/>
                <w:bCs/>
                <w:sz w:val="21"/>
                <w:szCs w:val="21"/>
                <w:highlight w:val="none"/>
                <w:vertAlign w:val="superscript"/>
              </w:rPr>
              <w:t>-7</w:t>
            </w:r>
            <w:r>
              <w:rPr>
                <w:rFonts w:cs="Times New Roman" w:eastAsiaTheme="minorEastAsia"/>
                <w:bCs/>
                <w:sz w:val="21"/>
                <w:szCs w:val="21"/>
                <w:highlight w:val="none"/>
              </w:rPr>
              <w:t>/m·a</w:t>
            </w:r>
          </w:p>
        </w:tc>
      </w:tr>
      <w:tr w14:paraId="09982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31085A2B">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泵体和压缩机</w:t>
            </w:r>
          </w:p>
        </w:tc>
        <w:tc>
          <w:tcPr>
            <w:tcW w:w="5704" w:type="dxa"/>
            <w:vAlign w:val="center"/>
          </w:tcPr>
          <w:p w14:paraId="1358CC68">
            <w:pPr>
              <w:autoSpaceDE w:val="0"/>
              <w:autoSpaceDN w:val="0"/>
              <w:adjustRightInd w:val="0"/>
              <w:snapToGrid w:val="0"/>
              <w:spacing w:line="240" w:lineRule="auto"/>
              <w:ind w:firstLine="0" w:firstLineChars="0"/>
              <w:jc w:val="both"/>
              <w:rPr>
                <w:rFonts w:hint="eastAsia" w:cs="Times New Roman" w:eastAsiaTheme="minorEastAsia"/>
                <w:bCs/>
                <w:sz w:val="21"/>
                <w:szCs w:val="21"/>
                <w:highlight w:val="none"/>
                <w:lang w:eastAsia="zh-CN"/>
              </w:rPr>
            </w:pPr>
            <w:r>
              <w:rPr>
                <w:rFonts w:cs="Times New Roman" w:eastAsiaTheme="minorEastAsia"/>
                <w:bCs/>
                <w:sz w:val="21"/>
                <w:szCs w:val="21"/>
                <w:highlight w:val="none"/>
              </w:rPr>
              <w:t>泵体和压缩机最大连接管泄漏孔径为10%孔径（最大50mm）</w:t>
            </w:r>
          </w:p>
          <w:p w14:paraId="24794BE1">
            <w:pPr>
              <w:autoSpaceDE w:val="0"/>
              <w:autoSpaceDN w:val="0"/>
              <w:adjustRightInd w:val="0"/>
              <w:snapToGrid w:val="0"/>
              <w:spacing w:line="240" w:lineRule="auto"/>
              <w:ind w:firstLine="0" w:firstLineChars="0"/>
              <w:jc w:val="center"/>
              <w:rPr>
                <w:rFonts w:hint="eastAsia" w:cs="Times New Roman" w:eastAsiaTheme="minorEastAsia"/>
                <w:bCs/>
                <w:sz w:val="21"/>
                <w:szCs w:val="21"/>
                <w:highlight w:val="none"/>
                <w:lang w:eastAsia="zh-CN"/>
              </w:rPr>
            </w:pPr>
            <w:r>
              <w:rPr>
                <w:rFonts w:cs="Times New Roman" w:eastAsiaTheme="minorEastAsia"/>
                <w:bCs/>
                <w:sz w:val="21"/>
                <w:szCs w:val="21"/>
                <w:highlight w:val="none"/>
              </w:rPr>
              <w:t>泵体和压缩机最大连接管全管径泄漏</w:t>
            </w:r>
          </w:p>
        </w:tc>
        <w:tc>
          <w:tcPr>
            <w:tcW w:w="1560" w:type="dxa"/>
            <w:vAlign w:val="center"/>
          </w:tcPr>
          <w:p w14:paraId="00D4702C">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5.00×10</w:t>
            </w:r>
            <w:r>
              <w:rPr>
                <w:rFonts w:cs="Times New Roman" w:eastAsiaTheme="minorEastAsia"/>
                <w:bCs/>
                <w:sz w:val="21"/>
                <w:szCs w:val="21"/>
                <w:highlight w:val="none"/>
                <w:vertAlign w:val="superscript"/>
              </w:rPr>
              <w:t>-4</w:t>
            </w:r>
            <w:r>
              <w:rPr>
                <w:rFonts w:cs="Times New Roman" w:eastAsiaTheme="minorEastAsia"/>
                <w:bCs/>
                <w:sz w:val="21"/>
                <w:szCs w:val="21"/>
                <w:highlight w:val="none"/>
              </w:rPr>
              <w:t>/a</w:t>
            </w:r>
          </w:p>
          <w:p w14:paraId="6F63473F">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1.00×10</w:t>
            </w:r>
            <w:r>
              <w:rPr>
                <w:rFonts w:cs="Times New Roman" w:eastAsiaTheme="minorEastAsia"/>
                <w:bCs/>
                <w:sz w:val="21"/>
                <w:szCs w:val="21"/>
                <w:highlight w:val="none"/>
                <w:vertAlign w:val="superscript"/>
              </w:rPr>
              <w:t>-4</w:t>
            </w:r>
            <w:r>
              <w:rPr>
                <w:rFonts w:cs="Times New Roman" w:eastAsiaTheme="minorEastAsia"/>
                <w:bCs/>
                <w:sz w:val="21"/>
                <w:szCs w:val="21"/>
                <w:highlight w:val="none"/>
              </w:rPr>
              <w:t>/a</w:t>
            </w:r>
          </w:p>
        </w:tc>
      </w:tr>
      <w:tr w14:paraId="6495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1EEB4A56">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装卸臂</w:t>
            </w:r>
          </w:p>
        </w:tc>
        <w:tc>
          <w:tcPr>
            <w:tcW w:w="5704" w:type="dxa"/>
            <w:vAlign w:val="center"/>
          </w:tcPr>
          <w:p w14:paraId="38A5B1B9">
            <w:pPr>
              <w:autoSpaceDE w:val="0"/>
              <w:autoSpaceDN w:val="0"/>
              <w:adjustRightInd w:val="0"/>
              <w:snapToGrid w:val="0"/>
              <w:spacing w:line="240" w:lineRule="auto"/>
              <w:ind w:firstLine="0" w:firstLineChars="0"/>
              <w:jc w:val="center"/>
              <w:rPr>
                <w:rFonts w:hint="eastAsia" w:cs="Times New Roman" w:eastAsiaTheme="minorEastAsia"/>
                <w:bCs/>
                <w:sz w:val="21"/>
                <w:szCs w:val="21"/>
                <w:highlight w:val="none"/>
                <w:lang w:eastAsia="zh-CN"/>
              </w:rPr>
            </w:pPr>
            <w:r>
              <w:rPr>
                <w:rFonts w:cs="Times New Roman" w:eastAsiaTheme="minorEastAsia"/>
                <w:bCs/>
                <w:sz w:val="21"/>
                <w:szCs w:val="21"/>
                <w:highlight w:val="none"/>
              </w:rPr>
              <w:t>装卸臂连接管泄漏孔径为10%孔径（最大50mm）</w:t>
            </w:r>
          </w:p>
          <w:p w14:paraId="6C93CC46">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装卸臂全管径泄漏</w:t>
            </w:r>
          </w:p>
        </w:tc>
        <w:tc>
          <w:tcPr>
            <w:tcW w:w="1560" w:type="dxa"/>
            <w:vAlign w:val="center"/>
          </w:tcPr>
          <w:p w14:paraId="6F71951A">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3.00×10</w:t>
            </w:r>
            <w:r>
              <w:rPr>
                <w:rFonts w:cs="Times New Roman" w:eastAsiaTheme="minorEastAsia"/>
                <w:bCs/>
                <w:sz w:val="21"/>
                <w:szCs w:val="21"/>
                <w:highlight w:val="none"/>
                <w:vertAlign w:val="superscript"/>
              </w:rPr>
              <w:t>-7</w:t>
            </w:r>
            <w:r>
              <w:rPr>
                <w:rFonts w:cs="Times New Roman" w:eastAsiaTheme="minorEastAsia"/>
                <w:bCs/>
                <w:sz w:val="21"/>
                <w:szCs w:val="21"/>
                <w:highlight w:val="none"/>
              </w:rPr>
              <w:t>/h</w:t>
            </w:r>
          </w:p>
          <w:p w14:paraId="7B528355">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3.00×10</w:t>
            </w:r>
            <w:r>
              <w:rPr>
                <w:rFonts w:cs="Times New Roman" w:eastAsiaTheme="minorEastAsia"/>
                <w:bCs/>
                <w:sz w:val="21"/>
                <w:szCs w:val="21"/>
                <w:highlight w:val="none"/>
                <w:vertAlign w:val="superscript"/>
              </w:rPr>
              <w:t>-8</w:t>
            </w:r>
            <w:r>
              <w:rPr>
                <w:rFonts w:cs="Times New Roman" w:eastAsiaTheme="minorEastAsia"/>
                <w:bCs/>
                <w:sz w:val="21"/>
                <w:szCs w:val="21"/>
                <w:highlight w:val="none"/>
              </w:rPr>
              <w:t>/h</w:t>
            </w:r>
          </w:p>
        </w:tc>
      </w:tr>
      <w:tr w14:paraId="29F2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5B5DD136">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装卸软管</w:t>
            </w:r>
          </w:p>
        </w:tc>
        <w:tc>
          <w:tcPr>
            <w:tcW w:w="5704" w:type="dxa"/>
            <w:vAlign w:val="center"/>
          </w:tcPr>
          <w:p w14:paraId="44452B81">
            <w:pPr>
              <w:autoSpaceDE w:val="0"/>
              <w:autoSpaceDN w:val="0"/>
              <w:adjustRightInd w:val="0"/>
              <w:snapToGrid w:val="0"/>
              <w:spacing w:line="240" w:lineRule="auto"/>
              <w:ind w:firstLine="0" w:firstLineChars="0"/>
              <w:jc w:val="center"/>
              <w:rPr>
                <w:rFonts w:hint="eastAsia" w:cs="Times New Roman" w:eastAsiaTheme="minorEastAsia"/>
                <w:bCs/>
                <w:sz w:val="21"/>
                <w:szCs w:val="21"/>
                <w:highlight w:val="none"/>
                <w:lang w:eastAsia="zh-CN"/>
              </w:rPr>
            </w:pPr>
            <w:r>
              <w:rPr>
                <w:rFonts w:cs="Times New Roman" w:eastAsiaTheme="minorEastAsia"/>
                <w:bCs/>
                <w:sz w:val="21"/>
                <w:szCs w:val="21"/>
                <w:highlight w:val="none"/>
              </w:rPr>
              <w:t>装卸软管连接管泄漏孔径为10%孔径（最大50mm）</w:t>
            </w:r>
          </w:p>
          <w:p w14:paraId="629B7294">
            <w:pPr>
              <w:autoSpaceDE w:val="0"/>
              <w:autoSpaceDN w:val="0"/>
              <w:adjustRightInd w:val="0"/>
              <w:snapToGrid w:val="0"/>
              <w:spacing w:line="240" w:lineRule="auto"/>
              <w:ind w:firstLine="0" w:firstLineChars="0"/>
              <w:jc w:val="center"/>
              <w:rPr>
                <w:rFonts w:hint="eastAsia" w:cs="Times New Roman" w:eastAsiaTheme="minorEastAsia"/>
                <w:bCs/>
                <w:sz w:val="21"/>
                <w:szCs w:val="21"/>
                <w:highlight w:val="none"/>
                <w:lang w:eastAsia="zh-CN"/>
              </w:rPr>
            </w:pPr>
            <w:r>
              <w:rPr>
                <w:rFonts w:cs="Times New Roman" w:eastAsiaTheme="minorEastAsia"/>
                <w:bCs/>
                <w:sz w:val="21"/>
                <w:szCs w:val="21"/>
                <w:highlight w:val="none"/>
              </w:rPr>
              <w:t>装卸软管全管径泄漏</w:t>
            </w:r>
          </w:p>
        </w:tc>
        <w:tc>
          <w:tcPr>
            <w:tcW w:w="1560" w:type="dxa"/>
            <w:vAlign w:val="center"/>
          </w:tcPr>
          <w:p w14:paraId="6092391A">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4.00×10</w:t>
            </w:r>
            <w:r>
              <w:rPr>
                <w:rFonts w:cs="Times New Roman" w:eastAsiaTheme="minorEastAsia"/>
                <w:bCs/>
                <w:sz w:val="21"/>
                <w:szCs w:val="21"/>
                <w:highlight w:val="none"/>
                <w:vertAlign w:val="superscript"/>
              </w:rPr>
              <w:t>-5</w:t>
            </w:r>
            <w:r>
              <w:rPr>
                <w:rFonts w:cs="Times New Roman" w:eastAsiaTheme="minorEastAsia"/>
                <w:bCs/>
                <w:sz w:val="21"/>
                <w:szCs w:val="21"/>
                <w:highlight w:val="none"/>
              </w:rPr>
              <w:t>/h</w:t>
            </w:r>
          </w:p>
          <w:p w14:paraId="776A3D30">
            <w:pPr>
              <w:autoSpaceDE w:val="0"/>
              <w:autoSpaceDN w:val="0"/>
              <w:adjustRightInd w:val="0"/>
              <w:snapToGrid w:val="0"/>
              <w:spacing w:line="240" w:lineRule="auto"/>
              <w:ind w:firstLine="0" w:firstLineChars="0"/>
              <w:jc w:val="center"/>
              <w:rPr>
                <w:rFonts w:cs="Times New Roman" w:eastAsiaTheme="minorEastAsia"/>
                <w:bCs/>
                <w:sz w:val="21"/>
                <w:szCs w:val="21"/>
                <w:highlight w:val="none"/>
              </w:rPr>
            </w:pPr>
            <w:r>
              <w:rPr>
                <w:rFonts w:cs="Times New Roman" w:eastAsiaTheme="minorEastAsia"/>
                <w:bCs/>
                <w:sz w:val="21"/>
                <w:szCs w:val="21"/>
                <w:highlight w:val="none"/>
              </w:rPr>
              <w:t>4.00×10</w:t>
            </w:r>
            <w:r>
              <w:rPr>
                <w:rFonts w:cs="Times New Roman" w:eastAsiaTheme="minorEastAsia"/>
                <w:bCs/>
                <w:sz w:val="21"/>
                <w:szCs w:val="21"/>
                <w:highlight w:val="none"/>
                <w:vertAlign w:val="superscript"/>
              </w:rPr>
              <w:t>-6</w:t>
            </w:r>
            <w:r>
              <w:rPr>
                <w:rFonts w:cs="Times New Roman" w:eastAsiaTheme="minorEastAsia"/>
                <w:bCs/>
                <w:sz w:val="21"/>
                <w:szCs w:val="21"/>
                <w:highlight w:val="none"/>
              </w:rPr>
              <w:t>/h</w:t>
            </w:r>
          </w:p>
        </w:tc>
      </w:tr>
      <w:tr w14:paraId="6897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8" w:type="dxa"/>
            <w:gridSpan w:val="3"/>
            <w:vAlign w:val="center"/>
          </w:tcPr>
          <w:p w14:paraId="772B9466">
            <w:pPr>
              <w:autoSpaceDE w:val="0"/>
              <w:autoSpaceDN w:val="0"/>
              <w:adjustRightInd w:val="0"/>
              <w:snapToGrid w:val="0"/>
              <w:spacing w:line="240" w:lineRule="auto"/>
              <w:ind w:firstLine="0" w:firstLineChars="0"/>
              <w:jc w:val="center"/>
              <w:rPr>
                <w:rFonts w:cs="Times New Roman"/>
                <w:highlight w:val="none"/>
              </w:rPr>
            </w:pPr>
            <w:r>
              <w:rPr>
                <w:rFonts w:cs="Times New Roman" w:eastAsiaTheme="minorEastAsia"/>
                <w:bCs/>
                <w:sz w:val="21"/>
                <w:szCs w:val="21"/>
                <w:highlight w:val="none"/>
              </w:rPr>
              <w:t>注：以上数据来源于荷兰TNO紫皮书（Guidelines for Quantitative）以及Reference Manual Bevi Risk Assessments；来源于国际油气协会International Association of Oil &amp;Gas Producers发布的Risk Assessment Data Directory（2010</w:t>
            </w:r>
            <w:r>
              <w:rPr>
                <w:rFonts w:hint="eastAsia" w:cs="Times New Roman" w:eastAsiaTheme="minorEastAsia"/>
                <w:bCs/>
                <w:sz w:val="21"/>
                <w:szCs w:val="21"/>
                <w:highlight w:val="none"/>
                <w:lang w:eastAsia="zh-CN"/>
              </w:rPr>
              <w:t>，</w:t>
            </w:r>
            <w:r>
              <w:rPr>
                <w:rFonts w:cs="Times New Roman" w:eastAsiaTheme="minorEastAsia"/>
                <w:bCs/>
                <w:sz w:val="21"/>
                <w:szCs w:val="21"/>
                <w:highlight w:val="none"/>
              </w:rPr>
              <w:t>3）。</w:t>
            </w:r>
          </w:p>
        </w:tc>
      </w:tr>
    </w:tbl>
    <w:p w14:paraId="0BC716DB">
      <w:pPr>
        <w:spacing w:line="360" w:lineRule="auto"/>
        <w:ind w:firstLine="480" w:firstLineChars="200"/>
        <w:rPr>
          <w:rFonts w:hint="eastAsia" w:ascii="Times New Roman" w:hAnsi="Times New Roman" w:eastAsia="宋体" w:cs="Times New Roman"/>
          <w:sz w:val="24"/>
          <w:highlight w:val="none"/>
          <w:lang w:val="zh-CN"/>
        </w:rPr>
      </w:pPr>
      <w:r>
        <w:rPr>
          <w:rFonts w:ascii="Times New Roman" w:hAnsi="Times New Roman" w:eastAsia="宋体" w:cs="Times New Roman"/>
          <w:sz w:val="24"/>
          <w:highlight w:val="none"/>
          <w:lang w:val="zh-CN"/>
        </w:rPr>
        <w:t>一般情况下，发生频率小于10</w:t>
      </w:r>
      <w:r>
        <w:rPr>
          <w:rFonts w:ascii="Times New Roman" w:hAnsi="Times New Roman" w:eastAsia="宋体" w:cs="Times New Roman"/>
          <w:sz w:val="24"/>
          <w:highlight w:val="none"/>
          <w:vertAlign w:val="superscript"/>
          <w:lang w:val="zh-CN"/>
        </w:rPr>
        <w:t>-6</w:t>
      </w:r>
      <w:r>
        <w:rPr>
          <w:rFonts w:ascii="Times New Roman" w:hAnsi="Times New Roman" w:eastAsia="宋体" w:cs="Times New Roman"/>
          <w:sz w:val="24"/>
          <w:highlight w:val="none"/>
          <w:lang w:val="zh-CN"/>
        </w:rPr>
        <w:t>/年的事件是极小概率事件，可作为代表性事故中的最大可信事故设定的参考。</w:t>
      </w:r>
    </w:p>
    <w:p w14:paraId="0A6CA732">
      <w:pPr>
        <w:keepNext/>
        <w:keepLines/>
        <w:spacing w:line="360" w:lineRule="auto"/>
        <w:outlineLvl w:val="1"/>
        <w:rPr>
          <w:b/>
          <w:bCs/>
          <w:sz w:val="28"/>
          <w:szCs w:val="28"/>
          <w:highlight w:val="none"/>
        </w:rPr>
      </w:pPr>
      <w:bookmarkStart w:id="70" w:name="_Toc23811_WPSOffice_Level1"/>
      <w:r>
        <w:rPr>
          <w:rFonts w:hint="eastAsia"/>
          <w:b/>
          <w:bCs/>
          <w:sz w:val="28"/>
          <w:szCs w:val="28"/>
          <w:highlight w:val="none"/>
        </w:rPr>
        <w:t>4.</w:t>
      </w:r>
      <w:r>
        <w:rPr>
          <w:rFonts w:hint="eastAsia"/>
          <w:b/>
          <w:bCs/>
          <w:sz w:val="28"/>
          <w:szCs w:val="28"/>
          <w:highlight w:val="none"/>
          <w:lang w:val="en-US" w:eastAsia="zh-CN"/>
        </w:rPr>
        <w:t>2</w:t>
      </w:r>
      <w:r>
        <w:rPr>
          <w:rFonts w:hint="eastAsia"/>
          <w:b/>
          <w:bCs/>
          <w:sz w:val="28"/>
          <w:szCs w:val="28"/>
          <w:highlight w:val="none"/>
        </w:rPr>
        <w:t>大气环境风险分析</w:t>
      </w:r>
      <w:bookmarkEnd w:id="70"/>
    </w:p>
    <w:p w14:paraId="2FC48433">
      <w:pPr>
        <w:adjustRightInd w:val="0"/>
        <w:snapToGrid w:val="0"/>
        <w:spacing w:line="360" w:lineRule="auto"/>
        <w:ind w:firstLine="480" w:firstLineChars="200"/>
        <w:rPr>
          <w:rFonts w:hint="eastAsia"/>
          <w:sz w:val="24"/>
          <w:highlight w:val="none"/>
        </w:rPr>
      </w:pPr>
      <w:r>
        <w:rPr>
          <w:rFonts w:hint="eastAsia"/>
          <w:sz w:val="24"/>
          <w:highlight w:val="none"/>
        </w:rPr>
        <w:t>输送管道发生泄漏事故后，</w:t>
      </w:r>
      <w:r>
        <w:rPr>
          <w:rFonts w:hint="eastAsia"/>
          <w:sz w:val="24"/>
          <w:highlight w:val="none"/>
          <w:lang w:val="en-US" w:eastAsia="zh-CN"/>
        </w:rPr>
        <w:t>合成脱碳尾</w:t>
      </w:r>
      <w:r>
        <w:rPr>
          <w:rFonts w:hint="default"/>
          <w:sz w:val="24"/>
          <w:highlight w:val="none"/>
          <w:lang w:val="en-US" w:eastAsia="zh-CN"/>
        </w:rPr>
        <w:t>气</w:t>
      </w:r>
      <w:r>
        <w:rPr>
          <w:rFonts w:hint="eastAsia"/>
          <w:sz w:val="24"/>
          <w:highlight w:val="none"/>
        </w:rPr>
        <w:t>、</w:t>
      </w:r>
      <w:r>
        <w:rPr>
          <w:rFonts w:hint="eastAsia"/>
          <w:sz w:val="24"/>
          <w:highlight w:val="none"/>
          <w:lang w:val="en-US" w:eastAsia="zh-CN"/>
        </w:rPr>
        <w:t>未变换净化</w:t>
      </w:r>
      <w:r>
        <w:rPr>
          <w:rFonts w:hint="default"/>
          <w:sz w:val="24"/>
          <w:highlight w:val="none"/>
          <w:lang w:val="en-US" w:eastAsia="zh-CN"/>
        </w:rPr>
        <w:t>气</w:t>
      </w:r>
      <w:r>
        <w:rPr>
          <w:rFonts w:hint="eastAsia"/>
          <w:sz w:val="24"/>
          <w:highlight w:val="none"/>
        </w:rPr>
        <w:t>、</w:t>
      </w:r>
      <w:r>
        <w:rPr>
          <w:rFonts w:hint="eastAsia"/>
          <w:sz w:val="24"/>
          <w:highlight w:val="none"/>
          <w:lang w:val="en-US" w:eastAsia="zh-CN"/>
        </w:rPr>
        <w:t>尾气</w:t>
      </w:r>
      <w:r>
        <w:rPr>
          <w:rFonts w:hint="eastAsia"/>
          <w:sz w:val="24"/>
          <w:highlight w:val="none"/>
        </w:rPr>
        <w:t>、</w:t>
      </w:r>
      <w:r>
        <w:rPr>
          <w:rFonts w:hint="eastAsia"/>
          <w:sz w:val="24"/>
          <w:highlight w:val="none"/>
          <w:lang w:val="en-US" w:eastAsia="zh-CN"/>
        </w:rPr>
        <w:t>WRT甲烷气、</w:t>
      </w:r>
      <w:r>
        <w:rPr>
          <w:rFonts w:hint="eastAsia" w:ascii="Times New Roman" w:hAnsi="Times New Roman" w:eastAsia="宋体" w:cs="Times New Roman"/>
          <w:sz w:val="24"/>
          <w:szCs w:val="24"/>
          <w:highlight w:val="none"/>
          <w:lang w:val="en-US" w:eastAsia="zh-CN"/>
        </w:rPr>
        <w:t>甲烷、低压含烃火炬气、酸湿火炬</w:t>
      </w:r>
      <w:r>
        <w:rPr>
          <w:rFonts w:hint="eastAsia" w:cs="Times New Roman"/>
          <w:sz w:val="24"/>
          <w:szCs w:val="24"/>
          <w:highlight w:val="none"/>
          <w:lang w:val="en-US" w:eastAsia="zh-CN"/>
        </w:rPr>
        <w:t>气</w:t>
      </w:r>
      <w:r>
        <w:rPr>
          <w:rFonts w:hint="eastAsia" w:ascii="Times New Roman" w:hAnsi="Times New Roman" w:eastAsia="宋体" w:cs="Times New Roman"/>
          <w:sz w:val="24"/>
          <w:szCs w:val="24"/>
          <w:highlight w:val="none"/>
          <w:lang w:val="en-US" w:eastAsia="zh-CN"/>
        </w:rPr>
        <w:t>、富甲烷气、酸性气、真空泵尾气泄漏以后大部分以气态形式存在。</w:t>
      </w:r>
      <w:r>
        <w:rPr>
          <w:rFonts w:hint="eastAsia" w:ascii="Times New Roman" w:hAnsi="Times New Roman" w:eastAsia="宋体" w:cs="Times New Roman"/>
          <w:color w:val="auto"/>
          <w:sz w:val="24"/>
          <w:szCs w:val="24"/>
          <w:highlight w:val="none"/>
          <w:lang w:val="en-US" w:eastAsia="zh-CN"/>
        </w:rPr>
        <w:t>项目管道架空敷设，其中为了便于计量和快速切断，在合成脱碳尾气、未变换净化气、WRT甲烷气、回用水、富甲烷气</w:t>
      </w:r>
      <w:r>
        <w:rPr>
          <w:rFonts w:hint="eastAsia" w:cs="Times New Roman"/>
          <w:color w:val="auto"/>
          <w:sz w:val="24"/>
          <w:szCs w:val="24"/>
          <w:highlight w:val="none"/>
          <w:lang w:val="en-US" w:eastAsia="zh-CN"/>
        </w:rPr>
        <w:t>等</w:t>
      </w:r>
      <w:r>
        <w:rPr>
          <w:rFonts w:hint="eastAsia" w:ascii="Times New Roman" w:hAnsi="Times New Roman" w:eastAsia="宋体" w:cs="Times New Roman"/>
          <w:color w:val="auto"/>
          <w:sz w:val="24"/>
          <w:szCs w:val="24"/>
          <w:highlight w:val="none"/>
          <w:lang w:val="en-US" w:eastAsia="zh-CN"/>
        </w:rPr>
        <w:t>管道上设置快速切断阀，WRT甲烷气和污水2管线设置压力调节阀组和流量计</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其</w:t>
      </w:r>
      <w:r>
        <w:rPr>
          <w:rFonts w:hint="eastAsia" w:cs="Times New Roman"/>
          <w:color w:val="auto"/>
          <w:sz w:val="24"/>
          <w:szCs w:val="24"/>
          <w:highlight w:val="none"/>
          <w:lang w:val="en-US" w:eastAsia="zh-CN"/>
        </w:rPr>
        <w:t>他</w:t>
      </w:r>
      <w:r>
        <w:rPr>
          <w:rFonts w:hint="eastAsia" w:ascii="Times New Roman" w:hAnsi="Times New Roman" w:eastAsia="宋体" w:cs="Times New Roman"/>
          <w:color w:val="auto"/>
          <w:sz w:val="24"/>
          <w:szCs w:val="24"/>
          <w:highlight w:val="none"/>
          <w:lang w:val="en-US" w:eastAsia="zh-CN"/>
        </w:rPr>
        <w:t>工艺和公用工程管道仅设置流量计用于计量结算，管线末端设置手动切断阀组。在物料输出端和接收端设置中控系统和紧急切断阀，阀门和仪表的控制信号接入伊泰化工公司DCS系统</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一旦发生泄漏易被发现，</w:t>
      </w:r>
      <w:r>
        <w:rPr>
          <w:rFonts w:hint="eastAsia" w:ascii="Times New Roman" w:hAnsi="Times New Roman" w:eastAsia="宋体" w:cs="Times New Roman"/>
          <w:sz w:val="24"/>
          <w:szCs w:val="24"/>
          <w:highlight w:val="none"/>
          <w:lang w:val="en-US" w:eastAsia="zh-CN"/>
        </w:rPr>
        <w:t>可控制发生泄漏的物质量在较小的范围内，泄漏挥发产生的污染物源强不大，</w:t>
      </w:r>
      <w:r>
        <w:rPr>
          <w:rFonts w:hint="eastAsia"/>
          <w:sz w:val="24"/>
          <w:highlight w:val="none"/>
        </w:rPr>
        <w:t>因此对周边环境影响基本可控。</w:t>
      </w:r>
    </w:p>
    <w:p w14:paraId="3212F966">
      <w:pPr>
        <w:adjustRightInd w:val="0"/>
        <w:snapToGrid w:val="0"/>
        <w:spacing w:line="360" w:lineRule="auto"/>
        <w:ind w:firstLine="480" w:firstLineChars="200"/>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lang w:val="en-US" w:eastAsia="zh-CN"/>
        </w:rPr>
        <w:t>若</w:t>
      </w:r>
      <w:r>
        <w:rPr>
          <w:rFonts w:hint="eastAsia" w:ascii="Times New Roman" w:hAnsi="Times New Roman" w:eastAsia="宋体" w:cs="Times New Roman"/>
          <w:sz w:val="24"/>
          <w:highlight w:val="none"/>
        </w:rPr>
        <w:t>引发火灾爆炸事故，则会产生次生污染物CO等，对区域环境空气质量会产生一定的不利影响。依托</w:t>
      </w:r>
      <w:r>
        <w:rPr>
          <w:rFonts w:hint="eastAsia" w:cs="Times New Roman"/>
          <w:color w:val="auto"/>
          <w:sz w:val="24"/>
          <w:szCs w:val="24"/>
          <w:highlight w:val="none"/>
          <w:lang w:val="en-US" w:eastAsia="zh-CN"/>
        </w:rPr>
        <w:t>伊泰化工</w:t>
      </w:r>
      <w:r>
        <w:rPr>
          <w:rFonts w:hint="default" w:ascii="Times New Roman" w:hAnsi="Times New Roman" w:eastAsia="宋体" w:cs="Times New Roman"/>
          <w:color w:val="auto"/>
          <w:sz w:val="24"/>
          <w:szCs w:val="24"/>
          <w:highlight w:val="none"/>
          <w:lang w:val="en-US" w:eastAsia="zh-CN"/>
        </w:rPr>
        <w:t>公司DCS系统</w:t>
      </w:r>
      <w:r>
        <w:rPr>
          <w:rFonts w:hint="eastAsia" w:cs="Times New Roman"/>
          <w:color w:val="auto"/>
          <w:sz w:val="24"/>
          <w:szCs w:val="24"/>
          <w:highlight w:val="none"/>
          <w:lang w:val="en-US" w:eastAsia="zh-CN"/>
        </w:rPr>
        <w:t>发现后可及时</w:t>
      </w:r>
      <w:r>
        <w:rPr>
          <w:rFonts w:hint="eastAsia" w:ascii="Times New Roman" w:hAnsi="Times New Roman" w:eastAsia="宋体" w:cs="Times New Roman"/>
          <w:sz w:val="24"/>
          <w:highlight w:val="none"/>
        </w:rPr>
        <w:t>切断控制</w:t>
      </w:r>
      <w:r>
        <w:rPr>
          <w:rFonts w:hint="eastAsia" w:cs="Times New Roman"/>
          <w:sz w:val="24"/>
          <w:highlight w:val="none"/>
          <w:lang w:eastAsia="zh-CN"/>
        </w:rPr>
        <w:t>，</w:t>
      </w:r>
      <w:r>
        <w:rPr>
          <w:rFonts w:hint="eastAsia" w:ascii="Times New Roman" w:hAnsi="Times New Roman" w:eastAsia="宋体" w:cs="Times New Roman"/>
          <w:sz w:val="24"/>
          <w:highlight w:val="none"/>
        </w:rPr>
        <w:t>减少泄漏量，同时依托</w:t>
      </w:r>
      <w:r>
        <w:rPr>
          <w:rFonts w:hint="eastAsia" w:ascii="Times New Roman" w:hAnsi="Times New Roman" w:eastAsia="宋体" w:cs="Times New Roman"/>
          <w:sz w:val="24"/>
          <w:highlight w:val="none"/>
          <w:lang w:val="en-US" w:eastAsia="zh-CN"/>
        </w:rPr>
        <w:t>相邻公司</w:t>
      </w:r>
      <w:r>
        <w:rPr>
          <w:rFonts w:hint="eastAsia" w:ascii="Times New Roman" w:hAnsi="Times New Roman" w:eastAsia="宋体" w:cs="Times New Roman"/>
          <w:sz w:val="24"/>
          <w:highlight w:val="none"/>
        </w:rPr>
        <w:t>、工业区现有消防力量，迅速采取消防措施</w:t>
      </w:r>
      <w:r>
        <w:rPr>
          <w:rFonts w:hint="eastAsia" w:cs="Times New Roman"/>
          <w:sz w:val="24"/>
          <w:highlight w:val="none"/>
          <w:lang w:eastAsia="zh-CN"/>
        </w:rPr>
        <w:t>，在</w:t>
      </w:r>
      <w:r>
        <w:rPr>
          <w:rFonts w:hint="eastAsia" w:ascii="Times New Roman" w:hAnsi="Times New Roman" w:eastAsia="宋体" w:cs="Times New Roman"/>
          <w:sz w:val="24"/>
          <w:highlight w:val="none"/>
        </w:rPr>
        <w:t>控制火灾情势后，及时采取堵漏措施，可保证对周边区域环境空气质量影响控制在有限范围内。</w:t>
      </w:r>
    </w:p>
    <w:p w14:paraId="201FAFE6">
      <w:pPr>
        <w:keepNext/>
        <w:keepLines/>
        <w:spacing w:line="360" w:lineRule="auto"/>
        <w:outlineLvl w:val="1"/>
        <w:rPr>
          <w:spacing w:val="-3"/>
          <w:szCs w:val="24"/>
          <w:highlight w:val="none"/>
        </w:rPr>
      </w:pPr>
      <w:bookmarkStart w:id="71" w:name="_Toc11198_WPSOffice_Level1"/>
      <w:r>
        <w:rPr>
          <w:rFonts w:hint="eastAsia" w:ascii="Times New Roman" w:hAnsi="Times New Roman" w:eastAsia="宋体" w:cs="Times New Roman"/>
          <w:b/>
          <w:bCs/>
          <w:sz w:val="28"/>
          <w:szCs w:val="28"/>
          <w:highlight w:val="none"/>
          <w:lang w:val="en-US" w:eastAsia="zh-CN"/>
        </w:rPr>
        <w:t>4</w:t>
      </w:r>
      <w:r>
        <w:rPr>
          <w:rFonts w:hint="default" w:ascii="Times New Roman" w:hAnsi="Times New Roman" w:eastAsia="宋体" w:cs="Times New Roman"/>
          <w:b/>
          <w:bCs/>
          <w:sz w:val="28"/>
          <w:szCs w:val="28"/>
          <w:highlight w:val="none"/>
        </w:rPr>
        <w:t>.</w:t>
      </w:r>
      <w:r>
        <w:rPr>
          <w:rFonts w:hint="eastAsia" w:cs="Times New Roman"/>
          <w:b/>
          <w:bCs/>
          <w:sz w:val="28"/>
          <w:szCs w:val="28"/>
          <w:highlight w:val="none"/>
          <w:lang w:val="en-US" w:eastAsia="zh-CN"/>
        </w:rPr>
        <w:t>3</w:t>
      </w:r>
      <w:r>
        <w:rPr>
          <w:rFonts w:hint="default" w:ascii="Times New Roman" w:hAnsi="Times New Roman" w:eastAsia="宋体" w:cs="Times New Roman"/>
          <w:b/>
          <w:bCs/>
          <w:sz w:val="28"/>
          <w:szCs w:val="28"/>
          <w:highlight w:val="none"/>
        </w:rPr>
        <w:t>地表水环境风险分析</w:t>
      </w:r>
    </w:p>
    <w:p w14:paraId="0E8BA456">
      <w:pPr>
        <w:adjustRightInd w:val="0"/>
        <w:snapToGrid w:val="0"/>
        <w:spacing w:line="360" w:lineRule="auto"/>
        <w:ind w:firstLine="480" w:firstLineChars="200"/>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rPr>
        <w:t>本次勘察场地及附近区域范围内未发现地表长期径流存在</w:t>
      </w:r>
      <w:bookmarkStart w:id="72" w:name="_Toc2850054"/>
      <w:r>
        <w:rPr>
          <w:rFonts w:hint="eastAsia" w:ascii="Times New Roman" w:hAnsi="Times New Roman" w:eastAsia="宋体" w:cs="Times New Roman"/>
          <w:sz w:val="24"/>
          <w:szCs w:val="24"/>
          <w:highlight w:val="none"/>
          <w:lang w:eastAsia="zh-CN"/>
        </w:rPr>
        <w:t>。</w:t>
      </w:r>
    </w:p>
    <w:p w14:paraId="2A986BDF">
      <w:pPr>
        <w:adjustRightInd w:val="0"/>
        <w:snapToGrid w:val="0"/>
        <w:spacing w:line="360" w:lineRule="auto"/>
        <w:ind w:firstLine="480" w:firstLineChars="200"/>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rPr>
        <w:t>一旦厂内发生</w:t>
      </w:r>
      <w:r>
        <w:rPr>
          <w:rFonts w:hint="eastAsia" w:ascii="Times New Roman" w:hAnsi="Times New Roman" w:eastAsia="宋体" w:cs="Times New Roman"/>
          <w:sz w:val="24"/>
          <w:szCs w:val="24"/>
          <w:highlight w:val="none"/>
          <w:lang w:val="en-US" w:eastAsia="zh-CN"/>
        </w:rPr>
        <w:t>泄漏</w:t>
      </w:r>
      <w:r>
        <w:rPr>
          <w:rFonts w:hint="eastAsia" w:ascii="Times New Roman" w:hAnsi="Times New Roman" w:eastAsia="宋体" w:cs="Times New Roman"/>
          <w:sz w:val="24"/>
          <w:szCs w:val="24"/>
          <w:highlight w:val="none"/>
        </w:rPr>
        <w:t>事故，事故废水</w:t>
      </w:r>
      <w:r>
        <w:rPr>
          <w:rFonts w:hint="eastAsia" w:ascii="Times New Roman" w:hAnsi="Times New Roman" w:eastAsia="宋体" w:cs="Times New Roman"/>
          <w:sz w:val="24"/>
          <w:szCs w:val="24"/>
          <w:highlight w:val="none"/>
          <w:lang w:val="en-US" w:eastAsia="zh-CN"/>
        </w:rPr>
        <w:t>会顺着地势由</w:t>
      </w:r>
      <w:r>
        <w:rPr>
          <w:rFonts w:hint="eastAsia" w:ascii="Times New Roman" w:hAnsi="Times New Roman" w:eastAsia="宋体" w:cs="Times New Roman"/>
          <w:sz w:val="24"/>
          <w:szCs w:val="24"/>
          <w:highlight w:val="none"/>
        </w:rPr>
        <w:t>东南向西北偏西</w:t>
      </w:r>
      <w:r>
        <w:rPr>
          <w:rFonts w:hint="eastAsia" w:ascii="Times New Roman" w:hAnsi="Times New Roman" w:eastAsia="宋体" w:cs="Times New Roman"/>
          <w:sz w:val="24"/>
          <w:szCs w:val="24"/>
          <w:highlight w:val="none"/>
          <w:lang w:val="en-US" w:eastAsia="zh-CN"/>
        </w:rPr>
        <w:t>方向流动</w:t>
      </w:r>
      <w:r>
        <w:rPr>
          <w:rFonts w:hint="eastAsia"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本项目依托</w:t>
      </w:r>
      <w:r>
        <w:rPr>
          <w:rFonts w:hint="eastAsia" w:ascii="Times New Roman" w:hAnsi="Times New Roman" w:eastAsia="宋体" w:cs="Times New Roman"/>
          <w:sz w:val="24"/>
          <w:szCs w:val="24"/>
          <w:highlight w:val="none"/>
        </w:rPr>
        <w:t>内蒙古伊泰化工有限责任公司120万吨/年精细化学品示范项目已经建立</w:t>
      </w:r>
      <w:r>
        <w:rPr>
          <w:rFonts w:hint="eastAsia" w:ascii="Times New Roman" w:hAnsi="Times New Roman" w:eastAsia="宋体" w:cs="Times New Roman"/>
          <w:sz w:val="24"/>
          <w:szCs w:val="24"/>
          <w:highlight w:val="none"/>
          <w:lang w:eastAsia="zh-CN"/>
        </w:rPr>
        <w:t>的</w:t>
      </w:r>
      <w:bookmarkEnd w:id="72"/>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rPr>
        <w:t>单元——厂区——工业园区</w:t>
      </w:r>
      <w:r>
        <w:rPr>
          <w:rFonts w:hint="eastAsia" w:cs="Times New Roman"/>
          <w:sz w:val="24"/>
          <w:szCs w:val="24"/>
          <w:highlight w:val="none"/>
          <w:lang w:eastAsia="zh-CN"/>
        </w:rPr>
        <w:t>”</w:t>
      </w:r>
      <w:r>
        <w:rPr>
          <w:rFonts w:hint="default" w:ascii="Times New Roman" w:hAnsi="Times New Roman" w:eastAsia="宋体" w:cs="Times New Roman"/>
          <w:sz w:val="24"/>
          <w:szCs w:val="24"/>
          <w:highlight w:val="none"/>
        </w:rPr>
        <w:t>的环境风险防控体系</w:t>
      </w:r>
      <w:r>
        <w:rPr>
          <w:rFonts w:hint="eastAsia" w:cs="Times New Roman"/>
          <w:sz w:val="24"/>
          <w:szCs w:val="24"/>
          <w:highlight w:val="none"/>
          <w:lang w:val="en-US" w:eastAsia="zh-CN"/>
        </w:rPr>
        <w:t>：</w:t>
      </w:r>
    </w:p>
    <w:p w14:paraId="0748C7AA">
      <w:pPr>
        <w:adjustRightInd w:val="0"/>
        <w:snapToGrid w:val="0"/>
        <w:spacing w:line="360" w:lineRule="auto"/>
        <w:ind w:firstLine="480" w:firstLineChars="200"/>
        <w:rPr>
          <w:rFonts w:hint="eastAsia"/>
          <w:sz w:val="24"/>
          <w:szCs w:val="24"/>
          <w:highlight w:val="none"/>
          <w:lang w:eastAsia="zh-CN"/>
        </w:rPr>
      </w:pPr>
      <w:r>
        <w:rPr>
          <w:sz w:val="24"/>
          <w:szCs w:val="24"/>
          <w:highlight w:val="none"/>
        </w:rPr>
        <w:t>一级预防控制：在</w:t>
      </w:r>
      <w:r>
        <w:rPr>
          <w:rFonts w:hint="eastAsia"/>
          <w:sz w:val="24"/>
          <w:szCs w:val="24"/>
          <w:highlight w:val="none"/>
          <w:lang w:val="en-US" w:eastAsia="zh-CN"/>
        </w:rPr>
        <w:t>管线接入的</w:t>
      </w:r>
      <w:r>
        <w:rPr>
          <w:sz w:val="24"/>
          <w:szCs w:val="24"/>
          <w:highlight w:val="none"/>
        </w:rPr>
        <w:t>装置</w:t>
      </w:r>
      <w:r>
        <w:rPr>
          <w:rFonts w:hint="eastAsia"/>
          <w:sz w:val="24"/>
          <w:szCs w:val="24"/>
          <w:highlight w:val="none"/>
          <w:lang w:val="en-US" w:eastAsia="zh-CN"/>
        </w:rPr>
        <w:t>区</w:t>
      </w:r>
      <w:r>
        <w:rPr>
          <w:sz w:val="24"/>
          <w:szCs w:val="24"/>
          <w:highlight w:val="none"/>
        </w:rPr>
        <w:t>、罐区周围建设围堰、围堤以及罐区、装置区内建设的初期雨水收集池作为一级预防与控制体系，防止</w:t>
      </w:r>
      <w:r>
        <w:rPr>
          <w:rFonts w:hint="eastAsia"/>
          <w:sz w:val="24"/>
          <w:szCs w:val="24"/>
          <w:highlight w:val="none"/>
          <w:lang w:eastAsia="zh-CN"/>
        </w:rPr>
        <w:t>因</w:t>
      </w:r>
      <w:r>
        <w:rPr>
          <w:sz w:val="24"/>
          <w:szCs w:val="24"/>
          <w:highlight w:val="none"/>
        </w:rPr>
        <w:t>雨污染和轻微事故泄漏造成的环境污染。装置围堰</w:t>
      </w:r>
      <w:r>
        <w:rPr>
          <w:rFonts w:hint="eastAsia"/>
          <w:sz w:val="24"/>
          <w:szCs w:val="24"/>
          <w:highlight w:val="none"/>
          <w:lang w:eastAsia="zh-CN"/>
        </w:rPr>
        <w:t>深度</w:t>
      </w:r>
      <w:r>
        <w:rPr>
          <w:sz w:val="24"/>
          <w:szCs w:val="24"/>
          <w:highlight w:val="none"/>
        </w:rPr>
        <w:t>不低于150mm</w:t>
      </w:r>
      <w:r>
        <w:rPr>
          <w:rFonts w:hint="eastAsia"/>
          <w:sz w:val="24"/>
          <w:szCs w:val="24"/>
          <w:highlight w:val="none"/>
          <w:lang w:eastAsia="zh-CN"/>
        </w:rPr>
        <w:t>。</w:t>
      </w:r>
    </w:p>
    <w:p w14:paraId="12CD9B2E">
      <w:pPr>
        <w:adjustRightInd w:val="0"/>
        <w:snapToGrid w:val="0"/>
        <w:spacing w:line="360" w:lineRule="auto"/>
        <w:ind w:firstLine="480" w:firstLineChars="200"/>
        <w:rPr>
          <w:sz w:val="24"/>
          <w:szCs w:val="24"/>
          <w:highlight w:val="none"/>
        </w:rPr>
      </w:pPr>
      <w:r>
        <w:rPr>
          <w:sz w:val="24"/>
          <w:szCs w:val="24"/>
          <w:highlight w:val="none"/>
        </w:rPr>
        <w:t>二级预防控制：1座30000m</w:t>
      </w:r>
      <w:r>
        <w:rPr>
          <w:sz w:val="24"/>
          <w:szCs w:val="24"/>
          <w:highlight w:val="none"/>
          <w:vertAlign w:val="superscript"/>
        </w:rPr>
        <w:t>3</w:t>
      </w:r>
      <w:r>
        <w:rPr>
          <w:sz w:val="24"/>
          <w:szCs w:val="24"/>
          <w:highlight w:val="none"/>
        </w:rPr>
        <w:t>的消防事故水收集池，作为二级预防与控制体系。</w:t>
      </w:r>
    </w:p>
    <w:p w14:paraId="3D48EF4E">
      <w:pPr>
        <w:adjustRightInd w:val="0"/>
        <w:snapToGrid w:val="0"/>
        <w:spacing w:line="360" w:lineRule="auto"/>
        <w:ind w:firstLine="480" w:firstLineChars="200"/>
        <w:rPr>
          <w:rFonts w:hint="default" w:ascii="Times New Roman" w:hAnsi="Times New Roman" w:eastAsia="宋体" w:cs="Times New Roman"/>
          <w:sz w:val="24"/>
          <w:szCs w:val="24"/>
          <w:highlight w:val="none"/>
        </w:rPr>
      </w:pPr>
      <w:r>
        <w:rPr>
          <w:sz w:val="24"/>
          <w:szCs w:val="24"/>
          <w:highlight w:val="none"/>
        </w:rPr>
        <w:t>三级预防控制：</w:t>
      </w:r>
      <w:r>
        <w:rPr>
          <w:rFonts w:hint="eastAsia" w:ascii="Times New Roman" w:hAnsi="Times New Roman" w:eastAsia="宋体" w:cs="Times New Roman"/>
          <w:sz w:val="24"/>
          <w:szCs w:val="24"/>
          <w:highlight w:val="none"/>
        </w:rPr>
        <w:t>独贵塔拉产业园（南区）</w:t>
      </w:r>
      <w:r>
        <w:rPr>
          <w:rFonts w:hint="eastAsia" w:cs="Times New Roman"/>
          <w:sz w:val="24"/>
          <w:szCs w:val="24"/>
          <w:highlight w:val="none"/>
          <w:lang w:eastAsia="zh-CN"/>
        </w:rPr>
        <w:t>目前没有</w:t>
      </w:r>
      <w:r>
        <w:rPr>
          <w:rFonts w:hint="eastAsia" w:ascii="Times New Roman" w:hAnsi="Times New Roman" w:eastAsia="宋体" w:cs="Times New Roman"/>
          <w:sz w:val="24"/>
          <w:szCs w:val="24"/>
          <w:highlight w:val="none"/>
        </w:rPr>
        <w:t>大型事故应急水池，现有</w:t>
      </w:r>
      <w:r>
        <w:rPr>
          <w:rFonts w:hint="eastAsia" w:cs="Times New Roman"/>
          <w:sz w:val="24"/>
          <w:szCs w:val="24"/>
          <w:highlight w:val="none"/>
          <w:lang w:eastAsia="zh-CN"/>
        </w:rPr>
        <w:t>的</w:t>
      </w:r>
      <w:r>
        <w:rPr>
          <w:rFonts w:hint="eastAsia" w:ascii="Times New Roman" w:hAnsi="Times New Roman" w:eastAsia="宋体" w:cs="Times New Roman"/>
          <w:sz w:val="24"/>
          <w:szCs w:val="24"/>
          <w:highlight w:val="none"/>
        </w:rPr>
        <w:t>事故应急水池主要为企业自建</w:t>
      </w:r>
      <w:r>
        <w:rPr>
          <w:rFonts w:hint="eastAsia" w:cs="Times New Roman"/>
          <w:sz w:val="24"/>
          <w:szCs w:val="24"/>
          <w:highlight w:val="none"/>
          <w:lang w:eastAsia="zh-CN"/>
        </w:rPr>
        <w:t>的</w:t>
      </w:r>
      <w:r>
        <w:rPr>
          <w:rFonts w:hint="eastAsia" w:ascii="Times New Roman" w:hAnsi="Times New Roman" w:eastAsia="宋体" w:cs="Times New Roman"/>
          <w:sz w:val="24"/>
          <w:szCs w:val="24"/>
          <w:highlight w:val="none"/>
        </w:rPr>
        <w:t>；</w:t>
      </w:r>
      <w:r>
        <w:rPr>
          <w:rFonts w:hint="eastAsia" w:cs="Times New Roman"/>
          <w:sz w:val="24"/>
          <w:szCs w:val="24"/>
          <w:highlight w:val="none"/>
          <w:lang w:val="en-US" w:eastAsia="zh-CN"/>
        </w:rPr>
        <w:t>规划</w:t>
      </w:r>
      <w:r>
        <w:rPr>
          <w:rFonts w:hint="eastAsia" w:ascii="Times New Roman" w:hAnsi="Times New Roman" w:eastAsia="宋体" w:cs="Times New Roman"/>
          <w:sz w:val="24"/>
          <w:szCs w:val="24"/>
          <w:highlight w:val="none"/>
          <w:lang w:val="en-US" w:eastAsia="zh-CN"/>
        </w:rPr>
        <w:t>拟在</w:t>
      </w:r>
      <w:r>
        <w:rPr>
          <w:rFonts w:hint="eastAsia" w:ascii="Times New Roman" w:hAnsi="Times New Roman" w:eastAsia="宋体" w:cs="Times New Roman"/>
          <w:sz w:val="24"/>
          <w:szCs w:val="24"/>
          <w:highlight w:val="none"/>
        </w:rPr>
        <w:t>独贵塔拉产业园（南区）规划北侧新建一座容积2.5万m</w:t>
      </w:r>
      <w:r>
        <w:rPr>
          <w:rFonts w:hint="eastAsia" w:ascii="Times New Roman" w:hAnsi="Times New Roman" w:eastAsia="宋体" w:cs="Times New Roman"/>
          <w:sz w:val="24"/>
          <w:szCs w:val="24"/>
          <w:highlight w:val="none"/>
          <w:vertAlign w:val="superscript"/>
        </w:rPr>
        <w:t>3</w:t>
      </w:r>
      <w:r>
        <w:rPr>
          <w:rFonts w:hint="eastAsia" w:ascii="Times New Roman" w:hAnsi="Times New Roman" w:eastAsia="宋体" w:cs="Times New Roman"/>
          <w:sz w:val="24"/>
          <w:szCs w:val="24"/>
          <w:highlight w:val="none"/>
        </w:rPr>
        <w:t>的事故水池，用于收集独贵塔拉产业园（南区）各企业的事故水</w:t>
      </w:r>
      <w:r>
        <w:rPr>
          <w:rFonts w:hint="default" w:ascii="Times New Roman" w:hAnsi="Times New Roman" w:eastAsia="宋体" w:cs="Times New Roman"/>
          <w:sz w:val="24"/>
          <w:szCs w:val="24"/>
          <w:highlight w:val="none"/>
        </w:rPr>
        <w:t>以满足事故状态下收集泄漏物料、污染消防水和污染雨水的需要</w:t>
      </w:r>
      <w:r>
        <w:rPr>
          <w:rFonts w:hint="eastAsia" w:ascii="Times New Roman" w:hAnsi="Times New Roman" w:eastAsia="宋体" w:cs="Times New Roman"/>
          <w:sz w:val="24"/>
          <w:szCs w:val="24"/>
          <w:highlight w:val="none"/>
          <w:lang w:eastAsia="zh-CN"/>
        </w:rPr>
        <w:t>。</w:t>
      </w:r>
      <w:r>
        <w:rPr>
          <w:rFonts w:ascii="Times New Roman" w:hAnsi="Times New Roman" w:eastAsia="宋体" w:cs="Times New Roman"/>
          <w:sz w:val="24"/>
          <w:szCs w:val="24"/>
          <w:highlight w:val="none"/>
        </w:rPr>
        <w:t>园区事故水池未建设前，园区级事故废水防控措施依托内蒙古伊泰化工有限责任公司应急事故水池（容积30000m</w:t>
      </w:r>
      <w:r>
        <w:rPr>
          <w:rFonts w:ascii="Times New Roman" w:hAnsi="Times New Roman" w:eastAsia="宋体" w:cs="Times New Roman"/>
          <w:sz w:val="24"/>
          <w:szCs w:val="24"/>
          <w:highlight w:val="none"/>
          <w:vertAlign w:val="superscript"/>
        </w:rPr>
        <w:t>3</w:t>
      </w:r>
      <w:r>
        <w:rPr>
          <w:rFonts w:ascii="Times New Roman" w:hAnsi="Times New Roman" w:eastAsia="宋体" w:cs="Times New Roman"/>
          <w:sz w:val="24"/>
          <w:szCs w:val="24"/>
          <w:highlight w:val="none"/>
        </w:rPr>
        <w:t>），可确保消防事故废水不进入外环境，因此不再进行地表水环境敏感程度判定</w:t>
      </w:r>
      <w:r>
        <w:rPr>
          <w:rFonts w:hint="default" w:ascii="Times New Roman" w:hAnsi="Times New Roman" w:eastAsia="宋体" w:cs="Times New Roman"/>
          <w:sz w:val="24"/>
          <w:szCs w:val="24"/>
          <w:highlight w:val="none"/>
        </w:rPr>
        <w:t>。</w:t>
      </w:r>
    </w:p>
    <w:bookmarkEnd w:id="71"/>
    <w:p w14:paraId="077CE9C2">
      <w:pPr>
        <w:keepNext/>
        <w:keepLines/>
        <w:spacing w:line="360" w:lineRule="auto"/>
        <w:outlineLvl w:val="1"/>
        <w:rPr>
          <w:rFonts w:hint="default" w:ascii="Times New Roman" w:hAnsi="Times New Roman" w:eastAsia="宋体" w:cs="Times New Roman"/>
          <w:b/>
          <w:bCs/>
          <w:sz w:val="28"/>
          <w:szCs w:val="28"/>
          <w:highlight w:val="none"/>
          <w:lang w:val="en-US" w:eastAsia="zh-CN"/>
        </w:rPr>
      </w:pPr>
      <w:r>
        <w:rPr>
          <w:rFonts w:hint="default" w:ascii="Times New Roman" w:hAnsi="Times New Roman" w:eastAsia="宋体" w:cs="Times New Roman"/>
          <w:b/>
          <w:bCs/>
          <w:sz w:val="28"/>
          <w:szCs w:val="28"/>
          <w:highlight w:val="none"/>
          <w:lang w:val="en-US" w:eastAsia="zh-CN"/>
        </w:rPr>
        <w:t>4.</w:t>
      </w:r>
      <w:r>
        <w:rPr>
          <w:rFonts w:hint="eastAsia" w:ascii="Times New Roman" w:hAnsi="Times New Roman" w:eastAsia="宋体" w:cs="Times New Roman"/>
          <w:b/>
          <w:bCs/>
          <w:sz w:val="28"/>
          <w:szCs w:val="28"/>
          <w:highlight w:val="none"/>
          <w:lang w:val="en-US" w:eastAsia="zh-CN"/>
        </w:rPr>
        <w:t>4地下水环境</w:t>
      </w:r>
      <w:r>
        <w:rPr>
          <w:rFonts w:hint="eastAsia" w:cs="Times New Roman"/>
          <w:b/>
          <w:bCs/>
          <w:sz w:val="28"/>
          <w:szCs w:val="28"/>
          <w:highlight w:val="none"/>
          <w:lang w:val="en-US" w:eastAsia="zh-CN"/>
        </w:rPr>
        <w:t>风险</w:t>
      </w:r>
      <w:r>
        <w:rPr>
          <w:rFonts w:hint="eastAsia" w:ascii="Times New Roman" w:hAnsi="Times New Roman" w:eastAsia="宋体" w:cs="Times New Roman"/>
          <w:b/>
          <w:bCs/>
          <w:sz w:val="28"/>
          <w:szCs w:val="28"/>
          <w:highlight w:val="none"/>
          <w:lang w:val="en-US" w:eastAsia="zh-CN"/>
        </w:rPr>
        <w:t>评价分析</w:t>
      </w:r>
    </w:p>
    <w:p w14:paraId="66A926AB">
      <w:pPr>
        <w:adjustRightInd w:val="0"/>
        <w:snapToGrid w:val="0"/>
        <w:spacing w:line="360" w:lineRule="auto"/>
        <w:ind w:firstLine="480" w:firstLineChars="200"/>
        <w:rPr>
          <w:rFonts w:hint="eastAsia"/>
          <w:sz w:val="24"/>
          <w:highlight w:val="none"/>
        </w:rPr>
      </w:pPr>
      <w:r>
        <w:rPr>
          <w:rFonts w:hint="eastAsia" w:ascii="Times New Roman" w:hAnsi="Times New Roman" w:eastAsia="宋体" w:cs="Times New Roman"/>
          <w:sz w:val="24"/>
          <w:szCs w:val="24"/>
          <w:highlight w:val="none"/>
          <w:lang w:val="en-US" w:eastAsia="zh-CN"/>
        </w:rPr>
        <w:t>本项目为伊泰化工在原有联博管廊的基础上通过加固、加两层的方式，将23条物料管线布置在改造后的联博管廊</w:t>
      </w:r>
      <w:r>
        <w:rPr>
          <w:rFonts w:hint="eastAsia"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现有利旧管廊管架基础占地底部地面</w:t>
      </w:r>
      <w:r>
        <w:rPr>
          <w:rFonts w:hint="eastAsia" w:cs="Times New Roman"/>
          <w:sz w:val="24"/>
          <w:szCs w:val="24"/>
          <w:highlight w:val="none"/>
          <w:lang w:val="en-US" w:eastAsia="zh-CN"/>
        </w:rPr>
        <w:t>为碎石地面。</w:t>
      </w:r>
      <w:r>
        <w:rPr>
          <w:rFonts w:hint="eastAsia" w:ascii="Times New Roman" w:hAnsi="Times New Roman" w:eastAsia="宋体" w:cs="宋体"/>
          <w:kern w:val="0"/>
          <w:sz w:val="24"/>
          <w:highlight w:val="none"/>
          <w:lang w:val="en-US" w:eastAsia="zh-CN"/>
        </w:rPr>
        <w:t>其他管线都位于厂区内部。</w:t>
      </w:r>
      <w:r>
        <w:rPr>
          <w:rFonts w:hint="eastAsia"/>
          <w:sz w:val="24"/>
          <w:highlight w:val="none"/>
        </w:rPr>
        <w:t>均依托管廊架明管</w:t>
      </w:r>
      <w:r>
        <w:rPr>
          <w:rFonts w:hint="eastAsia"/>
          <w:sz w:val="24"/>
          <w:highlight w:val="none"/>
          <w:lang w:val="en-US" w:eastAsia="zh-CN"/>
        </w:rPr>
        <w:t>敷设</w:t>
      </w:r>
      <w:r>
        <w:rPr>
          <w:rFonts w:hint="eastAsia"/>
          <w:sz w:val="24"/>
          <w:highlight w:val="none"/>
        </w:rPr>
        <w:t>，无埋地管线，无站场设施。</w:t>
      </w:r>
    </w:p>
    <w:p w14:paraId="518C1459">
      <w:pPr>
        <w:spacing w:line="360" w:lineRule="auto"/>
        <w:ind w:firstLine="480" w:firstLineChars="200"/>
        <w:rPr>
          <w:rFonts w:hint="eastAsia" w:ascii="Times New Roman" w:hAnsi="Times New Roman" w:eastAsia="宋体" w:cs="Times New Roman"/>
          <w:sz w:val="24"/>
          <w:szCs w:val="24"/>
          <w:highlight w:val="none"/>
          <w:lang w:val="en-US" w:eastAsia="zh-CN"/>
        </w:rPr>
      </w:pPr>
      <w:r>
        <w:rPr>
          <w:rFonts w:hint="eastAsia"/>
          <w:sz w:val="24"/>
          <w:highlight w:val="none"/>
          <w:lang w:val="en-US" w:eastAsia="zh-CN"/>
        </w:rPr>
        <w:t>本项目污染废水主要为污水1管道、污水2管道因破裂造成泄漏，对</w:t>
      </w:r>
      <w:r>
        <w:rPr>
          <w:rFonts w:hint="eastAsia"/>
          <w:sz w:val="24"/>
          <w:highlight w:val="none"/>
        </w:rPr>
        <w:t>地下水、土壤</w:t>
      </w:r>
      <w:r>
        <w:rPr>
          <w:rFonts w:hint="eastAsia"/>
          <w:sz w:val="24"/>
          <w:highlight w:val="none"/>
          <w:lang w:val="en-US" w:eastAsia="zh-CN"/>
        </w:rPr>
        <w:t>产生一定影响</w:t>
      </w:r>
      <w:r>
        <w:rPr>
          <w:rFonts w:hint="eastAsia"/>
          <w:sz w:val="24"/>
          <w:highlight w:val="none"/>
        </w:rPr>
        <w:t>。</w:t>
      </w:r>
      <w:r>
        <w:rPr>
          <w:rFonts w:hint="eastAsia" w:ascii="Times New Roman" w:hAnsi="Times New Roman" w:eastAsia="宋体" w:cs="Times New Roman"/>
          <w:sz w:val="24"/>
          <w:szCs w:val="24"/>
          <w:highlight w:val="none"/>
          <w:lang w:val="en-US" w:eastAsia="zh-CN"/>
        </w:rPr>
        <w:t>依照</w:t>
      </w:r>
      <w:r>
        <w:rPr>
          <w:rFonts w:hint="eastAsia" w:cs="Times New Roman"/>
          <w:sz w:val="24"/>
          <w:szCs w:val="24"/>
          <w:highlight w:val="none"/>
          <w:lang w:val="en-US" w:eastAsia="zh-CN"/>
        </w:rPr>
        <w:t>项目区</w:t>
      </w:r>
      <w:r>
        <w:rPr>
          <w:rFonts w:hint="eastAsia" w:ascii="Times New Roman" w:hAnsi="Times New Roman" w:eastAsia="宋体" w:cs="Times New Roman"/>
          <w:sz w:val="24"/>
          <w:szCs w:val="24"/>
          <w:highlight w:val="none"/>
          <w:lang w:val="en-US" w:eastAsia="zh-CN"/>
        </w:rPr>
        <w:t>水文地质条件来看，地下水主要赋存于第④层中风化砂岩中。整体而言，孔内涌水量不大，地下水类型属于基岩裂隙水，水位随地层起伏变化不大。初见水位埋深</w:t>
      </w:r>
      <w:r>
        <w:rPr>
          <w:rFonts w:hint="eastAsia" w:cs="Times New Roman"/>
          <w:sz w:val="24"/>
          <w:szCs w:val="24"/>
          <w:highlight w:val="none"/>
          <w:lang w:val="en-US" w:eastAsia="zh-CN"/>
        </w:rPr>
        <w:t>为</w:t>
      </w:r>
      <w:r>
        <w:rPr>
          <w:rFonts w:hint="eastAsia" w:ascii="Times New Roman" w:hAnsi="Times New Roman" w:eastAsia="宋体" w:cs="Times New Roman"/>
          <w:sz w:val="24"/>
          <w:szCs w:val="24"/>
          <w:highlight w:val="none"/>
          <w:lang w:val="en-US" w:eastAsia="zh-CN"/>
        </w:rPr>
        <w:t>10.5</w:t>
      </w:r>
      <w:r>
        <w:rPr>
          <w:rFonts w:hint="eastAsia" w:cs="Times New Roman"/>
          <w:sz w:val="24"/>
          <w:szCs w:val="24"/>
          <w:highlight w:val="none"/>
          <w:lang w:val="en-US" w:eastAsia="zh-CN"/>
        </w:rPr>
        <w:t>m</w:t>
      </w:r>
      <w:r>
        <w:rPr>
          <w:rFonts w:hint="eastAsia" w:ascii="Times New Roman" w:hAnsi="Times New Roman" w:eastAsia="宋体" w:cs="Times New Roman"/>
          <w:sz w:val="24"/>
          <w:szCs w:val="24"/>
          <w:highlight w:val="none"/>
          <w:lang w:val="en-US" w:eastAsia="zh-CN"/>
        </w:rPr>
        <w:t>~13.5m。</w:t>
      </w:r>
      <w:r>
        <w:rPr>
          <w:rFonts w:hint="eastAsia"/>
          <w:sz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管线</w:t>
      </w:r>
      <w:r>
        <w:rPr>
          <w:rFonts w:hint="eastAsia"/>
          <w:sz w:val="24"/>
          <w:highlight w:val="none"/>
          <w:lang w:val="en-US" w:eastAsia="zh-CN"/>
        </w:rPr>
        <w:t>周围均为碎石地面，且管线位于厂区内部，</w:t>
      </w:r>
      <w:r>
        <w:rPr>
          <w:rFonts w:hint="default" w:ascii="Times New Roman" w:hAnsi="Times New Roman" w:eastAsia="宋体" w:cs="Times New Roman"/>
          <w:color w:val="auto"/>
          <w:sz w:val="24"/>
          <w:szCs w:val="24"/>
          <w:highlight w:val="none"/>
          <w:lang w:val="en-US" w:eastAsia="zh-CN"/>
        </w:rPr>
        <w:t>设置压力调节阀组和流量计</w:t>
      </w:r>
      <w:r>
        <w:rPr>
          <w:rFonts w:hint="eastAsia" w:cs="Times New Roman"/>
          <w:color w:val="auto"/>
          <w:sz w:val="24"/>
          <w:szCs w:val="24"/>
          <w:highlight w:val="none"/>
          <w:lang w:val="en-US" w:eastAsia="zh-CN"/>
        </w:rPr>
        <w:t>，</w:t>
      </w:r>
      <w:r>
        <w:rPr>
          <w:rFonts w:hint="eastAsia"/>
          <w:sz w:val="24"/>
          <w:highlight w:val="none"/>
          <w:lang w:val="en-US" w:eastAsia="zh-CN"/>
        </w:rPr>
        <w:t>管线</w:t>
      </w:r>
      <w:r>
        <w:rPr>
          <w:rFonts w:hint="eastAsia" w:ascii="Times New Roman" w:hAnsi="Times New Roman" w:eastAsia="宋体" w:cs="Times New Roman"/>
          <w:sz w:val="24"/>
          <w:szCs w:val="24"/>
          <w:highlight w:val="none"/>
          <w:lang w:val="en-US" w:eastAsia="zh-CN"/>
        </w:rPr>
        <w:t>阀门和仪表的控制信号接入</w:t>
      </w:r>
      <w:r>
        <w:rPr>
          <w:rFonts w:hint="eastAsia" w:cs="Times New Roman"/>
          <w:sz w:val="24"/>
          <w:szCs w:val="24"/>
          <w:highlight w:val="none"/>
          <w:lang w:val="en-US" w:eastAsia="zh-CN"/>
        </w:rPr>
        <w:t>伊泰化工</w:t>
      </w:r>
      <w:r>
        <w:rPr>
          <w:rFonts w:hint="default" w:ascii="Times New Roman" w:hAnsi="Times New Roman" w:eastAsia="宋体" w:cs="Times New Roman"/>
          <w:sz w:val="24"/>
          <w:szCs w:val="24"/>
          <w:highlight w:val="none"/>
          <w:lang w:val="en-US" w:eastAsia="zh-CN"/>
        </w:rPr>
        <w:t>公司</w:t>
      </w:r>
      <w:r>
        <w:rPr>
          <w:rFonts w:hint="eastAsia" w:cs="Times New Roman"/>
          <w:sz w:val="24"/>
          <w:szCs w:val="24"/>
          <w:highlight w:val="none"/>
          <w:lang w:val="en-US" w:eastAsia="zh-CN"/>
        </w:rPr>
        <w:t>的</w:t>
      </w:r>
      <w:r>
        <w:rPr>
          <w:rFonts w:hint="default" w:ascii="Times New Roman" w:hAnsi="Times New Roman" w:eastAsia="宋体" w:cs="Times New Roman"/>
          <w:sz w:val="24"/>
          <w:szCs w:val="24"/>
          <w:highlight w:val="none"/>
          <w:lang w:val="en-US" w:eastAsia="zh-CN"/>
        </w:rPr>
        <w:t>DCS系统，DCS信号通过光纤接入伊泰化工的中控系统显示</w:t>
      </w:r>
      <w:r>
        <w:rPr>
          <w:rFonts w:hint="eastAsia" w:ascii="Times New Roman" w:hAnsi="Times New Roman" w:eastAsia="宋体" w:cs="Times New Roman"/>
          <w:sz w:val="24"/>
          <w:szCs w:val="24"/>
          <w:highlight w:val="none"/>
          <w:lang w:val="en-US" w:eastAsia="zh-CN"/>
        </w:rPr>
        <w:t>一旦发生泄漏易被发现，及时处理后影响较小</w:t>
      </w:r>
      <w:r>
        <w:rPr>
          <w:rFonts w:hint="eastAsia" w:ascii="Times New Roman" w:hAnsi="Times New Roman" w:eastAsia="宋体" w:cs="Times New Roman"/>
          <w:sz w:val="24"/>
          <w:highlight w:val="none"/>
          <w:lang w:eastAsia="zh-CN"/>
        </w:rPr>
        <w:t>。</w:t>
      </w:r>
      <w:r>
        <w:rPr>
          <w:rFonts w:hint="eastAsia" w:ascii="Times New Roman" w:hAnsi="Times New Roman" w:eastAsia="宋体" w:cs="Times New Roman"/>
          <w:sz w:val="24"/>
          <w:szCs w:val="24"/>
          <w:highlight w:val="none"/>
          <w:lang w:val="en-US" w:eastAsia="zh-CN"/>
        </w:rPr>
        <w:t>可将</w:t>
      </w:r>
      <w:r>
        <w:rPr>
          <w:rFonts w:hint="eastAsia" w:ascii="Times New Roman" w:hAnsi="Times New Roman" w:eastAsia="宋体" w:cs="Times New Roman"/>
          <w:sz w:val="24"/>
          <w:highlight w:val="none"/>
        </w:rPr>
        <w:t>影响控制在有限范围内</w:t>
      </w:r>
      <w:r>
        <w:rPr>
          <w:rFonts w:hint="eastAsia" w:ascii="Times New Roman" w:hAnsi="Times New Roman" w:eastAsia="宋体" w:cs="Times New Roman"/>
          <w:sz w:val="24"/>
          <w:szCs w:val="24"/>
          <w:highlight w:val="none"/>
          <w:lang w:val="en-US" w:eastAsia="zh-CN"/>
        </w:rPr>
        <w:t>。</w:t>
      </w:r>
    </w:p>
    <w:p w14:paraId="2B9B419B">
      <w:pPr>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此外当发生管输物质泄漏并引发火灾爆炸事故时，消防及喷淋稀释会产生一定的洗消废水。本项目的事故污水系统是发生消防事故时，有污染的各生产装置和辅助生产设施界区内消防事故污水，</w:t>
      </w:r>
      <w:r>
        <w:rPr>
          <w:rFonts w:hint="eastAsia" w:cs="Times New Roman"/>
          <w:sz w:val="24"/>
          <w:highlight w:val="none"/>
          <w:lang w:val="en-US" w:eastAsia="zh-CN"/>
        </w:rPr>
        <w:t>管道断裂、发生爆炸火灾所产生的消防废水</w:t>
      </w:r>
      <w:r>
        <w:rPr>
          <w:rFonts w:hint="eastAsia" w:ascii="Times New Roman" w:hAnsi="Times New Roman" w:eastAsia="宋体" w:cs="Times New Roman"/>
          <w:sz w:val="24"/>
          <w:highlight w:val="none"/>
          <w:lang w:val="en-US" w:eastAsia="zh-CN"/>
        </w:rPr>
        <w:t>经</w:t>
      </w:r>
      <w:r>
        <w:rPr>
          <w:rFonts w:hint="eastAsia" w:cs="Times New Roman"/>
          <w:sz w:val="24"/>
          <w:highlight w:val="none"/>
          <w:lang w:val="en-US" w:eastAsia="zh-CN"/>
        </w:rPr>
        <w:t>就近</w:t>
      </w:r>
      <w:r>
        <w:rPr>
          <w:rFonts w:hint="eastAsia" w:ascii="Times New Roman" w:hAnsi="Times New Roman" w:eastAsia="宋体" w:cs="Times New Roman"/>
          <w:sz w:val="24"/>
          <w:highlight w:val="none"/>
          <w:lang w:val="en-US" w:eastAsia="zh-CN"/>
        </w:rPr>
        <w:t>装置区设置的围堰收集，最终送事故水池收集储存。</w:t>
      </w:r>
    </w:p>
    <w:p w14:paraId="36E98AED">
      <w:pPr>
        <w:spacing w:line="360" w:lineRule="auto"/>
        <w:ind w:firstLine="480" w:firstLineChars="200"/>
        <w:rPr>
          <w:rFonts w:hint="eastAsia" w:ascii="Times New Roman" w:hAnsi="Times New Roman" w:eastAsia="宋体" w:cs="Times New Roman"/>
          <w:sz w:val="24"/>
          <w:highlight w:val="none"/>
          <w:lang w:eastAsia="zh-CN"/>
        </w:rPr>
      </w:pPr>
      <w:r>
        <w:rPr>
          <w:rFonts w:hint="eastAsia" w:ascii="Times New Roman" w:hAnsi="Times New Roman" w:eastAsia="宋体" w:cs="Times New Roman"/>
          <w:sz w:val="24"/>
          <w:highlight w:val="none"/>
          <w:lang w:val="en-US" w:eastAsia="zh-CN"/>
        </w:rPr>
        <w:t>本项目依托内蒙古伊泰化工有限责任公司120万吨/年精细</w:t>
      </w:r>
      <w:r>
        <w:rPr>
          <w:rFonts w:hint="eastAsia"/>
          <w:color w:val="000000"/>
          <w:sz w:val="24"/>
          <w:highlight w:val="none"/>
        </w:rPr>
        <w:t>化学品示范项目</w:t>
      </w:r>
      <w:r>
        <w:rPr>
          <w:rFonts w:hint="eastAsia"/>
          <w:sz w:val="24"/>
          <w:highlight w:val="none"/>
        </w:rPr>
        <w:t>设置的</w:t>
      </w:r>
      <w:r>
        <w:rPr>
          <w:rFonts w:hint="eastAsia"/>
          <w:sz w:val="24"/>
          <w:highlight w:val="none"/>
          <w:lang w:val="en-US" w:eastAsia="zh-CN"/>
        </w:rPr>
        <w:t>1</w:t>
      </w:r>
      <w:r>
        <w:rPr>
          <w:rFonts w:hint="eastAsia"/>
          <w:sz w:val="24"/>
          <w:highlight w:val="none"/>
        </w:rPr>
        <w:t>座消防事故</w:t>
      </w:r>
      <w:r>
        <w:rPr>
          <w:rFonts w:hint="eastAsia"/>
          <w:sz w:val="24"/>
          <w:highlight w:val="none"/>
          <w:lang w:val="en-US" w:eastAsia="zh-CN"/>
        </w:rPr>
        <w:t>处理</w:t>
      </w:r>
      <w:r>
        <w:rPr>
          <w:rFonts w:hint="eastAsia"/>
          <w:sz w:val="24"/>
          <w:highlight w:val="none"/>
        </w:rPr>
        <w:t>水池</w:t>
      </w:r>
      <w:r>
        <w:rPr>
          <w:rFonts w:hint="eastAsia"/>
          <w:sz w:val="24"/>
          <w:highlight w:val="none"/>
          <w:lang w:val="en-US" w:eastAsia="zh-CN"/>
        </w:rPr>
        <w:t>，</w:t>
      </w:r>
      <w:r>
        <w:rPr>
          <w:rFonts w:hint="eastAsia"/>
          <w:sz w:val="24"/>
          <w:highlight w:val="none"/>
        </w:rPr>
        <w:t>有效容积为</w:t>
      </w:r>
      <w:r>
        <w:rPr>
          <w:sz w:val="24"/>
          <w:highlight w:val="none"/>
        </w:rPr>
        <w:t>3</w:t>
      </w:r>
      <w:r>
        <w:rPr>
          <w:rFonts w:hint="eastAsia"/>
          <w:sz w:val="24"/>
          <w:highlight w:val="none"/>
          <w:lang w:val="en-US" w:eastAsia="zh-CN"/>
        </w:rPr>
        <w:t>0</w:t>
      </w:r>
      <w:r>
        <w:rPr>
          <w:sz w:val="24"/>
          <w:highlight w:val="none"/>
        </w:rPr>
        <w:t>000m</w:t>
      </w:r>
      <w:r>
        <w:rPr>
          <w:sz w:val="24"/>
          <w:highlight w:val="none"/>
          <w:vertAlign w:val="superscript"/>
        </w:rPr>
        <w:t>3</w:t>
      </w:r>
      <w:r>
        <w:rPr>
          <w:rFonts w:hint="eastAsia"/>
          <w:sz w:val="24"/>
          <w:highlight w:val="none"/>
        </w:rPr>
        <w:t>。</w:t>
      </w:r>
    </w:p>
    <w:p w14:paraId="3267817E">
      <w:pPr>
        <w:keepNext/>
        <w:keepLines/>
        <w:spacing w:before="240" w:beforeLines="100" w:line="360" w:lineRule="auto"/>
        <w:outlineLvl w:val="0"/>
        <w:rPr>
          <w:b/>
          <w:bCs/>
          <w:kern w:val="44"/>
          <w:sz w:val="32"/>
          <w:szCs w:val="32"/>
          <w:highlight w:val="none"/>
        </w:rPr>
      </w:pPr>
      <w:bookmarkStart w:id="73" w:name="_Toc10057_WPSOffice_Level1"/>
      <w:r>
        <w:rPr>
          <w:rFonts w:hint="eastAsia"/>
          <w:b/>
          <w:bCs/>
          <w:kern w:val="44"/>
          <w:sz w:val="32"/>
          <w:szCs w:val="32"/>
          <w:highlight w:val="none"/>
        </w:rPr>
        <w:t>5</w:t>
      </w:r>
      <w:r>
        <w:rPr>
          <w:rFonts w:hint="eastAsia"/>
          <w:b/>
          <w:bCs/>
          <w:kern w:val="44"/>
          <w:sz w:val="32"/>
          <w:szCs w:val="32"/>
          <w:highlight w:val="none"/>
          <w:lang w:val="en-US" w:eastAsia="zh-CN"/>
        </w:rPr>
        <w:t>.</w:t>
      </w:r>
      <w:r>
        <w:rPr>
          <w:rFonts w:hint="eastAsia"/>
          <w:b/>
          <w:bCs/>
          <w:kern w:val="44"/>
          <w:sz w:val="32"/>
          <w:szCs w:val="32"/>
          <w:highlight w:val="none"/>
        </w:rPr>
        <w:t>环境风险防范及应急要求</w:t>
      </w:r>
      <w:bookmarkEnd w:id="73"/>
    </w:p>
    <w:p w14:paraId="18009AD7">
      <w:pPr>
        <w:keepNext/>
        <w:keepLines/>
        <w:spacing w:line="360" w:lineRule="auto"/>
        <w:outlineLvl w:val="1"/>
        <w:rPr>
          <w:rFonts w:hint="eastAsia"/>
          <w:b/>
          <w:bCs/>
          <w:sz w:val="24"/>
          <w:highlight w:val="none"/>
        </w:rPr>
      </w:pPr>
      <w:r>
        <w:rPr>
          <w:rFonts w:hint="eastAsia"/>
          <w:b/>
          <w:bCs/>
          <w:sz w:val="24"/>
          <w:highlight w:val="none"/>
        </w:rPr>
        <w:t>5.1合理选线</w:t>
      </w:r>
    </w:p>
    <w:p w14:paraId="193AC804">
      <w:pPr>
        <w:adjustRightInd w:val="0"/>
        <w:snapToGrid w:val="0"/>
        <w:spacing w:line="360" w:lineRule="auto"/>
        <w:ind w:firstLine="480" w:firstLineChars="200"/>
        <w:rPr>
          <w:rFonts w:hint="eastAsia"/>
          <w:color w:val="1900FF"/>
          <w:sz w:val="24"/>
          <w:szCs w:val="32"/>
          <w:highlight w:val="none"/>
        </w:rPr>
      </w:pPr>
      <w:r>
        <w:rPr>
          <w:rFonts w:hint="eastAsia"/>
          <w:sz w:val="24"/>
          <w:szCs w:val="32"/>
          <w:highlight w:val="none"/>
        </w:rPr>
        <w:t>本项目位于内蒙古鄂尔多斯市</w:t>
      </w:r>
      <w:r>
        <w:rPr>
          <w:rFonts w:hint="eastAsia" w:ascii="Times New Roman" w:hAnsi="Times New Roman" w:eastAsia="宋体" w:cs="Times New Roman"/>
          <w:bCs/>
          <w:sz w:val="24"/>
          <w:highlight w:val="none"/>
          <w:lang w:val="en-US" w:eastAsia="zh-CN"/>
        </w:rPr>
        <w:t>杭锦旗独贵塔拉工业园区锦泰精细化工园</w:t>
      </w:r>
      <w:r>
        <w:rPr>
          <w:rFonts w:hint="eastAsia"/>
          <w:sz w:val="24"/>
          <w:szCs w:val="32"/>
          <w:highlight w:val="none"/>
        </w:rPr>
        <w:t>，沿线不涉及自然遗迹、人文遗迹、自然保护区、风景名胜区、基本农田保护区、珍稀或濒危野生动植物生境、生态公益林用地等生态敏感目标。工程沿线两侧</w:t>
      </w:r>
      <w:r>
        <w:rPr>
          <w:rFonts w:hint="eastAsia"/>
          <w:sz w:val="24"/>
          <w:szCs w:val="32"/>
          <w:highlight w:val="none"/>
          <w:lang w:val="en-US" w:eastAsia="zh-CN"/>
        </w:rPr>
        <w:t>5</w:t>
      </w:r>
      <w:r>
        <w:rPr>
          <w:rFonts w:hint="eastAsia"/>
          <w:sz w:val="24"/>
          <w:szCs w:val="32"/>
          <w:highlight w:val="none"/>
        </w:rPr>
        <w:t>00m范围内无居民区、村庄，本项目建设与周边现状环境基本相容。</w:t>
      </w:r>
    </w:p>
    <w:p w14:paraId="26340342">
      <w:pPr>
        <w:adjustRightInd w:val="0"/>
        <w:snapToGrid w:val="0"/>
        <w:spacing w:line="360" w:lineRule="auto"/>
        <w:ind w:firstLine="480" w:firstLineChars="200"/>
        <w:rPr>
          <w:rFonts w:hint="eastAsia"/>
          <w:sz w:val="24"/>
          <w:szCs w:val="32"/>
          <w:highlight w:val="none"/>
        </w:rPr>
      </w:pPr>
      <w:r>
        <w:rPr>
          <w:rFonts w:hint="eastAsia"/>
          <w:sz w:val="24"/>
          <w:szCs w:val="32"/>
          <w:highlight w:val="none"/>
        </w:rPr>
        <w:t>工程沿线均为工业用地或空地，项目沿线200m范围无敏感目标，项目建设不涉及环境敏感点，选址选线符合区域相关用地规划、主体功能区划、生态功能区划等，与周边环境相容。</w:t>
      </w:r>
    </w:p>
    <w:p w14:paraId="589D1FF6">
      <w:pPr>
        <w:adjustRightInd w:val="0"/>
        <w:snapToGrid w:val="0"/>
        <w:spacing w:line="360" w:lineRule="auto"/>
        <w:ind w:firstLine="480" w:firstLineChars="200"/>
        <w:rPr>
          <w:rFonts w:hint="eastAsia"/>
          <w:sz w:val="24"/>
          <w:szCs w:val="32"/>
          <w:highlight w:val="none"/>
        </w:rPr>
      </w:pPr>
      <w:r>
        <w:rPr>
          <w:rFonts w:hint="eastAsia"/>
          <w:sz w:val="24"/>
          <w:szCs w:val="32"/>
          <w:highlight w:val="none"/>
        </w:rPr>
        <w:t>本项目建设基本无新增污染，主要影响要素为环境风险，在落实各项环境风险防控措施后，本项目环境风险可防可控。</w:t>
      </w:r>
    </w:p>
    <w:p w14:paraId="6C78C624">
      <w:pPr>
        <w:spacing w:line="360" w:lineRule="auto"/>
        <w:ind w:firstLine="480" w:firstLineChars="200"/>
        <w:rPr>
          <w:rFonts w:hint="eastAsia"/>
          <w:color w:val="0000FF"/>
          <w:sz w:val="24"/>
          <w:highlight w:val="none"/>
        </w:rPr>
      </w:pPr>
      <w:r>
        <w:rPr>
          <w:rFonts w:hint="eastAsia"/>
          <w:sz w:val="24"/>
          <w:szCs w:val="32"/>
          <w:highlight w:val="none"/>
        </w:rPr>
        <w:t>综上分析，从环境影响角度分析，项目选址</w:t>
      </w:r>
      <w:r>
        <w:rPr>
          <w:rFonts w:hint="eastAsia"/>
          <w:sz w:val="24"/>
          <w:szCs w:val="32"/>
          <w:highlight w:val="none"/>
          <w:lang w:eastAsia="zh-CN"/>
        </w:rPr>
        <w:t>和</w:t>
      </w:r>
      <w:r>
        <w:rPr>
          <w:rFonts w:hint="eastAsia"/>
          <w:sz w:val="24"/>
          <w:szCs w:val="32"/>
          <w:highlight w:val="none"/>
        </w:rPr>
        <w:t>选线合理可行</w:t>
      </w:r>
      <w:r>
        <w:rPr>
          <w:rFonts w:hint="eastAsia"/>
          <w:sz w:val="24"/>
          <w:highlight w:val="none"/>
        </w:rPr>
        <w:t>。</w:t>
      </w:r>
    </w:p>
    <w:p w14:paraId="5AA2E328">
      <w:pPr>
        <w:keepNext/>
        <w:keepLines/>
        <w:spacing w:line="360" w:lineRule="auto"/>
        <w:outlineLvl w:val="1"/>
        <w:rPr>
          <w:rFonts w:hint="eastAsia"/>
          <w:b/>
          <w:bCs/>
          <w:sz w:val="28"/>
          <w:szCs w:val="28"/>
          <w:highlight w:val="none"/>
        </w:rPr>
      </w:pPr>
      <w:r>
        <w:rPr>
          <w:rFonts w:hint="eastAsia"/>
          <w:b/>
          <w:bCs/>
          <w:sz w:val="28"/>
          <w:szCs w:val="28"/>
          <w:highlight w:val="none"/>
        </w:rPr>
        <w:t>5.2本项目施工期安全风险防护措施</w:t>
      </w:r>
    </w:p>
    <w:p w14:paraId="1E63EE77">
      <w:pPr>
        <w:spacing w:line="360" w:lineRule="auto"/>
        <w:ind w:firstLine="480" w:firstLineChars="200"/>
        <w:rPr>
          <w:rFonts w:hint="eastAsia"/>
          <w:sz w:val="24"/>
          <w:highlight w:val="none"/>
        </w:rPr>
      </w:pPr>
      <w:r>
        <w:rPr>
          <w:rFonts w:hint="eastAsia"/>
          <w:sz w:val="24"/>
          <w:highlight w:val="none"/>
        </w:rPr>
        <w:t>（1）本项目管道安装施工涉及焊接工序，会产生明火，存在安全隐患，应予以特别关注，施工前应排查现有风险隐患，特别是施工管道临近区域，办理相关动火手续，并在经得相关安监主管部门、园区管理部门及关联企业同意后方可动工。</w:t>
      </w:r>
    </w:p>
    <w:p w14:paraId="086CF1BD">
      <w:pPr>
        <w:spacing w:line="360" w:lineRule="auto"/>
        <w:ind w:firstLine="480" w:firstLineChars="200"/>
        <w:rPr>
          <w:rFonts w:hint="eastAsia"/>
          <w:sz w:val="24"/>
          <w:highlight w:val="none"/>
        </w:rPr>
      </w:pPr>
      <w:r>
        <w:rPr>
          <w:rFonts w:hint="eastAsia"/>
          <w:sz w:val="24"/>
          <w:highlight w:val="none"/>
        </w:rPr>
        <w:t>（2）制定施工方案，优化施工工艺，缩短施工作业时间，优选施工时段</w:t>
      </w:r>
      <w:r>
        <w:rPr>
          <w:rFonts w:hint="eastAsia"/>
          <w:sz w:val="24"/>
          <w:highlight w:val="none"/>
          <w:lang w:eastAsia="zh-CN"/>
        </w:rPr>
        <w:t>；在</w:t>
      </w:r>
      <w:r>
        <w:rPr>
          <w:rFonts w:hint="eastAsia"/>
          <w:sz w:val="24"/>
          <w:highlight w:val="none"/>
        </w:rPr>
        <w:t>现场焊接施工时，加强</w:t>
      </w:r>
      <w:r>
        <w:rPr>
          <w:rFonts w:hint="eastAsia"/>
          <w:sz w:val="24"/>
          <w:highlight w:val="none"/>
          <w:lang w:eastAsia="zh-CN"/>
        </w:rPr>
        <w:t>与</w:t>
      </w:r>
      <w:r>
        <w:rPr>
          <w:rFonts w:hint="eastAsia"/>
          <w:sz w:val="24"/>
          <w:highlight w:val="none"/>
        </w:rPr>
        <w:t>管道沿线企业的联防联控，加密巡检频次。</w:t>
      </w:r>
    </w:p>
    <w:p w14:paraId="4DF77E85">
      <w:pPr>
        <w:spacing w:line="360" w:lineRule="auto"/>
        <w:ind w:firstLine="480" w:firstLineChars="200"/>
        <w:rPr>
          <w:rFonts w:hint="eastAsia"/>
          <w:sz w:val="24"/>
          <w:highlight w:val="none"/>
        </w:rPr>
      </w:pPr>
      <w:r>
        <w:rPr>
          <w:rFonts w:hint="eastAsia"/>
          <w:sz w:val="24"/>
          <w:highlight w:val="none"/>
        </w:rPr>
        <w:t>（3）优选</w:t>
      </w:r>
      <w:r>
        <w:rPr>
          <w:rFonts w:hint="eastAsia"/>
          <w:sz w:val="24"/>
          <w:highlight w:val="none"/>
          <w:lang w:eastAsia="zh-CN"/>
        </w:rPr>
        <w:t>行业</w:t>
      </w:r>
      <w:r>
        <w:rPr>
          <w:rFonts w:hint="eastAsia"/>
          <w:sz w:val="24"/>
          <w:highlight w:val="none"/>
        </w:rPr>
        <w:t>施工经验丰富的施工队伍，施工作业前开展安全作业及安全防范知识培训。</w:t>
      </w:r>
    </w:p>
    <w:p w14:paraId="10C8B615">
      <w:pPr>
        <w:spacing w:line="360" w:lineRule="auto"/>
        <w:ind w:firstLine="480" w:firstLineChars="200"/>
        <w:rPr>
          <w:rFonts w:hint="eastAsia"/>
          <w:sz w:val="24"/>
          <w:highlight w:val="none"/>
        </w:rPr>
      </w:pPr>
      <w:r>
        <w:rPr>
          <w:rFonts w:hint="eastAsia"/>
          <w:sz w:val="24"/>
          <w:highlight w:val="none"/>
        </w:rPr>
        <w:t>（4）落实施工全过程监管及巡查，严控施工作业范围，遵守相关安全防护距离规定。</w:t>
      </w:r>
    </w:p>
    <w:p w14:paraId="2EB8D825">
      <w:pPr>
        <w:spacing w:line="360" w:lineRule="auto"/>
        <w:ind w:firstLine="480" w:firstLineChars="200"/>
        <w:rPr>
          <w:rFonts w:hint="eastAsia"/>
          <w:sz w:val="24"/>
          <w:highlight w:val="none"/>
        </w:rPr>
      </w:pPr>
      <w:r>
        <w:rPr>
          <w:rFonts w:hint="eastAsia"/>
          <w:sz w:val="24"/>
          <w:highlight w:val="none"/>
        </w:rPr>
        <w:t>（5）明确施工方、建设方和监管方的责任人，加强施工管理，强化焊接和防腐质量控制，落实施工作业区及附近的防火等防护措施。</w:t>
      </w:r>
    </w:p>
    <w:p w14:paraId="2468D165">
      <w:pPr>
        <w:keepNext/>
        <w:keepLines/>
        <w:spacing w:line="360" w:lineRule="auto"/>
        <w:outlineLvl w:val="1"/>
        <w:rPr>
          <w:rFonts w:hint="eastAsia"/>
          <w:b/>
          <w:bCs/>
          <w:sz w:val="28"/>
          <w:szCs w:val="28"/>
          <w:highlight w:val="none"/>
        </w:rPr>
      </w:pPr>
      <w:r>
        <w:rPr>
          <w:rFonts w:hint="eastAsia"/>
          <w:b/>
          <w:bCs/>
          <w:sz w:val="28"/>
          <w:szCs w:val="28"/>
          <w:highlight w:val="none"/>
        </w:rPr>
        <w:t>5.3相关设计安全防范措施</w:t>
      </w:r>
    </w:p>
    <w:p w14:paraId="3885BF32">
      <w:pPr>
        <w:spacing w:line="360" w:lineRule="auto"/>
        <w:ind w:firstLine="480" w:firstLineChars="200"/>
        <w:rPr>
          <w:rFonts w:hint="eastAsia"/>
          <w:sz w:val="24"/>
          <w:highlight w:val="none"/>
        </w:rPr>
      </w:pPr>
      <w:r>
        <w:rPr>
          <w:rFonts w:hint="eastAsia"/>
          <w:sz w:val="24"/>
          <w:highlight w:val="none"/>
        </w:rPr>
        <w:t>（1）优选管材及防火</w:t>
      </w:r>
      <w:r>
        <w:rPr>
          <w:rFonts w:hint="eastAsia"/>
          <w:sz w:val="24"/>
          <w:highlight w:val="none"/>
          <w:lang w:eastAsia="zh-CN"/>
        </w:rPr>
        <w:t>防腐蚀</w:t>
      </w:r>
      <w:r>
        <w:rPr>
          <w:rFonts w:hint="eastAsia"/>
          <w:sz w:val="24"/>
          <w:highlight w:val="none"/>
        </w:rPr>
        <w:t>涂料，选用质量有保证的产品，确保管材质量可靠，符合规范设计要求；本项目管道除采用法兰连接和焊接连接</w:t>
      </w:r>
      <w:r>
        <w:rPr>
          <w:rFonts w:hint="eastAsia"/>
          <w:sz w:val="24"/>
          <w:highlight w:val="none"/>
          <w:lang w:eastAsia="zh-CN"/>
        </w:rPr>
        <w:t>外</w:t>
      </w:r>
      <w:r>
        <w:rPr>
          <w:rFonts w:hint="eastAsia"/>
          <w:sz w:val="24"/>
          <w:highlight w:val="none"/>
        </w:rPr>
        <w:t>，不采用其他连接方式，降低泄漏风险</w:t>
      </w:r>
      <w:r>
        <w:rPr>
          <w:rFonts w:hint="eastAsia"/>
          <w:sz w:val="24"/>
          <w:highlight w:val="none"/>
          <w:lang w:eastAsia="zh-CN"/>
        </w:rPr>
        <w:t>概率</w:t>
      </w:r>
      <w:r>
        <w:rPr>
          <w:rFonts w:hint="eastAsia"/>
          <w:sz w:val="24"/>
          <w:highlight w:val="none"/>
        </w:rPr>
        <w:t>；严格控制管道焊接质量，精心施工安装，加强施工质量管理。</w:t>
      </w:r>
    </w:p>
    <w:p w14:paraId="4FAB8810">
      <w:pPr>
        <w:spacing w:line="360" w:lineRule="auto"/>
        <w:ind w:firstLine="480" w:firstLineChars="200"/>
        <w:rPr>
          <w:rFonts w:hint="eastAsia"/>
          <w:sz w:val="24"/>
          <w:highlight w:val="none"/>
        </w:rPr>
      </w:pPr>
      <w:r>
        <w:rPr>
          <w:rFonts w:hint="eastAsia"/>
          <w:sz w:val="24"/>
          <w:highlight w:val="none"/>
        </w:rPr>
        <w:t>（2）本项目应严格按照《石油化工企业设计防火标准》《石油化工设备和管道涂料防腐蚀设计规范》《工业金属管道设计规范》《压力管道规范工业管道》等相关规范要求进行设计，预留足够的与周边保护目标及其他管道等设施之间的安全防护距离，采取严格的防腐层保护金属管道，确保管道质量可靠。设计中，应充分考虑设备的风荷载及防腐设计。管线应按规范要求进行防雷及防静电接地设计。</w:t>
      </w:r>
    </w:p>
    <w:p w14:paraId="2F5D7CAC">
      <w:pPr>
        <w:spacing w:line="360" w:lineRule="auto"/>
        <w:ind w:firstLine="480" w:firstLineChars="200"/>
        <w:rPr>
          <w:rFonts w:hint="eastAsia"/>
          <w:sz w:val="24"/>
          <w:highlight w:val="none"/>
        </w:rPr>
      </w:pPr>
      <w:r>
        <w:rPr>
          <w:rFonts w:hint="eastAsia"/>
          <w:sz w:val="24"/>
          <w:highlight w:val="none"/>
        </w:rPr>
        <w:t>（3）项目管道沿线设置各种警示标识，避免手机、金属碰撞、汽车发动机等潜在火源的发生，并加强维护管理；设置完善的管道标志，管道标志不仅清楚、明确，并且其设置应能从不同方向，不同角度均可看清。</w:t>
      </w:r>
    </w:p>
    <w:p w14:paraId="75709C7D">
      <w:pPr>
        <w:spacing w:line="360" w:lineRule="auto"/>
        <w:ind w:firstLine="480" w:firstLineChars="200"/>
        <w:rPr>
          <w:rFonts w:hint="eastAsia"/>
          <w:color w:val="0000FF"/>
          <w:sz w:val="24"/>
          <w:highlight w:val="none"/>
        </w:rPr>
      </w:pPr>
      <w:r>
        <w:rPr>
          <w:rFonts w:hint="eastAsia"/>
          <w:sz w:val="24"/>
          <w:highlight w:val="none"/>
        </w:rPr>
        <w:t>（4）项目化学品输送管道</w:t>
      </w:r>
      <w:r>
        <w:rPr>
          <w:rFonts w:hint="eastAsia"/>
          <w:sz w:val="24"/>
          <w:highlight w:val="none"/>
          <w:lang w:eastAsia="zh-CN"/>
        </w:rPr>
        <w:t>、</w:t>
      </w:r>
      <w:r>
        <w:rPr>
          <w:rFonts w:hint="eastAsia"/>
          <w:sz w:val="24"/>
          <w:highlight w:val="none"/>
          <w:lang w:val="en-US" w:eastAsia="zh-CN"/>
        </w:rPr>
        <w:t>管线</w:t>
      </w:r>
      <w:r>
        <w:rPr>
          <w:rFonts w:hint="eastAsia" w:ascii="Times New Roman" w:hAnsi="Times New Roman" w:eastAsia="宋体" w:cs="Times New Roman"/>
          <w:sz w:val="24"/>
          <w:szCs w:val="24"/>
          <w:highlight w:val="none"/>
          <w:lang w:val="en-US" w:eastAsia="zh-CN"/>
        </w:rPr>
        <w:t>阀门和仪表的控制信号</w:t>
      </w:r>
      <w:r>
        <w:rPr>
          <w:rFonts w:hint="eastAsia" w:ascii="Times New Roman" w:hAnsi="Times New Roman" w:eastAsia="宋体" w:cs="Times New Roman"/>
          <w:color w:val="auto"/>
          <w:sz w:val="24"/>
          <w:szCs w:val="24"/>
          <w:highlight w:val="none"/>
          <w:lang w:val="en-US" w:eastAsia="zh-CN"/>
        </w:rPr>
        <w:t>接入</w:t>
      </w:r>
      <w:r>
        <w:rPr>
          <w:rFonts w:hint="eastAsia" w:cs="Times New Roman"/>
          <w:color w:val="auto"/>
          <w:sz w:val="24"/>
          <w:szCs w:val="24"/>
          <w:highlight w:val="none"/>
          <w:lang w:val="en-US" w:eastAsia="zh-CN"/>
        </w:rPr>
        <w:t>伊泰化工</w:t>
      </w:r>
      <w:r>
        <w:rPr>
          <w:rFonts w:hint="default" w:ascii="Times New Roman" w:hAnsi="Times New Roman" w:eastAsia="宋体" w:cs="Times New Roman"/>
          <w:color w:val="auto"/>
          <w:sz w:val="24"/>
          <w:szCs w:val="24"/>
          <w:highlight w:val="none"/>
          <w:lang w:val="en-US" w:eastAsia="zh-CN"/>
        </w:rPr>
        <w:t>公司DCS系统</w:t>
      </w:r>
      <w:r>
        <w:rPr>
          <w:rFonts w:hint="default" w:ascii="Times New Roman" w:hAnsi="Times New Roman" w:eastAsia="宋体" w:cs="Times New Roman"/>
          <w:sz w:val="24"/>
          <w:szCs w:val="24"/>
          <w:highlight w:val="none"/>
          <w:lang w:val="en-US" w:eastAsia="zh-CN"/>
        </w:rPr>
        <w:t>，DCS信号通过光纤接入伊泰化工的中控系统</w:t>
      </w:r>
      <w:r>
        <w:rPr>
          <w:rFonts w:hint="eastAsia"/>
          <w:sz w:val="24"/>
          <w:highlight w:val="none"/>
        </w:rPr>
        <w:t>，实行24h实时监控。</w:t>
      </w:r>
    </w:p>
    <w:p w14:paraId="7175CC38">
      <w:pPr>
        <w:keepNext/>
        <w:keepLines/>
        <w:spacing w:line="360" w:lineRule="auto"/>
        <w:outlineLvl w:val="1"/>
        <w:rPr>
          <w:rFonts w:hint="eastAsia"/>
          <w:b/>
          <w:bCs/>
          <w:sz w:val="28"/>
          <w:szCs w:val="28"/>
          <w:highlight w:val="none"/>
        </w:rPr>
      </w:pPr>
      <w:r>
        <w:rPr>
          <w:rFonts w:hint="eastAsia"/>
          <w:b/>
          <w:bCs/>
          <w:sz w:val="28"/>
          <w:szCs w:val="28"/>
          <w:highlight w:val="none"/>
        </w:rPr>
        <w:t>5.4本项目防爆措施</w:t>
      </w:r>
    </w:p>
    <w:p w14:paraId="2527A374">
      <w:pPr>
        <w:numPr>
          <w:ilvl w:val="0"/>
          <w:numId w:val="0"/>
        </w:numPr>
        <w:spacing w:line="360" w:lineRule="auto"/>
        <w:ind w:firstLine="480" w:firstLineChars="200"/>
        <w:rPr>
          <w:rFonts w:hint="eastAsia"/>
          <w:sz w:val="24"/>
          <w:highlight w:val="none"/>
          <w:lang w:val="en-US" w:eastAsia="zh-CN"/>
        </w:rPr>
      </w:pPr>
      <w:r>
        <w:rPr>
          <w:rFonts w:hint="eastAsia"/>
          <w:sz w:val="24"/>
          <w:highlight w:val="none"/>
          <w:lang w:val="en-US" w:eastAsia="zh-CN"/>
        </w:rPr>
        <w:t>1.管理上的防范措施</w:t>
      </w:r>
    </w:p>
    <w:p w14:paraId="72DE0F8F">
      <w:pPr>
        <w:numPr>
          <w:ilvl w:val="0"/>
          <w:numId w:val="0"/>
        </w:numPr>
        <w:spacing w:line="360" w:lineRule="auto"/>
        <w:ind w:firstLine="480" w:firstLineChars="200"/>
        <w:rPr>
          <w:rFonts w:hint="eastAsia"/>
          <w:sz w:val="24"/>
          <w:highlight w:val="none"/>
        </w:rPr>
      </w:pPr>
      <w:r>
        <w:rPr>
          <w:rFonts w:hint="default"/>
          <w:sz w:val="24"/>
          <w:highlight w:val="none"/>
          <w:lang w:val="en-US" w:eastAsia="zh-CN"/>
        </w:rPr>
        <w:t>本项目是一个易燃、易爆、火灾危险性较大的项目，存在劳动安全卫生危害因素，必须在操作与管理上采取防范措施。但项目没有新增危险因素或防范介质，劳动、安全、卫生</w:t>
      </w:r>
      <w:r>
        <w:rPr>
          <w:rFonts w:hint="eastAsia"/>
          <w:sz w:val="24"/>
          <w:highlight w:val="none"/>
          <w:lang w:val="en-US" w:eastAsia="zh-CN"/>
        </w:rPr>
        <w:t>等</w:t>
      </w:r>
      <w:r>
        <w:rPr>
          <w:rFonts w:hint="default"/>
          <w:sz w:val="24"/>
          <w:highlight w:val="none"/>
          <w:lang w:val="en-US" w:eastAsia="zh-CN"/>
        </w:rPr>
        <w:t>防范措施</w:t>
      </w:r>
      <w:r>
        <w:rPr>
          <w:rFonts w:hint="eastAsia"/>
          <w:sz w:val="24"/>
          <w:highlight w:val="none"/>
          <w:lang w:val="en-US" w:eastAsia="zh-CN"/>
        </w:rPr>
        <w:t>与原来</w:t>
      </w:r>
      <w:r>
        <w:rPr>
          <w:rFonts w:hint="default"/>
          <w:sz w:val="24"/>
          <w:highlight w:val="none"/>
          <w:lang w:val="en-US" w:eastAsia="zh-CN"/>
        </w:rPr>
        <w:t>一致，安全管理、监督工作可完全由伊泰化工环保科统一部署实施</w:t>
      </w:r>
      <w:r>
        <w:rPr>
          <w:rFonts w:hint="eastAsia"/>
          <w:sz w:val="24"/>
          <w:highlight w:val="none"/>
          <w:lang w:val="en-US" w:eastAsia="zh-CN"/>
        </w:rPr>
        <w:t>。</w:t>
      </w:r>
      <w:r>
        <w:rPr>
          <w:rFonts w:hint="default"/>
          <w:sz w:val="24"/>
          <w:highlight w:val="none"/>
          <w:lang w:val="en-US" w:eastAsia="zh-CN"/>
        </w:rPr>
        <w:t>装置投产前，必须制定必要的安全生产管理制度，例如安全教育制度、安全作业证制度、安全检查制度等。</w:t>
      </w:r>
    </w:p>
    <w:p w14:paraId="344F4C79">
      <w:pPr>
        <w:spacing w:line="360" w:lineRule="auto"/>
        <w:ind w:firstLine="480" w:firstLineChars="200"/>
        <w:rPr>
          <w:rFonts w:hint="eastAsia"/>
          <w:sz w:val="24"/>
          <w:highlight w:val="none"/>
        </w:rPr>
      </w:pPr>
      <w:r>
        <w:rPr>
          <w:rFonts w:hint="default"/>
          <w:sz w:val="24"/>
          <w:highlight w:val="none"/>
          <w:lang w:val="en-US" w:eastAsia="zh-CN"/>
        </w:rPr>
        <w:t>2.工程设计上的防范措施</w:t>
      </w:r>
    </w:p>
    <w:p w14:paraId="634693E9">
      <w:pPr>
        <w:spacing w:line="360" w:lineRule="auto"/>
        <w:ind w:firstLine="480" w:firstLineChars="200"/>
        <w:rPr>
          <w:rFonts w:hint="eastAsia"/>
          <w:sz w:val="24"/>
          <w:highlight w:val="none"/>
        </w:rPr>
      </w:pPr>
      <w:r>
        <w:rPr>
          <w:rFonts w:hint="eastAsia"/>
          <w:sz w:val="24"/>
          <w:highlight w:val="none"/>
          <w:lang w:val="en-US" w:eastAsia="zh-CN"/>
        </w:rPr>
        <w:t>管廊</w:t>
      </w:r>
      <w:r>
        <w:rPr>
          <w:rFonts w:hint="default"/>
          <w:sz w:val="24"/>
          <w:highlight w:val="none"/>
          <w:lang w:val="en-US" w:eastAsia="zh-CN"/>
        </w:rPr>
        <w:t>平面布置严格执行有关防火、防爆规定，</w:t>
      </w:r>
      <w:r>
        <w:rPr>
          <w:rFonts w:hint="eastAsia"/>
          <w:sz w:val="24"/>
          <w:highlight w:val="none"/>
          <w:lang w:val="en-US" w:eastAsia="zh-CN"/>
        </w:rPr>
        <w:t>管道</w:t>
      </w:r>
      <w:r>
        <w:rPr>
          <w:rFonts w:hint="default"/>
          <w:sz w:val="24"/>
          <w:highlight w:val="none"/>
          <w:lang w:val="en-US" w:eastAsia="zh-CN"/>
        </w:rPr>
        <w:t>之间设有足够的防火间距。</w:t>
      </w:r>
    </w:p>
    <w:p w14:paraId="7C971AE7">
      <w:pPr>
        <w:spacing w:line="360" w:lineRule="auto"/>
        <w:ind w:firstLine="480" w:firstLineChars="200"/>
        <w:rPr>
          <w:rFonts w:hint="eastAsia"/>
          <w:sz w:val="24"/>
          <w:highlight w:val="none"/>
        </w:rPr>
      </w:pPr>
      <w:r>
        <w:rPr>
          <w:rFonts w:hint="default"/>
          <w:sz w:val="24"/>
          <w:highlight w:val="none"/>
          <w:lang w:val="en-US" w:eastAsia="zh-CN"/>
        </w:rPr>
        <w:t>选择安全可靠的工艺技术和设备，采用密闭系统、连续化生产过程，防止泄漏，从根本上提高装置的安全性，防止和减少事故的发生。</w:t>
      </w:r>
    </w:p>
    <w:p w14:paraId="34992B7E">
      <w:pPr>
        <w:spacing w:line="360" w:lineRule="auto"/>
        <w:ind w:firstLine="480" w:firstLineChars="200"/>
        <w:rPr>
          <w:rFonts w:hint="eastAsia"/>
          <w:sz w:val="24"/>
          <w:highlight w:val="none"/>
        </w:rPr>
      </w:pPr>
      <w:r>
        <w:rPr>
          <w:rFonts w:hint="default"/>
          <w:sz w:val="24"/>
          <w:highlight w:val="none"/>
          <w:lang w:val="en-US" w:eastAsia="zh-CN"/>
        </w:rPr>
        <w:t>设备设计严格执行压力容器设计规定，并按规定装设安全阀，防止超压引发的危害；选择良好的设备、阀门、管件及密封材料，防止跑、冒、滴、漏</w:t>
      </w:r>
      <w:r>
        <w:rPr>
          <w:rFonts w:hint="eastAsia"/>
          <w:sz w:val="24"/>
          <w:highlight w:val="none"/>
          <w:lang w:val="en-US" w:eastAsia="zh-CN"/>
        </w:rPr>
        <w:t>等</w:t>
      </w:r>
      <w:r>
        <w:rPr>
          <w:rFonts w:hint="default"/>
          <w:sz w:val="24"/>
          <w:highlight w:val="none"/>
          <w:lang w:val="en-US" w:eastAsia="zh-CN"/>
        </w:rPr>
        <w:t>发生。</w:t>
      </w:r>
    </w:p>
    <w:p w14:paraId="14A724B5">
      <w:pPr>
        <w:spacing w:line="360" w:lineRule="auto"/>
        <w:ind w:firstLine="480" w:firstLineChars="200"/>
        <w:rPr>
          <w:rFonts w:hint="eastAsia"/>
          <w:sz w:val="24"/>
          <w:highlight w:val="none"/>
        </w:rPr>
      </w:pPr>
      <w:r>
        <w:rPr>
          <w:rFonts w:hint="default"/>
          <w:sz w:val="24"/>
          <w:highlight w:val="none"/>
          <w:lang w:val="en-US" w:eastAsia="zh-CN"/>
        </w:rPr>
        <w:t>抗震、防雷措施：新增的建构筑物及设备采取相应的抗震、防爆、防静电措施。</w:t>
      </w:r>
    </w:p>
    <w:p w14:paraId="3B444502">
      <w:pPr>
        <w:spacing w:line="360" w:lineRule="auto"/>
        <w:ind w:firstLine="480" w:firstLineChars="200"/>
        <w:rPr>
          <w:rFonts w:hint="eastAsia"/>
          <w:sz w:val="24"/>
          <w:highlight w:val="none"/>
        </w:rPr>
      </w:pPr>
      <w:r>
        <w:rPr>
          <w:rFonts w:hint="default"/>
          <w:sz w:val="24"/>
          <w:highlight w:val="none"/>
          <w:lang w:val="en-US" w:eastAsia="zh-CN"/>
        </w:rPr>
        <w:t>根据火灾危险性等级和防火、防爆要求，建筑物</w:t>
      </w:r>
      <w:r>
        <w:rPr>
          <w:rFonts w:hint="eastAsia"/>
          <w:sz w:val="24"/>
          <w:highlight w:val="none"/>
          <w:lang w:val="en-US" w:eastAsia="zh-CN"/>
        </w:rPr>
        <w:t>应</w:t>
      </w:r>
      <w:r>
        <w:rPr>
          <w:rFonts w:hint="default"/>
          <w:sz w:val="24"/>
          <w:highlight w:val="none"/>
          <w:lang w:val="en-US" w:eastAsia="zh-CN"/>
        </w:rPr>
        <w:t>按二级耐火等级设计。</w:t>
      </w:r>
    </w:p>
    <w:p w14:paraId="06A2DF88">
      <w:pPr>
        <w:keepNext/>
        <w:keepLines/>
        <w:spacing w:line="360" w:lineRule="auto"/>
        <w:outlineLvl w:val="1"/>
        <w:rPr>
          <w:rFonts w:hint="eastAsia"/>
          <w:b/>
          <w:bCs/>
          <w:sz w:val="28"/>
          <w:szCs w:val="28"/>
          <w:highlight w:val="none"/>
        </w:rPr>
      </w:pPr>
      <w:r>
        <w:rPr>
          <w:rFonts w:hint="eastAsia"/>
          <w:b/>
          <w:bCs/>
          <w:sz w:val="28"/>
          <w:szCs w:val="28"/>
          <w:highlight w:val="none"/>
        </w:rPr>
        <w:t>5.5本项目自动控制安全防范措施</w:t>
      </w:r>
    </w:p>
    <w:p w14:paraId="15FE68F0">
      <w:pPr>
        <w:numPr>
          <w:ilvl w:val="0"/>
          <w:numId w:val="0"/>
        </w:numPr>
        <w:spacing w:line="360" w:lineRule="auto"/>
        <w:ind w:firstLine="480" w:firstLineChars="200"/>
        <w:rPr>
          <w:rFonts w:hint="eastAsia" w:eastAsia="宋体"/>
          <w:sz w:val="24"/>
          <w:highlight w:val="none"/>
          <w:lang w:eastAsia="zh-CN"/>
        </w:rPr>
      </w:pPr>
      <w:r>
        <w:rPr>
          <w:rFonts w:hint="eastAsia"/>
          <w:sz w:val="24"/>
          <w:highlight w:val="none"/>
        </w:rPr>
        <w:t>项目管道架空敷设，其中为了便于计量和快速切断，在合成脱碳尾气、未变换净化气、WRT甲烷气、回用水、富甲烷气</w:t>
      </w:r>
      <w:r>
        <w:rPr>
          <w:rFonts w:hint="eastAsia"/>
          <w:sz w:val="24"/>
          <w:highlight w:val="none"/>
          <w:lang w:eastAsia="zh-CN"/>
        </w:rPr>
        <w:t>等</w:t>
      </w:r>
      <w:r>
        <w:rPr>
          <w:rFonts w:hint="eastAsia"/>
          <w:sz w:val="24"/>
          <w:highlight w:val="none"/>
        </w:rPr>
        <w:t>管道上设置快速切断阀，WRT甲烷气和污水2管线设置压力调节阀组和流量计</w:t>
      </w:r>
      <w:r>
        <w:rPr>
          <w:rFonts w:hint="eastAsia"/>
          <w:sz w:val="24"/>
          <w:highlight w:val="none"/>
          <w:lang w:eastAsia="zh-CN"/>
        </w:rPr>
        <w:t>，</w:t>
      </w:r>
      <w:r>
        <w:rPr>
          <w:rFonts w:hint="eastAsia"/>
          <w:sz w:val="24"/>
          <w:highlight w:val="none"/>
        </w:rPr>
        <w:t>其</w:t>
      </w:r>
      <w:r>
        <w:rPr>
          <w:rFonts w:hint="eastAsia"/>
          <w:sz w:val="24"/>
          <w:highlight w:val="none"/>
          <w:lang w:eastAsia="zh-CN"/>
        </w:rPr>
        <w:t>他</w:t>
      </w:r>
      <w:r>
        <w:rPr>
          <w:rFonts w:hint="eastAsia"/>
          <w:sz w:val="24"/>
          <w:highlight w:val="none"/>
        </w:rPr>
        <w:t>工艺和公用工程管道仅设置流量计用于计量结算，管线末端设置手动切断阀组。在物料输出端和接收端设置中控系统和紧急切断阀，阀门和仪表的控制信号接入伊泰化工公司DCS系统</w:t>
      </w:r>
      <w:r>
        <w:rPr>
          <w:rFonts w:hint="eastAsia"/>
          <w:sz w:val="24"/>
          <w:highlight w:val="none"/>
          <w:lang w:eastAsia="zh-CN"/>
        </w:rPr>
        <w:t>，</w:t>
      </w:r>
      <w:r>
        <w:rPr>
          <w:rFonts w:hint="eastAsia"/>
          <w:sz w:val="24"/>
          <w:highlight w:val="none"/>
        </w:rPr>
        <w:t>一旦发生泄漏易被发现</w:t>
      </w:r>
      <w:r>
        <w:rPr>
          <w:rFonts w:hint="eastAsia"/>
          <w:sz w:val="24"/>
          <w:highlight w:val="none"/>
          <w:lang w:eastAsia="zh-CN"/>
        </w:rPr>
        <w:t>。</w:t>
      </w:r>
    </w:p>
    <w:p w14:paraId="70EF9E36">
      <w:pPr>
        <w:keepNext/>
        <w:keepLines/>
        <w:spacing w:line="360" w:lineRule="auto"/>
        <w:outlineLvl w:val="1"/>
        <w:rPr>
          <w:rFonts w:hint="eastAsia"/>
          <w:b/>
          <w:bCs/>
          <w:sz w:val="28"/>
          <w:szCs w:val="28"/>
          <w:highlight w:val="none"/>
        </w:rPr>
      </w:pPr>
      <w:r>
        <w:rPr>
          <w:rFonts w:hint="eastAsia"/>
          <w:b/>
          <w:bCs/>
          <w:sz w:val="28"/>
          <w:szCs w:val="28"/>
          <w:highlight w:val="none"/>
        </w:rPr>
        <w:t>5.</w:t>
      </w:r>
      <w:r>
        <w:rPr>
          <w:rFonts w:hint="eastAsia"/>
          <w:b/>
          <w:bCs/>
          <w:sz w:val="28"/>
          <w:szCs w:val="28"/>
          <w:highlight w:val="none"/>
          <w:lang w:val="en-US" w:eastAsia="zh-CN"/>
        </w:rPr>
        <w:t>6</w:t>
      </w:r>
      <w:r>
        <w:rPr>
          <w:rFonts w:hint="eastAsia"/>
          <w:b/>
          <w:bCs/>
          <w:sz w:val="28"/>
          <w:szCs w:val="28"/>
          <w:highlight w:val="none"/>
        </w:rPr>
        <w:t>本项目防毒性危害措施</w:t>
      </w:r>
    </w:p>
    <w:p w14:paraId="0153B6B6">
      <w:pPr>
        <w:spacing w:line="360" w:lineRule="auto"/>
        <w:ind w:firstLine="480" w:firstLineChars="200"/>
        <w:rPr>
          <w:rFonts w:hint="eastAsia"/>
          <w:sz w:val="24"/>
          <w:highlight w:val="none"/>
        </w:rPr>
      </w:pPr>
      <w:r>
        <w:rPr>
          <w:rFonts w:hint="eastAsia"/>
          <w:sz w:val="24"/>
          <w:highlight w:val="none"/>
        </w:rPr>
        <w:t>为厂区外管线巡线作业人员配备必要的劳</w:t>
      </w:r>
      <w:r>
        <w:rPr>
          <w:rFonts w:hint="eastAsia"/>
          <w:sz w:val="24"/>
          <w:highlight w:val="none"/>
          <w:lang w:eastAsia="zh-CN"/>
        </w:rPr>
        <w:t>动保护</w:t>
      </w:r>
      <w:r>
        <w:rPr>
          <w:rFonts w:hint="eastAsia"/>
          <w:sz w:val="24"/>
          <w:highlight w:val="none"/>
        </w:rPr>
        <w:t>用品和</w:t>
      </w:r>
      <w:bookmarkStart w:id="75" w:name="_GoBack"/>
      <w:bookmarkEnd w:id="75"/>
      <w:r>
        <w:rPr>
          <w:rFonts w:hint="eastAsia"/>
          <w:sz w:val="24"/>
          <w:highlight w:val="none"/>
        </w:rPr>
        <w:t>检漏仪器。如：防护手套、防护鞋、防护眼镜、防毒面罩及便携式可燃报警仪等。</w:t>
      </w:r>
    </w:p>
    <w:p w14:paraId="47C809AA">
      <w:pPr>
        <w:keepNext/>
        <w:keepLines/>
        <w:spacing w:line="360" w:lineRule="auto"/>
        <w:outlineLvl w:val="1"/>
        <w:rPr>
          <w:rFonts w:hint="eastAsia"/>
          <w:b/>
          <w:bCs/>
          <w:sz w:val="28"/>
          <w:szCs w:val="28"/>
          <w:highlight w:val="none"/>
        </w:rPr>
      </w:pPr>
      <w:r>
        <w:rPr>
          <w:rFonts w:hint="eastAsia"/>
          <w:b/>
          <w:bCs/>
          <w:sz w:val="28"/>
          <w:szCs w:val="28"/>
          <w:highlight w:val="none"/>
        </w:rPr>
        <w:t>5.</w:t>
      </w:r>
      <w:r>
        <w:rPr>
          <w:rFonts w:hint="eastAsia"/>
          <w:b/>
          <w:bCs/>
          <w:sz w:val="28"/>
          <w:szCs w:val="28"/>
          <w:highlight w:val="none"/>
          <w:lang w:val="en-US" w:eastAsia="zh-CN"/>
        </w:rPr>
        <w:t>7</w:t>
      </w:r>
      <w:r>
        <w:rPr>
          <w:rFonts w:hint="eastAsia"/>
          <w:b/>
          <w:bCs/>
          <w:sz w:val="28"/>
          <w:szCs w:val="28"/>
          <w:highlight w:val="none"/>
        </w:rPr>
        <w:t>管道泄漏风险防范措施</w:t>
      </w:r>
    </w:p>
    <w:p w14:paraId="469EB15F">
      <w:pPr>
        <w:spacing w:line="360" w:lineRule="auto"/>
        <w:ind w:firstLine="480" w:firstLineChars="200"/>
        <w:rPr>
          <w:rFonts w:hint="eastAsia"/>
          <w:sz w:val="24"/>
          <w:highlight w:val="none"/>
        </w:rPr>
      </w:pPr>
      <w:r>
        <w:rPr>
          <w:rFonts w:hint="eastAsia"/>
          <w:sz w:val="24"/>
          <w:highlight w:val="none"/>
        </w:rPr>
        <w:t>（1）管道按照相关规范进行设计、施工和验收，严格把控管道等材料质量及施工质量。严格落实管道材质及焊接、防腐质量，杜绝因管材质量缺陷发生泄漏事故。</w:t>
      </w:r>
    </w:p>
    <w:p w14:paraId="47EBA194">
      <w:pPr>
        <w:spacing w:line="360" w:lineRule="auto"/>
        <w:ind w:firstLine="480" w:firstLineChars="200"/>
        <w:rPr>
          <w:rFonts w:hint="eastAsia"/>
          <w:sz w:val="24"/>
          <w:highlight w:val="none"/>
        </w:rPr>
      </w:pPr>
      <w:r>
        <w:rPr>
          <w:rFonts w:hint="eastAsia"/>
          <w:sz w:val="24"/>
          <w:highlight w:val="none"/>
        </w:rPr>
        <w:t>（2）加强维护与管理</w:t>
      </w:r>
    </w:p>
    <w:p w14:paraId="2FE0F018">
      <w:pPr>
        <w:spacing w:line="360" w:lineRule="auto"/>
        <w:ind w:firstLine="480" w:firstLineChars="200"/>
        <w:rPr>
          <w:rFonts w:hint="eastAsia"/>
          <w:sz w:val="24"/>
          <w:highlight w:val="none"/>
        </w:rPr>
      </w:pPr>
      <w:r>
        <w:rPr>
          <w:rFonts w:hint="eastAsia"/>
          <w:sz w:val="24"/>
          <w:highlight w:val="none"/>
        </w:rPr>
        <w:t>制定完善的安全生产管理制度及安全操作规程、巡回检查管理制度、安全检查与隐患排查整改管理制度、相关责任制等。进一步加强设备、阀门、流量计、压力表报警等设施的维修维护。</w:t>
      </w:r>
    </w:p>
    <w:p w14:paraId="1CFE6534">
      <w:pPr>
        <w:spacing w:line="360" w:lineRule="auto"/>
        <w:ind w:firstLine="480" w:firstLineChars="200"/>
        <w:rPr>
          <w:rFonts w:hint="eastAsia"/>
          <w:sz w:val="24"/>
          <w:highlight w:val="none"/>
        </w:rPr>
      </w:pPr>
      <w:r>
        <w:rPr>
          <w:rFonts w:hint="eastAsia"/>
          <w:sz w:val="24"/>
          <w:highlight w:val="none"/>
        </w:rPr>
        <w:t>①制定完善的管道日常巡检管理制度，明确每个班次的巡检人员和责任，并落实巡检记录和台账。</w:t>
      </w:r>
    </w:p>
    <w:p w14:paraId="1C767118">
      <w:pPr>
        <w:spacing w:line="360" w:lineRule="auto"/>
        <w:ind w:firstLine="480" w:firstLineChars="200"/>
        <w:rPr>
          <w:rFonts w:hint="eastAsia"/>
          <w:sz w:val="24"/>
          <w:highlight w:val="none"/>
        </w:rPr>
      </w:pPr>
      <w:r>
        <w:rPr>
          <w:rFonts w:hint="eastAsia"/>
          <w:sz w:val="24"/>
          <w:highlight w:val="none"/>
        </w:rPr>
        <w:t>②制定严格的运行操作规章制度，对操作员、管线巡查员等进行岗位培训，使其了解物料特性、输送工艺过程，熟悉操作规程，对各种情况能进行正确判断，经考核合格后方可上岗；同时加强职工安全教育。</w:t>
      </w:r>
    </w:p>
    <w:p w14:paraId="44916DCC">
      <w:pPr>
        <w:spacing w:line="360" w:lineRule="auto"/>
        <w:ind w:firstLine="480" w:firstLineChars="200"/>
        <w:rPr>
          <w:rFonts w:hint="eastAsia"/>
          <w:sz w:val="24"/>
          <w:highlight w:val="none"/>
        </w:rPr>
      </w:pPr>
      <w:r>
        <w:rPr>
          <w:rFonts w:hint="eastAsia"/>
          <w:sz w:val="24"/>
          <w:highlight w:val="none"/>
        </w:rPr>
        <w:t>③定期巡检检查，发现问题及时报告、及时处理，特别关注管道弯头、焊接处</w:t>
      </w:r>
      <w:r>
        <w:rPr>
          <w:rFonts w:hint="eastAsia"/>
          <w:sz w:val="24"/>
          <w:highlight w:val="none"/>
          <w:lang w:eastAsia="zh-CN"/>
        </w:rPr>
        <w:t>等</w:t>
      </w:r>
      <w:r>
        <w:rPr>
          <w:rFonts w:hint="eastAsia"/>
          <w:sz w:val="24"/>
          <w:highlight w:val="none"/>
        </w:rPr>
        <w:t>。日常管理过程</w:t>
      </w:r>
      <w:r>
        <w:rPr>
          <w:rFonts w:hint="eastAsia"/>
          <w:sz w:val="24"/>
          <w:highlight w:val="none"/>
          <w:lang w:eastAsia="zh-CN"/>
        </w:rPr>
        <w:t>中</w:t>
      </w:r>
      <w:r>
        <w:rPr>
          <w:rFonts w:hint="eastAsia"/>
          <w:sz w:val="24"/>
          <w:highlight w:val="none"/>
        </w:rPr>
        <w:t>，中控室定时查看各类报警设施，安排专人巡查，发现问题，立即上报，并对泄漏管线进行堵漏。</w:t>
      </w:r>
    </w:p>
    <w:p w14:paraId="645BDD34">
      <w:pPr>
        <w:spacing w:line="360" w:lineRule="auto"/>
        <w:ind w:firstLine="480" w:firstLineChars="200"/>
        <w:rPr>
          <w:rFonts w:hint="eastAsia"/>
          <w:sz w:val="24"/>
          <w:highlight w:val="none"/>
        </w:rPr>
      </w:pPr>
      <w:r>
        <w:rPr>
          <w:rFonts w:hint="eastAsia"/>
          <w:sz w:val="24"/>
          <w:highlight w:val="none"/>
        </w:rPr>
        <w:t>（3）管道沿线</w:t>
      </w:r>
      <w:r>
        <w:rPr>
          <w:rFonts w:hint="eastAsia"/>
          <w:sz w:val="24"/>
          <w:highlight w:val="none"/>
          <w:lang w:eastAsia="zh-CN"/>
        </w:rPr>
        <w:t>设置</w:t>
      </w:r>
      <w:r>
        <w:rPr>
          <w:rFonts w:hint="eastAsia"/>
          <w:sz w:val="24"/>
          <w:highlight w:val="none"/>
        </w:rPr>
        <w:t>警示标志，设置醒目的禁火区域标志。</w:t>
      </w:r>
      <w:r>
        <w:rPr>
          <w:rFonts w:hint="eastAsia"/>
          <w:sz w:val="24"/>
          <w:highlight w:val="none"/>
          <w:lang w:eastAsia="zh-CN"/>
        </w:rPr>
        <w:t>将</w:t>
      </w:r>
      <w:r>
        <w:rPr>
          <w:rFonts w:hint="eastAsia"/>
          <w:sz w:val="24"/>
          <w:highlight w:val="none"/>
        </w:rPr>
        <w:t>管道纳入厂区环境应急预案，开展应急演练；确保管道长期安全、稳定</w:t>
      </w:r>
      <w:r>
        <w:rPr>
          <w:rFonts w:hint="eastAsia"/>
          <w:sz w:val="24"/>
          <w:highlight w:val="none"/>
          <w:lang w:eastAsia="zh-CN"/>
        </w:rPr>
        <w:t>地</w:t>
      </w:r>
      <w:r>
        <w:rPr>
          <w:rFonts w:hint="eastAsia"/>
          <w:sz w:val="24"/>
          <w:highlight w:val="none"/>
        </w:rPr>
        <w:t>运行。</w:t>
      </w:r>
    </w:p>
    <w:p w14:paraId="780A18A6">
      <w:pPr>
        <w:spacing w:line="360" w:lineRule="auto"/>
        <w:ind w:firstLine="480" w:firstLineChars="200"/>
        <w:rPr>
          <w:rFonts w:hint="eastAsia"/>
          <w:sz w:val="24"/>
          <w:highlight w:val="none"/>
        </w:rPr>
      </w:pPr>
      <w:r>
        <w:rPr>
          <w:rFonts w:hint="eastAsia"/>
          <w:sz w:val="24"/>
          <w:highlight w:val="none"/>
        </w:rPr>
        <w:t>（4）项目化学品输送管道</w:t>
      </w:r>
      <w:r>
        <w:rPr>
          <w:rFonts w:hint="eastAsia"/>
          <w:sz w:val="24"/>
          <w:highlight w:val="none"/>
          <w:lang w:eastAsia="zh-CN"/>
        </w:rPr>
        <w:t>在</w:t>
      </w:r>
      <w:r>
        <w:rPr>
          <w:rFonts w:hint="eastAsia"/>
          <w:sz w:val="24"/>
          <w:highlight w:val="none"/>
        </w:rPr>
        <w:t>输出端企业和接收端企业内设置压力监控装置</w:t>
      </w:r>
      <w:r>
        <w:rPr>
          <w:rFonts w:hint="eastAsia"/>
          <w:sz w:val="24"/>
          <w:highlight w:val="none"/>
          <w:lang w:eastAsia="zh-CN"/>
        </w:rPr>
        <w:t>。</w:t>
      </w:r>
      <w:r>
        <w:rPr>
          <w:rFonts w:hint="eastAsia"/>
          <w:sz w:val="24"/>
          <w:highlight w:val="none"/>
        </w:rPr>
        <w:t>一旦发生压力异常情况立刻启动报警程序，如发生泄漏或火灾爆炸事故可在30s内切断上下游阀门，以降低管道破裂事故的物料泄漏量。</w:t>
      </w:r>
    </w:p>
    <w:p w14:paraId="5FB7B6E5">
      <w:pPr>
        <w:spacing w:line="360" w:lineRule="auto"/>
        <w:ind w:firstLine="480" w:firstLineChars="200"/>
        <w:rPr>
          <w:rFonts w:hint="eastAsia"/>
          <w:sz w:val="24"/>
          <w:highlight w:val="none"/>
        </w:rPr>
      </w:pPr>
      <w:r>
        <w:rPr>
          <w:rFonts w:hint="eastAsia"/>
          <w:sz w:val="24"/>
          <w:highlight w:val="none"/>
        </w:rPr>
        <w:t>如在物料管道输出端或接收端企业界区内发生管道泄漏，首先切断上下游阀门，并电话通知管道另一端企业相关部门</w:t>
      </w:r>
      <w:r>
        <w:rPr>
          <w:rFonts w:hint="eastAsia"/>
          <w:sz w:val="24"/>
          <w:highlight w:val="none"/>
          <w:lang w:eastAsia="zh-CN"/>
        </w:rPr>
        <w:t>。</w:t>
      </w:r>
      <w:r>
        <w:rPr>
          <w:rFonts w:hint="eastAsia"/>
          <w:sz w:val="24"/>
          <w:highlight w:val="none"/>
        </w:rPr>
        <w:t>其次，根据泄漏点的位置和泄漏量，确定使用堵漏的方法。在保证安全的情况</w:t>
      </w:r>
      <w:r>
        <w:rPr>
          <w:rFonts w:hint="eastAsia"/>
          <w:sz w:val="24"/>
          <w:highlight w:val="none"/>
          <w:lang w:eastAsia="zh-CN"/>
        </w:rPr>
        <w:t>下</w:t>
      </w:r>
      <w:r>
        <w:rPr>
          <w:rFonts w:hint="eastAsia"/>
          <w:sz w:val="24"/>
          <w:highlight w:val="none"/>
        </w:rPr>
        <w:t>，管道内物料送各自生产企业火炬焚烧。</w:t>
      </w:r>
    </w:p>
    <w:p w14:paraId="12386E11">
      <w:pPr>
        <w:spacing w:line="360" w:lineRule="auto"/>
        <w:ind w:firstLine="480" w:firstLineChars="200"/>
        <w:rPr>
          <w:rFonts w:hint="eastAsia"/>
          <w:sz w:val="24"/>
          <w:highlight w:val="none"/>
        </w:rPr>
      </w:pPr>
      <w:r>
        <w:rPr>
          <w:rFonts w:hint="eastAsia"/>
          <w:sz w:val="24"/>
          <w:highlight w:val="none"/>
        </w:rPr>
        <w:t>（5）检修过程</w:t>
      </w:r>
      <w:r>
        <w:rPr>
          <w:rFonts w:hint="eastAsia"/>
          <w:sz w:val="24"/>
          <w:highlight w:val="none"/>
          <w:lang w:eastAsia="zh-CN"/>
        </w:rPr>
        <w:t>中的</w:t>
      </w:r>
      <w:r>
        <w:rPr>
          <w:rFonts w:hint="eastAsia"/>
          <w:sz w:val="24"/>
          <w:highlight w:val="none"/>
        </w:rPr>
        <w:t>风险防范措施</w:t>
      </w:r>
    </w:p>
    <w:p w14:paraId="59C792C0">
      <w:pPr>
        <w:spacing w:line="360" w:lineRule="auto"/>
        <w:ind w:firstLine="480" w:firstLineChars="200"/>
        <w:rPr>
          <w:rFonts w:hint="eastAsia"/>
          <w:sz w:val="24"/>
          <w:highlight w:val="none"/>
        </w:rPr>
      </w:pPr>
      <w:r>
        <w:rPr>
          <w:rFonts w:hint="eastAsia"/>
          <w:sz w:val="24"/>
          <w:highlight w:val="none"/>
        </w:rPr>
        <w:t>每年定期检查管线管道防腐层的完好情况，对有明显腐蚀和冲刷减薄的管道进行壁厚抽样测定。检修时配备便携式可燃气体检测报警器。检修过</w:t>
      </w:r>
      <w:r>
        <w:rPr>
          <w:rFonts w:hint="eastAsia"/>
          <w:sz w:val="24"/>
          <w:highlight w:val="none"/>
          <w:lang w:eastAsia="zh-CN"/>
        </w:rPr>
        <w:t>程中</w:t>
      </w:r>
      <w:r>
        <w:rPr>
          <w:rFonts w:hint="eastAsia"/>
          <w:sz w:val="24"/>
          <w:highlight w:val="none"/>
        </w:rPr>
        <w:t>应制定相应的</w:t>
      </w:r>
      <w:r>
        <w:rPr>
          <w:rFonts w:hint="eastAsia"/>
          <w:sz w:val="24"/>
          <w:highlight w:val="none"/>
          <w:lang w:eastAsia="zh-CN"/>
        </w:rPr>
        <w:t>“</w:t>
      </w:r>
      <w:r>
        <w:rPr>
          <w:rFonts w:hint="eastAsia"/>
          <w:sz w:val="24"/>
          <w:highlight w:val="none"/>
        </w:rPr>
        <w:t>安全生产操作规程</w:t>
      </w:r>
      <w:r>
        <w:rPr>
          <w:rFonts w:hint="eastAsia"/>
          <w:sz w:val="24"/>
          <w:highlight w:val="none"/>
          <w:lang w:eastAsia="zh-CN"/>
        </w:rPr>
        <w:t>”</w:t>
      </w:r>
      <w:r>
        <w:rPr>
          <w:rFonts w:hint="eastAsia"/>
          <w:sz w:val="24"/>
          <w:highlight w:val="none"/>
        </w:rPr>
        <w:t>，并按该规程严格执行。动火检修时需严格执行安全防火规定。</w:t>
      </w:r>
    </w:p>
    <w:p w14:paraId="03980C2A">
      <w:pPr>
        <w:spacing w:line="360" w:lineRule="auto"/>
        <w:ind w:firstLine="480" w:firstLineChars="200"/>
        <w:rPr>
          <w:rFonts w:hint="eastAsia"/>
          <w:color w:val="0000FF"/>
          <w:sz w:val="24"/>
          <w:highlight w:val="none"/>
        </w:rPr>
      </w:pPr>
      <w:r>
        <w:rPr>
          <w:rFonts w:hint="eastAsia"/>
          <w:sz w:val="24"/>
          <w:highlight w:val="none"/>
        </w:rPr>
        <w:t>（6）应急设施、措施</w:t>
      </w:r>
    </w:p>
    <w:p w14:paraId="39BF3EF4">
      <w:pPr>
        <w:spacing w:line="360" w:lineRule="auto"/>
        <w:ind w:firstLine="480" w:firstLineChars="200"/>
        <w:rPr>
          <w:rFonts w:hint="eastAsia"/>
          <w:sz w:val="24"/>
          <w:highlight w:val="none"/>
        </w:rPr>
      </w:pPr>
      <w:r>
        <w:rPr>
          <w:rFonts w:hint="eastAsia"/>
          <w:sz w:val="24"/>
          <w:highlight w:val="none"/>
        </w:rPr>
        <w:t>①管道设置测压装置及超限报警装置，管道内的压力、流量等参数</w:t>
      </w:r>
      <w:r>
        <w:rPr>
          <w:rFonts w:hint="eastAsia"/>
          <w:sz w:val="24"/>
          <w:highlight w:val="none"/>
          <w:lang w:eastAsia="zh-CN"/>
        </w:rPr>
        <w:t>纳入</w:t>
      </w:r>
      <w:r>
        <w:rPr>
          <w:rFonts w:hint="eastAsia"/>
          <w:sz w:val="24"/>
          <w:highlight w:val="none"/>
        </w:rPr>
        <w:t>关联企业的中控系统进行监控，一旦发生泄漏，可及时切断泄漏源。</w:t>
      </w:r>
    </w:p>
    <w:p w14:paraId="198B8DA4">
      <w:pPr>
        <w:spacing w:line="360" w:lineRule="auto"/>
        <w:ind w:firstLine="480" w:firstLineChars="200"/>
        <w:rPr>
          <w:rFonts w:hint="eastAsia"/>
          <w:sz w:val="24"/>
          <w:highlight w:val="none"/>
        </w:rPr>
      </w:pPr>
      <w:r>
        <w:rPr>
          <w:rFonts w:hint="eastAsia"/>
          <w:sz w:val="24"/>
          <w:highlight w:val="none"/>
        </w:rPr>
        <w:t>②为预防管道压力超过最大允许积聚压力，管道两端设置了压力表、安全阀和紧急切断阀。</w:t>
      </w:r>
    </w:p>
    <w:p w14:paraId="1FDCCA11">
      <w:pPr>
        <w:spacing w:line="360" w:lineRule="auto"/>
        <w:ind w:firstLine="480" w:firstLineChars="200"/>
        <w:rPr>
          <w:rFonts w:hint="eastAsia"/>
          <w:sz w:val="24"/>
          <w:highlight w:val="none"/>
        </w:rPr>
      </w:pPr>
      <w:r>
        <w:rPr>
          <w:rFonts w:hint="eastAsia"/>
          <w:sz w:val="24"/>
          <w:highlight w:val="none"/>
        </w:rPr>
        <w:t>③依托现有消防车、地上消防栓、消防泡沫灭火装置、干粉灭火器、二氧化碳灭火器、柴油发电机、空气呼吸器等灭火器材。</w:t>
      </w:r>
    </w:p>
    <w:p w14:paraId="72938A96">
      <w:pPr>
        <w:spacing w:line="360" w:lineRule="auto"/>
        <w:ind w:firstLine="480" w:firstLineChars="200"/>
        <w:rPr>
          <w:rFonts w:hint="eastAsia"/>
          <w:sz w:val="24"/>
          <w:highlight w:val="none"/>
        </w:rPr>
      </w:pPr>
      <w:r>
        <w:rPr>
          <w:rFonts w:hint="eastAsia"/>
          <w:sz w:val="24"/>
          <w:highlight w:val="none"/>
        </w:rPr>
        <w:t>④有完善的消防及火灾报警系统</w:t>
      </w:r>
      <w:r>
        <w:rPr>
          <w:rFonts w:hint="eastAsia"/>
          <w:sz w:val="24"/>
          <w:highlight w:val="none"/>
          <w:lang w:eastAsia="zh-CN"/>
        </w:rPr>
        <w:t>和</w:t>
      </w:r>
      <w:r>
        <w:rPr>
          <w:rFonts w:hint="eastAsia"/>
          <w:sz w:val="24"/>
          <w:highlight w:val="none"/>
        </w:rPr>
        <w:t>消防废水处置</w:t>
      </w:r>
      <w:r>
        <w:rPr>
          <w:rFonts w:hint="eastAsia"/>
          <w:sz w:val="24"/>
          <w:highlight w:val="none"/>
          <w:lang w:eastAsia="zh-CN"/>
        </w:rPr>
        <w:t>系统</w:t>
      </w:r>
      <w:r>
        <w:rPr>
          <w:rFonts w:hint="eastAsia"/>
          <w:sz w:val="24"/>
          <w:highlight w:val="none"/>
        </w:rPr>
        <w:t>。</w:t>
      </w:r>
    </w:p>
    <w:p w14:paraId="0312487B">
      <w:pPr>
        <w:spacing w:line="360" w:lineRule="auto"/>
        <w:ind w:firstLine="480" w:firstLineChars="200"/>
        <w:rPr>
          <w:rFonts w:hint="eastAsia"/>
          <w:sz w:val="24"/>
          <w:highlight w:val="none"/>
        </w:rPr>
      </w:pPr>
      <w:r>
        <w:rPr>
          <w:rFonts w:hint="eastAsia"/>
          <w:sz w:val="24"/>
          <w:highlight w:val="none"/>
        </w:rPr>
        <w:t>⑤本项目管道建成投运使用前，将本管道纳入中煤鄂尔多斯能源化工有限公司图克厂区环境应急预案，开展应急演练；条件许可时，与周边企业开展联合应急演练，提高应急处置能力。</w:t>
      </w:r>
    </w:p>
    <w:p w14:paraId="6CBC4DC2">
      <w:pPr>
        <w:spacing w:line="360" w:lineRule="auto"/>
        <w:ind w:firstLine="480" w:firstLineChars="200"/>
        <w:rPr>
          <w:rFonts w:hint="eastAsia"/>
          <w:sz w:val="24"/>
          <w:highlight w:val="none"/>
        </w:rPr>
      </w:pPr>
      <w:r>
        <w:rPr>
          <w:rFonts w:hint="eastAsia"/>
          <w:sz w:val="24"/>
          <w:highlight w:val="none"/>
        </w:rPr>
        <w:t>（7）区域联防联控措施</w:t>
      </w:r>
    </w:p>
    <w:p w14:paraId="1087812E">
      <w:pPr>
        <w:spacing w:line="360" w:lineRule="auto"/>
        <w:ind w:firstLine="480" w:firstLineChars="200"/>
        <w:rPr>
          <w:rFonts w:hint="eastAsia"/>
          <w:sz w:val="24"/>
          <w:highlight w:val="none"/>
        </w:rPr>
      </w:pPr>
      <w:r>
        <w:rPr>
          <w:rFonts w:hint="eastAsia"/>
          <w:sz w:val="24"/>
          <w:highlight w:val="none"/>
        </w:rPr>
        <w:t>本项目建设单位应与关联企业及园区在风险防范防控、应急处置等方面进行联防联控。</w:t>
      </w:r>
    </w:p>
    <w:p w14:paraId="22867CEA">
      <w:pPr>
        <w:keepNext/>
        <w:keepLines/>
        <w:spacing w:line="360" w:lineRule="auto"/>
        <w:outlineLvl w:val="1"/>
        <w:rPr>
          <w:rFonts w:hint="eastAsia"/>
          <w:b/>
          <w:bCs/>
          <w:sz w:val="28"/>
          <w:szCs w:val="28"/>
          <w:highlight w:val="none"/>
        </w:rPr>
      </w:pPr>
      <w:r>
        <w:rPr>
          <w:rFonts w:hint="eastAsia"/>
          <w:b/>
          <w:bCs/>
          <w:sz w:val="28"/>
          <w:szCs w:val="28"/>
          <w:highlight w:val="none"/>
        </w:rPr>
        <w:t>5.</w:t>
      </w:r>
      <w:r>
        <w:rPr>
          <w:rFonts w:hint="eastAsia"/>
          <w:b/>
          <w:bCs/>
          <w:sz w:val="28"/>
          <w:szCs w:val="28"/>
          <w:highlight w:val="none"/>
          <w:lang w:val="en-US" w:eastAsia="zh-CN"/>
        </w:rPr>
        <w:t>8</w:t>
      </w:r>
      <w:r>
        <w:rPr>
          <w:rFonts w:hint="eastAsia"/>
          <w:b/>
          <w:bCs/>
          <w:sz w:val="28"/>
          <w:szCs w:val="28"/>
          <w:highlight w:val="none"/>
        </w:rPr>
        <w:t>关联企业非正常工况风险防范措施</w:t>
      </w:r>
    </w:p>
    <w:p w14:paraId="11CF039E">
      <w:pPr>
        <w:spacing w:line="360" w:lineRule="auto"/>
        <w:ind w:firstLine="480" w:firstLineChars="200"/>
        <w:rPr>
          <w:rFonts w:hint="eastAsia"/>
          <w:sz w:val="24"/>
          <w:highlight w:val="none"/>
        </w:rPr>
      </w:pPr>
      <w:r>
        <w:rPr>
          <w:rFonts w:hint="eastAsia"/>
          <w:sz w:val="24"/>
          <w:highlight w:val="none"/>
        </w:rPr>
        <w:t>如遇输出端企业非正常工况，不能正常输出物料，将关闭</w:t>
      </w:r>
      <w:r>
        <w:rPr>
          <w:rFonts w:hint="eastAsia"/>
          <w:sz w:val="24"/>
          <w:highlight w:val="none"/>
          <w:lang w:val="en-US" w:eastAsia="zh-CN"/>
        </w:rPr>
        <w:t>阀门</w:t>
      </w:r>
      <w:r>
        <w:rPr>
          <w:rFonts w:hint="eastAsia"/>
          <w:sz w:val="24"/>
          <w:highlight w:val="none"/>
        </w:rPr>
        <w:t>并立即通知下游接收端企业；如下游企业发生装置</w:t>
      </w:r>
      <w:r>
        <w:rPr>
          <w:rFonts w:hint="eastAsia"/>
          <w:sz w:val="24"/>
          <w:highlight w:val="none"/>
          <w:lang w:eastAsia="zh-CN"/>
        </w:rPr>
        <w:t>联锁</w:t>
      </w:r>
      <w:r>
        <w:rPr>
          <w:rFonts w:hint="eastAsia"/>
          <w:sz w:val="24"/>
          <w:highlight w:val="none"/>
        </w:rPr>
        <w:t>停车等情况，紧急切断</w:t>
      </w:r>
      <w:r>
        <w:rPr>
          <w:rFonts w:hint="eastAsia"/>
          <w:sz w:val="24"/>
          <w:highlight w:val="none"/>
          <w:lang w:eastAsia="zh-CN"/>
        </w:rPr>
        <w:t>阀门</w:t>
      </w:r>
      <w:r>
        <w:rPr>
          <w:rFonts w:hint="eastAsia"/>
          <w:sz w:val="24"/>
          <w:highlight w:val="none"/>
        </w:rPr>
        <w:t>，同时电话通知上游输出端企业。发生此类情况，管道中各企业</w:t>
      </w:r>
      <w:r>
        <w:rPr>
          <w:rFonts w:hint="eastAsia"/>
          <w:sz w:val="24"/>
          <w:highlight w:val="none"/>
          <w:lang w:eastAsia="zh-CN"/>
        </w:rPr>
        <w:t>的</w:t>
      </w:r>
      <w:r>
        <w:rPr>
          <w:rFonts w:hint="eastAsia"/>
          <w:sz w:val="24"/>
          <w:highlight w:val="none"/>
        </w:rPr>
        <w:t>物料将送各自公司火炬进行焚烧，不会发生</w:t>
      </w:r>
      <w:r>
        <w:rPr>
          <w:rFonts w:hint="eastAsia"/>
          <w:sz w:val="24"/>
          <w:highlight w:val="none"/>
          <w:lang w:val="en-US" w:eastAsia="zh-CN"/>
        </w:rPr>
        <w:t>泄漏</w:t>
      </w:r>
      <w:r>
        <w:rPr>
          <w:rFonts w:hint="eastAsia"/>
          <w:sz w:val="24"/>
          <w:highlight w:val="none"/>
        </w:rPr>
        <w:t>事故。</w:t>
      </w:r>
    </w:p>
    <w:p w14:paraId="5FBA4EF8">
      <w:pPr>
        <w:keepNext/>
        <w:keepLines/>
        <w:spacing w:line="360" w:lineRule="auto"/>
        <w:outlineLvl w:val="1"/>
        <w:rPr>
          <w:rFonts w:hint="eastAsia"/>
          <w:b/>
          <w:bCs/>
          <w:sz w:val="28"/>
          <w:szCs w:val="28"/>
          <w:highlight w:val="none"/>
        </w:rPr>
      </w:pPr>
      <w:r>
        <w:rPr>
          <w:rFonts w:hint="eastAsia"/>
          <w:b/>
          <w:bCs/>
          <w:sz w:val="28"/>
          <w:szCs w:val="28"/>
          <w:highlight w:val="none"/>
        </w:rPr>
        <w:t>5.</w:t>
      </w:r>
      <w:r>
        <w:rPr>
          <w:rFonts w:hint="eastAsia"/>
          <w:b/>
          <w:bCs/>
          <w:sz w:val="28"/>
          <w:szCs w:val="28"/>
          <w:highlight w:val="none"/>
          <w:lang w:val="en-US" w:eastAsia="zh-CN"/>
        </w:rPr>
        <w:t>9</w:t>
      </w:r>
      <w:r>
        <w:rPr>
          <w:rFonts w:hint="eastAsia"/>
          <w:b/>
          <w:bCs/>
          <w:sz w:val="28"/>
          <w:szCs w:val="28"/>
          <w:highlight w:val="none"/>
        </w:rPr>
        <w:t>公共管廊其他管道防范措施</w:t>
      </w:r>
    </w:p>
    <w:p w14:paraId="3CF2A7D7">
      <w:pPr>
        <w:spacing w:line="360" w:lineRule="auto"/>
        <w:ind w:firstLine="480" w:firstLineChars="200"/>
        <w:rPr>
          <w:rFonts w:hint="eastAsia"/>
          <w:sz w:val="24"/>
          <w:highlight w:val="none"/>
        </w:rPr>
      </w:pPr>
      <w:r>
        <w:rPr>
          <w:rFonts w:hint="eastAsia"/>
          <w:sz w:val="24"/>
          <w:highlight w:val="none"/>
        </w:rPr>
        <w:t>如本项目管道发生火灾爆炸事故，立即关闭本项目其他管道阀门，并电话告知涉及的物料管廊上所有共线管道所属公司，立即关闭输送物料泵，及时排空管道暂存物料。</w:t>
      </w:r>
    </w:p>
    <w:p w14:paraId="1E59F759">
      <w:pPr>
        <w:keepNext/>
        <w:keepLines/>
        <w:spacing w:line="360" w:lineRule="auto"/>
        <w:outlineLvl w:val="1"/>
        <w:rPr>
          <w:rFonts w:hint="eastAsia"/>
          <w:b/>
          <w:bCs/>
          <w:sz w:val="28"/>
          <w:szCs w:val="28"/>
          <w:highlight w:val="none"/>
        </w:rPr>
      </w:pPr>
      <w:r>
        <w:rPr>
          <w:rFonts w:hint="eastAsia"/>
          <w:b/>
          <w:bCs/>
          <w:sz w:val="28"/>
          <w:szCs w:val="28"/>
          <w:highlight w:val="none"/>
        </w:rPr>
        <w:t>5.1</w:t>
      </w:r>
      <w:r>
        <w:rPr>
          <w:rFonts w:hint="eastAsia"/>
          <w:b/>
          <w:bCs/>
          <w:sz w:val="28"/>
          <w:szCs w:val="28"/>
          <w:highlight w:val="none"/>
          <w:lang w:val="en-US" w:eastAsia="zh-CN"/>
        </w:rPr>
        <w:t>0</w:t>
      </w:r>
      <w:r>
        <w:rPr>
          <w:rFonts w:hint="eastAsia"/>
          <w:b/>
          <w:bCs/>
          <w:sz w:val="28"/>
          <w:szCs w:val="28"/>
          <w:highlight w:val="none"/>
        </w:rPr>
        <w:t>项目风险物质泄漏及事故废水的拦截、导流措施要求</w:t>
      </w:r>
    </w:p>
    <w:p w14:paraId="2C743464">
      <w:pPr>
        <w:spacing w:line="360" w:lineRule="auto"/>
        <w:ind w:firstLine="480" w:firstLineChars="200"/>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highlight w:val="none"/>
        </w:rPr>
        <w:t>本项目环</w:t>
      </w:r>
      <w:r>
        <w:rPr>
          <w:rFonts w:hint="eastAsia" w:ascii="Times New Roman" w:hAnsi="Times New Roman" w:eastAsia="宋体" w:cs="Times New Roman"/>
          <w:sz w:val="24"/>
          <w:szCs w:val="24"/>
          <w:highlight w:val="none"/>
        </w:rPr>
        <w:t>保责任主体</w:t>
      </w:r>
      <w:r>
        <w:rPr>
          <w:rFonts w:hint="eastAsia" w:cs="Times New Roman"/>
          <w:sz w:val="24"/>
          <w:szCs w:val="24"/>
          <w:highlight w:val="none"/>
          <w:lang w:val="en-US" w:eastAsia="zh-CN"/>
        </w:rPr>
        <w:t>为内蒙古伊泰化工有限责任公司，公司已经</w:t>
      </w:r>
      <w:r>
        <w:rPr>
          <w:rFonts w:hint="eastAsia" w:ascii="Times New Roman" w:hAnsi="Times New Roman" w:eastAsia="宋体" w:cs="Times New Roman"/>
          <w:sz w:val="24"/>
          <w:szCs w:val="24"/>
          <w:highlight w:val="none"/>
        </w:rPr>
        <w:t>建立</w:t>
      </w:r>
      <w:r>
        <w:rPr>
          <w:rFonts w:hint="eastAsia" w:cs="Times New Roman"/>
          <w:sz w:val="24"/>
          <w:szCs w:val="24"/>
          <w:highlight w:val="none"/>
          <w:lang w:eastAsia="zh-CN"/>
        </w:rPr>
        <w:t>“</w:t>
      </w:r>
      <w:r>
        <w:rPr>
          <w:rFonts w:hint="eastAsia" w:ascii="Times New Roman" w:hAnsi="Times New Roman" w:eastAsia="宋体" w:cs="Times New Roman"/>
          <w:sz w:val="24"/>
          <w:szCs w:val="24"/>
          <w:highlight w:val="none"/>
        </w:rPr>
        <w:t>环境污染三级防控体系</w:t>
      </w:r>
      <w:r>
        <w:rPr>
          <w:rFonts w:hint="eastAsia" w:cs="Times New Roman"/>
          <w:sz w:val="24"/>
          <w:szCs w:val="24"/>
          <w:highlight w:val="none"/>
          <w:lang w:eastAsia="zh-CN"/>
        </w:rPr>
        <w:t>”</w:t>
      </w:r>
      <w:r>
        <w:rPr>
          <w:sz w:val="24"/>
          <w:szCs w:val="24"/>
          <w:highlight w:val="none"/>
        </w:rPr>
        <w:t>一级预防控制</w:t>
      </w:r>
      <w:r>
        <w:rPr>
          <w:rFonts w:hint="eastAsia"/>
          <w:sz w:val="24"/>
          <w:szCs w:val="24"/>
          <w:highlight w:val="none"/>
          <w:lang w:eastAsia="zh-CN"/>
        </w:rPr>
        <w:t>体系</w:t>
      </w:r>
      <w:r>
        <w:rPr>
          <w:sz w:val="24"/>
          <w:szCs w:val="24"/>
          <w:highlight w:val="none"/>
        </w:rPr>
        <w:t>：在装置、罐区周围建设围堰、围堤以及罐区、装置区内建设初期雨水收集池作为一级预防与控制体系，防止污染雨水和轻微事故泄漏造成的环境污染。装置围堰不低于150mm。二级预防控制</w:t>
      </w:r>
      <w:r>
        <w:rPr>
          <w:rFonts w:hint="eastAsia"/>
          <w:sz w:val="24"/>
          <w:szCs w:val="24"/>
          <w:highlight w:val="none"/>
          <w:lang w:eastAsia="zh-CN"/>
        </w:rPr>
        <w:t>体系</w:t>
      </w:r>
      <w:r>
        <w:rPr>
          <w:sz w:val="24"/>
          <w:szCs w:val="24"/>
          <w:highlight w:val="none"/>
        </w:rPr>
        <w:t>：1座30000m</w:t>
      </w:r>
      <w:r>
        <w:rPr>
          <w:sz w:val="24"/>
          <w:szCs w:val="24"/>
          <w:highlight w:val="none"/>
          <w:vertAlign w:val="superscript"/>
        </w:rPr>
        <w:t>3</w:t>
      </w:r>
      <w:r>
        <w:rPr>
          <w:sz w:val="24"/>
          <w:szCs w:val="24"/>
          <w:highlight w:val="none"/>
        </w:rPr>
        <w:t>的消防事故水收集池，作为二级</w:t>
      </w:r>
      <w:r>
        <w:rPr>
          <w:rFonts w:hint="eastAsia"/>
          <w:sz w:val="24"/>
          <w:szCs w:val="24"/>
          <w:highlight w:val="none"/>
          <w:lang w:eastAsia="zh-CN"/>
        </w:rPr>
        <w:t>预防</w:t>
      </w:r>
      <w:r>
        <w:rPr>
          <w:sz w:val="24"/>
          <w:szCs w:val="24"/>
          <w:highlight w:val="none"/>
        </w:rPr>
        <w:t>控制体系。三级预防控制</w:t>
      </w:r>
      <w:r>
        <w:rPr>
          <w:rFonts w:hint="eastAsia"/>
          <w:sz w:val="24"/>
          <w:szCs w:val="24"/>
          <w:highlight w:val="none"/>
          <w:lang w:eastAsia="zh-CN"/>
        </w:rPr>
        <w:t>体系</w:t>
      </w:r>
      <w:r>
        <w:rPr>
          <w:sz w:val="24"/>
          <w:szCs w:val="24"/>
          <w:highlight w:val="none"/>
        </w:rPr>
        <w:t>：</w:t>
      </w:r>
      <w:r>
        <w:rPr>
          <w:rFonts w:hint="eastAsia" w:ascii="Times New Roman" w:hAnsi="Times New Roman" w:eastAsia="宋体" w:cs="Times New Roman"/>
          <w:sz w:val="24"/>
          <w:szCs w:val="24"/>
          <w:highlight w:val="none"/>
        </w:rPr>
        <w:t>独贵塔拉产业园（南区）</w:t>
      </w:r>
      <w:r>
        <w:rPr>
          <w:rFonts w:hint="eastAsia" w:cs="Times New Roman"/>
          <w:sz w:val="24"/>
          <w:szCs w:val="24"/>
          <w:highlight w:val="none"/>
          <w:lang w:eastAsia="zh-CN"/>
        </w:rPr>
        <w:t>目前没有</w:t>
      </w:r>
      <w:r>
        <w:rPr>
          <w:rFonts w:hint="eastAsia" w:ascii="Times New Roman" w:hAnsi="Times New Roman" w:eastAsia="宋体" w:cs="Times New Roman"/>
          <w:sz w:val="24"/>
          <w:szCs w:val="24"/>
          <w:highlight w:val="none"/>
        </w:rPr>
        <w:t>大型事故应急水池，现有</w:t>
      </w:r>
      <w:r>
        <w:rPr>
          <w:rFonts w:hint="eastAsia" w:cs="Times New Roman"/>
          <w:sz w:val="24"/>
          <w:szCs w:val="24"/>
          <w:highlight w:val="none"/>
          <w:lang w:eastAsia="zh-CN"/>
        </w:rPr>
        <w:t>的</w:t>
      </w:r>
      <w:r>
        <w:rPr>
          <w:rFonts w:hint="eastAsia" w:ascii="Times New Roman" w:hAnsi="Times New Roman" w:eastAsia="宋体" w:cs="Times New Roman"/>
          <w:sz w:val="24"/>
          <w:szCs w:val="24"/>
          <w:highlight w:val="none"/>
        </w:rPr>
        <w:t>事故应急水池主要</w:t>
      </w:r>
      <w:r>
        <w:rPr>
          <w:rFonts w:hint="eastAsia" w:cs="Times New Roman"/>
          <w:sz w:val="24"/>
          <w:szCs w:val="24"/>
          <w:highlight w:val="none"/>
          <w:lang w:eastAsia="zh-CN"/>
        </w:rPr>
        <w:t>是</w:t>
      </w:r>
      <w:r>
        <w:rPr>
          <w:rFonts w:hint="eastAsia" w:ascii="Times New Roman" w:hAnsi="Times New Roman" w:eastAsia="宋体" w:cs="Times New Roman"/>
          <w:sz w:val="24"/>
          <w:szCs w:val="24"/>
          <w:highlight w:val="none"/>
        </w:rPr>
        <w:t>企业自建</w:t>
      </w:r>
      <w:r>
        <w:rPr>
          <w:rFonts w:hint="eastAsia" w:cs="Times New Roman"/>
          <w:sz w:val="24"/>
          <w:szCs w:val="24"/>
          <w:highlight w:val="none"/>
          <w:lang w:eastAsia="zh-CN"/>
        </w:rPr>
        <w:t>的</w:t>
      </w:r>
      <w:r>
        <w:rPr>
          <w:rFonts w:hint="eastAsia" w:ascii="Times New Roman" w:hAnsi="Times New Roman" w:eastAsia="宋体" w:cs="Times New Roman"/>
          <w:sz w:val="24"/>
          <w:szCs w:val="24"/>
          <w:highlight w:val="none"/>
        </w:rPr>
        <w:t>；</w:t>
      </w:r>
      <w:r>
        <w:rPr>
          <w:rFonts w:hint="eastAsia" w:cs="Times New Roman"/>
          <w:sz w:val="24"/>
          <w:szCs w:val="24"/>
          <w:highlight w:val="none"/>
          <w:lang w:val="en-US" w:eastAsia="zh-CN"/>
        </w:rPr>
        <w:t>规划</w:t>
      </w:r>
      <w:r>
        <w:rPr>
          <w:rFonts w:hint="eastAsia" w:ascii="Times New Roman" w:hAnsi="Times New Roman" w:eastAsia="宋体" w:cs="Times New Roman"/>
          <w:sz w:val="24"/>
          <w:szCs w:val="24"/>
          <w:highlight w:val="none"/>
          <w:lang w:val="en-US" w:eastAsia="zh-CN"/>
        </w:rPr>
        <w:t>拟在</w:t>
      </w:r>
      <w:r>
        <w:rPr>
          <w:rFonts w:hint="eastAsia" w:ascii="Times New Roman" w:hAnsi="Times New Roman" w:eastAsia="宋体" w:cs="Times New Roman"/>
          <w:sz w:val="24"/>
          <w:szCs w:val="24"/>
          <w:highlight w:val="none"/>
        </w:rPr>
        <w:t>独贵塔拉产业园（南区）规划北侧新建一座容积2.5万m</w:t>
      </w:r>
      <w:r>
        <w:rPr>
          <w:rFonts w:hint="eastAsia" w:ascii="Times New Roman" w:hAnsi="Times New Roman" w:eastAsia="宋体" w:cs="Times New Roman"/>
          <w:sz w:val="24"/>
          <w:szCs w:val="24"/>
          <w:highlight w:val="none"/>
          <w:vertAlign w:val="superscript"/>
        </w:rPr>
        <w:t>3</w:t>
      </w:r>
      <w:r>
        <w:rPr>
          <w:rFonts w:hint="eastAsia" w:ascii="Times New Roman" w:hAnsi="Times New Roman" w:eastAsia="宋体" w:cs="Times New Roman"/>
          <w:sz w:val="24"/>
          <w:szCs w:val="24"/>
          <w:highlight w:val="none"/>
        </w:rPr>
        <w:t>的事故水池，用于收集独贵塔拉产业园（南区）各企业的事故水</w:t>
      </w:r>
      <w:r>
        <w:rPr>
          <w:rFonts w:hint="default" w:ascii="Times New Roman" w:hAnsi="Times New Roman" w:eastAsia="宋体" w:cs="Times New Roman"/>
          <w:sz w:val="24"/>
          <w:szCs w:val="24"/>
          <w:highlight w:val="none"/>
        </w:rPr>
        <w:t>以满足事故状态下收集泄漏物料、污染消防水和污染雨水的需要</w:t>
      </w:r>
      <w:r>
        <w:rPr>
          <w:rFonts w:hint="eastAsia" w:ascii="Times New Roman" w:hAnsi="Times New Roman" w:eastAsia="宋体" w:cs="Times New Roman"/>
          <w:sz w:val="24"/>
          <w:szCs w:val="24"/>
          <w:highlight w:val="none"/>
          <w:lang w:eastAsia="zh-CN"/>
        </w:rPr>
        <w:t>。</w:t>
      </w:r>
      <w:r>
        <w:rPr>
          <w:rFonts w:ascii="Times New Roman" w:hAnsi="Times New Roman" w:eastAsia="宋体" w:cs="Times New Roman"/>
          <w:sz w:val="24"/>
          <w:szCs w:val="24"/>
          <w:highlight w:val="none"/>
        </w:rPr>
        <w:t>园区事故水池未建设前，园区级事故废水防控措施依托内蒙古伊泰化工有限责任公司应急事故水池（容积30000m</w:t>
      </w:r>
      <w:r>
        <w:rPr>
          <w:rFonts w:ascii="Times New Roman" w:hAnsi="Times New Roman" w:eastAsia="宋体" w:cs="Times New Roman"/>
          <w:sz w:val="24"/>
          <w:szCs w:val="24"/>
          <w:highlight w:val="none"/>
          <w:vertAlign w:val="superscript"/>
        </w:rPr>
        <w:t>3</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eastAsia="zh-CN"/>
        </w:rPr>
        <w:t>。</w:t>
      </w:r>
      <w:r>
        <w:rPr>
          <w:rFonts w:ascii="Times New Roman" w:hAnsi="Times New Roman" w:eastAsia="宋体" w:cs="Times New Roman"/>
          <w:sz w:val="24"/>
          <w:szCs w:val="24"/>
          <w:highlight w:val="none"/>
        </w:rPr>
        <w:t>可确保消防事故废水不进入外环境</w:t>
      </w:r>
      <w:r>
        <w:rPr>
          <w:rFonts w:hint="default" w:ascii="Times New Roman" w:hAnsi="Times New Roman" w:eastAsia="宋体" w:cs="Times New Roman"/>
          <w:sz w:val="24"/>
          <w:szCs w:val="24"/>
          <w:highlight w:val="none"/>
        </w:rPr>
        <w:t>。</w:t>
      </w:r>
    </w:p>
    <w:p w14:paraId="6E07F0F1">
      <w:pPr>
        <w:spacing w:line="360" w:lineRule="auto"/>
        <w:ind w:firstLine="480" w:firstLineChars="200"/>
        <w:rPr>
          <w:rFonts w:hint="eastAsia" w:ascii="Times New Roman" w:hAnsi="Times New Roman" w:eastAsia="宋体" w:cs="Times New Roman"/>
          <w:sz w:val="24"/>
          <w:highlight w:val="none"/>
          <w:lang w:eastAsia="zh-CN"/>
        </w:rPr>
      </w:pPr>
      <w:r>
        <w:rPr>
          <w:rFonts w:hint="eastAsia"/>
          <w:sz w:val="24"/>
          <w:highlight w:val="none"/>
        </w:rPr>
        <w:t>项目设置了紧急切断阀、流量计、压力表等安全控制仪表设施。一旦发生物质泄漏，</w:t>
      </w:r>
      <w:r>
        <w:rPr>
          <w:rFonts w:hint="eastAsia"/>
          <w:sz w:val="24"/>
          <w:highlight w:val="none"/>
          <w:lang w:val="en-US" w:eastAsia="zh-CN"/>
        </w:rPr>
        <w:t>及时关闭</w:t>
      </w:r>
      <w:r>
        <w:rPr>
          <w:rFonts w:hint="eastAsia"/>
          <w:sz w:val="24"/>
          <w:highlight w:val="none"/>
        </w:rPr>
        <w:t>管线末端</w:t>
      </w:r>
      <w:r>
        <w:rPr>
          <w:rFonts w:hint="eastAsia"/>
          <w:sz w:val="24"/>
          <w:highlight w:val="none"/>
          <w:lang w:eastAsia="zh-CN"/>
        </w:rPr>
        <w:t>的</w:t>
      </w:r>
      <w:r>
        <w:rPr>
          <w:rFonts w:hint="eastAsia"/>
          <w:sz w:val="24"/>
          <w:highlight w:val="none"/>
        </w:rPr>
        <w:t>手动切断阀组。在物料输出端和接收端</w:t>
      </w:r>
      <w:r>
        <w:rPr>
          <w:rFonts w:hint="eastAsia"/>
          <w:sz w:val="24"/>
          <w:highlight w:val="none"/>
          <w:lang w:eastAsia="zh-CN"/>
        </w:rPr>
        <w:t>的</w:t>
      </w:r>
      <w:r>
        <w:rPr>
          <w:rFonts w:hint="eastAsia"/>
          <w:sz w:val="24"/>
          <w:highlight w:val="none"/>
        </w:rPr>
        <w:t>紧急切断阀，</w:t>
      </w:r>
      <w:r>
        <w:rPr>
          <w:rFonts w:hint="eastAsia"/>
          <w:sz w:val="24"/>
          <w:highlight w:val="none"/>
          <w:lang w:eastAsia="zh-CN"/>
        </w:rPr>
        <w:t>及时</w:t>
      </w:r>
      <w:r>
        <w:rPr>
          <w:rFonts w:hint="eastAsia"/>
          <w:sz w:val="24"/>
          <w:highlight w:val="none"/>
        </w:rPr>
        <w:t>采取封堵措施、对泄漏区域进行喷水雾稀释避免发生火灾爆炸，且避免管输物质大量泄漏；当发生管输物质泄漏并引发火灾爆炸事故时，消防及喷淋稀释会产生一定的洗消废水，</w:t>
      </w:r>
      <w:r>
        <w:rPr>
          <w:rFonts w:hint="eastAsia"/>
          <w:sz w:val="24"/>
          <w:highlight w:val="none"/>
          <w:lang w:val="en-US" w:eastAsia="zh-CN"/>
        </w:rPr>
        <w:t>本项目的</w:t>
      </w:r>
      <w:r>
        <w:rPr>
          <w:rFonts w:hint="eastAsia"/>
          <w:sz w:val="24"/>
          <w:highlight w:val="none"/>
        </w:rPr>
        <w:t>事故污水系统是发生消防事故时，有污染的各生产装置和辅助生产设施界区内</w:t>
      </w:r>
      <w:r>
        <w:rPr>
          <w:rFonts w:hint="eastAsia"/>
          <w:sz w:val="24"/>
          <w:highlight w:val="none"/>
          <w:lang w:eastAsia="zh-CN"/>
        </w:rPr>
        <w:t>的</w:t>
      </w:r>
      <w:r>
        <w:rPr>
          <w:rFonts w:hint="eastAsia"/>
          <w:sz w:val="24"/>
          <w:highlight w:val="none"/>
        </w:rPr>
        <w:t>消防事故污水，首先经装置区</w:t>
      </w:r>
      <w:r>
        <w:rPr>
          <w:rFonts w:hint="eastAsia"/>
          <w:sz w:val="24"/>
          <w:highlight w:val="none"/>
          <w:lang w:val="en-US" w:eastAsia="zh-CN"/>
        </w:rPr>
        <w:t>围堰收集</w:t>
      </w:r>
      <w:r>
        <w:rPr>
          <w:rFonts w:hint="eastAsia"/>
          <w:sz w:val="24"/>
          <w:highlight w:val="none"/>
        </w:rPr>
        <w:t>储满后，依托</w:t>
      </w:r>
      <w:r>
        <w:rPr>
          <w:rFonts w:hint="eastAsia"/>
          <w:color w:val="000000"/>
          <w:sz w:val="24"/>
          <w:highlight w:val="none"/>
        </w:rPr>
        <w:t>内蒙古伊泰化工有限责任公司120万吨/年精细化学品示范项目</w:t>
      </w:r>
      <w:r>
        <w:rPr>
          <w:rFonts w:hint="eastAsia"/>
          <w:sz w:val="24"/>
          <w:highlight w:val="none"/>
        </w:rPr>
        <w:t>设置的</w:t>
      </w:r>
      <w:r>
        <w:rPr>
          <w:rFonts w:hint="eastAsia"/>
          <w:sz w:val="24"/>
          <w:highlight w:val="none"/>
          <w:lang w:val="en-US" w:eastAsia="zh-CN"/>
        </w:rPr>
        <w:t>1</w:t>
      </w:r>
      <w:r>
        <w:rPr>
          <w:rFonts w:hint="eastAsia"/>
          <w:sz w:val="24"/>
          <w:highlight w:val="none"/>
        </w:rPr>
        <w:t>座消防事故水池，有效容积为</w:t>
      </w:r>
      <w:r>
        <w:rPr>
          <w:sz w:val="24"/>
          <w:highlight w:val="none"/>
        </w:rPr>
        <w:t>3</w:t>
      </w:r>
      <w:r>
        <w:rPr>
          <w:rFonts w:hint="eastAsia"/>
          <w:sz w:val="24"/>
          <w:highlight w:val="none"/>
          <w:lang w:val="en-US" w:eastAsia="zh-CN"/>
        </w:rPr>
        <w:t>0</w:t>
      </w:r>
      <w:r>
        <w:rPr>
          <w:sz w:val="24"/>
          <w:highlight w:val="none"/>
        </w:rPr>
        <w:t>000m</w:t>
      </w:r>
      <w:r>
        <w:rPr>
          <w:sz w:val="24"/>
          <w:highlight w:val="none"/>
          <w:vertAlign w:val="superscript"/>
        </w:rPr>
        <w:t>3</w:t>
      </w:r>
      <w:r>
        <w:rPr>
          <w:rFonts w:hint="eastAsia"/>
          <w:sz w:val="24"/>
          <w:highlight w:val="none"/>
        </w:rPr>
        <w:t>。</w:t>
      </w:r>
    </w:p>
    <w:p w14:paraId="4E705EA7">
      <w:pPr>
        <w:keepNext/>
        <w:keepLines/>
        <w:spacing w:line="360" w:lineRule="auto"/>
        <w:outlineLvl w:val="1"/>
        <w:rPr>
          <w:rFonts w:hint="eastAsia"/>
          <w:b/>
          <w:bCs/>
          <w:sz w:val="28"/>
          <w:szCs w:val="28"/>
          <w:highlight w:val="none"/>
        </w:rPr>
      </w:pPr>
      <w:r>
        <w:rPr>
          <w:rFonts w:hint="eastAsia"/>
          <w:b/>
          <w:bCs/>
          <w:sz w:val="28"/>
          <w:szCs w:val="28"/>
          <w:highlight w:val="none"/>
        </w:rPr>
        <w:t>5.1</w:t>
      </w:r>
      <w:r>
        <w:rPr>
          <w:rFonts w:hint="eastAsia"/>
          <w:b/>
          <w:bCs/>
          <w:sz w:val="28"/>
          <w:szCs w:val="28"/>
          <w:highlight w:val="none"/>
          <w:lang w:val="en-US" w:eastAsia="zh-CN"/>
        </w:rPr>
        <w:t>1</w:t>
      </w:r>
      <w:r>
        <w:rPr>
          <w:rFonts w:hint="eastAsia"/>
          <w:b/>
          <w:bCs/>
          <w:sz w:val="28"/>
          <w:szCs w:val="28"/>
          <w:highlight w:val="none"/>
        </w:rPr>
        <w:t>应急疏散及预警要求</w:t>
      </w:r>
    </w:p>
    <w:p w14:paraId="4606A024">
      <w:pPr>
        <w:spacing w:line="360" w:lineRule="auto"/>
        <w:ind w:firstLine="480" w:firstLineChars="200"/>
        <w:rPr>
          <w:rFonts w:hint="eastAsia"/>
          <w:sz w:val="24"/>
          <w:highlight w:val="none"/>
        </w:rPr>
      </w:pPr>
      <w:r>
        <w:rPr>
          <w:rFonts w:hint="eastAsia"/>
          <w:sz w:val="24"/>
          <w:highlight w:val="none"/>
        </w:rPr>
        <w:t>（1）应急疏散</w:t>
      </w:r>
    </w:p>
    <w:p w14:paraId="5BC701B3">
      <w:pPr>
        <w:spacing w:line="360" w:lineRule="auto"/>
        <w:ind w:firstLine="480" w:firstLineChars="200"/>
        <w:rPr>
          <w:rFonts w:hint="eastAsia"/>
          <w:sz w:val="24"/>
          <w:highlight w:val="none"/>
        </w:rPr>
      </w:pPr>
      <w:r>
        <w:rPr>
          <w:rFonts w:hint="eastAsia"/>
          <w:sz w:val="24"/>
          <w:highlight w:val="none"/>
        </w:rPr>
        <w:t>当本项目发生环境风险事故</w:t>
      </w:r>
      <w:r>
        <w:rPr>
          <w:rFonts w:hint="eastAsia"/>
          <w:sz w:val="24"/>
          <w:highlight w:val="none"/>
          <w:lang w:eastAsia="zh-CN"/>
        </w:rPr>
        <w:t>时</w:t>
      </w:r>
      <w:r>
        <w:rPr>
          <w:rFonts w:hint="eastAsia"/>
          <w:sz w:val="24"/>
          <w:highlight w:val="none"/>
        </w:rPr>
        <w:t>，应及时通知和引导管道沿线企业职工往上风向进行疏散撤离。</w:t>
      </w:r>
    </w:p>
    <w:p w14:paraId="1CC3A7B7">
      <w:pPr>
        <w:spacing w:line="360" w:lineRule="auto"/>
        <w:ind w:firstLine="480" w:firstLineChars="200"/>
        <w:rPr>
          <w:rFonts w:hint="eastAsia"/>
          <w:sz w:val="24"/>
          <w:highlight w:val="none"/>
        </w:rPr>
      </w:pPr>
      <w:r>
        <w:rPr>
          <w:rFonts w:hint="eastAsia"/>
          <w:sz w:val="24"/>
          <w:highlight w:val="none"/>
        </w:rPr>
        <w:t>（2）预警要求</w:t>
      </w:r>
    </w:p>
    <w:p w14:paraId="551A2C43">
      <w:pPr>
        <w:spacing w:line="360" w:lineRule="auto"/>
        <w:ind w:firstLine="480" w:firstLineChars="200"/>
        <w:rPr>
          <w:rFonts w:hint="eastAsia"/>
          <w:sz w:val="24"/>
          <w:highlight w:val="none"/>
        </w:rPr>
      </w:pPr>
      <w:r>
        <w:rPr>
          <w:rFonts w:hint="eastAsia"/>
          <w:sz w:val="24"/>
          <w:highlight w:val="none"/>
        </w:rPr>
        <w:t>公司采用人工巡检与自动报警装置相结合的监控形式，当通过人工巡检与自动报警装置发现可能发生突发环境事件时，现场人员立即报告部门负责人，并通知应急办公室，部门负责人视现场情况组织现场处置，应急办公室视情况通知相关应急工作组</w:t>
      </w:r>
      <w:r>
        <w:rPr>
          <w:rFonts w:hint="eastAsia"/>
          <w:sz w:val="24"/>
          <w:highlight w:val="none"/>
          <w:lang w:eastAsia="zh-CN"/>
        </w:rPr>
        <w:t>做好</w:t>
      </w:r>
      <w:r>
        <w:rPr>
          <w:rFonts w:hint="eastAsia"/>
          <w:sz w:val="24"/>
          <w:highlight w:val="none"/>
        </w:rPr>
        <w:t>应急准备并报告应急指挥中心。公司应急指挥中心确定预警条件、预警级别后，立即向各部门负责人、公司员工通报相关情况，采取相应的预警措施。</w:t>
      </w:r>
    </w:p>
    <w:p w14:paraId="6E34DC6D">
      <w:pPr>
        <w:spacing w:line="360" w:lineRule="auto"/>
        <w:ind w:firstLine="480" w:firstLineChars="200"/>
        <w:rPr>
          <w:rFonts w:hint="eastAsia"/>
          <w:sz w:val="24"/>
          <w:highlight w:val="none"/>
        </w:rPr>
      </w:pPr>
      <w:r>
        <w:rPr>
          <w:rFonts w:hint="eastAsia"/>
          <w:sz w:val="24"/>
          <w:highlight w:val="none"/>
        </w:rPr>
        <w:t>主要预警条件有：巡检时发现管线处发出漏气响声；巡检时便携式可燃气泄漏报警仪发出报警；管线周围发生火灾。</w:t>
      </w:r>
    </w:p>
    <w:p w14:paraId="14D9219F">
      <w:pPr>
        <w:keepNext/>
        <w:keepLines/>
        <w:spacing w:line="360" w:lineRule="auto"/>
        <w:outlineLvl w:val="1"/>
        <w:rPr>
          <w:rFonts w:hint="eastAsia"/>
          <w:b/>
          <w:bCs/>
          <w:sz w:val="28"/>
          <w:szCs w:val="28"/>
          <w:highlight w:val="none"/>
        </w:rPr>
      </w:pPr>
      <w:r>
        <w:rPr>
          <w:rFonts w:hint="eastAsia"/>
          <w:b/>
          <w:bCs/>
          <w:sz w:val="28"/>
          <w:szCs w:val="28"/>
          <w:highlight w:val="none"/>
        </w:rPr>
        <w:t>5.1</w:t>
      </w:r>
      <w:r>
        <w:rPr>
          <w:rFonts w:hint="eastAsia"/>
          <w:b/>
          <w:bCs/>
          <w:sz w:val="28"/>
          <w:szCs w:val="28"/>
          <w:highlight w:val="none"/>
          <w:lang w:val="en-US" w:eastAsia="zh-CN"/>
        </w:rPr>
        <w:t>2</w:t>
      </w:r>
      <w:r>
        <w:rPr>
          <w:rFonts w:hint="eastAsia"/>
          <w:b/>
          <w:bCs/>
          <w:sz w:val="28"/>
          <w:szCs w:val="28"/>
          <w:highlight w:val="none"/>
        </w:rPr>
        <w:t>突发环境事件应急预案编制要求</w:t>
      </w:r>
    </w:p>
    <w:p w14:paraId="18408BAF">
      <w:pPr>
        <w:spacing w:line="360" w:lineRule="auto"/>
        <w:ind w:firstLine="480" w:firstLineChars="200"/>
        <w:rPr>
          <w:rFonts w:hint="eastAsia"/>
          <w:color w:val="0000FF"/>
          <w:sz w:val="24"/>
          <w:highlight w:val="none"/>
        </w:rPr>
      </w:pPr>
      <w:r>
        <w:rPr>
          <w:rFonts w:hint="eastAsia"/>
          <w:sz w:val="24"/>
          <w:highlight w:val="none"/>
        </w:rPr>
        <w:t>建设单位应根据《突发事件应急预案管理办法》</w:t>
      </w:r>
      <w:r>
        <w:rPr>
          <w:rFonts w:hint="eastAsia"/>
          <w:sz w:val="24"/>
          <w:highlight w:val="none"/>
          <w:lang w:eastAsia="zh-CN"/>
        </w:rPr>
        <w:t>（</w:t>
      </w:r>
      <w:r>
        <w:rPr>
          <w:rFonts w:hint="eastAsia"/>
          <w:sz w:val="24"/>
          <w:highlight w:val="none"/>
        </w:rPr>
        <w:t>国办发〔2013〕101号</w:t>
      </w:r>
      <w:r>
        <w:rPr>
          <w:rFonts w:hint="eastAsia"/>
          <w:sz w:val="24"/>
          <w:highlight w:val="none"/>
          <w:lang w:eastAsia="zh-CN"/>
        </w:rPr>
        <w:t>）</w:t>
      </w:r>
      <w:r>
        <w:rPr>
          <w:rFonts w:hint="eastAsia"/>
          <w:sz w:val="24"/>
          <w:highlight w:val="none"/>
        </w:rPr>
        <w:t>、《突发环境事件应急管理办法》</w:t>
      </w:r>
      <w:r>
        <w:rPr>
          <w:rFonts w:hint="eastAsia"/>
          <w:sz w:val="24"/>
          <w:highlight w:val="none"/>
          <w:lang w:eastAsia="zh-CN"/>
        </w:rPr>
        <w:t>（</w:t>
      </w:r>
      <w:r>
        <w:rPr>
          <w:rFonts w:hint="eastAsia"/>
          <w:sz w:val="24"/>
          <w:highlight w:val="none"/>
        </w:rPr>
        <w:t>2015年，环保部令第34号</w:t>
      </w:r>
      <w:r>
        <w:rPr>
          <w:rFonts w:hint="eastAsia"/>
          <w:sz w:val="24"/>
          <w:highlight w:val="none"/>
          <w:lang w:eastAsia="zh-CN"/>
        </w:rPr>
        <w:t>）</w:t>
      </w:r>
      <w:r>
        <w:rPr>
          <w:rFonts w:hint="eastAsia"/>
          <w:sz w:val="24"/>
          <w:highlight w:val="none"/>
        </w:rPr>
        <w:t>、内蒙古自治区环保厅印发自治区突发环境事件应急预案（2022年版）的通知及《企业突发环境事件风险分级方法》</w:t>
      </w:r>
      <w:r>
        <w:rPr>
          <w:rFonts w:hint="eastAsia"/>
          <w:sz w:val="24"/>
          <w:highlight w:val="none"/>
          <w:lang w:eastAsia="zh-CN"/>
        </w:rPr>
        <w:t>（</w:t>
      </w:r>
      <w:r>
        <w:rPr>
          <w:rFonts w:hint="eastAsia"/>
          <w:sz w:val="24"/>
          <w:highlight w:val="none"/>
        </w:rPr>
        <w:t>HJ 941-2018</w:t>
      </w:r>
      <w:r>
        <w:rPr>
          <w:rFonts w:hint="eastAsia"/>
          <w:sz w:val="24"/>
          <w:highlight w:val="none"/>
          <w:lang w:eastAsia="zh-CN"/>
        </w:rPr>
        <w:t>）</w:t>
      </w:r>
      <w:r>
        <w:rPr>
          <w:rFonts w:hint="eastAsia"/>
          <w:sz w:val="24"/>
          <w:highlight w:val="none"/>
        </w:rPr>
        <w:t>等有关要求，将本项目纳入企业突发环境事件应急预案，报鄂尔多斯市</w:t>
      </w:r>
      <w:r>
        <w:rPr>
          <w:rFonts w:hint="eastAsia"/>
          <w:sz w:val="24"/>
          <w:highlight w:val="none"/>
          <w:lang w:val="en-US" w:eastAsia="zh-CN"/>
        </w:rPr>
        <w:t>杭锦旗</w:t>
      </w:r>
      <w:r>
        <w:rPr>
          <w:rFonts w:hint="eastAsia"/>
          <w:sz w:val="24"/>
          <w:highlight w:val="none"/>
        </w:rPr>
        <w:t>生态环境局备案，并每3年修订1次。建设单位应</w:t>
      </w:r>
      <w:r>
        <w:rPr>
          <w:rFonts w:hint="eastAsia"/>
          <w:sz w:val="24"/>
          <w:highlight w:val="none"/>
          <w:lang w:eastAsia="zh-CN"/>
        </w:rPr>
        <w:t>按</w:t>
      </w:r>
      <w:r>
        <w:rPr>
          <w:rFonts w:hint="eastAsia"/>
          <w:sz w:val="24"/>
          <w:highlight w:val="none"/>
        </w:rPr>
        <w:t>规定定期开展应急演练。本项目环境风险应急</w:t>
      </w:r>
      <w:r>
        <w:rPr>
          <w:rFonts w:hint="eastAsia"/>
          <w:sz w:val="24"/>
          <w:highlight w:val="none"/>
          <w:lang w:eastAsia="zh-CN"/>
        </w:rPr>
        <w:t>预案</w:t>
      </w:r>
      <w:r>
        <w:rPr>
          <w:rFonts w:hint="eastAsia"/>
          <w:sz w:val="24"/>
          <w:highlight w:val="none"/>
        </w:rPr>
        <w:t>应</w:t>
      </w:r>
      <w:r>
        <w:rPr>
          <w:rFonts w:hint="eastAsia"/>
          <w:sz w:val="24"/>
          <w:highlight w:val="none"/>
          <w:lang w:val="en-US" w:eastAsia="zh-CN"/>
        </w:rPr>
        <w:t>当</w:t>
      </w:r>
      <w:r>
        <w:rPr>
          <w:rFonts w:hint="eastAsia"/>
          <w:sz w:val="24"/>
          <w:szCs w:val="32"/>
          <w:highlight w:val="none"/>
        </w:rPr>
        <w:t>与邻近</w:t>
      </w:r>
      <w:r>
        <w:rPr>
          <w:rFonts w:hint="eastAsia"/>
          <w:sz w:val="24"/>
          <w:szCs w:val="32"/>
          <w:highlight w:val="none"/>
          <w:lang w:eastAsia="zh-CN"/>
        </w:rPr>
        <w:t>单位</w:t>
      </w:r>
      <w:r>
        <w:rPr>
          <w:rFonts w:hint="eastAsia"/>
          <w:sz w:val="24"/>
          <w:highlight w:val="none"/>
        </w:rPr>
        <w:t>进行联防联控，与园区环境风险防控系统有效衔接。</w:t>
      </w:r>
    </w:p>
    <w:p w14:paraId="4033A7AD">
      <w:pPr>
        <w:spacing w:line="360" w:lineRule="auto"/>
        <w:ind w:firstLine="480" w:firstLineChars="200"/>
        <w:rPr>
          <w:rFonts w:hint="eastAsia"/>
          <w:sz w:val="24"/>
          <w:highlight w:val="none"/>
        </w:rPr>
      </w:pPr>
      <w:r>
        <w:rPr>
          <w:rFonts w:hint="eastAsia"/>
          <w:sz w:val="24"/>
          <w:highlight w:val="none"/>
        </w:rPr>
        <w:t>应急预案应按照国家、地方和相关部门要求进行编制，主要内容包括预案适用范围、环境事件分类与分级、组织机构与职责、监控和预警、应急响应、应急保障、善后处置、预案管理与演练等内容。</w:t>
      </w:r>
    </w:p>
    <w:p w14:paraId="593664EA">
      <w:pPr>
        <w:keepNext/>
        <w:keepLines/>
        <w:spacing w:before="240" w:beforeLines="100" w:line="360" w:lineRule="auto"/>
        <w:outlineLvl w:val="0"/>
        <w:rPr>
          <w:rFonts w:hint="eastAsia"/>
          <w:b/>
          <w:bCs/>
          <w:kern w:val="44"/>
          <w:sz w:val="32"/>
          <w:szCs w:val="32"/>
          <w:highlight w:val="none"/>
        </w:rPr>
      </w:pPr>
      <w:bookmarkStart w:id="74" w:name="_Toc2289_WPSOffice_Level1"/>
      <w:r>
        <w:rPr>
          <w:rFonts w:hint="eastAsia"/>
          <w:b/>
          <w:bCs/>
          <w:kern w:val="44"/>
          <w:sz w:val="32"/>
          <w:szCs w:val="32"/>
          <w:highlight w:val="none"/>
        </w:rPr>
        <w:t>6</w:t>
      </w:r>
      <w:r>
        <w:rPr>
          <w:rFonts w:hint="eastAsia"/>
          <w:b/>
          <w:bCs/>
          <w:kern w:val="44"/>
          <w:sz w:val="32"/>
          <w:szCs w:val="32"/>
          <w:highlight w:val="none"/>
          <w:lang w:val="en-US" w:eastAsia="zh-CN"/>
        </w:rPr>
        <w:t>.</w:t>
      </w:r>
      <w:r>
        <w:rPr>
          <w:rFonts w:hint="eastAsia"/>
          <w:b/>
          <w:bCs/>
          <w:kern w:val="44"/>
          <w:sz w:val="32"/>
          <w:szCs w:val="32"/>
          <w:highlight w:val="none"/>
        </w:rPr>
        <w:t>环境风险分析结论</w:t>
      </w:r>
      <w:bookmarkEnd w:id="74"/>
    </w:p>
    <w:p w14:paraId="3DCB48AB">
      <w:pPr>
        <w:spacing w:line="360" w:lineRule="auto"/>
        <w:ind w:firstLine="480" w:firstLineChars="200"/>
        <w:rPr>
          <w:rFonts w:hint="eastAsia"/>
          <w:sz w:val="24"/>
          <w:highlight w:val="none"/>
        </w:rPr>
      </w:pPr>
      <w:r>
        <w:rPr>
          <w:rFonts w:hint="eastAsia"/>
          <w:sz w:val="24"/>
          <w:highlight w:val="none"/>
        </w:rPr>
        <w:t>根据《建设项目环境风险评价技术导则》（HJ169－2018）中环境风险评价等级的判定方法，本项目</w:t>
      </w:r>
      <w:r>
        <w:rPr>
          <w:rFonts w:hint="eastAsia"/>
          <w:sz w:val="24"/>
          <w:highlight w:val="none"/>
          <w:lang w:val="en-US" w:eastAsia="zh-CN"/>
        </w:rPr>
        <w:t>Q＜1</w:t>
      </w:r>
      <w:r>
        <w:rPr>
          <w:rFonts w:hint="eastAsia"/>
          <w:sz w:val="24"/>
          <w:highlight w:val="none"/>
        </w:rPr>
        <w:t>风险潜势均为I</w:t>
      </w:r>
      <w:r>
        <w:rPr>
          <w:rFonts w:hint="eastAsia"/>
          <w:sz w:val="24"/>
          <w:highlight w:val="none"/>
          <w:lang w:eastAsia="zh-CN"/>
        </w:rPr>
        <w:t>，</w:t>
      </w:r>
      <w:r>
        <w:rPr>
          <w:rFonts w:hint="eastAsia"/>
          <w:sz w:val="24"/>
          <w:highlight w:val="none"/>
          <w:lang w:val="en-US" w:eastAsia="zh-CN"/>
        </w:rPr>
        <w:t>进行简单分析</w:t>
      </w:r>
      <w:r>
        <w:rPr>
          <w:rFonts w:hint="eastAsia"/>
          <w:sz w:val="24"/>
          <w:highlight w:val="none"/>
        </w:rPr>
        <w:t>。</w:t>
      </w:r>
    </w:p>
    <w:p w14:paraId="7C14FE7F">
      <w:pPr>
        <w:spacing w:line="360" w:lineRule="auto"/>
        <w:ind w:firstLine="480" w:firstLineChars="200"/>
        <w:rPr>
          <w:rFonts w:hint="eastAsia"/>
          <w:color w:val="0000FF"/>
          <w:sz w:val="24"/>
          <w:highlight w:val="none"/>
        </w:rPr>
      </w:pPr>
      <w:r>
        <w:rPr>
          <w:rFonts w:hint="eastAsia"/>
          <w:sz w:val="24"/>
          <w:highlight w:val="none"/>
        </w:rPr>
        <w:t>本项目主要危险单元为物料输送管线，根据环境风险识别与分析，项目运营过程</w:t>
      </w:r>
      <w:r>
        <w:rPr>
          <w:rFonts w:hint="eastAsia"/>
          <w:sz w:val="24"/>
          <w:highlight w:val="none"/>
          <w:lang w:eastAsia="zh-CN"/>
        </w:rPr>
        <w:t>中</w:t>
      </w:r>
      <w:r>
        <w:rPr>
          <w:rFonts w:hint="eastAsia"/>
          <w:sz w:val="24"/>
          <w:highlight w:val="none"/>
        </w:rPr>
        <w:t>的主要环境风险事故为管道泄漏事故或泄漏后遇明火引发火灾、爆炸导致的次生污染事故。</w:t>
      </w:r>
    </w:p>
    <w:p w14:paraId="5C17FFAF">
      <w:pPr>
        <w:adjustRightInd w:val="0"/>
        <w:snapToGrid w:val="0"/>
        <w:spacing w:line="360" w:lineRule="auto"/>
        <w:ind w:firstLine="480" w:firstLineChars="200"/>
        <w:rPr>
          <w:rFonts w:hint="eastAsia"/>
          <w:sz w:val="24"/>
          <w:highlight w:val="none"/>
        </w:rPr>
      </w:pPr>
      <w:r>
        <w:rPr>
          <w:rFonts w:hint="eastAsia" w:ascii="Times New Roman" w:hAnsi="Times New Roman" w:eastAsia="宋体" w:cs="Times New Roman"/>
          <w:color w:val="auto"/>
          <w:sz w:val="24"/>
          <w:szCs w:val="24"/>
          <w:highlight w:val="none"/>
          <w:lang w:val="en-US" w:eastAsia="zh-CN"/>
        </w:rPr>
        <w:t>项目管道架空敷设，其中为了便于计量和快速切断，在合成脱碳尾气、未变换净化气、WRT甲烷气、回用水、富甲烷气</w:t>
      </w:r>
      <w:r>
        <w:rPr>
          <w:rFonts w:hint="eastAsia" w:cs="Times New Roman"/>
          <w:color w:val="auto"/>
          <w:sz w:val="24"/>
          <w:szCs w:val="24"/>
          <w:highlight w:val="none"/>
          <w:lang w:val="en-US" w:eastAsia="zh-CN"/>
        </w:rPr>
        <w:t>等</w:t>
      </w:r>
      <w:r>
        <w:rPr>
          <w:rFonts w:hint="eastAsia" w:ascii="Times New Roman" w:hAnsi="Times New Roman" w:eastAsia="宋体" w:cs="Times New Roman"/>
          <w:color w:val="auto"/>
          <w:sz w:val="24"/>
          <w:szCs w:val="24"/>
          <w:highlight w:val="none"/>
          <w:lang w:val="en-US" w:eastAsia="zh-CN"/>
        </w:rPr>
        <w:t>管道上设置快速切断阀，WRT甲烷气和污水2管线设置压力调节阀组和流量计</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其</w:t>
      </w:r>
      <w:r>
        <w:rPr>
          <w:rFonts w:hint="eastAsia" w:cs="Times New Roman"/>
          <w:color w:val="auto"/>
          <w:sz w:val="24"/>
          <w:szCs w:val="24"/>
          <w:highlight w:val="none"/>
          <w:lang w:val="en-US" w:eastAsia="zh-CN"/>
        </w:rPr>
        <w:t>他</w:t>
      </w:r>
      <w:r>
        <w:rPr>
          <w:rFonts w:hint="eastAsia" w:ascii="Times New Roman" w:hAnsi="Times New Roman" w:eastAsia="宋体" w:cs="Times New Roman"/>
          <w:color w:val="auto"/>
          <w:sz w:val="24"/>
          <w:szCs w:val="24"/>
          <w:highlight w:val="none"/>
          <w:lang w:val="en-US" w:eastAsia="zh-CN"/>
        </w:rPr>
        <w:t>工艺和公用工程管道仅设置流量计用于计量结算，管线末端设置手动切断阀组。在物料输出端和接收端设置中控系统和紧急切断阀，阀门和仪表的控制信号接入伊泰化工公司DCS系统</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一旦发生泄漏易被发现，</w:t>
      </w:r>
      <w:r>
        <w:rPr>
          <w:rFonts w:hint="eastAsia" w:ascii="Times New Roman" w:hAnsi="Times New Roman" w:eastAsia="宋体" w:cs="Times New Roman"/>
          <w:sz w:val="24"/>
          <w:szCs w:val="24"/>
          <w:highlight w:val="none"/>
          <w:lang w:val="en-US" w:eastAsia="zh-CN"/>
        </w:rPr>
        <w:t>可控制发生泄漏的物质量在较小的范围内，泄漏挥发产生的污染物源强不大，且本项</w:t>
      </w:r>
      <w:r>
        <w:rPr>
          <w:rFonts w:hint="eastAsia"/>
          <w:sz w:val="24"/>
          <w:highlight w:val="none"/>
        </w:rPr>
        <w:t>目管道沿线</w:t>
      </w:r>
      <w:r>
        <w:rPr>
          <w:rFonts w:hint="eastAsia"/>
          <w:sz w:val="24"/>
          <w:highlight w:val="none"/>
          <w:lang w:val="en-US" w:eastAsia="zh-CN"/>
        </w:rPr>
        <w:t>2</w:t>
      </w:r>
      <w:r>
        <w:rPr>
          <w:rFonts w:hint="eastAsia"/>
          <w:sz w:val="24"/>
          <w:highlight w:val="none"/>
        </w:rPr>
        <w:t>00m范围内无大气环境</w:t>
      </w:r>
      <w:r>
        <w:rPr>
          <w:rFonts w:hint="eastAsia"/>
          <w:sz w:val="24"/>
          <w:highlight w:val="none"/>
          <w:lang w:eastAsia="zh-CN"/>
        </w:rPr>
        <w:t>、</w:t>
      </w:r>
      <w:r>
        <w:rPr>
          <w:rFonts w:hint="eastAsia"/>
          <w:sz w:val="24"/>
          <w:highlight w:val="none"/>
          <w:lang w:val="en-US" w:eastAsia="zh-CN"/>
        </w:rPr>
        <w:t>水环境</w:t>
      </w:r>
      <w:r>
        <w:rPr>
          <w:rFonts w:hint="eastAsia"/>
          <w:sz w:val="24"/>
          <w:highlight w:val="none"/>
        </w:rPr>
        <w:t>敏感目标，</w:t>
      </w:r>
      <w:r>
        <w:rPr>
          <w:rFonts w:hint="eastAsia"/>
          <w:sz w:val="24"/>
          <w:highlight w:val="none"/>
          <w:lang w:val="en-US" w:eastAsia="zh-CN"/>
        </w:rPr>
        <w:t>周边无</w:t>
      </w:r>
      <w:r>
        <w:rPr>
          <w:rFonts w:hint="eastAsia" w:ascii="Times New Roman" w:hAnsi="Times New Roman" w:eastAsia="宋体" w:cs="Times New Roman"/>
          <w:sz w:val="24"/>
          <w:highlight w:val="none"/>
        </w:rPr>
        <w:t>地表长期径流存在</w:t>
      </w:r>
      <w:r>
        <w:rPr>
          <w:rFonts w:hint="eastAsia" w:cs="Times New Roman"/>
          <w:sz w:val="24"/>
          <w:highlight w:val="none"/>
          <w:lang w:eastAsia="zh-CN"/>
        </w:rPr>
        <w:t>，</w:t>
      </w:r>
      <w:r>
        <w:rPr>
          <w:rFonts w:hint="eastAsia"/>
          <w:sz w:val="24"/>
          <w:highlight w:val="none"/>
        </w:rPr>
        <w:t>因此对周边环境影响基本可控。</w:t>
      </w:r>
    </w:p>
    <w:p w14:paraId="6DA0626E">
      <w:pPr>
        <w:spacing w:line="360" w:lineRule="auto"/>
        <w:ind w:firstLine="480" w:firstLineChars="200"/>
        <w:rPr>
          <w:rFonts w:hint="eastAsia"/>
          <w:sz w:val="24"/>
          <w:highlight w:val="none"/>
        </w:rPr>
      </w:pPr>
      <w:r>
        <w:rPr>
          <w:rFonts w:hint="eastAsia"/>
          <w:sz w:val="24"/>
          <w:highlight w:val="none"/>
        </w:rPr>
        <w:t>建设单位应采取严格的风险防控体系，配套可燃气体报警仪，项目输送</w:t>
      </w:r>
      <w:r>
        <w:rPr>
          <w:rFonts w:hint="eastAsia" w:ascii="Times New Roman" w:hAnsi="Times New Roman" w:eastAsia="宋体" w:cs="Times New Roman"/>
          <w:color w:val="auto"/>
          <w:sz w:val="24"/>
          <w:szCs w:val="24"/>
          <w:highlight w:val="none"/>
          <w:lang w:val="en-US" w:eastAsia="zh-CN"/>
        </w:rPr>
        <w:t>管线末端设置手动切断阀组。在物料输出端和接收端设置中控系统和紧急切断阀</w:t>
      </w:r>
      <w:r>
        <w:rPr>
          <w:rFonts w:hint="eastAsia"/>
          <w:sz w:val="24"/>
          <w:highlight w:val="none"/>
        </w:rPr>
        <w:t>、流量计、压力表</w:t>
      </w:r>
      <w:r>
        <w:rPr>
          <w:rFonts w:hint="eastAsia"/>
          <w:sz w:val="24"/>
          <w:highlight w:val="none"/>
          <w:lang w:eastAsia="zh-CN"/>
        </w:rPr>
        <w:t>等</w:t>
      </w:r>
      <w:r>
        <w:rPr>
          <w:rFonts w:hint="eastAsia"/>
          <w:sz w:val="24"/>
          <w:highlight w:val="none"/>
        </w:rPr>
        <w:t>，依托</w:t>
      </w:r>
      <w:r>
        <w:rPr>
          <w:rFonts w:hint="eastAsia"/>
          <w:sz w:val="24"/>
          <w:highlight w:val="none"/>
          <w:lang w:val="en-US" w:eastAsia="zh-CN"/>
        </w:rPr>
        <w:t>内蒙古伊泰化工有限责任公司及其</w:t>
      </w:r>
      <w:r>
        <w:rPr>
          <w:rFonts w:hint="eastAsia"/>
          <w:sz w:val="24"/>
          <w:highlight w:val="none"/>
        </w:rPr>
        <w:t>关联企业、园区的环境风险防控系统和消防灭火设施，</w:t>
      </w:r>
      <w:r>
        <w:rPr>
          <w:rFonts w:hint="eastAsia"/>
          <w:sz w:val="24"/>
          <w:highlight w:val="none"/>
          <w:lang w:eastAsia="zh-CN"/>
        </w:rPr>
        <w:t>以及</w:t>
      </w:r>
      <w:r>
        <w:rPr>
          <w:rFonts w:hint="eastAsia"/>
          <w:sz w:val="24"/>
          <w:highlight w:val="none"/>
          <w:lang w:val="en-US" w:eastAsia="zh-CN"/>
        </w:rPr>
        <w:t>杭锦旗</w:t>
      </w:r>
      <w:r>
        <w:rPr>
          <w:rFonts w:hint="eastAsia"/>
          <w:sz w:val="24"/>
          <w:highlight w:val="none"/>
        </w:rPr>
        <w:t>消防大队的消防力</w:t>
      </w:r>
      <w:r>
        <w:rPr>
          <w:rFonts w:hint="eastAsia" w:ascii="Times New Roman" w:hAnsi="Times New Roman" w:eastAsia="宋体" w:cs="Times New Roman"/>
          <w:sz w:val="24"/>
          <w:highlight w:val="none"/>
        </w:rPr>
        <w:t>量</w:t>
      </w:r>
      <w:r>
        <w:rPr>
          <w:rFonts w:hint="eastAsia"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rPr>
        <w:t>本项目事故水池及消防水池均依托</w:t>
      </w:r>
      <w:r>
        <w:rPr>
          <w:rFonts w:hint="eastAsia"/>
          <w:sz w:val="24"/>
          <w:highlight w:val="none"/>
          <w:lang w:val="en-US" w:eastAsia="zh-CN"/>
        </w:rPr>
        <w:t>内蒙古伊泰化工有限责任公司</w:t>
      </w:r>
      <w:r>
        <w:rPr>
          <w:rFonts w:hint="eastAsia" w:ascii="Times New Roman" w:hAnsi="Times New Roman" w:eastAsia="宋体" w:cs="Times New Roman"/>
          <w:sz w:val="24"/>
          <w:highlight w:val="none"/>
        </w:rPr>
        <w:t>现有</w:t>
      </w:r>
      <w:r>
        <w:rPr>
          <w:rFonts w:hint="eastAsia" w:ascii="Times New Roman" w:hAnsi="Times New Roman" w:eastAsia="宋体" w:cs="Times New Roman"/>
          <w:sz w:val="24"/>
          <w:highlight w:val="none"/>
          <w:lang w:eastAsia="zh-CN"/>
        </w:rPr>
        <w:t>水池</w:t>
      </w:r>
      <w:r>
        <w:rPr>
          <w:rFonts w:hint="eastAsia" w:cs="Times New Roman"/>
          <w:sz w:val="24"/>
          <w:highlight w:val="none"/>
          <w:lang w:eastAsia="zh-CN"/>
        </w:rPr>
        <w:t>，</w:t>
      </w:r>
      <w:r>
        <w:rPr>
          <w:rFonts w:hint="eastAsia" w:ascii="Times New Roman" w:hAnsi="Times New Roman" w:eastAsia="宋体" w:cs="Times New Roman"/>
          <w:sz w:val="24"/>
          <w:highlight w:val="none"/>
        </w:rPr>
        <w:t>编制应急预案，并开展应急演练。在落实本</w:t>
      </w:r>
      <w:r>
        <w:rPr>
          <w:rFonts w:hint="eastAsia"/>
          <w:sz w:val="24"/>
          <w:highlight w:val="none"/>
        </w:rPr>
        <w:t>评价提出的各项环境风险防范措施后，从环境风险角度分析，本项目的环境风险水平属于可接受范畴。</w:t>
      </w:r>
    </w:p>
    <w:p w14:paraId="47B8E377">
      <w:pPr>
        <w:widowControl/>
        <w:spacing w:line="360" w:lineRule="auto"/>
        <w:ind w:firstLine="0" w:firstLineChars="0"/>
        <w:jc w:val="center"/>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 xml:space="preserve">表6.1   </w:t>
      </w:r>
      <w:r>
        <w:rPr>
          <w:rFonts w:hint="default" w:ascii="Times New Roman" w:hAnsi="Times New Roman" w:eastAsia="宋体" w:cs="Times New Roman"/>
          <w:b/>
          <w:bCs/>
          <w:sz w:val="21"/>
          <w:szCs w:val="21"/>
          <w:highlight w:val="none"/>
        </w:rPr>
        <w:t>环境风险</w:t>
      </w:r>
      <w:r>
        <w:rPr>
          <w:rFonts w:hint="eastAsia" w:cs="Times New Roman"/>
          <w:b/>
          <w:bCs/>
          <w:sz w:val="21"/>
          <w:szCs w:val="21"/>
          <w:highlight w:val="none"/>
          <w:lang w:val="en-US" w:eastAsia="zh-CN"/>
        </w:rPr>
        <w:t>自查表</w:t>
      </w:r>
    </w:p>
    <w:tbl>
      <w:tblPr>
        <w:tblStyle w:val="20"/>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146"/>
        <w:gridCol w:w="1031"/>
        <w:gridCol w:w="1528"/>
        <w:gridCol w:w="503"/>
        <w:gridCol w:w="220"/>
        <w:gridCol w:w="1062"/>
        <w:gridCol w:w="1015"/>
        <w:gridCol w:w="580"/>
        <w:gridCol w:w="1477"/>
      </w:tblGrid>
      <w:tr w14:paraId="080C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543" w:type="dxa"/>
            <w:gridSpan w:val="2"/>
            <w:vAlign w:val="center"/>
          </w:tcPr>
          <w:p w14:paraId="415D1ACD">
            <w:pPr>
              <w:jc w:val="center"/>
              <w:rPr>
                <w:rFonts w:ascii="Times New Roman" w:hAnsi="Times New Roman" w:eastAsia="宋体" w:cs="Times New Roman"/>
                <w:kern w:val="0"/>
                <w:sz w:val="21"/>
                <w:szCs w:val="21"/>
                <w:highlight w:val="none"/>
              </w:rPr>
            </w:pPr>
            <w:r>
              <w:rPr>
                <w:rFonts w:hint="eastAsia"/>
                <w:sz w:val="21"/>
                <w:szCs w:val="21"/>
                <w:highlight w:val="none"/>
              </w:rPr>
              <w:t>建设项目名称</w:t>
            </w:r>
          </w:p>
        </w:tc>
        <w:tc>
          <w:tcPr>
            <w:tcW w:w="7416" w:type="dxa"/>
            <w:gridSpan w:val="8"/>
            <w:vAlign w:val="center"/>
          </w:tcPr>
          <w:p w14:paraId="03650365">
            <w:pPr>
              <w:jc w:val="center"/>
              <w:rPr>
                <w:rFonts w:hint="eastAsia" w:ascii="Times New Roman" w:hAnsi="Times New Roman" w:eastAsia="宋体" w:cs="Times New Roman"/>
                <w:kern w:val="0"/>
                <w:sz w:val="21"/>
                <w:szCs w:val="21"/>
                <w:highlight w:val="none"/>
              </w:rPr>
            </w:pPr>
            <w:r>
              <w:rPr>
                <w:rFonts w:hint="eastAsia" w:ascii="宋体" w:hAnsi="宋体" w:cs="宋体"/>
                <w:sz w:val="21"/>
                <w:szCs w:val="21"/>
                <w:highlight w:val="none"/>
                <w:lang w:val="en-US" w:eastAsia="zh-CN"/>
              </w:rPr>
              <w:t>鹏泰-伊泰化工物料输送管线及管廊建设项目</w:t>
            </w:r>
          </w:p>
        </w:tc>
      </w:tr>
      <w:tr w14:paraId="0A88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397" w:type="dxa"/>
            <w:vMerge w:val="restart"/>
            <w:vAlign w:val="center"/>
          </w:tcPr>
          <w:p w14:paraId="68EDF84B">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风险调查</w:t>
            </w:r>
          </w:p>
        </w:tc>
        <w:tc>
          <w:tcPr>
            <w:tcW w:w="1146" w:type="dxa"/>
            <w:vMerge w:val="restart"/>
            <w:vAlign w:val="center"/>
          </w:tcPr>
          <w:p w14:paraId="2C693A1D">
            <w:pPr>
              <w:adjustRightInd w:val="0"/>
              <w:snapToGrid w:val="0"/>
              <w:spacing w:line="240" w:lineRule="auto"/>
              <w:ind w:firstLine="0" w:firstLineChars="0"/>
              <w:jc w:val="center"/>
              <w:rPr>
                <w:rFonts w:ascii="Times New Roman" w:hAnsi="Times New Roman" w:eastAsia="宋体" w:cs="Times New Roman"/>
                <w:kern w:val="0"/>
                <w:sz w:val="21"/>
                <w:szCs w:val="21"/>
                <w:highlight w:val="none"/>
              </w:rPr>
            </w:pPr>
            <w:r>
              <w:rPr>
                <w:rFonts w:ascii="Times New Roman" w:hAnsi="Times New Roman" w:eastAsia="宋体" w:cs="Times New Roman"/>
                <w:kern w:val="0"/>
                <w:sz w:val="21"/>
                <w:szCs w:val="21"/>
                <w:highlight w:val="none"/>
              </w:rPr>
              <w:t>危险物质</w:t>
            </w:r>
          </w:p>
        </w:tc>
        <w:tc>
          <w:tcPr>
            <w:tcW w:w="7416" w:type="dxa"/>
            <w:gridSpan w:val="8"/>
            <w:vAlign w:val="center"/>
          </w:tcPr>
          <w:p w14:paraId="14C5FF80">
            <w:pPr>
              <w:adjustRightInd w:val="0"/>
              <w:snapToGrid w:val="0"/>
              <w:spacing w:line="240" w:lineRule="auto"/>
              <w:ind w:firstLine="0" w:firstLineChars="0"/>
              <w:jc w:val="center"/>
              <w:rPr>
                <w:rFonts w:hint="default" w:ascii="Times New Roman" w:hAnsi="Times New Roman" w:eastAsia="宋体" w:cs="Times New Roman"/>
                <w:kern w:val="0"/>
                <w:sz w:val="21"/>
                <w:szCs w:val="21"/>
                <w:highlight w:val="none"/>
                <w:lang w:val="en-US"/>
              </w:rPr>
            </w:pPr>
            <w:r>
              <w:rPr>
                <w:rFonts w:hint="eastAsia" w:ascii="Times New Roman" w:hAnsi="Times New Roman" w:eastAsia="宋体" w:cs="Times New Roman"/>
                <w:kern w:val="0"/>
                <w:sz w:val="21"/>
                <w:szCs w:val="21"/>
                <w:highlight w:val="none"/>
              </w:rPr>
              <w:t>本项目</w:t>
            </w:r>
            <w:r>
              <w:rPr>
                <w:rFonts w:hint="eastAsia" w:ascii="Times New Roman" w:hAnsi="Times New Roman" w:eastAsia="宋体" w:cs="Times New Roman"/>
                <w:kern w:val="0"/>
                <w:sz w:val="21"/>
                <w:szCs w:val="21"/>
                <w:highlight w:val="none"/>
                <w:lang w:val="en-US" w:eastAsia="zh-CN"/>
              </w:rPr>
              <w:t>合成气中</w:t>
            </w:r>
            <w:r>
              <w:rPr>
                <w:rFonts w:hint="eastAsia" w:ascii="Times New Roman" w:hAnsi="Times New Roman" w:eastAsia="宋体" w:cs="Times New Roman"/>
                <w:kern w:val="0"/>
                <w:sz w:val="21"/>
                <w:szCs w:val="21"/>
                <w:highlight w:val="none"/>
              </w:rPr>
              <w:t>涉及的危险物质为</w:t>
            </w:r>
            <w:r>
              <w:rPr>
                <w:rFonts w:hint="eastAsia" w:ascii="Times New Roman" w:hAnsi="Times New Roman" w:eastAsia="宋体" w:cs="Times New Roman"/>
                <w:kern w:val="0"/>
                <w:sz w:val="21"/>
                <w:szCs w:val="21"/>
                <w:highlight w:val="none"/>
                <w:lang w:val="en-US" w:eastAsia="zh-CN"/>
              </w:rPr>
              <w:t>一氧化碳、甲烷、乙烷、硫化氢、丁醇、乙酸乙酯、甲醇、异丙醇、乙酸、乙醛、氨气，经过核算得出本项目Q为</w:t>
            </w:r>
            <w:r>
              <w:rPr>
                <w:rFonts w:hint="eastAsia" w:cs="Times New Roman"/>
                <w:kern w:val="0"/>
                <w:sz w:val="21"/>
                <w:szCs w:val="21"/>
                <w:highlight w:val="none"/>
                <w:lang w:val="en-US" w:eastAsia="zh-CN"/>
              </w:rPr>
              <w:t>0.124</w:t>
            </w:r>
            <w:r>
              <w:rPr>
                <w:rFonts w:hint="eastAsia" w:ascii="Times New Roman" w:hAnsi="Times New Roman" w:eastAsia="宋体" w:cs="Times New Roman"/>
                <w:kern w:val="0"/>
                <w:sz w:val="21"/>
                <w:szCs w:val="21"/>
                <w:highlight w:val="none"/>
                <w:lang w:val="en-US" w:eastAsia="zh-CN"/>
              </w:rPr>
              <w:t>。</w:t>
            </w:r>
          </w:p>
        </w:tc>
      </w:tr>
      <w:tr w14:paraId="79EB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vAlign w:val="center"/>
          </w:tcPr>
          <w:p w14:paraId="69AE6383">
            <w:pPr>
              <w:adjustRightInd w:val="0"/>
              <w:snapToGrid w:val="0"/>
              <w:spacing w:line="240" w:lineRule="auto"/>
              <w:ind w:firstLine="0" w:firstLineChars="0"/>
              <w:jc w:val="center"/>
              <w:rPr>
                <w:rFonts w:cs="Times New Roman"/>
                <w:sz w:val="21"/>
                <w:szCs w:val="21"/>
                <w:highlight w:val="none"/>
              </w:rPr>
            </w:pPr>
          </w:p>
        </w:tc>
        <w:tc>
          <w:tcPr>
            <w:tcW w:w="1146" w:type="dxa"/>
            <w:vMerge w:val="restart"/>
            <w:vAlign w:val="center"/>
          </w:tcPr>
          <w:p w14:paraId="3EEBD465">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环境敏感性</w:t>
            </w:r>
          </w:p>
        </w:tc>
        <w:tc>
          <w:tcPr>
            <w:tcW w:w="1031" w:type="dxa"/>
            <w:vMerge w:val="restart"/>
            <w:vAlign w:val="center"/>
          </w:tcPr>
          <w:p w14:paraId="3D3B9441">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大气</w:t>
            </w:r>
          </w:p>
        </w:tc>
        <w:tc>
          <w:tcPr>
            <w:tcW w:w="3313" w:type="dxa"/>
            <w:gridSpan w:val="4"/>
            <w:vAlign w:val="center"/>
          </w:tcPr>
          <w:p w14:paraId="5D787788">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500m范围内人口数</w:t>
            </w:r>
            <w:r>
              <w:rPr>
                <w:rFonts w:cs="Times New Roman"/>
                <w:kern w:val="0"/>
                <w:sz w:val="21"/>
                <w:szCs w:val="21"/>
                <w:highlight w:val="none"/>
                <w:u w:val="single"/>
              </w:rPr>
              <w:t>0</w:t>
            </w:r>
            <w:r>
              <w:rPr>
                <w:rFonts w:cs="Times New Roman"/>
                <w:kern w:val="0"/>
                <w:sz w:val="21"/>
                <w:szCs w:val="21"/>
                <w:highlight w:val="none"/>
              </w:rPr>
              <w:t>人</w:t>
            </w:r>
          </w:p>
        </w:tc>
        <w:tc>
          <w:tcPr>
            <w:tcW w:w="3072" w:type="dxa"/>
            <w:gridSpan w:val="3"/>
            <w:vAlign w:val="center"/>
          </w:tcPr>
          <w:p w14:paraId="2203042D">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5km范围内人口数</w:t>
            </w:r>
            <w:r>
              <w:rPr>
                <w:rFonts w:hint="eastAsia" w:cs="Times New Roman"/>
                <w:kern w:val="0"/>
                <w:sz w:val="21"/>
                <w:szCs w:val="21"/>
                <w:highlight w:val="none"/>
                <w:u w:val="single"/>
                <w:lang w:val="en-US" w:eastAsia="zh-CN"/>
              </w:rPr>
              <w:t>1422</w:t>
            </w:r>
            <w:r>
              <w:rPr>
                <w:rFonts w:cs="Times New Roman"/>
                <w:kern w:val="0"/>
                <w:sz w:val="21"/>
                <w:szCs w:val="21"/>
                <w:highlight w:val="none"/>
              </w:rPr>
              <w:t>人</w:t>
            </w:r>
          </w:p>
        </w:tc>
      </w:tr>
      <w:tr w14:paraId="7F80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vAlign w:val="center"/>
          </w:tcPr>
          <w:p w14:paraId="34EF4526">
            <w:pPr>
              <w:adjustRightInd w:val="0"/>
              <w:snapToGrid w:val="0"/>
              <w:spacing w:line="240" w:lineRule="auto"/>
              <w:ind w:firstLine="0" w:firstLineChars="0"/>
              <w:jc w:val="center"/>
              <w:rPr>
                <w:rFonts w:cs="Times New Roman"/>
                <w:sz w:val="21"/>
                <w:szCs w:val="21"/>
                <w:highlight w:val="none"/>
              </w:rPr>
            </w:pPr>
          </w:p>
        </w:tc>
        <w:tc>
          <w:tcPr>
            <w:tcW w:w="1146" w:type="dxa"/>
            <w:vMerge w:val="continue"/>
            <w:vAlign w:val="center"/>
          </w:tcPr>
          <w:p w14:paraId="34129399">
            <w:pPr>
              <w:adjustRightInd w:val="0"/>
              <w:snapToGrid w:val="0"/>
              <w:spacing w:line="240" w:lineRule="auto"/>
              <w:ind w:firstLine="0" w:firstLineChars="0"/>
              <w:jc w:val="center"/>
              <w:rPr>
                <w:rFonts w:cs="Times New Roman"/>
                <w:sz w:val="21"/>
                <w:szCs w:val="21"/>
                <w:highlight w:val="none"/>
              </w:rPr>
            </w:pPr>
          </w:p>
        </w:tc>
        <w:tc>
          <w:tcPr>
            <w:tcW w:w="1031" w:type="dxa"/>
            <w:vMerge w:val="continue"/>
            <w:vAlign w:val="center"/>
          </w:tcPr>
          <w:p w14:paraId="14DE0FCE">
            <w:pPr>
              <w:adjustRightInd w:val="0"/>
              <w:snapToGrid w:val="0"/>
              <w:spacing w:line="240" w:lineRule="auto"/>
              <w:ind w:firstLine="0" w:firstLineChars="0"/>
              <w:jc w:val="center"/>
              <w:rPr>
                <w:rFonts w:cs="Times New Roman"/>
                <w:sz w:val="21"/>
                <w:szCs w:val="21"/>
                <w:highlight w:val="none"/>
              </w:rPr>
            </w:pPr>
          </w:p>
        </w:tc>
        <w:tc>
          <w:tcPr>
            <w:tcW w:w="4908" w:type="dxa"/>
            <w:gridSpan w:val="6"/>
            <w:vAlign w:val="center"/>
          </w:tcPr>
          <w:p w14:paraId="4BAF5C85">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每公里管段周边200 m 范围内人口数（最大）</w:t>
            </w:r>
          </w:p>
        </w:tc>
        <w:tc>
          <w:tcPr>
            <w:tcW w:w="1477" w:type="dxa"/>
            <w:vAlign w:val="center"/>
          </w:tcPr>
          <w:p w14:paraId="1B1979A0">
            <w:pPr>
              <w:adjustRightInd w:val="0"/>
              <w:snapToGrid w:val="0"/>
              <w:spacing w:line="240" w:lineRule="auto"/>
              <w:ind w:firstLine="0" w:firstLineChars="0"/>
              <w:jc w:val="center"/>
              <w:rPr>
                <w:rFonts w:cs="Times New Roman"/>
                <w:sz w:val="21"/>
                <w:szCs w:val="21"/>
                <w:highlight w:val="none"/>
              </w:rPr>
            </w:pPr>
            <w:r>
              <w:rPr>
                <w:rFonts w:hint="eastAsia" w:cs="Times New Roman"/>
                <w:kern w:val="0"/>
                <w:sz w:val="21"/>
                <w:szCs w:val="21"/>
                <w:highlight w:val="none"/>
                <w:u w:val="single"/>
                <w:lang w:val="en-US" w:eastAsia="zh-CN"/>
              </w:rPr>
              <w:t>0</w:t>
            </w:r>
            <w:r>
              <w:rPr>
                <w:rFonts w:cs="Times New Roman"/>
                <w:kern w:val="0"/>
                <w:sz w:val="21"/>
                <w:szCs w:val="21"/>
                <w:highlight w:val="none"/>
              </w:rPr>
              <w:t>人</w:t>
            </w:r>
          </w:p>
        </w:tc>
      </w:tr>
      <w:tr w14:paraId="630E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vAlign w:val="center"/>
          </w:tcPr>
          <w:p w14:paraId="1DC3E111">
            <w:pPr>
              <w:adjustRightInd w:val="0"/>
              <w:snapToGrid w:val="0"/>
              <w:spacing w:line="240" w:lineRule="auto"/>
              <w:ind w:firstLine="0" w:firstLineChars="0"/>
              <w:jc w:val="center"/>
              <w:rPr>
                <w:rFonts w:cs="Times New Roman"/>
                <w:sz w:val="21"/>
                <w:szCs w:val="21"/>
                <w:highlight w:val="none"/>
              </w:rPr>
            </w:pPr>
          </w:p>
        </w:tc>
        <w:tc>
          <w:tcPr>
            <w:tcW w:w="1146" w:type="dxa"/>
            <w:vMerge w:val="continue"/>
            <w:vAlign w:val="center"/>
          </w:tcPr>
          <w:p w14:paraId="1473E3C6">
            <w:pPr>
              <w:adjustRightInd w:val="0"/>
              <w:snapToGrid w:val="0"/>
              <w:spacing w:line="240" w:lineRule="auto"/>
              <w:ind w:firstLine="0" w:firstLineChars="0"/>
              <w:jc w:val="center"/>
              <w:rPr>
                <w:rFonts w:cs="Times New Roman"/>
                <w:sz w:val="21"/>
                <w:szCs w:val="21"/>
                <w:highlight w:val="none"/>
              </w:rPr>
            </w:pPr>
          </w:p>
        </w:tc>
        <w:tc>
          <w:tcPr>
            <w:tcW w:w="1031" w:type="dxa"/>
            <w:vMerge w:val="restart"/>
            <w:vAlign w:val="center"/>
          </w:tcPr>
          <w:p w14:paraId="306BCD11">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地表水</w:t>
            </w:r>
          </w:p>
        </w:tc>
        <w:tc>
          <w:tcPr>
            <w:tcW w:w="2031" w:type="dxa"/>
            <w:gridSpan w:val="2"/>
            <w:vAlign w:val="center"/>
          </w:tcPr>
          <w:p w14:paraId="2DB16D3A">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地表水功能敏感性</w:t>
            </w:r>
          </w:p>
        </w:tc>
        <w:tc>
          <w:tcPr>
            <w:tcW w:w="1282" w:type="dxa"/>
            <w:gridSpan w:val="2"/>
            <w:vAlign w:val="center"/>
          </w:tcPr>
          <w:p w14:paraId="2E13C9A2">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F1</w:t>
            </w:r>
            <w:r>
              <w:rPr>
                <w:rFonts w:hint="eastAsia" w:cs="Times New Roman"/>
                <w:kern w:val="0"/>
                <w:sz w:val="21"/>
                <w:szCs w:val="21"/>
                <w:highlight w:val="none"/>
                <w:lang w:eastAsia="zh-CN"/>
              </w:rPr>
              <w:t>□</w:t>
            </w:r>
          </w:p>
        </w:tc>
        <w:tc>
          <w:tcPr>
            <w:tcW w:w="1595" w:type="dxa"/>
            <w:gridSpan w:val="2"/>
            <w:vAlign w:val="center"/>
          </w:tcPr>
          <w:p w14:paraId="2BC66C00">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F2</w:t>
            </w:r>
            <w:r>
              <w:rPr>
                <w:rFonts w:hint="eastAsia" w:cs="Times New Roman"/>
                <w:kern w:val="0"/>
                <w:sz w:val="21"/>
                <w:szCs w:val="21"/>
                <w:highlight w:val="none"/>
                <w:lang w:eastAsia="zh-CN"/>
              </w:rPr>
              <w:t>□</w:t>
            </w:r>
          </w:p>
        </w:tc>
        <w:tc>
          <w:tcPr>
            <w:tcW w:w="1477" w:type="dxa"/>
            <w:vAlign w:val="center"/>
          </w:tcPr>
          <w:p w14:paraId="4FDA825E">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F3</w:t>
            </w:r>
            <w:r>
              <w:rPr>
                <w:rFonts w:hint="eastAsia" w:cs="Times New Roman"/>
                <w:kern w:val="0"/>
                <w:sz w:val="21"/>
                <w:szCs w:val="21"/>
                <w:highlight w:val="none"/>
                <w:lang w:eastAsia="zh-CN"/>
              </w:rPr>
              <w:t>☑</w:t>
            </w:r>
          </w:p>
        </w:tc>
      </w:tr>
      <w:tr w14:paraId="5C91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vAlign w:val="center"/>
          </w:tcPr>
          <w:p w14:paraId="2EE7053A">
            <w:pPr>
              <w:adjustRightInd w:val="0"/>
              <w:snapToGrid w:val="0"/>
              <w:spacing w:line="240" w:lineRule="auto"/>
              <w:ind w:firstLine="0" w:firstLineChars="0"/>
              <w:jc w:val="center"/>
              <w:rPr>
                <w:rFonts w:cs="Times New Roman"/>
                <w:sz w:val="21"/>
                <w:szCs w:val="21"/>
                <w:highlight w:val="none"/>
              </w:rPr>
            </w:pPr>
          </w:p>
        </w:tc>
        <w:tc>
          <w:tcPr>
            <w:tcW w:w="1146" w:type="dxa"/>
            <w:vMerge w:val="continue"/>
            <w:vAlign w:val="center"/>
          </w:tcPr>
          <w:p w14:paraId="00820CD4">
            <w:pPr>
              <w:adjustRightInd w:val="0"/>
              <w:snapToGrid w:val="0"/>
              <w:spacing w:line="240" w:lineRule="auto"/>
              <w:ind w:firstLine="0" w:firstLineChars="0"/>
              <w:jc w:val="center"/>
              <w:rPr>
                <w:rFonts w:cs="Times New Roman"/>
                <w:sz w:val="21"/>
                <w:szCs w:val="21"/>
                <w:highlight w:val="none"/>
              </w:rPr>
            </w:pPr>
          </w:p>
        </w:tc>
        <w:tc>
          <w:tcPr>
            <w:tcW w:w="1031" w:type="dxa"/>
            <w:vMerge w:val="continue"/>
            <w:vAlign w:val="center"/>
          </w:tcPr>
          <w:p w14:paraId="69F0DD25">
            <w:pPr>
              <w:adjustRightInd w:val="0"/>
              <w:snapToGrid w:val="0"/>
              <w:spacing w:line="240" w:lineRule="auto"/>
              <w:ind w:firstLine="0" w:firstLineChars="0"/>
              <w:jc w:val="center"/>
              <w:rPr>
                <w:rFonts w:cs="Times New Roman"/>
                <w:sz w:val="21"/>
                <w:szCs w:val="21"/>
                <w:highlight w:val="none"/>
              </w:rPr>
            </w:pPr>
          </w:p>
        </w:tc>
        <w:tc>
          <w:tcPr>
            <w:tcW w:w="2031" w:type="dxa"/>
            <w:gridSpan w:val="2"/>
            <w:vAlign w:val="center"/>
          </w:tcPr>
          <w:p w14:paraId="0975054C">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环境敏感目标分级</w:t>
            </w:r>
          </w:p>
        </w:tc>
        <w:tc>
          <w:tcPr>
            <w:tcW w:w="1282" w:type="dxa"/>
            <w:gridSpan w:val="2"/>
            <w:vAlign w:val="center"/>
          </w:tcPr>
          <w:p w14:paraId="1DDD4391">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S1</w:t>
            </w:r>
            <w:r>
              <w:rPr>
                <w:rFonts w:hint="eastAsia" w:cs="Times New Roman"/>
                <w:kern w:val="0"/>
                <w:sz w:val="21"/>
                <w:szCs w:val="21"/>
                <w:highlight w:val="none"/>
                <w:lang w:eastAsia="zh-CN"/>
              </w:rPr>
              <w:t>□</w:t>
            </w:r>
          </w:p>
        </w:tc>
        <w:tc>
          <w:tcPr>
            <w:tcW w:w="1595" w:type="dxa"/>
            <w:gridSpan w:val="2"/>
            <w:vAlign w:val="center"/>
          </w:tcPr>
          <w:p w14:paraId="571A20D7">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S2</w:t>
            </w:r>
            <w:r>
              <w:rPr>
                <w:rFonts w:hint="eastAsia" w:cs="Times New Roman"/>
                <w:kern w:val="0"/>
                <w:sz w:val="21"/>
                <w:szCs w:val="21"/>
                <w:highlight w:val="none"/>
                <w:lang w:eastAsia="zh-CN"/>
              </w:rPr>
              <w:t>□</w:t>
            </w:r>
          </w:p>
        </w:tc>
        <w:tc>
          <w:tcPr>
            <w:tcW w:w="1477" w:type="dxa"/>
            <w:vAlign w:val="center"/>
          </w:tcPr>
          <w:p w14:paraId="25D98B09">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S3</w:t>
            </w:r>
            <w:r>
              <w:rPr>
                <w:rFonts w:hint="eastAsia" w:cs="Times New Roman"/>
                <w:kern w:val="0"/>
                <w:sz w:val="21"/>
                <w:szCs w:val="21"/>
                <w:highlight w:val="none"/>
                <w:lang w:eastAsia="zh-CN"/>
              </w:rPr>
              <w:t>☑</w:t>
            </w:r>
          </w:p>
        </w:tc>
      </w:tr>
      <w:tr w14:paraId="52F2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vAlign w:val="center"/>
          </w:tcPr>
          <w:p w14:paraId="6A0E2476">
            <w:pPr>
              <w:adjustRightInd w:val="0"/>
              <w:snapToGrid w:val="0"/>
              <w:spacing w:line="240" w:lineRule="auto"/>
              <w:ind w:firstLine="0" w:firstLineChars="0"/>
              <w:jc w:val="center"/>
              <w:rPr>
                <w:rFonts w:cs="Times New Roman"/>
                <w:sz w:val="21"/>
                <w:szCs w:val="21"/>
                <w:highlight w:val="none"/>
              </w:rPr>
            </w:pPr>
          </w:p>
        </w:tc>
        <w:tc>
          <w:tcPr>
            <w:tcW w:w="1146" w:type="dxa"/>
            <w:vMerge w:val="continue"/>
            <w:vAlign w:val="center"/>
          </w:tcPr>
          <w:p w14:paraId="249FFE09">
            <w:pPr>
              <w:adjustRightInd w:val="0"/>
              <w:snapToGrid w:val="0"/>
              <w:spacing w:line="240" w:lineRule="auto"/>
              <w:ind w:firstLine="0" w:firstLineChars="0"/>
              <w:jc w:val="center"/>
              <w:rPr>
                <w:rFonts w:cs="Times New Roman"/>
                <w:sz w:val="21"/>
                <w:szCs w:val="21"/>
                <w:highlight w:val="none"/>
              </w:rPr>
            </w:pPr>
          </w:p>
        </w:tc>
        <w:tc>
          <w:tcPr>
            <w:tcW w:w="1031" w:type="dxa"/>
            <w:vMerge w:val="restart"/>
            <w:vAlign w:val="center"/>
          </w:tcPr>
          <w:p w14:paraId="484CEB3A">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地下水</w:t>
            </w:r>
          </w:p>
        </w:tc>
        <w:tc>
          <w:tcPr>
            <w:tcW w:w="2031" w:type="dxa"/>
            <w:gridSpan w:val="2"/>
            <w:vAlign w:val="center"/>
          </w:tcPr>
          <w:p w14:paraId="25347565">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地下水功能敏感性</w:t>
            </w:r>
          </w:p>
        </w:tc>
        <w:tc>
          <w:tcPr>
            <w:tcW w:w="1282" w:type="dxa"/>
            <w:gridSpan w:val="2"/>
            <w:vAlign w:val="center"/>
          </w:tcPr>
          <w:p w14:paraId="4F9EFDE3">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G1</w:t>
            </w:r>
            <w:r>
              <w:rPr>
                <w:rFonts w:hint="eastAsia" w:cs="Times New Roman"/>
                <w:kern w:val="0"/>
                <w:sz w:val="21"/>
                <w:szCs w:val="21"/>
                <w:highlight w:val="none"/>
                <w:lang w:eastAsia="zh-CN"/>
              </w:rPr>
              <w:t>□</w:t>
            </w:r>
          </w:p>
        </w:tc>
        <w:tc>
          <w:tcPr>
            <w:tcW w:w="1595" w:type="dxa"/>
            <w:gridSpan w:val="2"/>
            <w:vAlign w:val="center"/>
          </w:tcPr>
          <w:p w14:paraId="7E2216D7">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G2</w:t>
            </w:r>
            <w:r>
              <w:rPr>
                <w:rFonts w:hint="eastAsia" w:cs="Times New Roman"/>
                <w:kern w:val="0"/>
                <w:sz w:val="21"/>
                <w:szCs w:val="21"/>
                <w:highlight w:val="none"/>
                <w:lang w:eastAsia="zh-CN"/>
              </w:rPr>
              <w:t>□</w:t>
            </w:r>
          </w:p>
        </w:tc>
        <w:tc>
          <w:tcPr>
            <w:tcW w:w="1477" w:type="dxa"/>
            <w:vAlign w:val="center"/>
          </w:tcPr>
          <w:p w14:paraId="2DC32418">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G3</w:t>
            </w:r>
            <w:r>
              <w:rPr>
                <w:rFonts w:hint="eastAsia" w:cs="Times New Roman"/>
                <w:kern w:val="0"/>
                <w:sz w:val="21"/>
                <w:szCs w:val="21"/>
                <w:highlight w:val="none"/>
                <w:lang w:eastAsia="zh-CN"/>
              </w:rPr>
              <w:t>☑</w:t>
            </w:r>
          </w:p>
        </w:tc>
      </w:tr>
      <w:tr w14:paraId="6052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vAlign w:val="center"/>
          </w:tcPr>
          <w:p w14:paraId="173BEAB9">
            <w:pPr>
              <w:adjustRightInd w:val="0"/>
              <w:snapToGrid w:val="0"/>
              <w:spacing w:line="240" w:lineRule="auto"/>
              <w:ind w:firstLine="0" w:firstLineChars="0"/>
              <w:jc w:val="center"/>
              <w:rPr>
                <w:rFonts w:cs="Times New Roman"/>
                <w:sz w:val="21"/>
                <w:szCs w:val="21"/>
                <w:highlight w:val="none"/>
              </w:rPr>
            </w:pPr>
          </w:p>
        </w:tc>
        <w:tc>
          <w:tcPr>
            <w:tcW w:w="1146" w:type="dxa"/>
            <w:vMerge w:val="continue"/>
            <w:vAlign w:val="center"/>
          </w:tcPr>
          <w:p w14:paraId="32A5FCC4">
            <w:pPr>
              <w:adjustRightInd w:val="0"/>
              <w:snapToGrid w:val="0"/>
              <w:spacing w:line="240" w:lineRule="auto"/>
              <w:ind w:firstLine="0" w:firstLineChars="0"/>
              <w:jc w:val="center"/>
              <w:rPr>
                <w:rFonts w:cs="Times New Roman"/>
                <w:sz w:val="21"/>
                <w:szCs w:val="21"/>
                <w:highlight w:val="none"/>
              </w:rPr>
            </w:pPr>
          </w:p>
        </w:tc>
        <w:tc>
          <w:tcPr>
            <w:tcW w:w="1031" w:type="dxa"/>
            <w:vMerge w:val="continue"/>
            <w:vAlign w:val="center"/>
          </w:tcPr>
          <w:p w14:paraId="09688D8C">
            <w:pPr>
              <w:adjustRightInd w:val="0"/>
              <w:snapToGrid w:val="0"/>
              <w:spacing w:line="240" w:lineRule="auto"/>
              <w:ind w:firstLine="0" w:firstLineChars="0"/>
              <w:jc w:val="center"/>
              <w:rPr>
                <w:rFonts w:cs="Times New Roman"/>
                <w:sz w:val="21"/>
                <w:szCs w:val="21"/>
                <w:highlight w:val="none"/>
              </w:rPr>
            </w:pPr>
          </w:p>
        </w:tc>
        <w:tc>
          <w:tcPr>
            <w:tcW w:w="2031" w:type="dxa"/>
            <w:gridSpan w:val="2"/>
            <w:vAlign w:val="center"/>
          </w:tcPr>
          <w:p w14:paraId="53FE4739">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包气带防污性能</w:t>
            </w:r>
          </w:p>
        </w:tc>
        <w:tc>
          <w:tcPr>
            <w:tcW w:w="1282" w:type="dxa"/>
            <w:gridSpan w:val="2"/>
            <w:vAlign w:val="center"/>
          </w:tcPr>
          <w:p w14:paraId="56CCA024">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D1</w:t>
            </w:r>
            <w:r>
              <w:rPr>
                <w:rFonts w:hint="eastAsia" w:cs="Times New Roman"/>
                <w:kern w:val="0"/>
                <w:sz w:val="21"/>
                <w:szCs w:val="21"/>
                <w:highlight w:val="none"/>
                <w:lang w:eastAsia="zh-CN"/>
              </w:rPr>
              <w:t>☑</w:t>
            </w:r>
          </w:p>
        </w:tc>
        <w:tc>
          <w:tcPr>
            <w:tcW w:w="1595" w:type="dxa"/>
            <w:gridSpan w:val="2"/>
            <w:vAlign w:val="center"/>
          </w:tcPr>
          <w:p w14:paraId="71042EDB">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D2</w:t>
            </w:r>
            <w:r>
              <w:rPr>
                <w:rFonts w:hint="eastAsia" w:cs="Times New Roman"/>
                <w:kern w:val="0"/>
                <w:sz w:val="21"/>
                <w:szCs w:val="21"/>
                <w:highlight w:val="none"/>
                <w:lang w:eastAsia="zh-CN"/>
              </w:rPr>
              <w:t>□</w:t>
            </w:r>
          </w:p>
        </w:tc>
        <w:tc>
          <w:tcPr>
            <w:tcW w:w="1477" w:type="dxa"/>
            <w:vAlign w:val="center"/>
          </w:tcPr>
          <w:p w14:paraId="28E43EB1">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D3</w:t>
            </w:r>
            <w:r>
              <w:rPr>
                <w:rFonts w:hint="eastAsia" w:cs="Times New Roman"/>
                <w:kern w:val="0"/>
                <w:sz w:val="21"/>
                <w:szCs w:val="21"/>
                <w:highlight w:val="none"/>
                <w:lang w:eastAsia="zh-CN"/>
              </w:rPr>
              <w:t>□</w:t>
            </w:r>
          </w:p>
        </w:tc>
      </w:tr>
      <w:tr w14:paraId="141F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3" w:type="dxa"/>
            <w:gridSpan w:val="2"/>
            <w:vMerge w:val="restart"/>
            <w:vAlign w:val="center"/>
          </w:tcPr>
          <w:p w14:paraId="28E85AA8">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物质及工艺系统危险性</w:t>
            </w:r>
          </w:p>
        </w:tc>
        <w:tc>
          <w:tcPr>
            <w:tcW w:w="1031" w:type="dxa"/>
            <w:vAlign w:val="center"/>
          </w:tcPr>
          <w:p w14:paraId="182FCB70">
            <w:pPr>
              <w:adjustRightInd w:val="0"/>
              <w:snapToGrid w:val="0"/>
              <w:spacing w:line="240" w:lineRule="auto"/>
              <w:ind w:firstLine="0" w:firstLineChars="0"/>
              <w:jc w:val="center"/>
              <w:rPr>
                <w:rFonts w:cs="Times New Roman"/>
                <w:sz w:val="21"/>
                <w:szCs w:val="21"/>
                <w:highlight w:val="none"/>
              </w:rPr>
            </w:pPr>
            <w:r>
              <w:rPr>
                <w:rFonts w:cs="Times New Roman"/>
                <w:i/>
                <w:iCs/>
                <w:kern w:val="0"/>
                <w:sz w:val="21"/>
                <w:szCs w:val="21"/>
                <w:highlight w:val="none"/>
              </w:rPr>
              <w:t>Q</w:t>
            </w:r>
            <w:r>
              <w:rPr>
                <w:rFonts w:cs="Times New Roman"/>
                <w:kern w:val="0"/>
                <w:sz w:val="21"/>
                <w:szCs w:val="21"/>
                <w:highlight w:val="none"/>
              </w:rPr>
              <w:t>值</w:t>
            </w:r>
          </w:p>
        </w:tc>
        <w:tc>
          <w:tcPr>
            <w:tcW w:w="2031" w:type="dxa"/>
            <w:gridSpan w:val="2"/>
            <w:vAlign w:val="center"/>
          </w:tcPr>
          <w:p w14:paraId="25671CCF">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i/>
                <w:iCs/>
                <w:kern w:val="0"/>
                <w:sz w:val="21"/>
                <w:szCs w:val="21"/>
                <w:highlight w:val="none"/>
              </w:rPr>
              <w:t>Q</w:t>
            </w:r>
            <w:r>
              <w:rPr>
                <w:rFonts w:cs="Times New Roman"/>
                <w:kern w:val="0"/>
                <w:sz w:val="21"/>
                <w:szCs w:val="21"/>
                <w:highlight w:val="none"/>
              </w:rPr>
              <w:t>＜1</w:t>
            </w:r>
            <w:r>
              <w:rPr>
                <w:rFonts w:hint="eastAsia" w:cs="Times New Roman"/>
                <w:kern w:val="0"/>
                <w:sz w:val="21"/>
                <w:szCs w:val="21"/>
                <w:highlight w:val="none"/>
                <w:lang w:eastAsia="zh-CN"/>
              </w:rPr>
              <w:t>☑</w:t>
            </w:r>
          </w:p>
        </w:tc>
        <w:tc>
          <w:tcPr>
            <w:tcW w:w="1282" w:type="dxa"/>
            <w:gridSpan w:val="2"/>
            <w:vAlign w:val="center"/>
          </w:tcPr>
          <w:p w14:paraId="43A937D5">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1≤</w:t>
            </w:r>
            <w:r>
              <w:rPr>
                <w:rFonts w:cs="Times New Roman"/>
                <w:i/>
                <w:iCs/>
                <w:kern w:val="0"/>
                <w:sz w:val="21"/>
                <w:szCs w:val="21"/>
                <w:highlight w:val="none"/>
              </w:rPr>
              <w:t>Q</w:t>
            </w:r>
            <w:r>
              <w:rPr>
                <w:rFonts w:cs="Times New Roman"/>
                <w:kern w:val="0"/>
                <w:sz w:val="21"/>
                <w:szCs w:val="21"/>
                <w:highlight w:val="none"/>
              </w:rPr>
              <w:t xml:space="preserve">＜10 </w:t>
            </w:r>
            <w:r>
              <w:rPr>
                <w:rFonts w:hint="eastAsia" w:cs="Times New Roman"/>
                <w:kern w:val="0"/>
                <w:sz w:val="21"/>
                <w:szCs w:val="21"/>
                <w:highlight w:val="none"/>
                <w:lang w:eastAsia="zh-CN"/>
              </w:rPr>
              <w:t>□</w:t>
            </w:r>
          </w:p>
        </w:tc>
        <w:tc>
          <w:tcPr>
            <w:tcW w:w="1595" w:type="dxa"/>
            <w:gridSpan w:val="2"/>
            <w:vAlign w:val="center"/>
          </w:tcPr>
          <w:p w14:paraId="47FEFEFB">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10≤</w:t>
            </w:r>
            <w:r>
              <w:rPr>
                <w:rFonts w:cs="Times New Roman"/>
                <w:i/>
                <w:iCs/>
                <w:kern w:val="0"/>
                <w:sz w:val="21"/>
                <w:szCs w:val="21"/>
                <w:highlight w:val="none"/>
              </w:rPr>
              <w:t>Q</w:t>
            </w:r>
            <w:r>
              <w:rPr>
                <w:rFonts w:cs="Times New Roman"/>
                <w:kern w:val="0"/>
                <w:sz w:val="21"/>
                <w:szCs w:val="21"/>
                <w:highlight w:val="none"/>
              </w:rPr>
              <w:t>＜100 □</w:t>
            </w:r>
          </w:p>
        </w:tc>
        <w:tc>
          <w:tcPr>
            <w:tcW w:w="1477" w:type="dxa"/>
            <w:vAlign w:val="center"/>
          </w:tcPr>
          <w:p w14:paraId="2D03F995">
            <w:pPr>
              <w:adjustRightInd w:val="0"/>
              <w:snapToGrid w:val="0"/>
              <w:spacing w:line="240" w:lineRule="auto"/>
              <w:ind w:firstLine="0" w:firstLineChars="0"/>
              <w:jc w:val="center"/>
              <w:rPr>
                <w:rFonts w:cs="Times New Roman"/>
                <w:sz w:val="21"/>
                <w:szCs w:val="21"/>
                <w:highlight w:val="none"/>
              </w:rPr>
            </w:pPr>
            <w:r>
              <w:rPr>
                <w:rFonts w:cs="Times New Roman"/>
                <w:i/>
                <w:iCs/>
                <w:kern w:val="0"/>
                <w:sz w:val="21"/>
                <w:szCs w:val="21"/>
                <w:highlight w:val="none"/>
              </w:rPr>
              <w:t>Q</w:t>
            </w:r>
            <w:r>
              <w:rPr>
                <w:rFonts w:cs="Times New Roman"/>
                <w:kern w:val="0"/>
                <w:sz w:val="21"/>
                <w:szCs w:val="21"/>
                <w:highlight w:val="none"/>
              </w:rPr>
              <w:t xml:space="preserve">＞100 </w:t>
            </w:r>
          </w:p>
        </w:tc>
      </w:tr>
      <w:tr w14:paraId="4ECE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3" w:type="dxa"/>
            <w:gridSpan w:val="2"/>
            <w:vMerge w:val="continue"/>
            <w:vAlign w:val="center"/>
          </w:tcPr>
          <w:p w14:paraId="79F1AB39">
            <w:pPr>
              <w:adjustRightInd w:val="0"/>
              <w:snapToGrid w:val="0"/>
              <w:spacing w:line="240" w:lineRule="auto"/>
              <w:ind w:firstLine="0" w:firstLineChars="0"/>
              <w:jc w:val="center"/>
              <w:rPr>
                <w:rFonts w:cs="Times New Roman"/>
                <w:sz w:val="21"/>
                <w:szCs w:val="21"/>
                <w:highlight w:val="none"/>
              </w:rPr>
            </w:pPr>
          </w:p>
        </w:tc>
        <w:tc>
          <w:tcPr>
            <w:tcW w:w="1031" w:type="dxa"/>
            <w:vAlign w:val="center"/>
          </w:tcPr>
          <w:p w14:paraId="44CF9221">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M值</w:t>
            </w:r>
          </w:p>
        </w:tc>
        <w:tc>
          <w:tcPr>
            <w:tcW w:w="2031" w:type="dxa"/>
            <w:gridSpan w:val="2"/>
            <w:vAlign w:val="center"/>
          </w:tcPr>
          <w:p w14:paraId="3425A434">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M1</w:t>
            </w:r>
            <w:r>
              <w:rPr>
                <w:rFonts w:hint="eastAsia" w:cs="Times New Roman"/>
                <w:kern w:val="0"/>
                <w:sz w:val="21"/>
                <w:szCs w:val="21"/>
                <w:highlight w:val="none"/>
                <w:lang w:eastAsia="zh-CN"/>
              </w:rPr>
              <w:t>□</w:t>
            </w:r>
          </w:p>
        </w:tc>
        <w:tc>
          <w:tcPr>
            <w:tcW w:w="1282" w:type="dxa"/>
            <w:gridSpan w:val="2"/>
            <w:vAlign w:val="center"/>
          </w:tcPr>
          <w:p w14:paraId="1E45BE72">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M2</w:t>
            </w:r>
            <w:r>
              <w:rPr>
                <w:rFonts w:hint="eastAsia" w:cs="Times New Roman"/>
                <w:kern w:val="0"/>
                <w:sz w:val="21"/>
                <w:szCs w:val="21"/>
                <w:highlight w:val="none"/>
                <w:lang w:eastAsia="zh-CN"/>
              </w:rPr>
              <w:t>□</w:t>
            </w:r>
          </w:p>
        </w:tc>
        <w:tc>
          <w:tcPr>
            <w:tcW w:w="1595" w:type="dxa"/>
            <w:gridSpan w:val="2"/>
            <w:vAlign w:val="center"/>
          </w:tcPr>
          <w:p w14:paraId="27314686">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M3</w:t>
            </w:r>
            <w:r>
              <w:rPr>
                <w:rFonts w:hint="eastAsia" w:cs="Times New Roman"/>
                <w:kern w:val="0"/>
                <w:sz w:val="21"/>
                <w:szCs w:val="21"/>
                <w:highlight w:val="none"/>
                <w:lang w:eastAsia="zh-CN"/>
              </w:rPr>
              <w:t>□</w:t>
            </w:r>
          </w:p>
        </w:tc>
        <w:tc>
          <w:tcPr>
            <w:tcW w:w="1477" w:type="dxa"/>
            <w:vAlign w:val="center"/>
          </w:tcPr>
          <w:p w14:paraId="7F0C8827">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M4</w:t>
            </w:r>
            <w:r>
              <w:rPr>
                <w:rFonts w:hint="eastAsia" w:cs="Times New Roman"/>
                <w:kern w:val="0"/>
                <w:sz w:val="21"/>
                <w:szCs w:val="21"/>
                <w:highlight w:val="none"/>
                <w:lang w:eastAsia="zh-CN"/>
              </w:rPr>
              <w:t>□</w:t>
            </w:r>
          </w:p>
        </w:tc>
      </w:tr>
      <w:tr w14:paraId="3EE3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3" w:type="dxa"/>
            <w:gridSpan w:val="2"/>
            <w:vMerge w:val="continue"/>
            <w:vAlign w:val="center"/>
          </w:tcPr>
          <w:p w14:paraId="3AD570AC">
            <w:pPr>
              <w:adjustRightInd w:val="0"/>
              <w:snapToGrid w:val="0"/>
              <w:spacing w:line="240" w:lineRule="auto"/>
              <w:ind w:firstLine="0" w:firstLineChars="0"/>
              <w:jc w:val="center"/>
              <w:rPr>
                <w:rFonts w:cs="Times New Roman"/>
                <w:sz w:val="21"/>
                <w:szCs w:val="21"/>
                <w:highlight w:val="none"/>
              </w:rPr>
            </w:pPr>
          </w:p>
        </w:tc>
        <w:tc>
          <w:tcPr>
            <w:tcW w:w="1031" w:type="dxa"/>
            <w:vAlign w:val="center"/>
          </w:tcPr>
          <w:p w14:paraId="24D36327">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P值</w:t>
            </w:r>
          </w:p>
        </w:tc>
        <w:tc>
          <w:tcPr>
            <w:tcW w:w="2031" w:type="dxa"/>
            <w:gridSpan w:val="2"/>
            <w:vAlign w:val="center"/>
          </w:tcPr>
          <w:p w14:paraId="2073BB1F">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P1</w:t>
            </w:r>
            <w:r>
              <w:rPr>
                <w:rFonts w:hint="eastAsia" w:cs="Times New Roman"/>
                <w:kern w:val="0"/>
                <w:sz w:val="21"/>
                <w:szCs w:val="21"/>
                <w:highlight w:val="none"/>
                <w:lang w:eastAsia="zh-CN"/>
              </w:rPr>
              <w:t>□</w:t>
            </w:r>
          </w:p>
        </w:tc>
        <w:tc>
          <w:tcPr>
            <w:tcW w:w="1282" w:type="dxa"/>
            <w:gridSpan w:val="2"/>
            <w:vAlign w:val="center"/>
          </w:tcPr>
          <w:p w14:paraId="6D0F26A3">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P2</w:t>
            </w:r>
            <w:r>
              <w:rPr>
                <w:rFonts w:hint="eastAsia" w:cs="Times New Roman"/>
                <w:kern w:val="0"/>
                <w:sz w:val="21"/>
                <w:szCs w:val="21"/>
                <w:highlight w:val="none"/>
                <w:lang w:eastAsia="zh-CN"/>
              </w:rPr>
              <w:t>□</w:t>
            </w:r>
          </w:p>
        </w:tc>
        <w:tc>
          <w:tcPr>
            <w:tcW w:w="1595" w:type="dxa"/>
            <w:gridSpan w:val="2"/>
            <w:vAlign w:val="center"/>
          </w:tcPr>
          <w:p w14:paraId="4F0FFA7C">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P3</w:t>
            </w:r>
            <w:r>
              <w:rPr>
                <w:rFonts w:hint="eastAsia" w:cs="Times New Roman"/>
                <w:kern w:val="0"/>
                <w:sz w:val="21"/>
                <w:szCs w:val="21"/>
                <w:highlight w:val="none"/>
                <w:lang w:eastAsia="zh-CN"/>
              </w:rPr>
              <w:t>□</w:t>
            </w:r>
          </w:p>
        </w:tc>
        <w:tc>
          <w:tcPr>
            <w:tcW w:w="1477" w:type="dxa"/>
            <w:vAlign w:val="center"/>
          </w:tcPr>
          <w:p w14:paraId="4BDC41BA">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P4</w:t>
            </w:r>
            <w:r>
              <w:rPr>
                <w:rFonts w:hint="eastAsia" w:cs="Times New Roman"/>
                <w:kern w:val="0"/>
                <w:sz w:val="21"/>
                <w:szCs w:val="21"/>
                <w:highlight w:val="none"/>
                <w:lang w:eastAsia="zh-CN"/>
              </w:rPr>
              <w:t>☑</w:t>
            </w:r>
          </w:p>
        </w:tc>
      </w:tr>
      <w:tr w14:paraId="362E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3" w:type="dxa"/>
            <w:gridSpan w:val="2"/>
            <w:vMerge w:val="restart"/>
            <w:vAlign w:val="center"/>
          </w:tcPr>
          <w:p w14:paraId="7F40B3BE">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环境敏感程度</w:t>
            </w:r>
          </w:p>
        </w:tc>
        <w:tc>
          <w:tcPr>
            <w:tcW w:w="1031" w:type="dxa"/>
            <w:vAlign w:val="center"/>
          </w:tcPr>
          <w:p w14:paraId="230C6802">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大气</w:t>
            </w:r>
          </w:p>
        </w:tc>
        <w:tc>
          <w:tcPr>
            <w:tcW w:w="2031" w:type="dxa"/>
            <w:gridSpan w:val="2"/>
            <w:vAlign w:val="center"/>
          </w:tcPr>
          <w:p w14:paraId="6526BE30">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E1</w:t>
            </w:r>
            <w:r>
              <w:rPr>
                <w:rFonts w:hint="eastAsia" w:cs="Times New Roman"/>
                <w:kern w:val="0"/>
                <w:sz w:val="21"/>
                <w:szCs w:val="21"/>
                <w:highlight w:val="none"/>
                <w:lang w:eastAsia="zh-CN"/>
              </w:rPr>
              <w:t>□</w:t>
            </w:r>
          </w:p>
        </w:tc>
        <w:tc>
          <w:tcPr>
            <w:tcW w:w="2877" w:type="dxa"/>
            <w:gridSpan w:val="4"/>
            <w:vAlign w:val="center"/>
          </w:tcPr>
          <w:p w14:paraId="100A47C5">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E2</w:t>
            </w:r>
            <w:r>
              <w:rPr>
                <w:rFonts w:hint="eastAsia" w:cs="Times New Roman"/>
                <w:kern w:val="0"/>
                <w:sz w:val="21"/>
                <w:szCs w:val="21"/>
                <w:highlight w:val="none"/>
                <w:lang w:eastAsia="zh-CN"/>
              </w:rPr>
              <w:t>□</w:t>
            </w:r>
          </w:p>
        </w:tc>
        <w:tc>
          <w:tcPr>
            <w:tcW w:w="1477" w:type="dxa"/>
            <w:vAlign w:val="center"/>
          </w:tcPr>
          <w:p w14:paraId="10F9C3AB">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E3</w:t>
            </w:r>
            <w:r>
              <w:rPr>
                <w:rFonts w:hint="eastAsia" w:cs="Times New Roman"/>
                <w:kern w:val="0"/>
                <w:sz w:val="21"/>
                <w:szCs w:val="21"/>
                <w:highlight w:val="none"/>
                <w:lang w:eastAsia="zh-CN"/>
              </w:rPr>
              <w:t>□</w:t>
            </w:r>
          </w:p>
        </w:tc>
      </w:tr>
      <w:tr w14:paraId="2950D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3" w:type="dxa"/>
            <w:gridSpan w:val="2"/>
            <w:vMerge w:val="continue"/>
            <w:vAlign w:val="center"/>
          </w:tcPr>
          <w:p w14:paraId="53FB19A2">
            <w:pPr>
              <w:adjustRightInd w:val="0"/>
              <w:snapToGrid w:val="0"/>
              <w:spacing w:line="240" w:lineRule="auto"/>
              <w:ind w:firstLine="0" w:firstLineChars="0"/>
              <w:jc w:val="center"/>
              <w:rPr>
                <w:rFonts w:cs="Times New Roman"/>
                <w:sz w:val="21"/>
                <w:szCs w:val="21"/>
                <w:highlight w:val="none"/>
              </w:rPr>
            </w:pPr>
          </w:p>
        </w:tc>
        <w:tc>
          <w:tcPr>
            <w:tcW w:w="1031" w:type="dxa"/>
            <w:vAlign w:val="center"/>
          </w:tcPr>
          <w:p w14:paraId="4A8046E1">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地表水</w:t>
            </w:r>
          </w:p>
        </w:tc>
        <w:tc>
          <w:tcPr>
            <w:tcW w:w="2031" w:type="dxa"/>
            <w:gridSpan w:val="2"/>
            <w:vAlign w:val="center"/>
          </w:tcPr>
          <w:p w14:paraId="743D92A8">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E1</w:t>
            </w:r>
            <w:r>
              <w:rPr>
                <w:rFonts w:hint="eastAsia" w:cs="Times New Roman"/>
                <w:kern w:val="0"/>
                <w:sz w:val="21"/>
                <w:szCs w:val="21"/>
                <w:highlight w:val="none"/>
                <w:lang w:eastAsia="zh-CN"/>
              </w:rPr>
              <w:t>□</w:t>
            </w:r>
          </w:p>
        </w:tc>
        <w:tc>
          <w:tcPr>
            <w:tcW w:w="2877" w:type="dxa"/>
            <w:gridSpan w:val="4"/>
            <w:vAlign w:val="center"/>
          </w:tcPr>
          <w:p w14:paraId="4A54BC58">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E2</w:t>
            </w:r>
            <w:r>
              <w:rPr>
                <w:rFonts w:hint="eastAsia" w:cs="Times New Roman"/>
                <w:kern w:val="0"/>
                <w:sz w:val="21"/>
                <w:szCs w:val="21"/>
                <w:highlight w:val="none"/>
                <w:lang w:eastAsia="zh-CN"/>
              </w:rPr>
              <w:t>□</w:t>
            </w:r>
          </w:p>
        </w:tc>
        <w:tc>
          <w:tcPr>
            <w:tcW w:w="1477" w:type="dxa"/>
            <w:vAlign w:val="center"/>
          </w:tcPr>
          <w:p w14:paraId="210C9294">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E3</w:t>
            </w:r>
            <w:r>
              <w:rPr>
                <w:rFonts w:hint="eastAsia" w:cs="Times New Roman"/>
                <w:kern w:val="0"/>
                <w:sz w:val="21"/>
                <w:szCs w:val="21"/>
                <w:highlight w:val="none"/>
                <w:lang w:eastAsia="zh-CN"/>
              </w:rPr>
              <w:t>□</w:t>
            </w:r>
          </w:p>
        </w:tc>
      </w:tr>
      <w:tr w14:paraId="7172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3" w:type="dxa"/>
            <w:gridSpan w:val="2"/>
            <w:vMerge w:val="continue"/>
            <w:vAlign w:val="center"/>
          </w:tcPr>
          <w:p w14:paraId="26DF6751">
            <w:pPr>
              <w:adjustRightInd w:val="0"/>
              <w:snapToGrid w:val="0"/>
              <w:spacing w:line="240" w:lineRule="auto"/>
              <w:ind w:firstLine="0" w:firstLineChars="0"/>
              <w:jc w:val="center"/>
              <w:rPr>
                <w:rFonts w:cs="Times New Roman"/>
                <w:sz w:val="21"/>
                <w:szCs w:val="21"/>
                <w:highlight w:val="none"/>
              </w:rPr>
            </w:pPr>
          </w:p>
        </w:tc>
        <w:tc>
          <w:tcPr>
            <w:tcW w:w="1031" w:type="dxa"/>
            <w:vAlign w:val="center"/>
          </w:tcPr>
          <w:p w14:paraId="54F95032">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地下水</w:t>
            </w:r>
          </w:p>
        </w:tc>
        <w:tc>
          <w:tcPr>
            <w:tcW w:w="2031" w:type="dxa"/>
            <w:gridSpan w:val="2"/>
            <w:vAlign w:val="center"/>
          </w:tcPr>
          <w:p w14:paraId="6D1C68AD">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E1</w:t>
            </w:r>
            <w:r>
              <w:rPr>
                <w:rFonts w:hint="eastAsia" w:cs="Times New Roman"/>
                <w:kern w:val="0"/>
                <w:sz w:val="21"/>
                <w:szCs w:val="21"/>
                <w:highlight w:val="none"/>
                <w:lang w:eastAsia="zh-CN"/>
              </w:rPr>
              <w:t>□</w:t>
            </w:r>
          </w:p>
        </w:tc>
        <w:tc>
          <w:tcPr>
            <w:tcW w:w="2877" w:type="dxa"/>
            <w:gridSpan w:val="4"/>
            <w:vAlign w:val="center"/>
          </w:tcPr>
          <w:p w14:paraId="32E3C0E0">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E2</w:t>
            </w:r>
            <w:r>
              <w:rPr>
                <w:rFonts w:hint="eastAsia" w:cs="Times New Roman"/>
                <w:kern w:val="0"/>
                <w:sz w:val="21"/>
                <w:szCs w:val="21"/>
                <w:highlight w:val="none"/>
                <w:lang w:eastAsia="zh-CN"/>
              </w:rPr>
              <w:t>□</w:t>
            </w:r>
          </w:p>
        </w:tc>
        <w:tc>
          <w:tcPr>
            <w:tcW w:w="1477" w:type="dxa"/>
            <w:vAlign w:val="center"/>
          </w:tcPr>
          <w:p w14:paraId="5D213598">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E3</w:t>
            </w:r>
            <w:r>
              <w:rPr>
                <w:rFonts w:hint="eastAsia" w:cs="Times New Roman"/>
                <w:kern w:val="0"/>
                <w:sz w:val="21"/>
                <w:szCs w:val="21"/>
                <w:highlight w:val="none"/>
                <w:lang w:eastAsia="zh-CN"/>
              </w:rPr>
              <w:t>□</w:t>
            </w:r>
          </w:p>
        </w:tc>
      </w:tr>
      <w:tr w14:paraId="21B5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3" w:type="dxa"/>
            <w:gridSpan w:val="2"/>
            <w:vMerge w:val="restart"/>
            <w:vAlign w:val="center"/>
          </w:tcPr>
          <w:p w14:paraId="076F35E1">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环境风险潜势</w:t>
            </w:r>
          </w:p>
        </w:tc>
        <w:tc>
          <w:tcPr>
            <w:tcW w:w="1031" w:type="dxa"/>
            <w:vAlign w:val="center"/>
          </w:tcPr>
          <w:p w14:paraId="09CD17AC">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大气</w:t>
            </w:r>
          </w:p>
        </w:tc>
        <w:tc>
          <w:tcPr>
            <w:tcW w:w="2031" w:type="dxa"/>
            <w:gridSpan w:val="2"/>
            <w:vAlign w:val="center"/>
          </w:tcPr>
          <w:p w14:paraId="3B21A729">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Ⅳ</w:t>
            </w:r>
            <w:r>
              <w:rPr>
                <w:rFonts w:hint="eastAsia" w:cs="Times New Roman"/>
                <w:kern w:val="0"/>
                <w:sz w:val="21"/>
                <w:szCs w:val="21"/>
                <w:highlight w:val="none"/>
                <w:lang w:eastAsia="zh-CN"/>
              </w:rPr>
              <w:t>□</w:t>
            </w:r>
          </w:p>
        </w:tc>
        <w:tc>
          <w:tcPr>
            <w:tcW w:w="1282" w:type="dxa"/>
            <w:gridSpan w:val="2"/>
            <w:vAlign w:val="center"/>
          </w:tcPr>
          <w:p w14:paraId="3A1C7A23">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Ⅲ</w:t>
            </w:r>
            <w:r>
              <w:rPr>
                <w:rFonts w:hint="eastAsia" w:cs="Times New Roman"/>
                <w:kern w:val="0"/>
                <w:sz w:val="21"/>
                <w:szCs w:val="21"/>
                <w:highlight w:val="none"/>
                <w:lang w:eastAsia="zh-CN"/>
              </w:rPr>
              <w:t>□</w:t>
            </w:r>
          </w:p>
        </w:tc>
        <w:tc>
          <w:tcPr>
            <w:tcW w:w="1595" w:type="dxa"/>
            <w:gridSpan w:val="2"/>
            <w:vAlign w:val="center"/>
          </w:tcPr>
          <w:p w14:paraId="1B894C44">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Ⅱ</w:t>
            </w:r>
            <w:r>
              <w:rPr>
                <w:rFonts w:hint="eastAsia" w:cs="Times New Roman"/>
                <w:kern w:val="0"/>
                <w:sz w:val="21"/>
                <w:szCs w:val="21"/>
                <w:highlight w:val="none"/>
                <w:lang w:eastAsia="zh-CN"/>
              </w:rPr>
              <w:t>□</w:t>
            </w:r>
          </w:p>
        </w:tc>
        <w:tc>
          <w:tcPr>
            <w:tcW w:w="1477" w:type="dxa"/>
            <w:vAlign w:val="center"/>
          </w:tcPr>
          <w:p w14:paraId="3643014B">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I</w:t>
            </w:r>
            <w:r>
              <w:rPr>
                <w:rFonts w:hint="eastAsia" w:cs="Times New Roman"/>
                <w:kern w:val="0"/>
                <w:sz w:val="21"/>
                <w:szCs w:val="21"/>
                <w:highlight w:val="none"/>
                <w:lang w:eastAsia="zh-CN"/>
              </w:rPr>
              <w:t>☑</w:t>
            </w:r>
          </w:p>
        </w:tc>
      </w:tr>
      <w:tr w14:paraId="28AA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3" w:type="dxa"/>
            <w:gridSpan w:val="2"/>
            <w:vMerge w:val="continue"/>
            <w:vAlign w:val="center"/>
          </w:tcPr>
          <w:p w14:paraId="29DDAC5D">
            <w:pPr>
              <w:adjustRightInd w:val="0"/>
              <w:snapToGrid w:val="0"/>
              <w:spacing w:line="240" w:lineRule="auto"/>
              <w:ind w:firstLine="0" w:firstLineChars="0"/>
              <w:jc w:val="center"/>
              <w:rPr>
                <w:rFonts w:cs="Times New Roman"/>
                <w:kern w:val="0"/>
                <w:sz w:val="21"/>
                <w:szCs w:val="21"/>
                <w:highlight w:val="none"/>
              </w:rPr>
            </w:pPr>
          </w:p>
        </w:tc>
        <w:tc>
          <w:tcPr>
            <w:tcW w:w="1031" w:type="dxa"/>
            <w:vAlign w:val="center"/>
          </w:tcPr>
          <w:p w14:paraId="500CC6D3">
            <w:pPr>
              <w:adjustRightInd w:val="0"/>
              <w:snapToGrid w:val="0"/>
              <w:spacing w:line="240" w:lineRule="auto"/>
              <w:ind w:firstLine="0" w:firstLineChars="0"/>
              <w:jc w:val="center"/>
              <w:rPr>
                <w:rFonts w:cs="Times New Roman"/>
                <w:kern w:val="0"/>
                <w:sz w:val="21"/>
                <w:szCs w:val="21"/>
                <w:highlight w:val="none"/>
              </w:rPr>
            </w:pPr>
            <w:r>
              <w:rPr>
                <w:rFonts w:cs="Times New Roman"/>
                <w:kern w:val="0"/>
                <w:sz w:val="21"/>
                <w:szCs w:val="21"/>
                <w:highlight w:val="none"/>
              </w:rPr>
              <w:t>地表水</w:t>
            </w:r>
          </w:p>
        </w:tc>
        <w:tc>
          <w:tcPr>
            <w:tcW w:w="2031" w:type="dxa"/>
            <w:gridSpan w:val="2"/>
            <w:vAlign w:val="center"/>
          </w:tcPr>
          <w:p w14:paraId="737A9E40">
            <w:pPr>
              <w:adjustRightInd w:val="0"/>
              <w:snapToGrid w:val="0"/>
              <w:spacing w:line="240" w:lineRule="auto"/>
              <w:ind w:firstLine="0" w:firstLineChars="0"/>
              <w:jc w:val="center"/>
              <w:rPr>
                <w:rFonts w:cs="Times New Roman"/>
                <w:kern w:val="0"/>
                <w:sz w:val="21"/>
                <w:szCs w:val="21"/>
                <w:highlight w:val="none"/>
              </w:rPr>
            </w:pPr>
            <w:r>
              <w:rPr>
                <w:rFonts w:cs="Times New Roman"/>
                <w:kern w:val="0"/>
                <w:sz w:val="21"/>
                <w:szCs w:val="21"/>
                <w:highlight w:val="none"/>
              </w:rPr>
              <w:t>Ⅳ</w:t>
            </w:r>
            <w:r>
              <w:rPr>
                <w:rFonts w:hint="eastAsia" w:cs="Times New Roman"/>
                <w:kern w:val="0"/>
                <w:sz w:val="21"/>
                <w:szCs w:val="21"/>
                <w:highlight w:val="none"/>
                <w:lang w:eastAsia="zh-CN"/>
              </w:rPr>
              <w:t>□</w:t>
            </w:r>
          </w:p>
        </w:tc>
        <w:tc>
          <w:tcPr>
            <w:tcW w:w="1282" w:type="dxa"/>
            <w:gridSpan w:val="2"/>
            <w:vAlign w:val="center"/>
          </w:tcPr>
          <w:p w14:paraId="1FDE8364">
            <w:pPr>
              <w:adjustRightInd w:val="0"/>
              <w:snapToGrid w:val="0"/>
              <w:spacing w:line="240" w:lineRule="auto"/>
              <w:ind w:firstLine="0" w:firstLineChars="0"/>
              <w:jc w:val="center"/>
              <w:rPr>
                <w:rFonts w:hint="eastAsia" w:eastAsia="宋体" w:cs="Times New Roman"/>
                <w:kern w:val="0"/>
                <w:sz w:val="21"/>
                <w:szCs w:val="21"/>
                <w:highlight w:val="none"/>
                <w:lang w:eastAsia="zh-CN"/>
              </w:rPr>
            </w:pPr>
            <w:r>
              <w:rPr>
                <w:rFonts w:cs="Times New Roman"/>
                <w:kern w:val="0"/>
                <w:sz w:val="21"/>
                <w:szCs w:val="21"/>
                <w:highlight w:val="none"/>
              </w:rPr>
              <w:t>Ⅲ</w:t>
            </w:r>
            <w:r>
              <w:rPr>
                <w:rFonts w:hint="eastAsia" w:cs="Times New Roman"/>
                <w:kern w:val="0"/>
                <w:sz w:val="21"/>
                <w:szCs w:val="21"/>
                <w:highlight w:val="none"/>
                <w:lang w:eastAsia="zh-CN"/>
              </w:rPr>
              <w:t>□</w:t>
            </w:r>
          </w:p>
        </w:tc>
        <w:tc>
          <w:tcPr>
            <w:tcW w:w="1595" w:type="dxa"/>
            <w:gridSpan w:val="2"/>
            <w:vAlign w:val="center"/>
          </w:tcPr>
          <w:p w14:paraId="1F325F6C">
            <w:pPr>
              <w:adjustRightInd w:val="0"/>
              <w:snapToGrid w:val="0"/>
              <w:spacing w:line="240" w:lineRule="auto"/>
              <w:ind w:firstLine="0" w:firstLineChars="0"/>
              <w:jc w:val="center"/>
              <w:rPr>
                <w:rFonts w:hint="eastAsia" w:eastAsia="宋体" w:cs="Times New Roman"/>
                <w:kern w:val="0"/>
                <w:sz w:val="21"/>
                <w:szCs w:val="21"/>
                <w:highlight w:val="none"/>
                <w:lang w:eastAsia="zh-CN"/>
              </w:rPr>
            </w:pPr>
            <w:r>
              <w:rPr>
                <w:rFonts w:cs="Times New Roman"/>
                <w:kern w:val="0"/>
                <w:sz w:val="21"/>
                <w:szCs w:val="21"/>
                <w:highlight w:val="none"/>
              </w:rPr>
              <w:t>Ⅱ</w:t>
            </w:r>
            <w:r>
              <w:rPr>
                <w:rFonts w:hint="eastAsia" w:cs="Times New Roman"/>
                <w:kern w:val="0"/>
                <w:sz w:val="21"/>
                <w:szCs w:val="21"/>
                <w:highlight w:val="none"/>
                <w:lang w:eastAsia="zh-CN"/>
              </w:rPr>
              <w:t>□</w:t>
            </w:r>
          </w:p>
        </w:tc>
        <w:tc>
          <w:tcPr>
            <w:tcW w:w="1477" w:type="dxa"/>
            <w:vAlign w:val="center"/>
          </w:tcPr>
          <w:p w14:paraId="4CC4F037">
            <w:pPr>
              <w:adjustRightInd w:val="0"/>
              <w:snapToGrid w:val="0"/>
              <w:spacing w:line="240" w:lineRule="auto"/>
              <w:ind w:firstLine="0" w:firstLineChars="0"/>
              <w:jc w:val="center"/>
              <w:rPr>
                <w:rFonts w:hint="eastAsia" w:eastAsia="宋体" w:cs="Times New Roman"/>
                <w:kern w:val="0"/>
                <w:sz w:val="21"/>
                <w:szCs w:val="21"/>
                <w:highlight w:val="none"/>
                <w:lang w:eastAsia="zh-CN"/>
              </w:rPr>
            </w:pPr>
            <w:r>
              <w:rPr>
                <w:rFonts w:cs="Times New Roman"/>
                <w:kern w:val="0"/>
                <w:sz w:val="21"/>
                <w:szCs w:val="21"/>
                <w:highlight w:val="none"/>
              </w:rPr>
              <w:t>I</w:t>
            </w:r>
            <w:r>
              <w:rPr>
                <w:rFonts w:hint="eastAsia" w:cs="Times New Roman"/>
                <w:kern w:val="0"/>
                <w:sz w:val="21"/>
                <w:szCs w:val="21"/>
                <w:highlight w:val="none"/>
                <w:lang w:eastAsia="zh-CN"/>
              </w:rPr>
              <w:t>☑</w:t>
            </w:r>
          </w:p>
        </w:tc>
      </w:tr>
      <w:tr w14:paraId="694D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3" w:type="dxa"/>
            <w:gridSpan w:val="2"/>
            <w:vMerge w:val="continue"/>
            <w:vAlign w:val="center"/>
          </w:tcPr>
          <w:p w14:paraId="30B16400">
            <w:pPr>
              <w:adjustRightInd w:val="0"/>
              <w:snapToGrid w:val="0"/>
              <w:spacing w:line="240" w:lineRule="auto"/>
              <w:ind w:firstLine="0" w:firstLineChars="0"/>
              <w:jc w:val="center"/>
              <w:rPr>
                <w:rFonts w:cs="Times New Roman"/>
                <w:kern w:val="0"/>
                <w:sz w:val="21"/>
                <w:szCs w:val="21"/>
                <w:highlight w:val="none"/>
              </w:rPr>
            </w:pPr>
          </w:p>
        </w:tc>
        <w:tc>
          <w:tcPr>
            <w:tcW w:w="1031" w:type="dxa"/>
            <w:vAlign w:val="center"/>
          </w:tcPr>
          <w:p w14:paraId="2CE5705B">
            <w:pPr>
              <w:adjustRightInd w:val="0"/>
              <w:snapToGrid w:val="0"/>
              <w:spacing w:line="240" w:lineRule="auto"/>
              <w:ind w:firstLine="0" w:firstLineChars="0"/>
              <w:jc w:val="center"/>
              <w:rPr>
                <w:rFonts w:cs="Times New Roman"/>
                <w:kern w:val="0"/>
                <w:sz w:val="21"/>
                <w:szCs w:val="21"/>
                <w:highlight w:val="none"/>
              </w:rPr>
            </w:pPr>
            <w:r>
              <w:rPr>
                <w:rFonts w:cs="Times New Roman"/>
                <w:kern w:val="0"/>
                <w:sz w:val="21"/>
                <w:szCs w:val="21"/>
                <w:highlight w:val="none"/>
              </w:rPr>
              <w:t>地下水</w:t>
            </w:r>
          </w:p>
        </w:tc>
        <w:tc>
          <w:tcPr>
            <w:tcW w:w="2031" w:type="dxa"/>
            <w:gridSpan w:val="2"/>
            <w:vAlign w:val="center"/>
          </w:tcPr>
          <w:p w14:paraId="29E13A9E">
            <w:pPr>
              <w:adjustRightInd w:val="0"/>
              <w:snapToGrid w:val="0"/>
              <w:spacing w:line="240" w:lineRule="auto"/>
              <w:ind w:firstLine="0" w:firstLineChars="0"/>
              <w:jc w:val="center"/>
              <w:rPr>
                <w:rFonts w:cs="Times New Roman"/>
                <w:kern w:val="0"/>
                <w:sz w:val="21"/>
                <w:szCs w:val="21"/>
                <w:highlight w:val="none"/>
              </w:rPr>
            </w:pPr>
            <w:r>
              <w:rPr>
                <w:rFonts w:cs="Times New Roman"/>
                <w:kern w:val="0"/>
                <w:sz w:val="21"/>
                <w:szCs w:val="21"/>
                <w:highlight w:val="none"/>
              </w:rPr>
              <w:t>Ⅳ</w:t>
            </w:r>
            <w:r>
              <w:rPr>
                <w:rFonts w:hint="eastAsia" w:cs="Times New Roman"/>
                <w:kern w:val="0"/>
                <w:sz w:val="21"/>
                <w:szCs w:val="21"/>
                <w:highlight w:val="none"/>
                <w:lang w:eastAsia="zh-CN"/>
              </w:rPr>
              <w:t>□</w:t>
            </w:r>
          </w:p>
        </w:tc>
        <w:tc>
          <w:tcPr>
            <w:tcW w:w="1282" w:type="dxa"/>
            <w:gridSpan w:val="2"/>
            <w:vAlign w:val="center"/>
          </w:tcPr>
          <w:p w14:paraId="0B9CC853">
            <w:pPr>
              <w:adjustRightInd w:val="0"/>
              <w:snapToGrid w:val="0"/>
              <w:spacing w:line="240" w:lineRule="auto"/>
              <w:ind w:firstLine="0" w:firstLineChars="0"/>
              <w:jc w:val="center"/>
              <w:rPr>
                <w:rFonts w:hint="eastAsia" w:eastAsia="宋体" w:cs="Times New Roman"/>
                <w:kern w:val="0"/>
                <w:sz w:val="21"/>
                <w:szCs w:val="21"/>
                <w:highlight w:val="none"/>
                <w:lang w:eastAsia="zh-CN"/>
              </w:rPr>
            </w:pPr>
            <w:r>
              <w:rPr>
                <w:rFonts w:cs="Times New Roman"/>
                <w:kern w:val="0"/>
                <w:sz w:val="21"/>
                <w:szCs w:val="21"/>
                <w:highlight w:val="none"/>
              </w:rPr>
              <w:t>Ⅲ</w:t>
            </w:r>
            <w:r>
              <w:rPr>
                <w:rFonts w:hint="eastAsia" w:cs="Times New Roman"/>
                <w:kern w:val="0"/>
                <w:sz w:val="21"/>
                <w:szCs w:val="21"/>
                <w:highlight w:val="none"/>
                <w:lang w:eastAsia="zh-CN"/>
              </w:rPr>
              <w:t>□</w:t>
            </w:r>
          </w:p>
        </w:tc>
        <w:tc>
          <w:tcPr>
            <w:tcW w:w="1595" w:type="dxa"/>
            <w:gridSpan w:val="2"/>
            <w:vAlign w:val="center"/>
          </w:tcPr>
          <w:p w14:paraId="60BFD6B8">
            <w:pPr>
              <w:adjustRightInd w:val="0"/>
              <w:snapToGrid w:val="0"/>
              <w:spacing w:line="240" w:lineRule="auto"/>
              <w:ind w:firstLine="0" w:firstLineChars="0"/>
              <w:jc w:val="center"/>
              <w:rPr>
                <w:rFonts w:hint="eastAsia" w:eastAsia="宋体" w:cs="Times New Roman"/>
                <w:kern w:val="0"/>
                <w:sz w:val="21"/>
                <w:szCs w:val="21"/>
                <w:highlight w:val="none"/>
                <w:lang w:eastAsia="zh-CN"/>
              </w:rPr>
            </w:pPr>
            <w:r>
              <w:rPr>
                <w:rFonts w:cs="Times New Roman"/>
                <w:kern w:val="0"/>
                <w:sz w:val="21"/>
                <w:szCs w:val="21"/>
                <w:highlight w:val="none"/>
              </w:rPr>
              <w:t>Ⅱ</w:t>
            </w:r>
            <w:r>
              <w:rPr>
                <w:rFonts w:hint="eastAsia" w:cs="Times New Roman"/>
                <w:kern w:val="0"/>
                <w:sz w:val="21"/>
                <w:szCs w:val="21"/>
                <w:highlight w:val="none"/>
                <w:lang w:eastAsia="zh-CN"/>
              </w:rPr>
              <w:t>□</w:t>
            </w:r>
          </w:p>
        </w:tc>
        <w:tc>
          <w:tcPr>
            <w:tcW w:w="1477" w:type="dxa"/>
            <w:vAlign w:val="center"/>
          </w:tcPr>
          <w:p w14:paraId="22AEDE66">
            <w:pPr>
              <w:adjustRightInd w:val="0"/>
              <w:snapToGrid w:val="0"/>
              <w:spacing w:line="240" w:lineRule="auto"/>
              <w:ind w:firstLine="0" w:firstLineChars="0"/>
              <w:jc w:val="center"/>
              <w:rPr>
                <w:rFonts w:hint="eastAsia" w:eastAsia="宋体" w:cs="Times New Roman"/>
                <w:kern w:val="0"/>
                <w:sz w:val="21"/>
                <w:szCs w:val="21"/>
                <w:highlight w:val="none"/>
                <w:lang w:eastAsia="zh-CN"/>
              </w:rPr>
            </w:pPr>
            <w:r>
              <w:rPr>
                <w:rFonts w:cs="Times New Roman"/>
                <w:kern w:val="0"/>
                <w:sz w:val="21"/>
                <w:szCs w:val="21"/>
                <w:highlight w:val="none"/>
              </w:rPr>
              <w:t>I</w:t>
            </w:r>
            <w:r>
              <w:rPr>
                <w:rFonts w:hint="eastAsia" w:cs="Times New Roman"/>
                <w:kern w:val="0"/>
                <w:sz w:val="21"/>
                <w:szCs w:val="21"/>
                <w:highlight w:val="none"/>
                <w:lang w:eastAsia="zh-CN"/>
              </w:rPr>
              <w:t>☑</w:t>
            </w:r>
          </w:p>
        </w:tc>
      </w:tr>
      <w:tr w14:paraId="46E6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3" w:type="dxa"/>
            <w:gridSpan w:val="2"/>
            <w:vMerge w:val="restart"/>
            <w:vAlign w:val="center"/>
          </w:tcPr>
          <w:p w14:paraId="1385F675">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评价等级</w:t>
            </w:r>
          </w:p>
        </w:tc>
        <w:tc>
          <w:tcPr>
            <w:tcW w:w="1031" w:type="dxa"/>
            <w:vAlign w:val="center"/>
          </w:tcPr>
          <w:p w14:paraId="7064C1E5">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大气</w:t>
            </w:r>
          </w:p>
        </w:tc>
        <w:tc>
          <w:tcPr>
            <w:tcW w:w="2031" w:type="dxa"/>
            <w:gridSpan w:val="2"/>
            <w:vAlign w:val="center"/>
          </w:tcPr>
          <w:p w14:paraId="62475A59">
            <w:pPr>
              <w:adjustRightInd w:val="0"/>
              <w:snapToGrid w:val="0"/>
              <w:spacing w:line="240" w:lineRule="auto"/>
              <w:ind w:firstLine="0" w:firstLineChars="0"/>
              <w:jc w:val="center"/>
              <w:rPr>
                <w:rFonts w:hint="eastAsia" w:eastAsia="宋体" w:cs="Times New Roman"/>
                <w:kern w:val="0"/>
                <w:sz w:val="21"/>
                <w:szCs w:val="21"/>
                <w:highlight w:val="none"/>
                <w:lang w:val="en-US" w:eastAsia="zh-CN"/>
              </w:rPr>
            </w:pPr>
            <w:r>
              <w:rPr>
                <w:rFonts w:hint="eastAsia" w:cs="Times New Roman"/>
                <w:kern w:val="0"/>
                <w:sz w:val="21"/>
                <w:szCs w:val="21"/>
                <w:highlight w:val="none"/>
                <w:lang w:val="en-US" w:eastAsia="zh-CN"/>
              </w:rPr>
              <w:t>一级</w:t>
            </w:r>
            <w:r>
              <w:rPr>
                <w:rFonts w:hint="eastAsia" w:cs="Times New Roman"/>
                <w:kern w:val="0"/>
                <w:sz w:val="21"/>
                <w:szCs w:val="21"/>
                <w:highlight w:val="none"/>
                <w:lang w:eastAsia="zh-CN"/>
              </w:rPr>
              <w:t>□</w:t>
            </w:r>
          </w:p>
        </w:tc>
        <w:tc>
          <w:tcPr>
            <w:tcW w:w="1282" w:type="dxa"/>
            <w:gridSpan w:val="2"/>
            <w:vAlign w:val="center"/>
          </w:tcPr>
          <w:p w14:paraId="5EA5ECEE">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二级</w:t>
            </w:r>
            <w:r>
              <w:rPr>
                <w:rFonts w:hint="eastAsia" w:cs="Times New Roman"/>
                <w:kern w:val="0"/>
                <w:sz w:val="21"/>
                <w:szCs w:val="21"/>
                <w:highlight w:val="none"/>
                <w:lang w:eastAsia="zh-CN"/>
              </w:rPr>
              <w:t>□</w:t>
            </w:r>
          </w:p>
        </w:tc>
        <w:tc>
          <w:tcPr>
            <w:tcW w:w="1595" w:type="dxa"/>
            <w:gridSpan w:val="2"/>
            <w:vAlign w:val="center"/>
          </w:tcPr>
          <w:p w14:paraId="4F7DE74B">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三级</w:t>
            </w:r>
            <w:r>
              <w:rPr>
                <w:rFonts w:hint="eastAsia" w:cs="Times New Roman"/>
                <w:kern w:val="0"/>
                <w:sz w:val="21"/>
                <w:szCs w:val="21"/>
                <w:highlight w:val="none"/>
                <w:lang w:eastAsia="zh-CN"/>
              </w:rPr>
              <w:t>□</w:t>
            </w:r>
          </w:p>
        </w:tc>
        <w:tc>
          <w:tcPr>
            <w:tcW w:w="1477" w:type="dxa"/>
            <w:vAlign w:val="center"/>
          </w:tcPr>
          <w:p w14:paraId="620BB3B3">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简单分析</w:t>
            </w:r>
            <w:r>
              <w:rPr>
                <w:rFonts w:hint="eastAsia" w:cs="Times New Roman"/>
                <w:kern w:val="0"/>
                <w:sz w:val="21"/>
                <w:szCs w:val="21"/>
                <w:highlight w:val="none"/>
                <w:lang w:eastAsia="zh-CN"/>
              </w:rPr>
              <w:t>☑</w:t>
            </w:r>
          </w:p>
        </w:tc>
      </w:tr>
      <w:tr w14:paraId="6851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3" w:type="dxa"/>
            <w:gridSpan w:val="2"/>
            <w:vMerge w:val="continue"/>
            <w:vAlign w:val="center"/>
          </w:tcPr>
          <w:p w14:paraId="4DD88A11">
            <w:pPr>
              <w:adjustRightInd w:val="0"/>
              <w:snapToGrid w:val="0"/>
              <w:spacing w:line="240" w:lineRule="auto"/>
              <w:ind w:firstLine="0" w:firstLineChars="0"/>
              <w:jc w:val="center"/>
              <w:rPr>
                <w:rFonts w:cs="Times New Roman"/>
                <w:kern w:val="0"/>
                <w:sz w:val="21"/>
                <w:szCs w:val="21"/>
                <w:highlight w:val="none"/>
              </w:rPr>
            </w:pPr>
          </w:p>
        </w:tc>
        <w:tc>
          <w:tcPr>
            <w:tcW w:w="1031" w:type="dxa"/>
            <w:vAlign w:val="center"/>
          </w:tcPr>
          <w:p w14:paraId="74C2D3BA">
            <w:pPr>
              <w:adjustRightInd w:val="0"/>
              <w:snapToGrid w:val="0"/>
              <w:spacing w:line="240" w:lineRule="auto"/>
              <w:ind w:firstLine="0" w:firstLineChars="0"/>
              <w:jc w:val="center"/>
              <w:rPr>
                <w:rFonts w:cs="Times New Roman"/>
                <w:kern w:val="0"/>
                <w:sz w:val="21"/>
                <w:szCs w:val="21"/>
                <w:highlight w:val="none"/>
              </w:rPr>
            </w:pPr>
            <w:r>
              <w:rPr>
                <w:rFonts w:cs="Times New Roman"/>
                <w:kern w:val="0"/>
                <w:sz w:val="21"/>
                <w:szCs w:val="21"/>
                <w:highlight w:val="none"/>
              </w:rPr>
              <w:t>地表水</w:t>
            </w:r>
          </w:p>
        </w:tc>
        <w:tc>
          <w:tcPr>
            <w:tcW w:w="2031" w:type="dxa"/>
            <w:gridSpan w:val="2"/>
            <w:vAlign w:val="center"/>
          </w:tcPr>
          <w:p w14:paraId="6B611ED6">
            <w:pPr>
              <w:adjustRightInd w:val="0"/>
              <w:snapToGrid w:val="0"/>
              <w:spacing w:line="240" w:lineRule="auto"/>
              <w:ind w:firstLine="0" w:firstLineChars="0"/>
              <w:jc w:val="center"/>
              <w:rPr>
                <w:rFonts w:cs="Times New Roman"/>
                <w:kern w:val="0"/>
                <w:sz w:val="21"/>
                <w:szCs w:val="21"/>
                <w:highlight w:val="none"/>
              </w:rPr>
            </w:pPr>
            <w:r>
              <w:rPr>
                <w:rFonts w:hint="eastAsia" w:cs="Times New Roman"/>
                <w:kern w:val="0"/>
                <w:sz w:val="21"/>
                <w:szCs w:val="21"/>
                <w:highlight w:val="none"/>
                <w:lang w:val="en-US" w:eastAsia="zh-CN"/>
              </w:rPr>
              <w:t>一级</w:t>
            </w:r>
            <w:r>
              <w:rPr>
                <w:rFonts w:hint="eastAsia" w:cs="Times New Roman"/>
                <w:kern w:val="0"/>
                <w:sz w:val="21"/>
                <w:szCs w:val="21"/>
                <w:highlight w:val="none"/>
                <w:lang w:eastAsia="zh-CN"/>
              </w:rPr>
              <w:t>□</w:t>
            </w:r>
          </w:p>
        </w:tc>
        <w:tc>
          <w:tcPr>
            <w:tcW w:w="1282" w:type="dxa"/>
            <w:gridSpan w:val="2"/>
            <w:vAlign w:val="center"/>
          </w:tcPr>
          <w:p w14:paraId="5A7D6CED">
            <w:pPr>
              <w:adjustRightInd w:val="0"/>
              <w:snapToGrid w:val="0"/>
              <w:spacing w:line="240" w:lineRule="auto"/>
              <w:ind w:firstLine="0" w:firstLineChars="0"/>
              <w:jc w:val="center"/>
              <w:rPr>
                <w:rFonts w:cs="Times New Roman"/>
                <w:kern w:val="0"/>
                <w:sz w:val="21"/>
                <w:szCs w:val="21"/>
                <w:highlight w:val="none"/>
              </w:rPr>
            </w:pPr>
            <w:r>
              <w:rPr>
                <w:rFonts w:cs="Times New Roman"/>
                <w:kern w:val="0"/>
                <w:sz w:val="21"/>
                <w:szCs w:val="21"/>
                <w:highlight w:val="none"/>
              </w:rPr>
              <w:t>二级</w:t>
            </w:r>
            <w:r>
              <w:rPr>
                <w:rFonts w:hint="eastAsia" w:cs="Times New Roman"/>
                <w:kern w:val="0"/>
                <w:sz w:val="21"/>
                <w:szCs w:val="21"/>
                <w:highlight w:val="none"/>
                <w:lang w:eastAsia="zh-CN"/>
              </w:rPr>
              <w:t>□</w:t>
            </w:r>
          </w:p>
        </w:tc>
        <w:tc>
          <w:tcPr>
            <w:tcW w:w="1595" w:type="dxa"/>
            <w:gridSpan w:val="2"/>
            <w:vAlign w:val="center"/>
          </w:tcPr>
          <w:p w14:paraId="769F2143">
            <w:pPr>
              <w:adjustRightInd w:val="0"/>
              <w:snapToGrid w:val="0"/>
              <w:spacing w:line="240" w:lineRule="auto"/>
              <w:ind w:firstLine="0" w:firstLineChars="0"/>
              <w:jc w:val="center"/>
              <w:rPr>
                <w:rFonts w:hint="eastAsia" w:eastAsia="宋体" w:cs="Times New Roman"/>
                <w:kern w:val="0"/>
                <w:sz w:val="21"/>
                <w:szCs w:val="21"/>
                <w:highlight w:val="none"/>
                <w:lang w:eastAsia="zh-CN"/>
              </w:rPr>
            </w:pPr>
            <w:r>
              <w:rPr>
                <w:rFonts w:cs="Times New Roman"/>
                <w:kern w:val="0"/>
                <w:sz w:val="21"/>
                <w:szCs w:val="21"/>
                <w:highlight w:val="none"/>
              </w:rPr>
              <w:t>三级</w:t>
            </w:r>
            <w:r>
              <w:rPr>
                <w:rFonts w:hint="eastAsia" w:cs="Times New Roman"/>
                <w:kern w:val="0"/>
                <w:sz w:val="21"/>
                <w:szCs w:val="21"/>
                <w:highlight w:val="none"/>
                <w:lang w:eastAsia="zh-CN"/>
              </w:rPr>
              <w:t>□</w:t>
            </w:r>
          </w:p>
        </w:tc>
        <w:tc>
          <w:tcPr>
            <w:tcW w:w="1477" w:type="dxa"/>
            <w:vAlign w:val="center"/>
          </w:tcPr>
          <w:p w14:paraId="344CF4E5">
            <w:pPr>
              <w:adjustRightInd w:val="0"/>
              <w:snapToGrid w:val="0"/>
              <w:spacing w:line="240" w:lineRule="auto"/>
              <w:ind w:firstLine="0" w:firstLineChars="0"/>
              <w:jc w:val="center"/>
              <w:rPr>
                <w:rFonts w:hint="eastAsia" w:eastAsia="宋体" w:cs="Times New Roman"/>
                <w:kern w:val="0"/>
                <w:sz w:val="21"/>
                <w:szCs w:val="21"/>
                <w:highlight w:val="none"/>
                <w:lang w:eastAsia="zh-CN"/>
              </w:rPr>
            </w:pPr>
            <w:r>
              <w:rPr>
                <w:rFonts w:cs="Times New Roman"/>
                <w:kern w:val="0"/>
                <w:sz w:val="21"/>
                <w:szCs w:val="21"/>
                <w:highlight w:val="none"/>
              </w:rPr>
              <w:t>简单分析</w:t>
            </w:r>
            <w:r>
              <w:rPr>
                <w:rFonts w:hint="eastAsia" w:cs="Times New Roman"/>
                <w:kern w:val="0"/>
                <w:sz w:val="21"/>
                <w:szCs w:val="21"/>
                <w:highlight w:val="none"/>
                <w:lang w:eastAsia="zh-CN"/>
              </w:rPr>
              <w:t>☑</w:t>
            </w:r>
          </w:p>
        </w:tc>
      </w:tr>
      <w:tr w14:paraId="2978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3" w:type="dxa"/>
            <w:gridSpan w:val="2"/>
            <w:vMerge w:val="continue"/>
            <w:vAlign w:val="center"/>
          </w:tcPr>
          <w:p w14:paraId="1894DFD5">
            <w:pPr>
              <w:adjustRightInd w:val="0"/>
              <w:snapToGrid w:val="0"/>
              <w:spacing w:line="240" w:lineRule="auto"/>
              <w:ind w:firstLine="0" w:firstLineChars="0"/>
              <w:jc w:val="center"/>
              <w:rPr>
                <w:rFonts w:cs="Times New Roman"/>
                <w:kern w:val="0"/>
                <w:sz w:val="21"/>
                <w:szCs w:val="21"/>
                <w:highlight w:val="none"/>
              </w:rPr>
            </w:pPr>
          </w:p>
        </w:tc>
        <w:tc>
          <w:tcPr>
            <w:tcW w:w="1031" w:type="dxa"/>
            <w:vAlign w:val="center"/>
          </w:tcPr>
          <w:p w14:paraId="6EBDBE60">
            <w:pPr>
              <w:adjustRightInd w:val="0"/>
              <w:snapToGrid w:val="0"/>
              <w:spacing w:line="240" w:lineRule="auto"/>
              <w:ind w:firstLine="0" w:firstLineChars="0"/>
              <w:jc w:val="center"/>
              <w:rPr>
                <w:rFonts w:cs="Times New Roman"/>
                <w:kern w:val="0"/>
                <w:sz w:val="21"/>
                <w:szCs w:val="21"/>
                <w:highlight w:val="none"/>
              </w:rPr>
            </w:pPr>
            <w:r>
              <w:rPr>
                <w:rFonts w:cs="Times New Roman"/>
                <w:kern w:val="0"/>
                <w:sz w:val="21"/>
                <w:szCs w:val="21"/>
                <w:highlight w:val="none"/>
              </w:rPr>
              <w:t>地下水</w:t>
            </w:r>
          </w:p>
        </w:tc>
        <w:tc>
          <w:tcPr>
            <w:tcW w:w="2031" w:type="dxa"/>
            <w:gridSpan w:val="2"/>
            <w:vAlign w:val="center"/>
          </w:tcPr>
          <w:p w14:paraId="466646C2">
            <w:pPr>
              <w:adjustRightInd w:val="0"/>
              <w:snapToGrid w:val="0"/>
              <w:spacing w:line="240" w:lineRule="auto"/>
              <w:ind w:firstLine="0" w:firstLineChars="0"/>
              <w:jc w:val="center"/>
              <w:rPr>
                <w:rFonts w:cs="Times New Roman"/>
                <w:kern w:val="0"/>
                <w:sz w:val="21"/>
                <w:szCs w:val="21"/>
                <w:highlight w:val="none"/>
              </w:rPr>
            </w:pPr>
            <w:r>
              <w:rPr>
                <w:rFonts w:hint="eastAsia" w:cs="Times New Roman"/>
                <w:kern w:val="0"/>
                <w:sz w:val="21"/>
                <w:szCs w:val="21"/>
                <w:highlight w:val="none"/>
                <w:lang w:val="en-US" w:eastAsia="zh-CN"/>
              </w:rPr>
              <w:t>一级</w:t>
            </w:r>
            <w:r>
              <w:rPr>
                <w:rFonts w:hint="eastAsia" w:cs="Times New Roman"/>
                <w:kern w:val="0"/>
                <w:sz w:val="21"/>
                <w:szCs w:val="21"/>
                <w:highlight w:val="none"/>
                <w:lang w:eastAsia="zh-CN"/>
              </w:rPr>
              <w:t>□</w:t>
            </w:r>
          </w:p>
        </w:tc>
        <w:tc>
          <w:tcPr>
            <w:tcW w:w="1282" w:type="dxa"/>
            <w:gridSpan w:val="2"/>
            <w:vAlign w:val="center"/>
          </w:tcPr>
          <w:p w14:paraId="3F86705A">
            <w:pPr>
              <w:adjustRightInd w:val="0"/>
              <w:snapToGrid w:val="0"/>
              <w:spacing w:line="240" w:lineRule="auto"/>
              <w:ind w:firstLine="0" w:firstLineChars="0"/>
              <w:jc w:val="center"/>
              <w:rPr>
                <w:rFonts w:cs="Times New Roman"/>
                <w:kern w:val="0"/>
                <w:sz w:val="21"/>
                <w:szCs w:val="21"/>
                <w:highlight w:val="none"/>
              </w:rPr>
            </w:pPr>
            <w:r>
              <w:rPr>
                <w:rFonts w:cs="Times New Roman"/>
                <w:kern w:val="0"/>
                <w:sz w:val="21"/>
                <w:szCs w:val="21"/>
                <w:highlight w:val="none"/>
              </w:rPr>
              <w:t>二级</w:t>
            </w:r>
            <w:r>
              <w:rPr>
                <w:rFonts w:hint="eastAsia" w:cs="Times New Roman"/>
                <w:kern w:val="0"/>
                <w:sz w:val="21"/>
                <w:szCs w:val="21"/>
                <w:highlight w:val="none"/>
                <w:lang w:eastAsia="zh-CN"/>
              </w:rPr>
              <w:t>□</w:t>
            </w:r>
          </w:p>
        </w:tc>
        <w:tc>
          <w:tcPr>
            <w:tcW w:w="1595" w:type="dxa"/>
            <w:gridSpan w:val="2"/>
            <w:vAlign w:val="center"/>
          </w:tcPr>
          <w:p w14:paraId="222D0DF7">
            <w:pPr>
              <w:adjustRightInd w:val="0"/>
              <w:snapToGrid w:val="0"/>
              <w:spacing w:line="240" w:lineRule="auto"/>
              <w:ind w:firstLine="0" w:firstLineChars="0"/>
              <w:jc w:val="center"/>
              <w:rPr>
                <w:rFonts w:hint="eastAsia" w:eastAsia="宋体" w:cs="Times New Roman"/>
                <w:kern w:val="0"/>
                <w:sz w:val="21"/>
                <w:szCs w:val="21"/>
                <w:highlight w:val="none"/>
                <w:lang w:eastAsia="zh-CN"/>
              </w:rPr>
            </w:pPr>
            <w:r>
              <w:rPr>
                <w:rFonts w:cs="Times New Roman"/>
                <w:kern w:val="0"/>
                <w:sz w:val="21"/>
                <w:szCs w:val="21"/>
                <w:highlight w:val="none"/>
              </w:rPr>
              <w:t>三级</w:t>
            </w:r>
            <w:r>
              <w:rPr>
                <w:rFonts w:hint="eastAsia" w:cs="Times New Roman"/>
                <w:kern w:val="0"/>
                <w:sz w:val="21"/>
                <w:szCs w:val="21"/>
                <w:highlight w:val="none"/>
                <w:lang w:eastAsia="zh-CN"/>
              </w:rPr>
              <w:t>□</w:t>
            </w:r>
          </w:p>
        </w:tc>
        <w:tc>
          <w:tcPr>
            <w:tcW w:w="1477" w:type="dxa"/>
            <w:vAlign w:val="center"/>
          </w:tcPr>
          <w:p w14:paraId="62132713">
            <w:pPr>
              <w:adjustRightInd w:val="0"/>
              <w:snapToGrid w:val="0"/>
              <w:spacing w:line="240" w:lineRule="auto"/>
              <w:ind w:firstLine="0" w:firstLineChars="0"/>
              <w:jc w:val="center"/>
              <w:rPr>
                <w:rFonts w:hint="eastAsia" w:eastAsia="宋体" w:cs="Times New Roman"/>
                <w:kern w:val="0"/>
                <w:sz w:val="21"/>
                <w:szCs w:val="21"/>
                <w:highlight w:val="none"/>
                <w:lang w:eastAsia="zh-CN"/>
              </w:rPr>
            </w:pPr>
            <w:r>
              <w:rPr>
                <w:rFonts w:cs="Times New Roman"/>
                <w:kern w:val="0"/>
                <w:sz w:val="21"/>
                <w:szCs w:val="21"/>
                <w:highlight w:val="none"/>
              </w:rPr>
              <w:t>简单分析</w:t>
            </w:r>
            <w:r>
              <w:rPr>
                <w:rFonts w:hint="eastAsia" w:cs="Times New Roman"/>
                <w:kern w:val="0"/>
                <w:sz w:val="21"/>
                <w:szCs w:val="21"/>
                <w:highlight w:val="none"/>
                <w:lang w:eastAsia="zh-CN"/>
              </w:rPr>
              <w:t>☑</w:t>
            </w:r>
          </w:p>
        </w:tc>
      </w:tr>
      <w:tr w14:paraId="7C70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restart"/>
            <w:vAlign w:val="center"/>
          </w:tcPr>
          <w:p w14:paraId="2EA89242">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风险识别</w:t>
            </w:r>
          </w:p>
        </w:tc>
        <w:tc>
          <w:tcPr>
            <w:tcW w:w="1146" w:type="dxa"/>
            <w:vAlign w:val="center"/>
          </w:tcPr>
          <w:p w14:paraId="23F6D2BE">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物质危险性</w:t>
            </w:r>
          </w:p>
        </w:tc>
        <w:tc>
          <w:tcPr>
            <w:tcW w:w="4344" w:type="dxa"/>
            <w:gridSpan w:val="5"/>
            <w:vAlign w:val="center"/>
          </w:tcPr>
          <w:p w14:paraId="286804B5">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有毒有害</w:t>
            </w:r>
            <w:r>
              <w:rPr>
                <w:rFonts w:hint="eastAsia" w:cs="Times New Roman"/>
                <w:kern w:val="0"/>
                <w:sz w:val="21"/>
                <w:szCs w:val="21"/>
                <w:highlight w:val="none"/>
                <w:lang w:eastAsia="zh-CN"/>
              </w:rPr>
              <w:t>☑</w:t>
            </w:r>
          </w:p>
        </w:tc>
        <w:tc>
          <w:tcPr>
            <w:tcW w:w="3072" w:type="dxa"/>
            <w:gridSpan w:val="3"/>
            <w:vAlign w:val="center"/>
          </w:tcPr>
          <w:p w14:paraId="3395EAA3">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易燃易爆</w:t>
            </w:r>
            <w:r>
              <w:rPr>
                <w:rFonts w:hint="eastAsia" w:cs="Times New Roman"/>
                <w:kern w:val="0"/>
                <w:sz w:val="21"/>
                <w:szCs w:val="21"/>
                <w:highlight w:val="none"/>
                <w:lang w:eastAsia="zh-CN"/>
              </w:rPr>
              <w:t>☑</w:t>
            </w:r>
          </w:p>
        </w:tc>
      </w:tr>
      <w:tr w14:paraId="74AD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vAlign w:val="center"/>
          </w:tcPr>
          <w:p w14:paraId="747E7A03">
            <w:pPr>
              <w:adjustRightInd w:val="0"/>
              <w:snapToGrid w:val="0"/>
              <w:spacing w:line="240" w:lineRule="auto"/>
              <w:ind w:firstLine="0" w:firstLineChars="0"/>
              <w:jc w:val="center"/>
              <w:rPr>
                <w:rFonts w:cs="Times New Roman"/>
                <w:sz w:val="21"/>
                <w:szCs w:val="21"/>
                <w:highlight w:val="none"/>
              </w:rPr>
            </w:pPr>
          </w:p>
        </w:tc>
        <w:tc>
          <w:tcPr>
            <w:tcW w:w="1146" w:type="dxa"/>
            <w:vAlign w:val="center"/>
          </w:tcPr>
          <w:p w14:paraId="701115A7">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环境风险类型</w:t>
            </w:r>
          </w:p>
        </w:tc>
        <w:tc>
          <w:tcPr>
            <w:tcW w:w="4344" w:type="dxa"/>
            <w:gridSpan w:val="5"/>
            <w:vAlign w:val="center"/>
          </w:tcPr>
          <w:p w14:paraId="4DD041C3">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泄漏</w:t>
            </w:r>
            <w:r>
              <w:rPr>
                <w:rFonts w:hint="eastAsia" w:cs="Times New Roman"/>
                <w:kern w:val="0"/>
                <w:sz w:val="21"/>
                <w:szCs w:val="21"/>
                <w:highlight w:val="none"/>
                <w:lang w:eastAsia="zh-CN"/>
              </w:rPr>
              <w:t>☑</w:t>
            </w:r>
          </w:p>
        </w:tc>
        <w:tc>
          <w:tcPr>
            <w:tcW w:w="3072" w:type="dxa"/>
            <w:gridSpan w:val="3"/>
            <w:vAlign w:val="center"/>
          </w:tcPr>
          <w:p w14:paraId="131CD89B">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火灾、爆炸引发</w:t>
            </w:r>
            <w:r>
              <w:rPr>
                <w:rFonts w:hint="eastAsia" w:cs="Times New Roman"/>
                <w:kern w:val="0"/>
                <w:sz w:val="21"/>
                <w:szCs w:val="21"/>
                <w:highlight w:val="none"/>
                <w:lang w:eastAsia="zh-CN"/>
              </w:rPr>
              <w:t>的</w:t>
            </w:r>
            <w:r>
              <w:rPr>
                <w:rFonts w:cs="Times New Roman"/>
                <w:kern w:val="0"/>
                <w:sz w:val="21"/>
                <w:szCs w:val="21"/>
                <w:highlight w:val="none"/>
              </w:rPr>
              <w:t>伴生/次生污染物排放</w:t>
            </w:r>
            <w:r>
              <w:rPr>
                <w:rFonts w:hint="eastAsia" w:cs="Times New Roman"/>
                <w:kern w:val="0"/>
                <w:sz w:val="21"/>
                <w:szCs w:val="21"/>
                <w:highlight w:val="none"/>
                <w:lang w:eastAsia="zh-CN"/>
              </w:rPr>
              <w:t>☑</w:t>
            </w:r>
          </w:p>
        </w:tc>
      </w:tr>
      <w:tr w14:paraId="5B19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vAlign w:val="center"/>
          </w:tcPr>
          <w:p w14:paraId="604E7180">
            <w:pPr>
              <w:adjustRightInd w:val="0"/>
              <w:snapToGrid w:val="0"/>
              <w:spacing w:line="240" w:lineRule="auto"/>
              <w:ind w:firstLine="0" w:firstLineChars="0"/>
              <w:jc w:val="center"/>
              <w:rPr>
                <w:rFonts w:cs="Times New Roman"/>
                <w:sz w:val="21"/>
                <w:szCs w:val="21"/>
                <w:highlight w:val="none"/>
              </w:rPr>
            </w:pPr>
          </w:p>
        </w:tc>
        <w:tc>
          <w:tcPr>
            <w:tcW w:w="1146" w:type="dxa"/>
            <w:vAlign w:val="center"/>
          </w:tcPr>
          <w:p w14:paraId="46EBFD91">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影响途径</w:t>
            </w:r>
          </w:p>
        </w:tc>
        <w:tc>
          <w:tcPr>
            <w:tcW w:w="2559" w:type="dxa"/>
            <w:gridSpan w:val="2"/>
            <w:vAlign w:val="center"/>
          </w:tcPr>
          <w:p w14:paraId="70055BC9">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大气</w:t>
            </w:r>
            <w:r>
              <w:rPr>
                <w:rFonts w:hint="eastAsia" w:cs="Times New Roman"/>
                <w:kern w:val="0"/>
                <w:sz w:val="21"/>
                <w:szCs w:val="21"/>
                <w:highlight w:val="none"/>
                <w:lang w:eastAsia="zh-CN"/>
              </w:rPr>
              <w:t>☑</w:t>
            </w:r>
          </w:p>
        </w:tc>
        <w:tc>
          <w:tcPr>
            <w:tcW w:w="2800" w:type="dxa"/>
            <w:gridSpan w:val="4"/>
            <w:vAlign w:val="center"/>
          </w:tcPr>
          <w:p w14:paraId="6A0FF6BE">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地表水</w:t>
            </w:r>
            <w:r>
              <w:rPr>
                <w:rFonts w:hint="eastAsia" w:cs="Times New Roman"/>
                <w:kern w:val="0"/>
                <w:sz w:val="21"/>
                <w:szCs w:val="21"/>
                <w:highlight w:val="none"/>
                <w:lang w:eastAsia="zh-CN"/>
              </w:rPr>
              <w:t>□</w:t>
            </w:r>
          </w:p>
        </w:tc>
        <w:tc>
          <w:tcPr>
            <w:tcW w:w="2057" w:type="dxa"/>
            <w:gridSpan w:val="2"/>
            <w:vAlign w:val="center"/>
          </w:tcPr>
          <w:p w14:paraId="7ED64964">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地下水</w:t>
            </w:r>
            <w:r>
              <w:rPr>
                <w:rFonts w:hint="eastAsia" w:cs="Times New Roman"/>
                <w:kern w:val="0"/>
                <w:sz w:val="21"/>
                <w:szCs w:val="21"/>
                <w:highlight w:val="none"/>
                <w:lang w:eastAsia="zh-CN"/>
              </w:rPr>
              <w:t>☑</w:t>
            </w:r>
          </w:p>
        </w:tc>
      </w:tr>
      <w:tr w14:paraId="1A80A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3" w:type="dxa"/>
            <w:gridSpan w:val="2"/>
            <w:vAlign w:val="center"/>
          </w:tcPr>
          <w:p w14:paraId="3CAB71C9">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事故情形分析</w:t>
            </w:r>
          </w:p>
        </w:tc>
        <w:tc>
          <w:tcPr>
            <w:tcW w:w="1031" w:type="dxa"/>
            <w:vAlign w:val="center"/>
          </w:tcPr>
          <w:p w14:paraId="2A879FC7">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源强设定方法</w:t>
            </w:r>
          </w:p>
        </w:tc>
        <w:tc>
          <w:tcPr>
            <w:tcW w:w="2251" w:type="dxa"/>
            <w:gridSpan w:val="3"/>
            <w:vAlign w:val="center"/>
          </w:tcPr>
          <w:p w14:paraId="0E2DF977">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计算</w:t>
            </w:r>
            <w:r>
              <w:rPr>
                <w:rFonts w:hint="eastAsia" w:cs="Times New Roman"/>
                <w:kern w:val="0"/>
                <w:sz w:val="21"/>
                <w:szCs w:val="21"/>
                <w:highlight w:val="none"/>
                <w:lang w:eastAsia="zh-CN"/>
              </w:rPr>
              <w:t>方法□</w:t>
            </w:r>
          </w:p>
        </w:tc>
        <w:tc>
          <w:tcPr>
            <w:tcW w:w="2077" w:type="dxa"/>
            <w:gridSpan w:val="2"/>
            <w:vAlign w:val="center"/>
          </w:tcPr>
          <w:p w14:paraId="68DFBE05">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经验估算法</w:t>
            </w:r>
            <w:r>
              <w:rPr>
                <w:rFonts w:hint="eastAsia" w:cs="Times New Roman"/>
                <w:kern w:val="0"/>
                <w:sz w:val="21"/>
                <w:szCs w:val="21"/>
                <w:highlight w:val="none"/>
                <w:lang w:eastAsia="zh-CN"/>
              </w:rPr>
              <w:t>□</w:t>
            </w:r>
          </w:p>
        </w:tc>
        <w:tc>
          <w:tcPr>
            <w:tcW w:w="2057" w:type="dxa"/>
            <w:gridSpan w:val="2"/>
            <w:vAlign w:val="center"/>
          </w:tcPr>
          <w:p w14:paraId="0979549A">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其他估算法</w:t>
            </w:r>
            <w:r>
              <w:rPr>
                <w:rFonts w:hint="eastAsia" w:cs="Times New Roman"/>
                <w:kern w:val="0"/>
                <w:sz w:val="21"/>
                <w:szCs w:val="21"/>
                <w:highlight w:val="none"/>
                <w:lang w:eastAsia="zh-CN"/>
              </w:rPr>
              <w:t>□</w:t>
            </w:r>
          </w:p>
        </w:tc>
      </w:tr>
      <w:tr w14:paraId="618E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restart"/>
            <w:vAlign w:val="center"/>
          </w:tcPr>
          <w:p w14:paraId="66531AC1">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风险预测与评价</w:t>
            </w:r>
          </w:p>
        </w:tc>
        <w:tc>
          <w:tcPr>
            <w:tcW w:w="1146" w:type="dxa"/>
            <w:vMerge w:val="restart"/>
            <w:vAlign w:val="center"/>
          </w:tcPr>
          <w:p w14:paraId="3DB32F3D">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大气</w:t>
            </w:r>
          </w:p>
        </w:tc>
        <w:tc>
          <w:tcPr>
            <w:tcW w:w="1031" w:type="dxa"/>
            <w:vAlign w:val="center"/>
          </w:tcPr>
          <w:p w14:paraId="4D929BDB">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预测模型</w:t>
            </w:r>
          </w:p>
        </w:tc>
        <w:tc>
          <w:tcPr>
            <w:tcW w:w="2251" w:type="dxa"/>
            <w:gridSpan w:val="3"/>
            <w:vAlign w:val="center"/>
          </w:tcPr>
          <w:p w14:paraId="4E93C1D4">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SLAB</w:t>
            </w:r>
            <w:r>
              <w:rPr>
                <w:rFonts w:hint="eastAsia" w:cs="Times New Roman"/>
                <w:kern w:val="0"/>
                <w:sz w:val="21"/>
                <w:szCs w:val="21"/>
                <w:highlight w:val="none"/>
                <w:lang w:eastAsia="zh-CN"/>
              </w:rPr>
              <w:t>□</w:t>
            </w:r>
          </w:p>
        </w:tc>
        <w:tc>
          <w:tcPr>
            <w:tcW w:w="2077" w:type="dxa"/>
            <w:gridSpan w:val="2"/>
            <w:vAlign w:val="center"/>
          </w:tcPr>
          <w:p w14:paraId="47E43449">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AFTOX</w:t>
            </w:r>
            <w:r>
              <w:rPr>
                <w:rFonts w:hint="eastAsia" w:cs="Times New Roman"/>
                <w:kern w:val="0"/>
                <w:sz w:val="21"/>
                <w:szCs w:val="21"/>
                <w:highlight w:val="none"/>
                <w:lang w:eastAsia="zh-CN"/>
              </w:rPr>
              <w:t>□</w:t>
            </w:r>
          </w:p>
        </w:tc>
        <w:tc>
          <w:tcPr>
            <w:tcW w:w="2057" w:type="dxa"/>
            <w:gridSpan w:val="2"/>
            <w:vAlign w:val="center"/>
          </w:tcPr>
          <w:p w14:paraId="5D685D5C">
            <w:pPr>
              <w:adjustRightInd w:val="0"/>
              <w:snapToGrid w:val="0"/>
              <w:spacing w:line="240" w:lineRule="auto"/>
              <w:ind w:firstLine="0" w:firstLineChars="0"/>
              <w:jc w:val="center"/>
              <w:rPr>
                <w:rFonts w:hint="eastAsia" w:eastAsia="宋体" w:cs="Times New Roman"/>
                <w:sz w:val="21"/>
                <w:szCs w:val="21"/>
                <w:highlight w:val="none"/>
                <w:lang w:eastAsia="zh-CN"/>
              </w:rPr>
            </w:pPr>
            <w:r>
              <w:rPr>
                <w:rFonts w:cs="Times New Roman"/>
                <w:kern w:val="0"/>
                <w:sz w:val="21"/>
                <w:szCs w:val="21"/>
                <w:highlight w:val="none"/>
              </w:rPr>
              <w:t>其他</w:t>
            </w:r>
            <w:r>
              <w:rPr>
                <w:rFonts w:hint="eastAsia" w:cs="Times New Roman"/>
                <w:kern w:val="0"/>
                <w:sz w:val="21"/>
                <w:szCs w:val="21"/>
                <w:highlight w:val="none"/>
                <w:lang w:eastAsia="zh-CN"/>
              </w:rPr>
              <w:t>□</w:t>
            </w:r>
          </w:p>
        </w:tc>
      </w:tr>
      <w:tr w14:paraId="367F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vAlign w:val="center"/>
          </w:tcPr>
          <w:p w14:paraId="10251894">
            <w:pPr>
              <w:adjustRightInd w:val="0"/>
              <w:snapToGrid w:val="0"/>
              <w:spacing w:line="240" w:lineRule="auto"/>
              <w:ind w:firstLine="0" w:firstLineChars="0"/>
              <w:jc w:val="center"/>
              <w:rPr>
                <w:rFonts w:cs="Times New Roman"/>
                <w:sz w:val="21"/>
                <w:szCs w:val="21"/>
                <w:highlight w:val="none"/>
              </w:rPr>
            </w:pPr>
          </w:p>
        </w:tc>
        <w:tc>
          <w:tcPr>
            <w:tcW w:w="1146" w:type="dxa"/>
            <w:vMerge w:val="continue"/>
            <w:vAlign w:val="center"/>
          </w:tcPr>
          <w:p w14:paraId="39695377">
            <w:pPr>
              <w:adjustRightInd w:val="0"/>
              <w:snapToGrid w:val="0"/>
              <w:spacing w:line="240" w:lineRule="auto"/>
              <w:ind w:firstLine="0" w:firstLineChars="0"/>
              <w:jc w:val="center"/>
              <w:rPr>
                <w:rFonts w:cs="Times New Roman"/>
                <w:sz w:val="21"/>
                <w:szCs w:val="21"/>
                <w:highlight w:val="none"/>
              </w:rPr>
            </w:pPr>
          </w:p>
        </w:tc>
        <w:tc>
          <w:tcPr>
            <w:tcW w:w="1031" w:type="dxa"/>
            <w:vMerge w:val="restart"/>
            <w:vAlign w:val="center"/>
          </w:tcPr>
          <w:p w14:paraId="0E63E8D6">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预测结果</w:t>
            </w:r>
          </w:p>
        </w:tc>
        <w:tc>
          <w:tcPr>
            <w:tcW w:w="6385" w:type="dxa"/>
            <w:gridSpan w:val="7"/>
            <w:vAlign w:val="center"/>
          </w:tcPr>
          <w:p w14:paraId="6E34CC7C">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大气毒性终点浓度-1最大影响范围m</w:t>
            </w:r>
          </w:p>
        </w:tc>
      </w:tr>
      <w:tr w14:paraId="1FD1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vAlign w:val="center"/>
          </w:tcPr>
          <w:p w14:paraId="25526A19">
            <w:pPr>
              <w:adjustRightInd w:val="0"/>
              <w:snapToGrid w:val="0"/>
              <w:spacing w:line="240" w:lineRule="auto"/>
              <w:ind w:firstLine="0" w:firstLineChars="0"/>
              <w:jc w:val="center"/>
              <w:rPr>
                <w:rFonts w:cs="Times New Roman"/>
                <w:sz w:val="21"/>
                <w:szCs w:val="21"/>
                <w:highlight w:val="none"/>
              </w:rPr>
            </w:pPr>
          </w:p>
        </w:tc>
        <w:tc>
          <w:tcPr>
            <w:tcW w:w="1146" w:type="dxa"/>
            <w:vMerge w:val="continue"/>
            <w:vAlign w:val="center"/>
          </w:tcPr>
          <w:p w14:paraId="0B4C7A63">
            <w:pPr>
              <w:adjustRightInd w:val="0"/>
              <w:snapToGrid w:val="0"/>
              <w:spacing w:line="240" w:lineRule="auto"/>
              <w:ind w:firstLine="0" w:firstLineChars="0"/>
              <w:jc w:val="center"/>
              <w:rPr>
                <w:rFonts w:cs="Times New Roman"/>
                <w:sz w:val="21"/>
                <w:szCs w:val="21"/>
                <w:highlight w:val="none"/>
              </w:rPr>
            </w:pPr>
          </w:p>
        </w:tc>
        <w:tc>
          <w:tcPr>
            <w:tcW w:w="1031" w:type="dxa"/>
            <w:vMerge w:val="continue"/>
            <w:vAlign w:val="center"/>
          </w:tcPr>
          <w:p w14:paraId="6C73393A">
            <w:pPr>
              <w:adjustRightInd w:val="0"/>
              <w:snapToGrid w:val="0"/>
              <w:spacing w:line="240" w:lineRule="auto"/>
              <w:ind w:firstLine="0" w:firstLineChars="0"/>
              <w:jc w:val="center"/>
              <w:rPr>
                <w:rFonts w:cs="Times New Roman"/>
                <w:sz w:val="21"/>
                <w:szCs w:val="21"/>
                <w:highlight w:val="none"/>
              </w:rPr>
            </w:pPr>
          </w:p>
        </w:tc>
        <w:tc>
          <w:tcPr>
            <w:tcW w:w="6385" w:type="dxa"/>
            <w:gridSpan w:val="7"/>
            <w:vAlign w:val="center"/>
          </w:tcPr>
          <w:p w14:paraId="3F004BEE">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大气毒性终点浓度-2最大影响范围m</w:t>
            </w:r>
          </w:p>
        </w:tc>
      </w:tr>
      <w:tr w14:paraId="2020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vAlign w:val="center"/>
          </w:tcPr>
          <w:p w14:paraId="1A94CD50">
            <w:pPr>
              <w:adjustRightInd w:val="0"/>
              <w:snapToGrid w:val="0"/>
              <w:spacing w:line="240" w:lineRule="auto"/>
              <w:ind w:firstLine="0" w:firstLineChars="0"/>
              <w:jc w:val="center"/>
              <w:rPr>
                <w:rFonts w:cs="Times New Roman"/>
                <w:sz w:val="21"/>
                <w:szCs w:val="21"/>
                <w:highlight w:val="none"/>
              </w:rPr>
            </w:pPr>
          </w:p>
        </w:tc>
        <w:tc>
          <w:tcPr>
            <w:tcW w:w="1146" w:type="dxa"/>
            <w:vAlign w:val="center"/>
          </w:tcPr>
          <w:p w14:paraId="1245EA30">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地表水</w:t>
            </w:r>
          </w:p>
        </w:tc>
        <w:tc>
          <w:tcPr>
            <w:tcW w:w="7416" w:type="dxa"/>
            <w:gridSpan w:val="8"/>
            <w:vAlign w:val="center"/>
          </w:tcPr>
          <w:p w14:paraId="139CCDB1">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最近环境敏感目标</w:t>
            </w:r>
            <w:r>
              <w:rPr>
                <w:rFonts w:cs="Times New Roman"/>
                <w:kern w:val="0"/>
                <w:sz w:val="21"/>
                <w:szCs w:val="21"/>
                <w:highlight w:val="none"/>
                <w:u w:val="single"/>
              </w:rPr>
              <w:t>/</w:t>
            </w:r>
            <w:r>
              <w:rPr>
                <w:rFonts w:cs="Times New Roman"/>
                <w:kern w:val="0"/>
                <w:sz w:val="21"/>
                <w:szCs w:val="21"/>
                <w:highlight w:val="none"/>
              </w:rPr>
              <w:t>，到达时间</w:t>
            </w:r>
            <w:r>
              <w:rPr>
                <w:rFonts w:cs="Times New Roman"/>
                <w:kern w:val="0"/>
                <w:sz w:val="21"/>
                <w:szCs w:val="21"/>
                <w:highlight w:val="none"/>
                <w:u w:val="single"/>
              </w:rPr>
              <w:t>/</w:t>
            </w:r>
            <w:r>
              <w:rPr>
                <w:rFonts w:cs="Times New Roman"/>
                <w:kern w:val="0"/>
                <w:sz w:val="21"/>
                <w:szCs w:val="21"/>
                <w:highlight w:val="none"/>
              </w:rPr>
              <w:t>h</w:t>
            </w:r>
          </w:p>
        </w:tc>
      </w:tr>
      <w:tr w14:paraId="5037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vAlign w:val="center"/>
          </w:tcPr>
          <w:p w14:paraId="45FDEC1C">
            <w:pPr>
              <w:adjustRightInd w:val="0"/>
              <w:snapToGrid w:val="0"/>
              <w:spacing w:line="240" w:lineRule="auto"/>
              <w:ind w:firstLine="0" w:firstLineChars="0"/>
              <w:jc w:val="center"/>
              <w:rPr>
                <w:rFonts w:cs="Times New Roman"/>
                <w:sz w:val="21"/>
                <w:szCs w:val="21"/>
                <w:highlight w:val="none"/>
              </w:rPr>
            </w:pPr>
          </w:p>
        </w:tc>
        <w:tc>
          <w:tcPr>
            <w:tcW w:w="1146" w:type="dxa"/>
            <w:vMerge w:val="restart"/>
            <w:vAlign w:val="center"/>
          </w:tcPr>
          <w:p w14:paraId="306DE8F4">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地下水</w:t>
            </w:r>
          </w:p>
        </w:tc>
        <w:tc>
          <w:tcPr>
            <w:tcW w:w="7416" w:type="dxa"/>
            <w:gridSpan w:val="8"/>
            <w:vAlign w:val="center"/>
          </w:tcPr>
          <w:p w14:paraId="4DC90E87">
            <w:pPr>
              <w:adjustRightInd w:val="0"/>
              <w:snapToGrid w:val="0"/>
              <w:spacing w:line="240" w:lineRule="auto"/>
              <w:ind w:firstLine="0" w:firstLineChars="0"/>
              <w:jc w:val="center"/>
              <w:rPr>
                <w:rFonts w:hint="eastAsia" w:eastAsia="宋体" w:cs="Times New Roman"/>
                <w:sz w:val="21"/>
                <w:szCs w:val="21"/>
                <w:highlight w:val="none"/>
                <w:lang w:val="en-US" w:eastAsia="zh-CN"/>
              </w:rPr>
            </w:pPr>
            <w:r>
              <w:rPr>
                <w:rFonts w:hint="eastAsia"/>
                <w:highlight w:val="none"/>
              </w:rPr>
              <w:t>下游厂区边界到达时间/d</w:t>
            </w:r>
          </w:p>
        </w:tc>
      </w:tr>
      <w:tr w14:paraId="5470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Merge w:val="continue"/>
            <w:vAlign w:val="center"/>
          </w:tcPr>
          <w:p w14:paraId="6275D067">
            <w:pPr>
              <w:adjustRightInd w:val="0"/>
              <w:snapToGrid w:val="0"/>
              <w:spacing w:line="240" w:lineRule="auto"/>
              <w:ind w:firstLine="0" w:firstLineChars="0"/>
              <w:jc w:val="center"/>
              <w:rPr>
                <w:rFonts w:cs="Times New Roman"/>
                <w:sz w:val="21"/>
                <w:szCs w:val="21"/>
                <w:highlight w:val="none"/>
              </w:rPr>
            </w:pPr>
          </w:p>
        </w:tc>
        <w:tc>
          <w:tcPr>
            <w:tcW w:w="1146" w:type="dxa"/>
            <w:vMerge w:val="continue"/>
            <w:vAlign w:val="center"/>
          </w:tcPr>
          <w:p w14:paraId="43538D81">
            <w:pPr>
              <w:adjustRightInd w:val="0"/>
              <w:snapToGrid w:val="0"/>
              <w:spacing w:line="240" w:lineRule="auto"/>
              <w:ind w:firstLine="0" w:firstLineChars="0"/>
              <w:jc w:val="center"/>
              <w:rPr>
                <w:rFonts w:cs="Times New Roman"/>
                <w:sz w:val="21"/>
                <w:szCs w:val="21"/>
                <w:highlight w:val="none"/>
              </w:rPr>
            </w:pPr>
          </w:p>
        </w:tc>
        <w:tc>
          <w:tcPr>
            <w:tcW w:w="7416" w:type="dxa"/>
            <w:gridSpan w:val="8"/>
            <w:vAlign w:val="center"/>
          </w:tcPr>
          <w:p w14:paraId="64679226">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最近环境敏感目标</w:t>
            </w:r>
            <w:r>
              <w:rPr>
                <w:rFonts w:cs="Times New Roman"/>
                <w:kern w:val="0"/>
                <w:sz w:val="21"/>
                <w:szCs w:val="21"/>
                <w:highlight w:val="none"/>
                <w:u w:val="single"/>
              </w:rPr>
              <w:t>/</w:t>
            </w:r>
            <w:r>
              <w:rPr>
                <w:rFonts w:cs="Times New Roman"/>
                <w:kern w:val="0"/>
                <w:sz w:val="21"/>
                <w:szCs w:val="21"/>
                <w:highlight w:val="none"/>
              </w:rPr>
              <w:t>，到达时间</w:t>
            </w:r>
            <w:r>
              <w:rPr>
                <w:rFonts w:cs="Times New Roman"/>
                <w:kern w:val="0"/>
                <w:sz w:val="21"/>
                <w:szCs w:val="21"/>
                <w:highlight w:val="none"/>
                <w:u w:val="single"/>
              </w:rPr>
              <w:t>/</w:t>
            </w:r>
            <w:r>
              <w:rPr>
                <w:rFonts w:cs="Times New Roman"/>
                <w:kern w:val="0"/>
                <w:sz w:val="21"/>
                <w:szCs w:val="21"/>
                <w:highlight w:val="none"/>
              </w:rPr>
              <w:t>d</w:t>
            </w:r>
          </w:p>
        </w:tc>
      </w:tr>
      <w:tr w14:paraId="5A45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3" w:type="dxa"/>
            <w:gridSpan w:val="2"/>
            <w:vAlign w:val="center"/>
          </w:tcPr>
          <w:p w14:paraId="6B57C0E6">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重点风险防范措施</w:t>
            </w:r>
          </w:p>
        </w:tc>
        <w:tc>
          <w:tcPr>
            <w:tcW w:w="7416" w:type="dxa"/>
            <w:gridSpan w:val="8"/>
            <w:vAlign w:val="center"/>
          </w:tcPr>
          <w:p w14:paraId="0E47A23C">
            <w:pPr>
              <w:adjustRightInd w:val="0"/>
              <w:snapToGrid w:val="0"/>
              <w:spacing w:line="240" w:lineRule="auto"/>
              <w:ind w:firstLine="420"/>
              <w:jc w:val="left"/>
              <w:rPr>
                <w:rFonts w:cs="Times New Roman"/>
                <w:sz w:val="21"/>
                <w:szCs w:val="21"/>
                <w:highlight w:val="none"/>
              </w:rPr>
            </w:pPr>
            <w:r>
              <w:rPr>
                <w:rFonts w:cs="Times New Roman"/>
                <w:sz w:val="21"/>
                <w:szCs w:val="21"/>
                <w:highlight w:val="none"/>
              </w:rPr>
              <w:t>（1）大气环境风险防控措施</w:t>
            </w:r>
          </w:p>
          <w:p w14:paraId="1F2BC5DE">
            <w:pPr>
              <w:adjustRightInd w:val="0"/>
              <w:snapToGrid w:val="0"/>
              <w:spacing w:line="240" w:lineRule="auto"/>
              <w:ind w:firstLine="420" w:firstLineChars="20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便于计量和快速切断，在合成脱碳尾气、未变换净化气、WRT甲烷气、回用水、富甲烷气</w:t>
            </w:r>
            <w:r>
              <w:rPr>
                <w:rFonts w:hint="eastAsia" w:cs="Times New Roman"/>
                <w:sz w:val="21"/>
                <w:szCs w:val="21"/>
                <w:highlight w:val="none"/>
                <w:lang w:val="en-US" w:eastAsia="zh-CN"/>
              </w:rPr>
              <w:t>等</w:t>
            </w:r>
            <w:r>
              <w:rPr>
                <w:rFonts w:hint="eastAsia" w:ascii="Times New Roman" w:hAnsi="Times New Roman" w:eastAsia="宋体" w:cs="Times New Roman"/>
                <w:sz w:val="21"/>
                <w:szCs w:val="21"/>
                <w:highlight w:val="none"/>
                <w:lang w:val="en-US" w:eastAsia="zh-CN"/>
              </w:rPr>
              <w:t>管道上设置快速切断阀，WRT甲烷气和污水2管线设置压力调节阀组和流量计，其</w:t>
            </w:r>
            <w:r>
              <w:rPr>
                <w:rFonts w:hint="eastAsia" w:cs="Times New Roman"/>
                <w:sz w:val="21"/>
                <w:szCs w:val="21"/>
                <w:highlight w:val="none"/>
                <w:lang w:val="en-US" w:eastAsia="zh-CN"/>
              </w:rPr>
              <w:t>他</w:t>
            </w:r>
            <w:r>
              <w:rPr>
                <w:rFonts w:hint="eastAsia" w:ascii="Times New Roman" w:hAnsi="Times New Roman" w:eastAsia="宋体" w:cs="Times New Roman"/>
                <w:sz w:val="21"/>
                <w:szCs w:val="21"/>
                <w:highlight w:val="none"/>
                <w:lang w:val="en-US" w:eastAsia="zh-CN"/>
              </w:rPr>
              <w:t>工艺和公用工程管道仅设置流量计用于计量结算，管线末端设置手动切断阀组。在物料输出端和接收端设置中控系统和紧急切断阀，阀门和仪表的控制信号接入伊泰化工公司DCS系统。</w:t>
            </w:r>
          </w:p>
          <w:p w14:paraId="3E400A66">
            <w:pPr>
              <w:adjustRightInd w:val="0"/>
              <w:snapToGrid w:val="0"/>
              <w:spacing w:line="240" w:lineRule="auto"/>
              <w:ind w:firstLine="420"/>
              <w:jc w:val="left"/>
              <w:rPr>
                <w:rFonts w:cs="Times New Roman"/>
                <w:sz w:val="21"/>
                <w:szCs w:val="21"/>
                <w:highlight w:val="none"/>
              </w:rPr>
            </w:pPr>
            <w:r>
              <w:rPr>
                <w:rFonts w:cs="Times New Roman"/>
                <w:sz w:val="21"/>
                <w:szCs w:val="21"/>
                <w:highlight w:val="none"/>
              </w:rPr>
              <w:t>（2）事故废水风险防控措施</w:t>
            </w:r>
          </w:p>
          <w:p w14:paraId="1126802F">
            <w:pPr>
              <w:adjustRightInd w:val="0"/>
              <w:snapToGrid w:val="0"/>
              <w:spacing w:line="240" w:lineRule="auto"/>
              <w:ind w:firstLine="420" w:firstLineChars="200"/>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本项目依托</w:t>
            </w:r>
            <w:r>
              <w:rPr>
                <w:rFonts w:hint="eastAsia" w:ascii="Times New Roman" w:hAnsi="Times New Roman" w:eastAsia="宋体" w:cs="Times New Roman"/>
                <w:sz w:val="21"/>
                <w:szCs w:val="21"/>
                <w:highlight w:val="none"/>
              </w:rPr>
              <w:t>内蒙古伊泰化工有限责任公司120万吨/年精细化学品示范项目已经建立</w:t>
            </w:r>
            <w:r>
              <w:rPr>
                <w:rFonts w:hint="eastAsia" w:ascii="Times New Roman" w:hAnsi="Times New Roman" w:eastAsia="宋体" w:cs="Times New Roman"/>
                <w:sz w:val="21"/>
                <w:szCs w:val="21"/>
                <w:highlight w:val="none"/>
                <w:lang w:eastAsia="zh-CN"/>
              </w:rPr>
              <w:t>的</w:t>
            </w:r>
            <w:r>
              <w:rPr>
                <w:rFonts w:hint="eastAsia" w:cs="Times New Roman"/>
                <w:sz w:val="21"/>
                <w:szCs w:val="21"/>
                <w:highlight w:val="none"/>
                <w:lang w:eastAsia="zh-CN"/>
              </w:rPr>
              <w:t>“</w:t>
            </w:r>
            <w:r>
              <w:rPr>
                <w:rFonts w:hint="default" w:ascii="Times New Roman" w:hAnsi="Times New Roman" w:eastAsia="宋体" w:cs="Times New Roman"/>
                <w:sz w:val="21"/>
                <w:szCs w:val="21"/>
                <w:highlight w:val="none"/>
              </w:rPr>
              <w:t>单元——厂区——工业园区</w:t>
            </w:r>
            <w:r>
              <w:rPr>
                <w:rFonts w:hint="eastAsia" w:cs="Times New Roman"/>
                <w:sz w:val="21"/>
                <w:szCs w:val="21"/>
                <w:highlight w:val="none"/>
                <w:lang w:eastAsia="zh-CN"/>
              </w:rPr>
              <w:t>”</w:t>
            </w:r>
            <w:r>
              <w:rPr>
                <w:rFonts w:hint="default" w:ascii="Times New Roman" w:hAnsi="Times New Roman" w:eastAsia="宋体" w:cs="Times New Roman"/>
                <w:sz w:val="21"/>
                <w:szCs w:val="21"/>
                <w:highlight w:val="none"/>
              </w:rPr>
              <w:t>的环境风险防控体系</w:t>
            </w:r>
            <w:r>
              <w:rPr>
                <w:rFonts w:hint="eastAsia" w:cs="Times New Roman"/>
                <w:sz w:val="21"/>
                <w:szCs w:val="21"/>
                <w:highlight w:val="none"/>
                <w:lang w:eastAsia="zh-CN"/>
              </w:rPr>
              <w:t>：</w:t>
            </w:r>
          </w:p>
          <w:p w14:paraId="4613FB0C">
            <w:pPr>
              <w:adjustRightInd w:val="0"/>
              <w:snapToGrid w:val="0"/>
              <w:spacing w:line="240" w:lineRule="auto"/>
              <w:ind w:firstLine="420" w:firstLineChars="200"/>
              <w:rPr>
                <w:rFonts w:hint="eastAsia"/>
                <w:sz w:val="21"/>
                <w:szCs w:val="21"/>
                <w:highlight w:val="none"/>
                <w:lang w:eastAsia="zh-CN"/>
              </w:rPr>
            </w:pPr>
            <w:r>
              <w:rPr>
                <w:sz w:val="21"/>
                <w:szCs w:val="21"/>
                <w:highlight w:val="none"/>
              </w:rPr>
              <w:t>一级预防控制</w:t>
            </w:r>
            <w:r>
              <w:rPr>
                <w:rFonts w:hint="eastAsia"/>
                <w:sz w:val="21"/>
                <w:szCs w:val="21"/>
                <w:highlight w:val="none"/>
                <w:lang w:eastAsia="zh-CN"/>
              </w:rPr>
              <w:t>体系</w:t>
            </w:r>
            <w:r>
              <w:rPr>
                <w:sz w:val="21"/>
                <w:szCs w:val="21"/>
                <w:highlight w:val="none"/>
              </w:rPr>
              <w:t>：在装置、罐区周围建设围堰、围堤以及罐区、装置区内建设的初期雨水收集池作为一级预防与控制体系，防止</w:t>
            </w:r>
            <w:r>
              <w:rPr>
                <w:rFonts w:hint="eastAsia"/>
                <w:sz w:val="21"/>
                <w:szCs w:val="21"/>
                <w:highlight w:val="none"/>
                <w:lang w:eastAsia="zh-CN"/>
              </w:rPr>
              <w:t>因</w:t>
            </w:r>
            <w:r>
              <w:rPr>
                <w:sz w:val="21"/>
                <w:szCs w:val="21"/>
                <w:highlight w:val="none"/>
              </w:rPr>
              <w:t>雨污染和轻微事故泄漏造成的环境污染。装置围堰</w:t>
            </w:r>
            <w:r>
              <w:rPr>
                <w:rFonts w:hint="eastAsia"/>
                <w:sz w:val="21"/>
                <w:szCs w:val="21"/>
                <w:highlight w:val="none"/>
                <w:lang w:eastAsia="zh-CN"/>
              </w:rPr>
              <w:t>深度</w:t>
            </w:r>
            <w:r>
              <w:rPr>
                <w:sz w:val="21"/>
                <w:szCs w:val="21"/>
                <w:highlight w:val="none"/>
              </w:rPr>
              <w:t>不低于150mm</w:t>
            </w:r>
            <w:r>
              <w:rPr>
                <w:rFonts w:hint="eastAsia"/>
                <w:sz w:val="21"/>
                <w:szCs w:val="21"/>
                <w:highlight w:val="none"/>
                <w:lang w:eastAsia="zh-CN"/>
              </w:rPr>
              <w:t>。</w:t>
            </w:r>
          </w:p>
          <w:p w14:paraId="491BB551">
            <w:pPr>
              <w:adjustRightInd w:val="0"/>
              <w:snapToGrid w:val="0"/>
              <w:spacing w:line="240" w:lineRule="auto"/>
              <w:ind w:firstLine="420" w:firstLineChars="200"/>
              <w:rPr>
                <w:sz w:val="21"/>
                <w:szCs w:val="21"/>
                <w:highlight w:val="none"/>
              </w:rPr>
            </w:pPr>
            <w:r>
              <w:rPr>
                <w:sz w:val="21"/>
                <w:szCs w:val="21"/>
                <w:highlight w:val="none"/>
              </w:rPr>
              <w:t>二级预防控制</w:t>
            </w:r>
            <w:r>
              <w:rPr>
                <w:rFonts w:hint="eastAsia"/>
                <w:sz w:val="21"/>
                <w:szCs w:val="21"/>
                <w:highlight w:val="none"/>
                <w:lang w:eastAsia="zh-CN"/>
              </w:rPr>
              <w:t>体系</w:t>
            </w:r>
            <w:r>
              <w:rPr>
                <w:sz w:val="21"/>
                <w:szCs w:val="21"/>
                <w:highlight w:val="none"/>
              </w:rPr>
              <w:t>：1座30000m</w:t>
            </w:r>
            <w:r>
              <w:rPr>
                <w:sz w:val="21"/>
                <w:szCs w:val="21"/>
                <w:highlight w:val="none"/>
                <w:vertAlign w:val="superscript"/>
              </w:rPr>
              <w:t>3</w:t>
            </w:r>
            <w:r>
              <w:rPr>
                <w:sz w:val="21"/>
                <w:szCs w:val="21"/>
                <w:highlight w:val="none"/>
              </w:rPr>
              <w:t>的消防事故水收集池，作为二级</w:t>
            </w:r>
            <w:r>
              <w:rPr>
                <w:rFonts w:hint="eastAsia"/>
                <w:sz w:val="21"/>
                <w:szCs w:val="21"/>
                <w:highlight w:val="none"/>
                <w:lang w:eastAsia="zh-CN"/>
              </w:rPr>
              <w:t>预防</w:t>
            </w:r>
            <w:r>
              <w:rPr>
                <w:sz w:val="21"/>
                <w:szCs w:val="21"/>
                <w:highlight w:val="none"/>
              </w:rPr>
              <w:t>控制体系。</w:t>
            </w:r>
          </w:p>
          <w:p w14:paraId="0904D246">
            <w:pPr>
              <w:adjustRightInd w:val="0"/>
              <w:snapToGrid w:val="0"/>
              <w:spacing w:line="240" w:lineRule="auto"/>
              <w:ind w:firstLine="420" w:firstLineChars="200"/>
              <w:rPr>
                <w:rFonts w:hint="default" w:ascii="Times New Roman" w:hAnsi="Times New Roman" w:eastAsia="宋体" w:cs="Times New Roman"/>
                <w:sz w:val="21"/>
                <w:szCs w:val="21"/>
                <w:highlight w:val="none"/>
              </w:rPr>
            </w:pPr>
            <w:r>
              <w:rPr>
                <w:sz w:val="21"/>
                <w:szCs w:val="21"/>
                <w:highlight w:val="none"/>
              </w:rPr>
              <w:t>三级预防控制</w:t>
            </w:r>
            <w:r>
              <w:rPr>
                <w:rFonts w:hint="eastAsia"/>
                <w:sz w:val="21"/>
                <w:szCs w:val="21"/>
                <w:highlight w:val="none"/>
                <w:lang w:eastAsia="zh-CN"/>
              </w:rPr>
              <w:t>体系</w:t>
            </w:r>
            <w:r>
              <w:rPr>
                <w:sz w:val="21"/>
                <w:szCs w:val="21"/>
                <w:highlight w:val="none"/>
              </w:rPr>
              <w:t>：</w:t>
            </w:r>
            <w:r>
              <w:rPr>
                <w:rFonts w:hint="eastAsia" w:ascii="Times New Roman" w:hAnsi="Times New Roman" w:eastAsia="宋体" w:cs="Times New Roman"/>
                <w:sz w:val="21"/>
                <w:szCs w:val="21"/>
                <w:highlight w:val="none"/>
              </w:rPr>
              <w:t>独贵塔拉产业园（南区）</w:t>
            </w:r>
            <w:r>
              <w:rPr>
                <w:rFonts w:hint="eastAsia" w:cs="Times New Roman"/>
                <w:sz w:val="21"/>
                <w:szCs w:val="21"/>
                <w:highlight w:val="none"/>
                <w:lang w:eastAsia="zh-CN"/>
              </w:rPr>
              <w:t>目前没有</w:t>
            </w:r>
            <w:r>
              <w:rPr>
                <w:rFonts w:hint="eastAsia" w:ascii="Times New Roman" w:hAnsi="Times New Roman" w:eastAsia="宋体" w:cs="Times New Roman"/>
                <w:sz w:val="21"/>
                <w:szCs w:val="21"/>
                <w:highlight w:val="none"/>
              </w:rPr>
              <w:t>大型事故应急水池，现有</w:t>
            </w:r>
            <w:r>
              <w:rPr>
                <w:rFonts w:hint="eastAsia" w:cs="Times New Roman"/>
                <w:sz w:val="21"/>
                <w:szCs w:val="21"/>
                <w:highlight w:val="none"/>
                <w:lang w:eastAsia="zh-CN"/>
              </w:rPr>
              <w:t>的</w:t>
            </w:r>
            <w:r>
              <w:rPr>
                <w:rFonts w:hint="eastAsia" w:ascii="Times New Roman" w:hAnsi="Times New Roman" w:eastAsia="宋体" w:cs="Times New Roman"/>
                <w:sz w:val="21"/>
                <w:szCs w:val="21"/>
                <w:highlight w:val="none"/>
              </w:rPr>
              <w:t>事故应急水池主要</w:t>
            </w:r>
            <w:r>
              <w:rPr>
                <w:rFonts w:hint="eastAsia" w:cs="Times New Roman"/>
                <w:sz w:val="21"/>
                <w:szCs w:val="21"/>
                <w:highlight w:val="none"/>
                <w:lang w:eastAsia="zh-CN"/>
              </w:rPr>
              <w:t>是</w:t>
            </w:r>
            <w:r>
              <w:rPr>
                <w:rFonts w:hint="eastAsia" w:ascii="Times New Roman" w:hAnsi="Times New Roman" w:eastAsia="宋体" w:cs="Times New Roman"/>
                <w:sz w:val="21"/>
                <w:szCs w:val="21"/>
                <w:highlight w:val="none"/>
              </w:rPr>
              <w:t>企业自建</w:t>
            </w:r>
            <w:r>
              <w:rPr>
                <w:rFonts w:hint="eastAsia" w:cs="Times New Roman"/>
                <w:sz w:val="21"/>
                <w:szCs w:val="21"/>
                <w:highlight w:val="none"/>
                <w:lang w:eastAsia="zh-CN"/>
              </w:rPr>
              <w:t>的</w:t>
            </w:r>
            <w:r>
              <w:rPr>
                <w:rFonts w:hint="eastAsia" w:ascii="Times New Roman" w:hAnsi="Times New Roman" w:eastAsia="宋体" w:cs="Times New Roman"/>
                <w:sz w:val="21"/>
                <w:szCs w:val="21"/>
                <w:highlight w:val="none"/>
              </w:rPr>
              <w:t>；</w:t>
            </w:r>
            <w:r>
              <w:rPr>
                <w:rFonts w:hint="eastAsia" w:cs="Times New Roman"/>
                <w:sz w:val="21"/>
                <w:szCs w:val="21"/>
                <w:highlight w:val="none"/>
                <w:lang w:val="en-US" w:eastAsia="zh-CN"/>
              </w:rPr>
              <w:t>规划</w:t>
            </w:r>
            <w:r>
              <w:rPr>
                <w:rFonts w:hint="eastAsia" w:ascii="Times New Roman" w:hAnsi="Times New Roman" w:eastAsia="宋体" w:cs="Times New Roman"/>
                <w:sz w:val="21"/>
                <w:szCs w:val="21"/>
                <w:highlight w:val="none"/>
                <w:lang w:val="en-US" w:eastAsia="zh-CN"/>
              </w:rPr>
              <w:t>拟在</w:t>
            </w:r>
            <w:r>
              <w:rPr>
                <w:rFonts w:hint="eastAsia" w:ascii="Times New Roman" w:hAnsi="Times New Roman" w:eastAsia="宋体" w:cs="Times New Roman"/>
                <w:sz w:val="21"/>
                <w:szCs w:val="21"/>
                <w:highlight w:val="none"/>
              </w:rPr>
              <w:t>独贵塔拉产业园（南区）规划北侧新建一座容积2.5万m</w:t>
            </w:r>
            <w:r>
              <w:rPr>
                <w:rFonts w:hint="eastAsia" w:ascii="Times New Roman" w:hAnsi="Times New Roman" w:eastAsia="宋体" w:cs="Times New Roman"/>
                <w:sz w:val="21"/>
                <w:szCs w:val="21"/>
                <w:highlight w:val="none"/>
                <w:vertAlign w:val="superscript"/>
              </w:rPr>
              <w:t>3</w:t>
            </w:r>
            <w:r>
              <w:rPr>
                <w:rFonts w:hint="eastAsia" w:ascii="Times New Roman" w:hAnsi="Times New Roman" w:eastAsia="宋体" w:cs="Times New Roman"/>
                <w:sz w:val="21"/>
                <w:szCs w:val="21"/>
                <w:highlight w:val="none"/>
              </w:rPr>
              <w:t>的事故水池，用于收集独贵塔拉产业园（南区）各企业的事故水</w:t>
            </w:r>
            <w:r>
              <w:rPr>
                <w:rFonts w:hint="default" w:ascii="Times New Roman" w:hAnsi="Times New Roman" w:eastAsia="宋体" w:cs="Times New Roman"/>
                <w:sz w:val="21"/>
                <w:szCs w:val="21"/>
                <w:highlight w:val="none"/>
              </w:rPr>
              <w:t>以满足事故状态下收集泄漏物料、污染消防水和污染雨水的需要</w:t>
            </w:r>
            <w:r>
              <w:rPr>
                <w:rFonts w:hint="eastAsia" w:ascii="Times New Roman" w:hAnsi="Times New Roman" w:eastAsia="宋体" w:cs="Times New Roman"/>
                <w:sz w:val="21"/>
                <w:szCs w:val="21"/>
                <w:highlight w:val="none"/>
                <w:lang w:eastAsia="zh-CN"/>
              </w:rPr>
              <w:t>。</w:t>
            </w:r>
            <w:r>
              <w:rPr>
                <w:rFonts w:ascii="Times New Roman" w:hAnsi="Times New Roman" w:eastAsia="宋体" w:cs="Times New Roman"/>
                <w:sz w:val="21"/>
                <w:szCs w:val="21"/>
                <w:highlight w:val="none"/>
              </w:rPr>
              <w:t>园区事故水池未建设前，园区级事故废水防控措施依托内蒙古伊泰化工有限责任公司应急事故水池（容积30000m</w:t>
            </w:r>
            <w:r>
              <w:rPr>
                <w:rFonts w:ascii="Times New Roman" w:hAnsi="Times New Roman" w:eastAsia="宋体" w:cs="Times New Roman"/>
                <w:sz w:val="21"/>
                <w:szCs w:val="21"/>
                <w:highlight w:val="none"/>
                <w:vertAlign w:val="superscript"/>
              </w:rPr>
              <w:t>3</w:t>
            </w:r>
            <w:r>
              <w:rPr>
                <w:rFonts w:ascii="Times New Roman" w:hAnsi="Times New Roman" w:eastAsia="宋体" w:cs="Times New Roman"/>
                <w:sz w:val="21"/>
                <w:szCs w:val="21"/>
                <w:highlight w:val="none"/>
              </w:rPr>
              <w:t>），可确保消防事故废水不进入外环境</w:t>
            </w:r>
            <w:r>
              <w:rPr>
                <w:rFonts w:hint="default" w:ascii="Times New Roman" w:hAnsi="Times New Roman" w:eastAsia="宋体" w:cs="Times New Roman"/>
                <w:sz w:val="21"/>
                <w:szCs w:val="21"/>
                <w:highlight w:val="none"/>
              </w:rPr>
              <w:t>。</w:t>
            </w:r>
          </w:p>
          <w:p w14:paraId="77C2E48F">
            <w:pPr>
              <w:adjustRightInd w:val="0"/>
              <w:snapToGrid w:val="0"/>
              <w:spacing w:line="240" w:lineRule="auto"/>
              <w:ind w:firstLine="420"/>
              <w:jc w:val="left"/>
              <w:rPr>
                <w:rFonts w:cs="Times New Roman"/>
                <w:sz w:val="21"/>
                <w:szCs w:val="21"/>
                <w:highlight w:val="none"/>
              </w:rPr>
            </w:pPr>
            <w:r>
              <w:rPr>
                <w:rFonts w:cs="Times New Roman"/>
                <w:sz w:val="21"/>
                <w:szCs w:val="21"/>
                <w:highlight w:val="none"/>
              </w:rPr>
              <w:t>（3）地下水风险防控措施</w:t>
            </w:r>
          </w:p>
          <w:p w14:paraId="7F2CF095">
            <w:pPr>
              <w:adjustRightInd w:val="0"/>
              <w:snapToGrid w:val="0"/>
              <w:spacing w:line="240" w:lineRule="auto"/>
              <w:ind w:firstLine="420"/>
              <w:jc w:val="left"/>
              <w:rPr>
                <w:rFonts w:cs="Times New Roman"/>
                <w:sz w:val="21"/>
                <w:szCs w:val="21"/>
                <w:highlight w:val="none"/>
              </w:rPr>
            </w:pPr>
            <w:r>
              <w:rPr>
                <w:rFonts w:cs="Times New Roman"/>
                <w:sz w:val="21"/>
                <w:szCs w:val="21"/>
                <w:highlight w:val="none"/>
              </w:rPr>
              <w:t>本项目采取了源头控制、末端控制、污染监控、应急响应等地下水风险防范措施。</w:t>
            </w:r>
          </w:p>
          <w:p w14:paraId="7FD4531D">
            <w:pPr>
              <w:adjustRightInd w:val="0"/>
              <w:snapToGrid w:val="0"/>
              <w:spacing w:line="240" w:lineRule="auto"/>
              <w:ind w:firstLine="420"/>
              <w:jc w:val="left"/>
              <w:rPr>
                <w:rFonts w:cs="Times New Roman"/>
                <w:sz w:val="21"/>
                <w:szCs w:val="21"/>
                <w:highlight w:val="none"/>
              </w:rPr>
            </w:pPr>
            <w:r>
              <w:rPr>
                <w:rFonts w:cs="Times New Roman"/>
                <w:sz w:val="21"/>
                <w:szCs w:val="21"/>
                <w:highlight w:val="none"/>
              </w:rPr>
              <w:t>（4）突发环境事件应急预案</w:t>
            </w:r>
          </w:p>
          <w:p w14:paraId="76A3523F">
            <w:pPr>
              <w:adjustRightInd w:val="0"/>
              <w:snapToGrid w:val="0"/>
              <w:ind w:firstLine="420" w:firstLineChars="200"/>
              <w:jc w:val="both"/>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将本管道纳入</w:t>
            </w:r>
            <w:r>
              <w:rPr>
                <w:rFonts w:hint="default" w:ascii="Times New Roman" w:hAnsi="Times New Roman" w:cs="Times New Roman"/>
                <w:sz w:val="21"/>
                <w:szCs w:val="21"/>
                <w:highlight w:val="none"/>
                <w:lang w:val="en-US" w:eastAsia="zh-CN"/>
              </w:rPr>
              <w:t>内蒙古伊泰化工有限责任公司</w:t>
            </w:r>
            <w:r>
              <w:rPr>
                <w:rFonts w:hint="default" w:ascii="Times New Roman" w:hAnsi="Times New Roman" w:cs="Times New Roman"/>
                <w:sz w:val="21"/>
                <w:szCs w:val="21"/>
                <w:highlight w:val="none"/>
              </w:rPr>
              <w:t>编制的环境应急预案，</w:t>
            </w:r>
            <w:r>
              <w:rPr>
                <w:rFonts w:hint="eastAsia" w:ascii="Times New Roman" w:hAnsi="Times New Roman" w:cs="Times New Roman"/>
                <w:sz w:val="21"/>
                <w:szCs w:val="21"/>
                <w:highlight w:val="none"/>
                <w:lang w:val="en-US" w:eastAsia="zh-CN"/>
              </w:rPr>
              <w:t>定期</w:t>
            </w:r>
            <w:r>
              <w:rPr>
                <w:rFonts w:hint="default" w:ascii="Times New Roman" w:hAnsi="Times New Roman" w:cs="Times New Roman"/>
                <w:sz w:val="21"/>
                <w:szCs w:val="21"/>
                <w:highlight w:val="none"/>
              </w:rPr>
              <w:t>开展应急演练；</w:t>
            </w:r>
          </w:p>
          <w:p w14:paraId="33AB90CD">
            <w:pPr>
              <w:adjustRightInd w:val="0"/>
              <w:snapToGrid w:val="0"/>
              <w:spacing w:line="240" w:lineRule="auto"/>
              <w:ind w:firstLine="420"/>
              <w:jc w:val="left"/>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加强与周边企业联防联控</w:t>
            </w:r>
            <w:r>
              <w:rPr>
                <w:rFonts w:hint="eastAsia" w:cs="Times New Roman"/>
                <w:sz w:val="21"/>
                <w:szCs w:val="21"/>
                <w:highlight w:val="none"/>
                <w:lang w:eastAsia="zh-CN"/>
              </w:rPr>
              <w:t>。</w:t>
            </w:r>
          </w:p>
          <w:p w14:paraId="0D7EBAD2">
            <w:pPr>
              <w:adjustRightInd w:val="0"/>
              <w:snapToGrid w:val="0"/>
              <w:spacing w:line="240" w:lineRule="auto"/>
              <w:ind w:firstLine="420"/>
              <w:jc w:val="left"/>
              <w:rPr>
                <w:rFonts w:cs="Times New Roman"/>
                <w:sz w:val="21"/>
                <w:szCs w:val="21"/>
                <w:highlight w:val="none"/>
              </w:rPr>
            </w:pPr>
            <w:r>
              <w:rPr>
                <w:rFonts w:cs="Times New Roman"/>
                <w:sz w:val="21"/>
                <w:szCs w:val="21"/>
                <w:highlight w:val="none"/>
              </w:rPr>
              <w:t>环境应急预案应与园区、地方相关预案相衔接环境应急预案。</w:t>
            </w:r>
          </w:p>
        </w:tc>
      </w:tr>
      <w:tr w14:paraId="355B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3" w:type="dxa"/>
            <w:gridSpan w:val="2"/>
            <w:vAlign w:val="center"/>
          </w:tcPr>
          <w:p w14:paraId="42AB98AC">
            <w:pPr>
              <w:adjustRightInd w:val="0"/>
              <w:snapToGrid w:val="0"/>
              <w:spacing w:line="240" w:lineRule="auto"/>
              <w:ind w:firstLine="0" w:firstLineChars="0"/>
              <w:jc w:val="center"/>
              <w:rPr>
                <w:rFonts w:cs="Times New Roman"/>
                <w:sz w:val="21"/>
                <w:szCs w:val="21"/>
                <w:highlight w:val="none"/>
              </w:rPr>
            </w:pPr>
            <w:r>
              <w:rPr>
                <w:rFonts w:cs="Times New Roman"/>
                <w:kern w:val="0"/>
                <w:sz w:val="21"/>
                <w:szCs w:val="21"/>
                <w:highlight w:val="none"/>
              </w:rPr>
              <w:t>评价结论与建议</w:t>
            </w:r>
          </w:p>
        </w:tc>
        <w:tc>
          <w:tcPr>
            <w:tcW w:w="7416" w:type="dxa"/>
            <w:gridSpan w:val="8"/>
            <w:vAlign w:val="center"/>
          </w:tcPr>
          <w:p w14:paraId="3DE6D26F">
            <w:pPr>
              <w:adjustRightInd w:val="0"/>
              <w:snapToGrid w:val="0"/>
              <w:spacing w:line="240" w:lineRule="auto"/>
              <w:ind w:firstLine="420"/>
              <w:jc w:val="left"/>
              <w:rPr>
                <w:rFonts w:cs="Times New Roman"/>
                <w:sz w:val="21"/>
                <w:szCs w:val="21"/>
                <w:highlight w:val="none"/>
              </w:rPr>
            </w:pPr>
            <w:r>
              <w:rPr>
                <w:rFonts w:cs="Times New Roman"/>
                <w:sz w:val="21"/>
                <w:szCs w:val="21"/>
                <w:highlight w:val="none"/>
              </w:rPr>
              <w:t>风险评价结果表明，在落实各项环保措施和本评价所列出的各项环境风险防范措施、有效的应急预案，加强风险管理的条件下，本项目的环境风险可防控。</w:t>
            </w:r>
          </w:p>
        </w:tc>
      </w:tr>
      <w:tr w14:paraId="2EA6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9" w:type="dxa"/>
            <w:gridSpan w:val="10"/>
            <w:vAlign w:val="center"/>
          </w:tcPr>
          <w:p w14:paraId="2D8F345B">
            <w:pPr>
              <w:adjustRightInd w:val="0"/>
              <w:snapToGrid w:val="0"/>
              <w:spacing w:line="240" w:lineRule="auto"/>
              <w:ind w:firstLine="0" w:firstLineChars="0"/>
              <w:jc w:val="center"/>
              <w:rPr>
                <w:rFonts w:cs="Times New Roman"/>
                <w:sz w:val="21"/>
                <w:szCs w:val="21"/>
                <w:highlight w:val="none"/>
              </w:rPr>
            </w:pPr>
            <w:r>
              <w:rPr>
                <w:rFonts w:cs="Times New Roman"/>
                <w:sz w:val="21"/>
                <w:szCs w:val="21"/>
                <w:highlight w:val="none"/>
              </w:rPr>
              <w:t>注：</w:t>
            </w:r>
            <w:r>
              <w:rPr>
                <w:rFonts w:hint="eastAsia" w:cs="Times New Roman"/>
                <w:sz w:val="21"/>
                <w:szCs w:val="21"/>
                <w:highlight w:val="none"/>
                <w:lang w:eastAsia="zh-CN"/>
              </w:rPr>
              <w:t>“</w:t>
            </w:r>
            <w:r>
              <w:rPr>
                <w:rFonts w:hint="eastAsia" w:cs="Times New Roman"/>
                <w:kern w:val="0"/>
                <w:sz w:val="21"/>
                <w:szCs w:val="21"/>
                <w:highlight w:val="none"/>
                <w:lang w:eastAsia="zh-CN"/>
              </w:rPr>
              <w:t>□</w:t>
            </w:r>
            <w:r>
              <w:rPr>
                <w:rFonts w:hint="eastAsia" w:cs="Times New Roman"/>
                <w:sz w:val="21"/>
                <w:szCs w:val="21"/>
                <w:highlight w:val="none"/>
                <w:lang w:eastAsia="zh-CN"/>
              </w:rPr>
              <w:t>”</w:t>
            </w:r>
            <w:r>
              <w:rPr>
                <w:rFonts w:cs="Times New Roman"/>
                <w:sz w:val="21"/>
                <w:szCs w:val="21"/>
                <w:highlight w:val="none"/>
              </w:rPr>
              <w:t>为勾选项，</w:t>
            </w:r>
            <w:r>
              <w:rPr>
                <w:rFonts w:hint="eastAsia" w:cs="Times New Roman"/>
                <w:sz w:val="21"/>
                <w:szCs w:val="21"/>
                <w:highlight w:val="none"/>
                <w:lang w:eastAsia="zh-CN"/>
              </w:rPr>
              <w:t>“</w:t>
            </w:r>
            <w:r>
              <w:rPr>
                <w:rFonts w:hint="eastAsia" w:cs="Times New Roman"/>
                <w:kern w:val="0"/>
                <w:sz w:val="21"/>
                <w:szCs w:val="21"/>
                <w:highlight w:val="none"/>
                <w:lang w:eastAsia="zh-CN"/>
              </w:rPr>
              <w:t>☑</w:t>
            </w:r>
            <w:r>
              <w:rPr>
                <w:rFonts w:hint="eastAsia" w:cs="Times New Roman"/>
                <w:sz w:val="21"/>
                <w:szCs w:val="21"/>
                <w:highlight w:val="none"/>
                <w:lang w:eastAsia="zh-CN"/>
              </w:rPr>
              <w:t>”</w:t>
            </w:r>
            <w:r>
              <w:rPr>
                <w:rFonts w:cs="Times New Roman"/>
                <w:sz w:val="21"/>
                <w:szCs w:val="21"/>
                <w:highlight w:val="none"/>
              </w:rPr>
              <w:t>为填写项。</w:t>
            </w:r>
          </w:p>
        </w:tc>
      </w:tr>
    </w:tbl>
    <w:p w14:paraId="3C643748">
      <w:pPr>
        <w:keepNext/>
        <w:keepLines/>
        <w:spacing w:before="240" w:beforeLines="100" w:line="360" w:lineRule="auto"/>
        <w:outlineLvl w:val="0"/>
        <w:rPr>
          <w:rFonts w:hint="eastAsia" w:ascii="Times New Roman" w:hAnsi="Times New Roman" w:eastAsia="宋体" w:cs="Times New Roman"/>
          <w:b/>
          <w:bCs/>
          <w:kern w:val="44"/>
          <w:sz w:val="32"/>
          <w:szCs w:val="32"/>
          <w:highlight w:val="none"/>
          <w:lang w:val="en-US" w:eastAsia="zh-CN"/>
        </w:rPr>
        <w:sectPr>
          <w:pgSz w:w="11906" w:h="16838"/>
          <w:pgMar w:top="1701" w:right="1701" w:bottom="1701" w:left="1701" w:header="851" w:footer="1077" w:gutter="0"/>
          <w:pgNumType w:fmt="decimal"/>
          <w:cols w:space="720" w:num="1"/>
          <w:docGrid w:linePitch="312" w:charSpace="0"/>
        </w:sectPr>
      </w:pPr>
    </w:p>
    <w:p w14:paraId="350DEBDD">
      <w:pPr>
        <w:autoSpaceDE w:val="0"/>
        <w:autoSpaceDN w:val="0"/>
        <w:adjustRightInd w:val="0"/>
        <w:spacing w:line="240" w:lineRule="atLeast"/>
        <w:jc w:val="both"/>
        <w:rPr>
          <w:rFonts w:hint="default"/>
          <w:b/>
          <w:bCs/>
          <w:szCs w:val="21"/>
          <w:highlight w:val="none"/>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CID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afanti_latex_fon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AE3E2">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D6FC4">
    <w:pPr>
      <w:pStyle w:val="14"/>
      <w:tabs>
        <w:tab w:val="center" w:pos="4252"/>
        <w:tab w:val="clear" w:pos="4153"/>
      </w:tabs>
      <w:ind w:right="360"/>
      <w:jc w:val="left"/>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235725">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9235725">
                    <w:pPr>
                      <w:pStyle w:val="14"/>
                    </w:pPr>
                    <w:r>
                      <w:fldChar w:fldCharType="begin"/>
                    </w:r>
                    <w:r>
                      <w:instrText xml:space="preserve"> PAGE  \* MERGEFORMAT </w:instrText>
                    </w:r>
                    <w:r>
                      <w:fldChar w:fldCharType="separate"/>
                    </w:r>
                    <w:r>
                      <w:t>1</w:t>
                    </w:r>
                    <w:r>
                      <w:fldChar w:fldCharType="end"/>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37D8E8">
                          <w:pPr>
                            <w:pStyle w:val="14"/>
                          </w:pPr>
                        </w:p>
                        <w:p w14:paraId="34181C91"/>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4037D8E8">
                    <w:pPr>
                      <w:pStyle w:val="14"/>
                    </w:pPr>
                  </w:p>
                  <w:p w14:paraId="34181C91"/>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B583C">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0859AB"/>
    <w:multiLevelType w:val="multilevel"/>
    <w:tmpl w:val="250859AB"/>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43"/>
      <w:suff w:val="space"/>
      <w:lvlText w:val="%1.%2.%3"/>
      <w:lvlJc w:val="left"/>
      <w:pPr>
        <w:ind w:left="0" w:firstLine="0"/>
      </w:pPr>
      <w:rPr>
        <w:rFonts w:hint="eastAsia"/>
      </w:rPr>
    </w:lvl>
    <w:lvl w:ilvl="3" w:tentative="0">
      <w:start w:val="1"/>
      <w:numFmt w:val="decimal"/>
      <w:suff w:val="space"/>
      <w:lvlText w:val="%1.%2.%3.%4"/>
      <w:lvlJc w:val="left"/>
      <w:pPr>
        <w:ind w:left="2552" w:hanging="2552"/>
      </w:pPr>
      <w:rPr>
        <w:rFonts w:hint="eastAsia"/>
      </w:rPr>
    </w:lvl>
    <w:lvl w:ilvl="4" w:tentative="0">
      <w:start w:val="1"/>
      <w:numFmt w:val="decimal"/>
      <w:suff w:val="space"/>
      <w:lvlText w:val="(%5)"/>
      <w:lvlJc w:val="left"/>
      <w:pPr>
        <w:ind w:left="0" w:firstLine="482"/>
      </w:pPr>
      <w:rPr>
        <w:rFonts w:hint="eastAsia" w:ascii="宋体" w:hAnsi="宋体" w:eastAsia="宋体"/>
      </w:rPr>
    </w:lvl>
    <w:lvl w:ilvl="5" w:tentative="0">
      <w:start w:val="1"/>
      <w:numFmt w:val="decimalEnclosedCircle"/>
      <w:suff w:val="space"/>
      <w:lvlText w:val="%6"/>
      <w:lvlJc w:val="left"/>
      <w:pPr>
        <w:ind w:left="0" w:firstLine="482"/>
      </w:pPr>
      <w:rPr>
        <w:rFonts w:hint="default"/>
      </w:rPr>
    </w:lvl>
    <w:lvl w:ilvl="6" w:tentative="0">
      <w:start w:val="1"/>
      <w:numFmt w:val="upperLetter"/>
      <w:suff w:val="space"/>
      <w:lvlText w:val="%7."/>
      <w:lvlJc w:val="left"/>
      <w:pPr>
        <w:ind w:left="0" w:firstLine="482"/>
      </w:pPr>
      <w:rPr>
        <w:rFonts w:hint="eastAsia"/>
      </w:rPr>
    </w:lvl>
    <w:lvl w:ilvl="7" w:tentative="0">
      <w:start w:val="1"/>
      <w:numFmt w:val="decimal"/>
      <w:lvlText w:val="表3.7-%8"/>
      <w:lvlJc w:val="left"/>
      <w:pPr>
        <w:ind w:left="0" w:firstLine="0"/>
      </w:pPr>
      <w:rPr>
        <w:rFonts w:hint="eastAsia"/>
      </w:rPr>
    </w:lvl>
    <w:lvl w:ilvl="8" w:tentative="0">
      <w:start w:val="1"/>
      <w:numFmt w:val="decimal"/>
      <w:lvlRestart w:val="2"/>
      <w:suff w:val="space"/>
      <w:lvlText w:val="图 %1.%2-%9"/>
      <w:lvlJc w:val="center"/>
      <w:pPr>
        <w:ind w:left="0" w:firstLine="0"/>
      </w:pPr>
      <w:rPr>
        <w:rFonts w:hint="eastAsia"/>
      </w:rPr>
    </w:lvl>
  </w:abstractNum>
  <w:abstractNum w:abstractNumId="1">
    <w:nsid w:val="3942647E"/>
    <w:multiLevelType w:val="multilevel"/>
    <w:tmpl w:val="3942647E"/>
    <w:lvl w:ilvl="0" w:tentative="0">
      <w:start w:val="7"/>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5528" w:firstLine="0"/>
      </w:pPr>
      <w:rPr>
        <w:rFonts w:hint="eastAsia"/>
      </w:rPr>
    </w:lvl>
    <w:lvl w:ilvl="4" w:tentative="0">
      <w:start w:val="1"/>
      <w:numFmt w:val="decimal"/>
      <w:suff w:val="space"/>
      <w:lvlText w:val="(%5)"/>
      <w:lvlJc w:val="left"/>
      <w:pPr>
        <w:ind w:left="0" w:firstLine="482"/>
      </w:pPr>
      <w:rPr>
        <w:rFonts w:hint="eastAsia" w:ascii="宋体" w:hAnsi="宋体" w:eastAsia="宋体"/>
      </w:rPr>
    </w:lvl>
    <w:lvl w:ilvl="5" w:tentative="0">
      <w:start w:val="1"/>
      <w:numFmt w:val="decimalEnclosedCircle"/>
      <w:suff w:val="space"/>
      <w:lvlText w:val="%6"/>
      <w:lvlJc w:val="left"/>
      <w:pPr>
        <w:ind w:left="0" w:firstLine="482"/>
      </w:pPr>
      <w:rPr>
        <w:rFonts w:hint="default"/>
      </w:rPr>
    </w:lvl>
    <w:lvl w:ilvl="6" w:tentative="0">
      <w:start w:val="1"/>
      <w:numFmt w:val="upperLetter"/>
      <w:suff w:val="space"/>
      <w:lvlText w:val="%7."/>
      <w:lvlJc w:val="left"/>
      <w:pPr>
        <w:ind w:left="0" w:firstLine="482"/>
      </w:pPr>
      <w:rPr>
        <w:rFonts w:hint="eastAsia"/>
      </w:rPr>
    </w:lvl>
    <w:lvl w:ilvl="7" w:tentative="0">
      <w:start w:val="1"/>
      <w:numFmt w:val="decimal"/>
      <w:lvlRestart w:val="3"/>
      <w:suff w:val="space"/>
      <w:lvlText w:val="表 %1.%2.%3-%8"/>
      <w:lvlJc w:val="left"/>
      <w:pPr>
        <w:ind w:left="0" w:firstLine="0"/>
      </w:pPr>
      <w:rPr>
        <w:rFonts w:hint="eastAsia"/>
      </w:rPr>
    </w:lvl>
    <w:lvl w:ilvl="8" w:tentative="0">
      <w:start w:val="1"/>
      <w:numFmt w:val="decimal"/>
      <w:lvlRestart w:val="2"/>
      <w:pStyle w:val="57"/>
      <w:suff w:val="space"/>
      <w:lvlText w:val="图 %1.%2-%9"/>
      <w:lvlJc w:val="center"/>
      <w:pPr>
        <w:ind w:left="0" w:firstLine="0"/>
      </w:pPr>
      <w:rPr>
        <w:rFonts w:hint="eastAsia"/>
      </w:rPr>
    </w:lvl>
  </w:abstractNum>
  <w:abstractNum w:abstractNumId="2">
    <w:nsid w:val="49E199E8"/>
    <w:multiLevelType w:val="singleLevel"/>
    <w:tmpl w:val="49E199E8"/>
    <w:lvl w:ilvl="0" w:tentative="0">
      <w:start w:val="4"/>
      <w:numFmt w:val="decimal"/>
      <w:suff w:val="nothing"/>
      <w:lvlText w:val="（%1）"/>
      <w:lvlJc w:val="left"/>
      <w:pPr>
        <w:ind w:left="-6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马马虎虎">
    <w15:presenceInfo w15:providerId="WPS Office" w15:userId="39736700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307DC8"/>
    <w:rsid w:val="004D3D85"/>
    <w:rsid w:val="00F9257D"/>
    <w:rsid w:val="00FA00A3"/>
    <w:rsid w:val="01541EA9"/>
    <w:rsid w:val="01714809"/>
    <w:rsid w:val="01761E20"/>
    <w:rsid w:val="018D45D0"/>
    <w:rsid w:val="02056D00"/>
    <w:rsid w:val="02467A44"/>
    <w:rsid w:val="02750329"/>
    <w:rsid w:val="03325EA5"/>
    <w:rsid w:val="03327FC8"/>
    <w:rsid w:val="03872911"/>
    <w:rsid w:val="0421708F"/>
    <w:rsid w:val="0523406D"/>
    <w:rsid w:val="055B4B6A"/>
    <w:rsid w:val="06283BF8"/>
    <w:rsid w:val="064A6E08"/>
    <w:rsid w:val="065B15E4"/>
    <w:rsid w:val="067A1543"/>
    <w:rsid w:val="06D01FD2"/>
    <w:rsid w:val="06FA704F"/>
    <w:rsid w:val="073065CD"/>
    <w:rsid w:val="07AD5E6F"/>
    <w:rsid w:val="093F51ED"/>
    <w:rsid w:val="0A382368"/>
    <w:rsid w:val="0A41007B"/>
    <w:rsid w:val="0A5D1A5F"/>
    <w:rsid w:val="0AD665CC"/>
    <w:rsid w:val="0B5F3925"/>
    <w:rsid w:val="0C3703FE"/>
    <w:rsid w:val="0CE83FFD"/>
    <w:rsid w:val="0CF14A50"/>
    <w:rsid w:val="0D0E5602"/>
    <w:rsid w:val="0D2210AE"/>
    <w:rsid w:val="0D382819"/>
    <w:rsid w:val="0DAC2F7A"/>
    <w:rsid w:val="0DB241E0"/>
    <w:rsid w:val="0EB43DAF"/>
    <w:rsid w:val="0EC0292C"/>
    <w:rsid w:val="0F0F7410"/>
    <w:rsid w:val="0F781459"/>
    <w:rsid w:val="102E649D"/>
    <w:rsid w:val="105552F6"/>
    <w:rsid w:val="107C0AD5"/>
    <w:rsid w:val="11213093"/>
    <w:rsid w:val="11744B2C"/>
    <w:rsid w:val="11E46932"/>
    <w:rsid w:val="11F51BF8"/>
    <w:rsid w:val="121216F1"/>
    <w:rsid w:val="12217B86"/>
    <w:rsid w:val="128B14A3"/>
    <w:rsid w:val="12961F0E"/>
    <w:rsid w:val="131C20FB"/>
    <w:rsid w:val="1326261C"/>
    <w:rsid w:val="13707A8F"/>
    <w:rsid w:val="13785584"/>
    <w:rsid w:val="138F7206"/>
    <w:rsid w:val="14284EC7"/>
    <w:rsid w:val="14C33176"/>
    <w:rsid w:val="155344FA"/>
    <w:rsid w:val="1562210B"/>
    <w:rsid w:val="15767E12"/>
    <w:rsid w:val="15893307"/>
    <w:rsid w:val="171B2A97"/>
    <w:rsid w:val="17226932"/>
    <w:rsid w:val="175A48A8"/>
    <w:rsid w:val="18001FEB"/>
    <w:rsid w:val="182A0E16"/>
    <w:rsid w:val="183F2B14"/>
    <w:rsid w:val="18724D4D"/>
    <w:rsid w:val="18CD1D2C"/>
    <w:rsid w:val="18DA17E7"/>
    <w:rsid w:val="19037FE5"/>
    <w:rsid w:val="19371A3D"/>
    <w:rsid w:val="19897784"/>
    <w:rsid w:val="1A0A53A3"/>
    <w:rsid w:val="1A104BCE"/>
    <w:rsid w:val="1ACE4623"/>
    <w:rsid w:val="1AFC5E2A"/>
    <w:rsid w:val="1B0B4F2F"/>
    <w:rsid w:val="1B776F9B"/>
    <w:rsid w:val="1BAC498C"/>
    <w:rsid w:val="1BCE6CA0"/>
    <w:rsid w:val="1C2135DF"/>
    <w:rsid w:val="1C2E5379"/>
    <w:rsid w:val="1C550B58"/>
    <w:rsid w:val="1D4F1A4B"/>
    <w:rsid w:val="1D6019E1"/>
    <w:rsid w:val="1D7B2840"/>
    <w:rsid w:val="1E397B0B"/>
    <w:rsid w:val="1E957931"/>
    <w:rsid w:val="1EBF4331"/>
    <w:rsid w:val="1ED85A70"/>
    <w:rsid w:val="1F615A66"/>
    <w:rsid w:val="1F7E00E0"/>
    <w:rsid w:val="1FB63E9D"/>
    <w:rsid w:val="2033075E"/>
    <w:rsid w:val="20465B47"/>
    <w:rsid w:val="20480747"/>
    <w:rsid w:val="20615FBF"/>
    <w:rsid w:val="210A7618"/>
    <w:rsid w:val="2190618E"/>
    <w:rsid w:val="221E379A"/>
    <w:rsid w:val="225B2C40"/>
    <w:rsid w:val="22EE24C7"/>
    <w:rsid w:val="231132FF"/>
    <w:rsid w:val="245931AF"/>
    <w:rsid w:val="24AB32DF"/>
    <w:rsid w:val="24CD76F9"/>
    <w:rsid w:val="25661A5B"/>
    <w:rsid w:val="259F45C7"/>
    <w:rsid w:val="25CC57EC"/>
    <w:rsid w:val="26997893"/>
    <w:rsid w:val="26AB606A"/>
    <w:rsid w:val="26E10B6B"/>
    <w:rsid w:val="26E64D9A"/>
    <w:rsid w:val="26EA4592"/>
    <w:rsid w:val="26F47310"/>
    <w:rsid w:val="27541A0C"/>
    <w:rsid w:val="275E48B9"/>
    <w:rsid w:val="276B56D3"/>
    <w:rsid w:val="27AC35F6"/>
    <w:rsid w:val="27C77A0E"/>
    <w:rsid w:val="28DF040E"/>
    <w:rsid w:val="28F33BD2"/>
    <w:rsid w:val="292813A2"/>
    <w:rsid w:val="294855A0"/>
    <w:rsid w:val="29EF0088"/>
    <w:rsid w:val="29F924A3"/>
    <w:rsid w:val="2A481CFC"/>
    <w:rsid w:val="2A60320F"/>
    <w:rsid w:val="2B192609"/>
    <w:rsid w:val="2B3D7387"/>
    <w:rsid w:val="2BB313F7"/>
    <w:rsid w:val="2C416A03"/>
    <w:rsid w:val="2D560DCD"/>
    <w:rsid w:val="2D6055AE"/>
    <w:rsid w:val="2D614E83"/>
    <w:rsid w:val="2E2B11B7"/>
    <w:rsid w:val="2E8D23D3"/>
    <w:rsid w:val="2EAB2859"/>
    <w:rsid w:val="2F6F3887"/>
    <w:rsid w:val="2FA06136"/>
    <w:rsid w:val="2FCF1C77"/>
    <w:rsid w:val="30D81B41"/>
    <w:rsid w:val="31185880"/>
    <w:rsid w:val="311A47D0"/>
    <w:rsid w:val="3140120B"/>
    <w:rsid w:val="31644F41"/>
    <w:rsid w:val="32290665"/>
    <w:rsid w:val="322F2A2C"/>
    <w:rsid w:val="32306EF4"/>
    <w:rsid w:val="32430CC6"/>
    <w:rsid w:val="329A1673"/>
    <w:rsid w:val="33025D97"/>
    <w:rsid w:val="330D1C1D"/>
    <w:rsid w:val="330E785B"/>
    <w:rsid w:val="339A2E9C"/>
    <w:rsid w:val="33EC194A"/>
    <w:rsid w:val="34E013AF"/>
    <w:rsid w:val="3590319C"/>
    <w:rsid w:val="35926521"/>
    <w:rsid w:val="35AD6EB7"/>
    <w:rsid w:val="35BD5FA7"/>
    <w:rsid w:val="36985DB9"/>
    <w:rsid w:val="36DD37CC"/>
    <w:rsid w:val="37187253"/>
    <w:rsid w:val="374101FF"/>
    <w:rsid w:val="376D0FF4"/>
    <w:rsid w:val="37B81B43"/>
    <w:rsid w:val="37EA1649"/>
    <w:rsid w:val="383B71A3"/>
    <w:rsid w:val="385F1ECE"/>
    <w:rsid w:val="386436F9"/>
    <w:rsid w:val="387463B2"/>
    <w:rsid w:val="389D76B7"/>
    <w:rsid w:val="38AC16A8"/>
    <w:rsid w:val="39182437"/>
    <w:rsid w:val="397523E2"/>
    <w:rsid w:val="39893797"/>
    <w:rsid w:val="39B12CEE"/>
    <w:rsid w:val="3B8701AA"/>
    <w:rsid w:val="3B9823B7"/>
    <w:rsid w:val="3BB865B6"/>
    <w:rsid w:val="3BD72192"/>
    <w:rsid w:val="3C0161AE"/>
    <w:rsid w:val="3CCA530D"/>
    <w:rsid w:val="3D100A5B"/>
    <w:rsid w:val="3D492A34"/>
    <w:rsid w:val="3D6469F5"/>
    <w:rsid w:val="3D910776"/>
    <w:rsid w:val="3DEA0921"/>
    <w:rsid w:val="3E3076D3"/>
    <w:rsid w:val="3E3F4D6C"/>
    <w:rsid w:val="3F7A2500"/>
    <w:rsid w:val="4020429C"/>
    <w:rsid w:val="40891CE5"/>
    <w:rsid w:val="410B117F"/>
    <w:rsid w:val="410D73A4"/>
    <w:rsid w:val="411978E8"/>
    <w:rsid w:val="411E510D"/>
    <w:rsid w:val="411F649E"/>
    <w:rsid w:val="41360D0A"/>
    <w:rsid w:val="41434B73"/>
    <w:rsid w:val="417129CD"/>
    <w:rsid w:val="41782980"/>
    <w:rsid w:val="41952E6F"/>
    <w:rsid w:val="41ED7D93"/>
    <w:rsid w:val="422C1AAB"/>
    <w:rsid w:val="42424E2B"/>
    <w:rsid w:val="429A07C3"/>
    <w:rsid w:val="43266FE5"/>
    <w:rsid w:val="438D20D6"/>
    <w:rsid w:val="43A0005B"/>
    <w:rsid w:val="43F32881"/>
    <w:rsid w:val="44280029"/>
    <w:rsid w:val="442F6EC9"/>
    <w:rsid w:val="445175A7"/>
    <w:rsid w:val="44D3620E"/>
    <w:rsid w:val="44E0528D"/>
    <w:rsid w:val="45102FBE"/>
    <w:rsid w:val="45333199"/>
    <w:rsid w:val="454C337D"/>
    <w:rsid w:val="456D0411"/>
    <w:rsid w:val="45892025"/>
    <w:rsid w:val="45954E7D"/>
    <w:rsid w:val="46516B48"/>
    <w:rsid w:val="479735E1"/>
    <w:rsid w:val="47B95B8F"/>
    <w:rsid w:val="47F92430"/>
    <w:rsid w:val="49380D36"/>
    <w:rsid w:val="49425710"/>
    <w:rsid w:val="49AA45A3"/>
    <w:rsid w:val="49F95DE8"/>
    <w:rsid w:val="4A000DB0"/>
    <w:rsid w:val="4A2B43F6"/>
    <w:rsid w:val="4A842CA2"/>
    <w:rsid w:val="4A897A9B"/>
    <w:rsid w:val="4AED0DD6"/>
    <w:rsid w:val="4B3A0D95"/>
    <w:rsid w:val="4C2D08FA"/>
    <w:rsid w:val="4CD945DE"/>
    <w:rsid w:val="4CFC0355"/>
    <w:rsid w:val="4D0F600E"/>
    <w:rsid w:val="4D166F4D"/>
    <w:rsid w:val="4D553C64"/>
    <w:rsid w:val="4D8B1D7C"/>
    <w:rsid w:val="4DDD48CE"/>
    <w:rsid w:val="4DE4148C"/>
    <w:rsid w:val="4E102281"/>
    <w:rsid w:val="4E50267E"/>
    <w:rsid w:val="4E5959D6"/>
    <w:rsid w:val="4E7B594C"/>
    <w:rsid w:val="4EDD6607"/>
    <w:rsid w:val="4F1D22FA"/>
    <w:rsid w:val="4F6351A5"/>
    <w:rsid w:val="4F74239C"/>
    <w:rsid w:val="4FD14381"/>
    <w:rsid w:val="4FF21C3E"/>
    <w:rsid w:val="50024AD7"/>
    <w:rsid w:val="5013223F"/>
    <w:rsid w:val="50307DC8"/>
    <w:rsid w:val="50546455"/>
    <w:rsid w:val="50633C92"/>
    <w:rsid w:val="507B7E86"/>
    <w:rsid w:val="51594984"/>
    <w:rsid w:val="51FB0B52"/>
    <w:rsid w:val="52A2665D"/>
    <w:rsid w:val="52D90E94"/>
    <w:rsid w:val="53514ECE"/>
    <w:rsid w:val="53963229"/>
    <w:rsid w:val="53A40EB9"/>
    <w:rsid w:val="53B10062"/>
    <w:rsid w:val="53B768FB"/>
    <w:rsid w:val="53FA5565"/>
    <w:rsid w:val="5429409D"/>
    <w:rsid w:val="54BC0A6D"/>
    <w:rsid w:val="54BC58AE"/>
    <w:rsid w:val="54F35C71"/>
    <w:rsid w:val="55067F3A"/>
    <w:rsid w:val="550F6DEF"/>
    <w:rsid w:val="556D1D67"/>
    <w:rsid w:val="557B0BC6"/>
    <w:rsid w:val="55A47054"/>
    <w:rsid w:val="55CE0A58"/>
    <w:rsid w:val="56334D5F"/>
    <w:rsid w:val="56C02A96"/>
    <w:rsid w:val="56D244CD"/>
    <w:rsid w:val="56FD3A23"/>
    <w:rsid w:val="57A31A70"/>
    <w:rsid w:val="57D63BF4"/>
    <w:rsid w:val="58445001"/>
    <w:rsid w:val="59E06FAB"/>
    <w:rsid w:val="5A1455BF"/>
    <w:rsid w:val="5A5F25C6"/>
    <w:rsid w:val="5A971D60"/>
    <w:rsid w:val="5B1809F6"/>
    <w:rsid w:val="5B5611F4"/>
    <w:rsid w:val="5B997ADB"/>
    <w:rsid w:val="5BA830B6"/>
    <w:rsid w:val="5BE70AC5"/>
    <w:rsid w:val="5BEC60DC"/>
    <w:rsid w:val="5C030588"/>
    <w:rsid w:val="5C3A6E47"/>
    <w:rsid w:val="5C5454B7"/>
    <w:rsid w:val="5C74325C"/>
    <w:rsid w:val="5C87358A"/>
    <w:rsid w:val="5C902F0B"/>
    <w:rsid w:val="5CC826A5"/>
    <w:rsid w:val="5CDE4657"/>
    <w:rsid w:val="5D0D455B"/>
    <w:rsid w:val="5D35760E"/>
    <w:rsid w:val="5D3B0BC5"/>
    <w:rsid w:val="5D5E0FF9"/>
    <w:rsid w:val="5D6677C8"/>
    <w:rsid w:val="5D753EA2"/>
    <w:rsid w:val="5DA56542"/>
    <w:rsid w:val="5DB60FC4"/>
    <w:rsid w:val="5E2F0501"/>
    <w:rsid w:val="5E4D7439"/>
    <w:rsid w:val="5ED13367"/>
    <w:rsid w:val="5F0B6879"/>
    <w:rsid w:val="5FFE462F"/>
    <w:rsid w:val="6014175D"/>
    <w:rsid w:val="60EF54A6"/>
    <w:rsid w:val="612F04AF"/>
    <w:rsid w:val="613F0A5C"/>
    <w:rsid w:val="616E1341"/>
    <w:rsid w:val="61C15971"/>
    <w:rsid w:val="61DB0FD1"/>
    <w:rsid w:val="61EB1FBD"/>
    <w:rsid w:val="62467BC8"/>
    <w:rsid w:val="62607EB3"/>
    <w:rsid w:val="627806C9"/>
    <w:rsid w:val="62DF0D43"/>
    <w:rsid w:val="63B7451C"/>
    <w:rsid w:val="63DA0F0F"/>
    <w:rsid w:val="64177A6E"/>
    <w:rsid w:val="64597590"/>
    <w:rsid w:val="64882719"/>
    <w:rsid w:val="648D6455"/>
    <w:rsid w:val="64953A17"/>
    <w:rsid w:val="65162E9F"/>
    <w:rsid w:val="659214C0"/>
    <w:rsid w:val="65E93A96"/>
    <w:rsid w:val="6602250D"/>
    <w:rsid w:val="66540B05"/>
    <w:rsid w:val="665F174A"/>
    <w:rsid w:val="667D7425"/>
    <w:rsid w:val="66DE114D"/>
    <w:rsid w:val="66F916AD"/>
    <w:rsid w:val="670818F0"/>
    <w:rsid w:val="6784366C"/>
    <w:rsid w:val="67AA29A7"/>
    <w:rsid w:val="67CD29F0"/>
    <w:rsid w:val="67D00572"/>
    <w:rsid w:val="67D621EA"/>
    <w:rsid w:val="6834222E"/>
    <w:rsid w:val="68450A5C"/>
    <w:rsid w:val="68590B5B"/>
    <w:rsid w:val="68BE5D5E"/>
    <w:rsid w:val="69CE58AE"/>
    <w:rsid w:val="6A1F6BD7"/>
    <w:rsid w:val="6A3F1672"/>
    <w:rsid w:val="6A5F61F1"/>
    <w:rsid w:val="6ADC0A54"/>
    <w:rsid w:val="6ADF6E0B"/>
    <w:rsid w:val="6AFB2324"/>
    <w:rsid w:val="6B607F4C"/>
    <w:rsid w:val="6B623CC4"/>
    <w:rsid w:val="6B68554D"/>
    <w:rsid w:val="6BA20565"/>
    <w:rsid w:val="6CE150BD"/>
    <w:rsid w:val="6CFA617E"/>
    <w:rsid w:val="6D372F2F"/>
    <w:rsid w:val="6D3E42BD"/>
    <w:rsid w:val="6D5570B2"/>
    <w:rsid w:val="6DB10E69"/>
    <w:rsid w:val="6DCF24D4"/>
    <w:rsid w:val="6E105C5A"/>
    <w:rsid w:val="6EE46784"/>
    <w:rsid w:val="6F0B01CF"/>
    <w:rsid w:val="6F20529B"/>
    <w:rsid w:val="6F936635"/>
    <w:rsid w:val="6FC0545D"/>
    <w:rsid w:val="6FD809F9"/>
    <w:rsid w:val="6FFE2F96"/>
    <w:rsid w:val="70022257"/>
    <w:rsid w:val="704B561C"/>
    <w:rsid w:val="707D334E"/>
    <w:rsid w:val="707D6EAA"/>
    <w:rsid w:val="717C1858"/>
    <w:rsid w:val="724D25BE"/>
    <w:rsid w:val="72534739"/>
    <w:rsid w:val="72684572"/>
    <w:rsid w:val="727B38BE"/>
    <w:rsid w:val="72EC5D52"/>
    <w:rsid w:val="730A3BF2"/>
    <w:rsid w:val="731735E6"/>
    <w:rsid w:val="732112BE"/>
    <w:rsid w:val="73ED2599"/>
    <w:rsid w:val="74BC0805"/>
    <w:rsid w:val="751A116C"/>
    <w:rsid w:val="75630D65"/>
    <w:rsid w:val="75D16032"/>
    <w:rsid w:val="768F7938"/>
    <w:rsid w:val="76D025F8"/>
    <w:rsid w:val="772A20D0"/>
    <w:rsid w:val="778925D9"/>
    <w:rsid w:val="77955421"/>
    <w:rsid w:val="77B6743E"/>
    <w:rsid w:val="77EB6DF0"/>
    <w:rsid w:val="78D37FAF"/>
    <w:rsid w:val="78EB6156"/>
    <w:rsid w:val="79007C5F"/>
    <w:rsid w:val="79BE0C60"/>
    <w:rsid w:val="79BF6786"/>
    <w:rsid w:val="79D14874"/>
    <w:rsid w:val="79F77CCE"/>
    <w:rsid w:val="7A45309D"/>
    <w:rsid w:val="7AB759D6"/>
    <w:rsid w:val="7ADB75EF"/>
    <w:rsid w:val="7AEA7832"/>
    <w:rsid w:val="7B2965AD"/>
    <w:rsid w:val="7B354CC2"/>
    <w:rsid w:val="7B9003DA"/>
    <w:rsid w:val="7C266648"/>
    <w:rsid w:val="7C490589"/>
    <w:rsid w:val="7CE61B8E"/>
    <w:rsid w:val="7CF404F4"/>
    <w:rsid w:val="7D7B0C16"/>
    <w:rsid w:val="7D834802"/>
    <w:rsid w:val="7DAF33A2"/>
    <w:rsid w:val="7DE62533"/>
    <w:rsid w:val="7DF01530"/>
    <w:rsid w:val="7E1233AB"/>
    <w:rsid w:val="7E8B30DA"/>
    <w:rsid w:val="7E955D07"/>
    <w:rsid w:val="7E9957F7"/>
    <w:rsid w:val="7EA2139C"/>
    <w:rsid w:val="7F4964B1"/>
    <w:rsid w:val="7F651B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wordWrap w:val="0"/>
      <w:spacing w:beforeLines="0" w:afterLines="0" w:line="360" w:lineRule="auto"/>
      <w:outlineLvl w:val="0"/>
    </w:pPr>
    <w:rPr>
      <w:rFonts w:ascii="Arial" w:hAnsi="Arial" w:eastAsia="黑体" w:cs="Times New Roman"/>
      <w:b/>
      <w:snapToGrid w:val="0"/>
      <w:color w:val="000000"/>
      <w:kern w:val="44"/>
      <w:sz w:val="32"/>
      <w:szCs w:val="21"/>
    </w:rPr>
  </w:style>
  <w:style w:type="paragraph" w:styleId="3">
    <w:name w:val="heading 2"/>
    <w:basedOn w:val="1"/>
    <w:next w:val="1"/>
    <w:semiHidden/>
    <w:unhideWhenUsed/>
    <w:qFormat/>
    <w:uiPriority w:val="0"/>
    <w:pPr>
      <w:keepNext/>
      <w:keepLines/>
      <w:spacing w:line="360" w:lineRule="auto"/>
      <w:outlineLvl w:val="1"/>
    </w:pPr>
    <w:rPr>
      <w:rFonts w:ascii="Times New Roman" w:hAnsi="Times New Roman" w:eastAsia="宋体" w:cs="Times New Roman"/>
      <w:b/>
      <w:bCs/>
      <w:sz w:val="30"/>
      <w:szCs w:val="28"/>
    </w:rPr>
  </w:style>
  <w:style w:type="paragraph" w:styleId="4">
    <w:name w:val="heading 3"/>
    <w:basedOn w:val="3"/>
    <w:next w:val="1"/>
    <w:semiHidden/>
    <w:unhideWhenUsed/>
    <w:qFormat/>
    <w:uiPriority w:val="0"/>
    <w:pPr>
      <w:keepNext/>
      <w:keepLines/>
      <w:wordWrap w:val="0"/>
      <w:spacing w:beforeLines="0" w:beforeAutospacing="0" w:afterLines="0" w:afterAutospacing="0" w:line="360" w:lineRule="auto"/>
      <w:outlineLvl w:val="2"/>
    </w:pPr>
    <w:rPr>
      <w:rFonts w:ascii="Arial" w:hAnsi="Arial" w:eastAsia="黑体" w:cs="Times New Roman"/>
      <w:snapToGrid w:val="0"/>
      <w:color w:val="000000"/>
      <w:kern w:val="0"/>
      <w:sz w:val="28"/>
      <w:szCs w:val="21"/>
      <w:lang w:eastAsia="en-US"/>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宋体" w:cs="Times New Roman"/>
      <w:sz w:val="24"/>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6">
    <w:name w:val="Normal Indent"/>
    <w:basedOn w:val="1"/>
    <w:next w:val="7"/>
    <w:qFormat/>
    <w:uiPriority w:val="0"/>
    <w:pPr>
      <w:ind w:firstLine="420" w:firstLineChars="200"/>
    </w:pPr>
  </w:style>
  <w:style w:type="paragraph" w:styleId="7">
    <w:name w:val="Body Text First Indent 2"/>
    <w:basedOn w:val="8"/>
    <w:next w:val="1"/>
    <w:qFormat/>
    <w:uiPriority w:val="99"/>
    <w:pPr>
      <w:ind w:firstLine="420" w:firstLineChars="200"/>
    </w:pPr>
    <w:rPr>
      <w:kern w:val="2"/>
      <w:sz w:val="21"/>
      <w:szCs w:val="24"/>
    </w:rPr>
  </w:style>
  <w:style w:type="paragraph" w:styleId="8">
    <w:name w:val="Body Text Indent"/>
    <w:basedOn w:val="1"/>
    <w:next w:val="1"/>
    <w:semiHidden/>
    <w:qFormat/>
    <w:uiPriority w:val="0"/>
    <w:pPr>
      <w:spacing w:after="120"/>
      <w:ind w:left="420" w:leftChars="200"/>
    </w:pPr>
  </w:style>
  <w:style w:type="paragraph" w:styleId="9">
    <w:name w:val="caption"/>
    <w:basedOn w:val="1"/>
    <w:next w:val="1"/>
    <w:unhideWhenUsed/>
    <w:qFormat/>
    <w:uiPriority w:val="0"/>
    <w:rPr>
      <w:rFonts w:eastAsia="黑体" w:asciiTheme="majorHAnsi" w:hAnsiTheme="majorHAnsi" w:cstheme="majorBidi"/>
      <w:sz w:val="20"/>
      <w:szCs w:val="20"/>
    </w:rPr>
  </w:style>
  <w:style w:type="paragraph" w:styleId="10">
    <w:name w:val="annotation text"/>
    <w:basedOn w:val="1"/>
    <w:qFormat/>
    <w:uiPriority w:val="0"/>
    <w:pPr>
      <w:jc w:val="left"/>
    </w:pPr>
  </w:style>
  <w:style w:type="paragraph" w:styleId="11">
    <w:name w:val="Body Text"/>
    <w:basedOn w:val="1"/>
    <w:qFormat/>
    <w:uiPriority w:val="0"/>
    <w:pPr>
      <w:wordWrap w:val="0"/>
    </w:pPr>
    <w:rPr>
      <w:rFonts w:ascii="仿宋" w:hAnsi="仿宋" w:eastAsia="宋体" w:cs="仿宋"/>
      <w:kern w:val="2"/>
      <w:sz w:val="24"/>
      <w:szCs w:val="31"/>
      <w:lang w:eastAsia="en-US"/>
    </w:rPr>
  </w:style>
  <w:style w:type="paragraph" w:styleId="12">
    <w:name w:val="Plain Text"/>
    <w:basedOn w:val="1"/>
    <w:qFormat/>
    <w:uiPriority w:val="0"/>
    <w:rPr>
      <w:rFonts w:ascii="宋体" w:hAnsi="Courier New" w:cs="Courier New"/>
      <w:szCs w:val="21"/>
    </w:rPr>
  </w:style>
  <w:style w:type="paragraph" w:styleId="13">
    <w:name w:val="Body Text Indent 2"/>
    <w:basedOn w:val="1"/>
    <w:next w:val="1"/>
    <w:qFormat/>
    <w:uiPriority w:val="99"/>
    <w:pPr>
      <w:spacing w:after="120" w:line="480" w:lineRule="auto"/>
      <w:ind w:left="420" w:leftChars="200"/>
    </w:pPr>
    <w:rPr>
      <w:lang w:val="zh-CN"/>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List"/>
    <w:basedOn w:val="1"/>
    <w:unhideWhenUsed/>
    <w:qFormat/>
    <w:uiPriority w:val="99"/>
    <w:pPr>
      <w:ind w:left="200" w:hanging="200" w:hangingChars="200"/>
    </w:p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qFormat/>
    <w:uiPriority w:val="0"/>
    <w:pPr>
      <w:widowControl/>
      <w:spacing w:before="100" w:beforeAutospacing="1" w:after="100" w:afterAutospacing="1"/>
      <w:jc w:val="left"/>
    </w:pPr>
    <w:rPr>
      <w:rFonts w:ascii="宋体" w:hAnsi="宋体"/>
      <w:kern w:val="0"/>
      <w:sz w:val="24"/>
    </w:rPr>
  </w:style>
  <w:style w:type="table" w:styleId="20">
    <w:name w:val="Table Grid"/>
    <w:basedOn w:val="1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Emphasis"/>
    <w:basedOn w:val="21"/>
    <w:qFormat/>
    <w:uiPriority w:val="0"/>
    <w:rPr>
      <w:i/>
    </w:rPr>
  </w:style>
  <w:style w:type="character" w:styleId="24">
    <w:name w:val="Hyperlink"/>
    <w:basedOn w:val="21"/>
    <w:qFormat/>
    <w:uiPriority w:val="0"/>
    <w:rPr>
      <w:color w:val="0000FF"/>
      <w:u w:val="single"/>
    </w:rPr>
  </w:style>
  <w:style w:type="character" w:styleId="25">
    <w:name w:val="annotation reference"/>
    <w:qFormat/>
    <w:uiPriority w:val="0"/>
    <w:rPr>
      <w:sz w:val="21"/>
    </w:rPr>
  </w:style>
  <w:style w:type="paragraph" w:customStyle="1" w:styleId="26">
    <w:name w:val="标题3x"/>
    <w:basedOn w:val="1"/>
    <w:qFormat/>
    <w:uiPriority w:val="0"/>
    <w:pPr>
      <w:keepLines/>
      <w:autoSpaceDE/>
      <w:autoSpaceDN/>
      <w:adjustRightInd/>
      <w:spacing w:before="0" w:after="0" w:line="360" w:lineRule="auto"/>
    </w:pPr>
    <w:rPr>
      <w:rFonts w:ascii="Times New Roman" w:hAnsi="Times New Roman" w:eastAsia="宋体" w:cs="Times New Roman"/>
      <w:color w:val="auto"/>
      <w:sz w:val="28"/>
      <w:highlight w:val="none"/>
    </w:rPr>
  </w:style>
  <w:style w:type="paragraph" w:customStyle="1" w:styleId="27">
    <w:name w:val="Table Text"/>
    <w:basedOn w:val="1"/>
    <w:semiHidden/>
    <w:qFormat/>
    <w:uiPriority w:val="0"/>
    <w:rPr>
      <w:rFonts w:ascii="宋体" w:hAnsi="宋体" w:eastAsia="宋体" w:cs="宋体"/>
      <w:sz w:val="24"/>
      <w:szCs w:val="24"/>
      <w:lang w:val="en-US" w:eastAsia="en-US" w:bidi="ar-SA"/>
    </w:rPr>
  </w:style>
  <w:style w:type="paragraph" w:customStyle="1" w:styleId="2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
    <w:name w:val="本文图表标题"/>
    <w:basedOn w:val="1"/>
    <w:qFormat/>
    <w:uiPriority w:val="0"/>
    <w:pPr>
      <w:spacing w:before="50" w:beforeLines="50" w:after="50" w:afterLines="50"/>
      <w:jc w:val="center"/>
    </w:pPr>
    <w:rPr>
      <w:b/>
      <w:szCs w:val="24"/>
    </w:rPr>
  </w:style>
  <w:style w:type="paragraph" w:customStyle="1" w:styleId="30">
    <w:name w:val="本文正文"/>
    <w:basedOn w:val="1"/>
    <w:qFormat/>
    <w:uiPriority w:val="0"/>
    <w:pPr>
      <w:spacing w:line="360" w:lineRule="auto"/>
      <w:ind w:firstLine="200" w:firstLineChars="200"/>
    </w:pPr>
    <w:rPr>
      <w:kern w:val="0"/>
      <w:sz w:val="24"/>
    </w:rPr>
  </w:style>
  <w:style w:type="paragraph" w:customStyle="1" w:styleId="31">
    <w:name w:val="正文样式1"/>
    <w:basedOn w:val="12"/>
    <w:qFormat/>
    <w:uiPriority w:val="0"/>
    <w:pPr>
      <w:spacing w:line="360" w:lineRule="auto"/>
      <w:ind w:firstLine="480"/>
    </w:pPr>
    <w:rPr>
      <w:rFonts w:cs="Times New Roman"/>
      <w:kern w:val="0"/>
      <w:sz w:val="28"/>
      <w:szCs w:val="20"/>
    </w:rPr>
  </w:style>
  <w:style w:type="character" w:customStyle="1" w:styleId="32">
    <w:name w:val="文章正文 Char Char"/>
    <w:qFormat/>
    <w:uiPriority w:val="0"/>
    <w:rPr>
      <w:rFonts w:ascii="Times New Roman" w:hAnsi="Times New Roman" w:eastAsia="宋体"/>
      <w:sz w:val="24"/>
    </w:rPr>
  </w:style>
  <w:style w:type="paragraph" w:customStyle="1" w:styleId="33">
    <w:name w:val="环评正文"/>
    <w:basedOn w:val="1"/>
    <w:qFormat/>
    <w:uiPriority w:val="0"/>
    <w:rPr>
      <w:rFonts w:cs="Courier New"/>
      <w:snapToGrid w:val="0"/>
      <w:szCs w:val="20"/>
    </w:rPr>
  </w:style>
  <w:style w:type="paragraph" w:customStyle="1" w:styleId="34">
    <w:name w:val="表头"/>
    <w:basedOn w:val="16"/>
    <w:qFormat/>
    <w:uiPriority w:val="0"/>
    <w:pPr>
      <w:spacing w:line="240" w:lineRule="auto"/>
      <w:ind w:firstLine="0" w:firstLineChars="0"/>
      <w:jc w:val="center"/>
    </w:pPr>
    <w:rPr>
      <w:b/>
      <w:color w:val="000000" w:themeColor="text1"/>
      <w:sz w:val="21"/>
      <w14:textFill>
        <w14:solidFill>
          <w14:schemeClr w14:val="tx1"/>
        </w14:solidFill>
      </w14:textFill>
    </w:rPr>
  </w:style>
  <w:style w:type="paragraph" w:customStyle="1" w:styleId="35">
    <w:name w:val="[1]正文"/>
    <w:basedOn w:val="1"/>
    <w:autoRedefine/>
    <w:qFormat/>
    <w:uiPriority w:val="0"/>
    <w:rPr>
      <w:szCs w:val="24"/>
      <w:lang w:val="zh-CN"/>
    </w:rPr>
  </w:style>
  <w:style w:type="paragraph" w:customStyle="1" w:styleId="36">
    <w:name w:val="1-1 正文－WHHK"/>
    <w:basedOn w:val="1"/>
    <w:qFormat/>
    <w:uiPriority w:val="0"/>
    <w:pPr>
      <w:overflowPunct w:val="0"/>
      <w:ind w:left="8" w:leftChars="8" w:right="8" w:rightChars="8"/>
    </w:pPr>
    <w:rPr>
      <w:color w:val="000000"/>
      <w:szCs w:val="28"/>
      <w:lang w:bidi="en-US"/>
    </w:rPr>
  </w:style>
  <w:style w:type="paragraph" w:customStyle="1" w:styleId="37">
    <w:name w:val="表头2"/>
    <w:basedOn w:val="35"/>
    <w:qFormat/>
    <w:uiPriority w:val="0"/>
    <w:pPr>
      <w:spacing w:line="240" w:lineRule="auto"/>
      <w:ind w:firstLine="0" w:firstLineChars="0"/>
      <w:jc w:val="center"/>
    </w:pPr>
    <w:rPr>
      <w:rFonts w:eastAsia="Times New Roman"/>
      <w:b/>
    </w:rPr>
  </w:style>
  <w:style w:type="paragraph" w:customStyle="1" w:styleId="38">
    <w:name w:val="表格内容1"/>
    <w:basedOn w:val="35"/>
    <w:qFormat/>
    <w:uiPriority w:val="0"/>
    <w:pPr>
      <w:spacing w:line="240" w:lineRule="auto"/>
      <w:ind w:firstLine="0" w:firstLineChars="0"/>
      <w:jc w:val="center"/>
    </w:pPr>
    <w:rPr>
      <w:rFonts w:cs="Times New Roman"/>
      <w:color w:val="000000"/>
      <w:sz w:val="21"/>
      <w:szCs w:val="21"/>
    </w:rPr>
  </w:style>
  <w:style w:type="paragraph" w:customStyle="1" w:styleId="39">
    <w:name w:val="1-2 正文无缩进-WHHK"/>
    <w:basedOn w:val="1"/>
    <w:qFormat/>
    <w:uiPriority w:val="0"/>
    <w:pPr>
      <w:ind w:left="48" w:leftChars="8" w:right="48" w:rightChars="8" w:firstLine="0" w:firstLineChars="0"/>
    </w:pPr>
    <w:rPr>
      <w:rFonts w:cs="Arial"/>
      <w:lang w:val="sq-AL" w:bidi="en-US"/>
    </w:rPr>
  </w:style>
  <w:style w:type="paragraph" w:customStyle="1" w:styleId="40">
    <w:name w:val="楷体三号"/>
    <w:basedOn w:val="1"/>
    <w:qFormat/>
    <w:uiPriority w:val="0"/>
    <w:pPr>
      <w:shd w:val="clear" w:color="auto" w:fill="FFFFFF"/>
      <w:spacing w:line="300" w:lineRule="auto"/>
      <w:outlineLvl w:val="1"/>
    </w:pPr>
    <w:rPr>
      <w:rFonts w:ascii="楷体_GB2312" w:hAnsi="宋体" w:eastAsia="楷体_GB2312"/>
      <w:b/>
      <w:sz w:val="32"/>
      <w:szCs w:val="28"/>
    </w:rPr>
  </w:style>
  <w:style w:type="paragraph" w:customStyle="1" w:styleId="41">
    <w:name w:val="表格内容"/>
    <w:basedOn w:val="1"/>
    <w:qFormat/>
    <w:uiPriority w:val="0"/>
    <w:pPr>
      <w:spacing w:line="240" w:lineRule="auto"/>
      <w:ind w:firstLine="0" w:firstLineChars="0"/>
      <w:jc w:val="center"/>
    </w:pPr>
    <w:rPr>
      <w:kern w:val="0"/>
      <w:sz w:val="20"/>
    </w:rPr>
  </w:style>
  <w:style w:type="table" w:customStyle="1" w:styleId="42">
    <w:name w:val="Table Normal"/>
    <w:basedOn w:val="19"/>
    <w:unhideWhenUsed/>
    <w:qFormat/>
    <w:uiPriority w:val="0"/>
    <w:tblPr>
      <w:tblCellMar>
        <w:top w:w="0" w:type="dxa"/>
        <w:left w:w="0" w:type="dxa"/>
        <w:bottom w:w="0" w:type="dxa"/>
        <w:right w:w="0" w:type="dxa"/>
      </w:tblCellMar>
    </w:tblPr>
  </w:style>
  <w:style w:type="paragraph" w:customStyle="1" w:styleId="43">
    <w:name w:val="3环评报告三级标题"/>
    <w:basedOn w:val="4"/>
    <w:next w:val="1"/>
    <w:qFormat/>
    <w:uiPriority w:val="0"/>
    <w:pPr>
      <w:numPr>
        <w:ilvl w:val="2"/>
        <w:numId w:val="1"/>
      </w:numPr>
      <w:adjustRightInd w:val="0"/>
      <w:snapToGrid w:val="0"/>
      <w:spacing w:before="120" w:after="120" w:line="360" w:lineRule="auto"/>
      <w:ind w:firstLineChars="0"/>
    </w:pPr>
    <w:rPr>
      <w:sz w:val="28"/>
    </w:rPr>
  </w:style>
  <w:style w:type="paragraph" w:styleId="44">
    <w:name w:val="List Paragraph"/>
    <w:basedOn w:val="1"/>
    <w:qFormat/>
    <w:uiPriority w:val="0"/>
    <w:pPr>
      <w:ind w:firstLine="420"/>
    </w:pPr>
  </w:style>
  <w:style w:type="paragraph" w:customStyle="1" w:styleId="45">
    <w:name w:val="0正文"/>
    <w:qFormat/>
    <w:uiPriority w:val="0"/>
    <w:pPr>
      <w:widowControl w:val="0"/>
      <w:spacing w:line="360" w:lineRule="auto"/>
      <w:ind w:firstLine="720" w:firstLineChars="200"/>
    </w:pPr>
    <w:rPr>
      <w:rFonts w:ascii="Times New Roman" w:hAnsi="Times New Roman" w:eastAsia="宋体" w:cs="Times New Roman"/>
      <w:kern w:val="0"/>
      <w:sz w:val="24"/>
      <w:szCs w:val="22"/>
      <w:lang w:val="en-US" w:eastAsia="zh-CN" w:bidi="ar-SA"/>
    </w:rPr>
  </w:style>
  <w:style w:type="character" w:customStyle="1" w:styleId="46">
    <w:name w:val="font21"/>
    <w:basedOn w:val="21"/>
    <w:qFormat/>
    <w:uiPriority w:val="0"/>
    <w:rPr>
      <w:rFonts w:hint="default" w:ascii="Times New Roman" w:hAnsi="Times New Roman" w:cs="Times New Roman"/>
      <w:color w:val="000000"/>
      <w:sz w:val="21"/>
      <w:szCs w:val="21"/>
      <w:u w:val="none"/>
    </w:rPr>
  </w:style>
  <w:style w:type="paragraph" w:customStyle="1" w:styleId="47">
    <w:name w:val="xl26"/>
    <w:basedOn w:val="1"/>
    <w:qFormat/>
    <w:uiPriority w:val="0"/>
    <w:pPr>
      <w:widowControl/>
      <w:pBdr>
        <w:bottom w:val="single" w:color="auto" w:sz="4" w:space="0"/>
        <w:right w:val="single" w:color="auto" w:sz="4" w:space="0"/>
      </w:pBdr>
      <w:adjustRightInd/>
      <w:snapToGrid/>
      <w:spacing w:before="100" w:after="100"/>
      <w:ind w:firstLine="720" w:firstLineChars="200"/>
      <w:jc w:val="center"/>
      <w:textAlignment w:val="top"/>
    </w:pPr>
    <w:rPr>
      <w:rFonts w:ascii="宋体" w:hAnsi="宋体"/>
      <w:kern w:val="0"/>
      <w:szCs w:val="20"/>
    </w:rPr>
  </w:style>
  <w:style w:type="paragraph" w:customStyle="1" w:styleId="48">
    <w:name w:val="样式 正文1 + 首行缩进:  2 字符"/>
    <w:basedOn w:val="1"/>
    <w:qFormat/>
    <w:uiPriority w:val="0"/>
    <w:pPr>
      <w:keepNext/>
      <w:spacing w:line="360" w:lineRule="auto"/>
      <w:ind w:firstLine="200" w:firstLineChars="200"/>
    </w:pPr>
    <w:rPr>
      <w:rFonts w:ascii="Calibri" w:hAnsi="Calibri" w:cs="宋体"/>
      <w:sz w:val="24"/>
      <w:szCs w:val="20"/>
    </w:rPr>
  </w:style>
  <w:style w:type="paragraph" w:customStyle="1" w:styleId="49">
    <w:name w:val="p0"/>
    <w:basedOn w:val="1"/>
    <w:qFormat/>
    <w:uiPriority w:val="0"/>
    <w:pPr>
      <w:widowControl/>
    </w:pPr>
    <w:rPr>
      <w:kern w:val="0"/>
      <w:szCs w:val="21"/>
    </w:rPr>
  </w:style>
  <w:style w:type="paragraph" w:customStyle="1" w:styleId="50">
    <w:name w:val="Table Paragraph"/>
    <w:basedOn w:val="1"/>
    <w:qFormat/>
    <w:uiPriority w:val="1"/>
    <w:pPr>
      <w:jc w:val="center"/>
    </w:pPr>
    <w:rPr>
      <w:rFonts w:ascii="宋体" w:hAnsi="宋体" w:eastAsia="宋体" w:cs="宋体"/>
      <w:lang w:val="zh-CN" w:eastAsia="zh-CN" w:bidi="zh-CN"/>
    </w:rPr>
  </w:style>
  <w:style w:type="paragraph" w:customStyle="1" w:styleId="51">
    <w:name w:val="0表格格式"/>
    <w:basedOn w:val="1"/>
    <w:qFormat/>
    <w:uiPriority w:val="0"/>
    <w:pPr>
      <w:jc w:val="center"/>
    </w:pPr>
    <w:rPr>
      <w:rFonts w:ascii="Times New Roman" w:hAnsi="Times New Roman" w:cs="Times New Roman"/>
      <w:szCs w:val="21"/>
    </w:rPr>
  </w:style>
  <w:style w:type="character" w:customStyle="1" w:styleId="52">
    <w:name w:val="font41"/>
    <w:basedOn w:val="21"/>
    <w:qFormat/>
    <w:uiPriority w:val="0"/>
    <w:rPr>
      <w:rFonts w:hint="default" w:ascii="Times New Roman" w:hAnsi="Times New Roman" w:cs="Times New Roman"/>
      <w:color w:val="000000"/>
      <w:sz w:val="20"/>
      <w:szCs w:val="20"/>
      <w:u w:val="none"/>
    </w:rPr>
  </w:style>
  <w:style w:type="character" w:customStyle="1" w:styleId="53">
    <w:name w:val="font71"/>
    <w:basedOn w:val="21"/>
    <w:qFormat/>
    <w:uiPriority w:val="0"/>
    <w:rPr>
      <w:rFonts w:hint="default" w:ascii="Times New Roman" w:hAnsi="Times New Roman" w:cs="Times New Roman"/>
      <w:color w:val="000000"/>
      <w:sz w:val="20"/>
      <w:szCs w:val="20"/>
      <w:u w:val="none"/>
      <w:vertAlign w:val="subscript"/>
    </w:rPr>
  </w:style>
  <w:style w:type="character" w:customStyle="1" w:styleId="54">
    <w:name w:val="font11"/>
    <w:basedOn w:val="21"/>
    <w:qFormat/>
    <w:uiPriority w:val="0"/>
    <w:rPr>
      <w:rFonts w:hint="eastAsia" w:ascii="宋体" w:hAnsi="宋体" w:eastAsia="宋体" w:cs="宋体"/>
      <w:color w:val="000000"/>
      <w:sz w:val="20"/>
      <w:szCs w:val="20"/>
      <w:u w:val="none"/>
    </w:rPr>
  </w:style>
  <w:style w:type="character" w:customStyle="1" w:styleId="55">
    <w:name w:val="font31"/>
    <w:basedOn w:val="21"/>
    <w:qFormat/>
    <w:uiPriority w:val="0"/>
    <w:rPr>
      <w:rFonts w:hint="default" w:ascii="Times New Roman" w:hAnsi="Times New Roman" w:cs="Times New Roman"/>
      <w:color w:val="000000"/>
      <w:sz w:val="20"/>
      <w:szCs w:val="20"/>
      <w:u w:val="none"/>
    </w:rPr>
  </w:style>
  <w:style w:type="paragraph" w:customStyle="1" w:styleId="56">
    <w:name w:val="02表格文字-环评报告"/>
    <w:basedOn w:val="1"/>
    <w:qFormat/>
    <w:uiPriority w:val="0"/>
    <w:pPr>
      <w:adjustRightInd w:val="0"/>
      <w:snapToGrid w:val="0"/>
      <w:spacing w:line="240" w:lineRule="auto"/>
      <w:ind w:firstLine="0" w:firstLineChars="0"/>
      <w:jc w:val="center"/>
    </w:pPr>
    <w:rPr>
      <w:sz w:val="21"/>
      <w:szCs w:val="21"/>
    </w:rPr>
  </w:style>
  <w:style w:type="paragraph" w:customStyle="1" w:styleId="57">
    <w:name w:val="9环评报告图"/>
    <w:basedOn w:val="1"/>
    <w:next w:val="1"/>
    <w:autoRedefine/>
    <w:qFormat/>
    <w:uiPriority w:val="0"/>
    <w:pPr>
      <w:numPr>
        <w:ilvl w:val="8"/>
        <w:numId w:val="2"/>
      </w:numPr>
      <w:adjustRightInd w:val="0"/>
      <w:snapToGrid w:val="0"/>
      <w:ind w:firstLineChars="0"/>
      <w:jc w:val="center"/>
      <w:outlineLvl w:val="8"/>
    </w:pPr>
  </w:style>
  <w:style w:type="table" w:customStyle="1" w:styleId="58">
    <w:name w:val="环评报告表格样式1"/>
    <w:basedOn w:val="19"/>
    <w:qFormat/>
    <w:uiPriority w:val="99"/>
    <w:pPr>
      <w:jc w:val="center"/>
    </w:pPr>
    <w:rPr>
      <w:sz w:val="21"/>
    </w:rPr>
    <w:tblPr>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
    <w:trPr>
      <w:jc w:val="center"/>
    </w:tr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e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8e790ce0-df5a-43b6-854e-9baf037e9b60</errorID>
      <errorWord>，</errorWord>
      <group>L1_Format</group>
      <groupName>格式问题</groupName>
      <ability>L2_HalfPunc</ability>
      <abilityName>全半角检查</abilityName>
      <candidateList>
        <item>,</item>
      </candidateList>
      <explain>文本全半角错误。</explain>
      <paraID>3D93E67A</paraID>
      <start>13</start>
      <end>14</end>
      <status>unmodified</status>
      <modifiedWord/>
      <trackRevisions>false</trackRevisions>
    </reviewItem>
    <reviewItem>
      <errorID>08b171d0-4689-41b0-919b-2000b4b08d01</errorID>
      <errorWord>，</errorWord>
      <group>L1_Format</group>
      <groupName>格式问题</groupName>
      <ability>L2_HalfPunc</ability>
      <abilityName>全半角检查</abilityName>
      <candidateList>
        <item>,</item>
      </candidateList>
      <explain>文本全半角错误。</explain>
      <paraID>5FDFC2EB</paraID>
      <start>13</start>
      <end>14</end>
      <status>unmodified</status>
      <modifiedWord/>
      <trackRevisions>false</trackRevisions>
    </reviewItem>
    <reviewItem>
      <errorID>0f5a3c55-b09e-44a1-8645-607f3470ea55</errorID>
      <errorWord>，</errorWord>
      <group>L1_Format</group>
      <groupName>格式问题</groupName>
      <ability>L2_HalfPunc</ability>
      <abilityName>全半角检查</abilityName>
      <candidateList>
        <item>,</item>
      </candidateList>
      <explain>文本全半角错误。</explain>
      <paraID>76DA05C6</paraID>
      <start>13</start>
      <end>14</end>
      <status>unmodified</status>
      <modifiedWord/>
      <trackRevisions>false</trackRevisions>
    </reviewItem>
    <reviewItem>
      <errorID>6536505f-68eb-441f-bf8c-c4cf083246e7</errorID>
      <errorWord>，</errorWord>
      <group>L1_Format</group>
      <groupName>格式问题</groupName>
      <ability>L2_HalfPunc</ability>
      <abilityName>全半角检查</abilityName>
      <candidateList>
        <item>,</item>
      </candidateList>
      <explain>文本全半角错误。</explain>
      <paraID> FF2005F</paraID>
      <start>13</start>
      <end>14</end>
      <status>unmodified</status>
      <modifiedWord/>
      <trackRevisions>false</trackRevisions>
    </reviewItem>
    <reviewItem>
      <errorID>93d326db-f29f-46e2-b3c3-07164b545238</errorID>
      <errorWord>，</errorWord>
      <group>L1_Format</group>
      <groupName>格式问题</groupName>
      <ability>L2_HalfPunc</ability>
      <abilityName>全半角检查</abilityName>
      <candidateList>
        <item>,</item>
      </candidateList>
      <explain>文本全半角错误。</explain>
      <paraID>5B931DA1</paraID>
      <start>13</start>
      <end>14</end>
      <status>unmodified</status>
      <modifiedWord/>
      <trackRevisions>false</trackRevisions>
    </reviewItem>
    <reviewItem>
      <errorID>7e690d9c-89eb-4fa1-93f6-36eb379e0fba</errorID>
      <errorWord>，</errorWord>
      <group>L1_Format</group>
      <groupName>格式问题</groupName>
      <ability>L2_HalfPunc</ability>
      <abilityName>全半角检查</abilityName>
      <candidateList>
        <item>,</item>
      </candidateList>
      <explain>文本全半角错误。</explain>
      <paraID> 476F400</paraID>
      <start>13</start>
      <end>14</end>
      <status>unmodified</status>
      <modifiedWord/>
      <trackRevisions>false</trackRevisions>
    </reviewItem>
    <reviewItem>
      <errorID>9428ecfb-4e55-4084-ac54-362a4df986c4</errorID>
      <errorWord>，</errorWord>
      <group>L1_Format</group>
      <groupName>格式问题</groupName>
      <ability>L2_HalfPunc</ability>
      <abilityName>全半角检查</abilityName>
      <candidateList>
        <item>,</item>
      </candidateList>
      <explain>文本全半角错误。</explain>
      <paraID>4C39CE7A</paraID>
      <start>13</start>
      <end>14</end>
      <status>unmodified</status>
      <modifiedWord/>
      <trackRevisions>false</trackRevisions>
    </reviewItem>
    <reviewItem>
      <errorID>1ff04125-4eec-4e70-8d14-ea1ec2299921</errorID>
      <errorWord>，</errorWord>
      <group>L1_Format</group>
      <groupName>格式问题</groupName>
      <ability>L2_HalfPunc</ability>
      <abilityName>全半角检查</abilityName>
      <candidateList>
        <item>,</item>
      </candidateList>
      <explain>文本全半角错误。</explain>
      <paraID> 420072F</paraID>
      <start>13</start>
      <end>14</end>
      <status>unmodified</status>
      <modifiedWord/>
      <trackRevisions>false</trackRevisions>
    </reviewItem>
    <reviewItem>
      <errorID>75bbe185-d304-4518-8e5a-f8d4abb29aa6</errorID>
      <errorWord>，</errorWord>
      <group>L1_Format</group>
      <groupName>格式问题</groupName>
      <ability>L2_HalfPunc</ability>
      <abilityName>全半角检查</abilityName>
      <candidateList>
        <item>,</item>
      </candidateList>
      <explain>文本全半角错误。</explain>
      <paraID>48BD5A7F</paraID>
      <start>13</start>
      <end>14</end>
      <status>unmodified</status>
      <modifiedWord/>
      <trackRevisions>false</trackRevisions>
    </reviewItem>
    <reviewItem>
      <errorID>e298ee2c-f355-40f6-898d-80eeafbe8b62</errorID>
      <errorWord>，</errorWord>
      <group>L1_Format</group>
      <groupName>格式问题</groupName>
      <ability>L2_HalfPunc</ability>
      <abilityName>全半角检查</abilityName>
      <candidateList>
        <item>,</item>
      </candidateList>
      <explain>文本全半角错误。</explain>
      <paraID> 6B359AE</paraID>
      <start>13</start>
      <end>14</end>
      <status>unmodified</status>
      <modifiedWord/>
      <trackRevisions>false</trackRevisions>
    </reviewItem>
    <reviewItem>
      <errorID>79215dc2-623d-4f12-a19a-36442062469f</errorID>
      <errorWord>，</errorWord>
      <group>L1_Format</group>
      <groupName>格式问题</groupName>
      <ability>L2_HalfPunc</ability>
      <abilityName>全半角检查</abilityName>
      <candidateList>
        <item>,</item>
      </candidateList>
      <explain>文本全半角错误。</explain>
      <paraID>550B2128</paraID>
      <start>13</start>
      <end>14</end>
      <status>unmodified</status>
      <modifiedWord/>
      <trackRevisions>false</trackRevisions>
    </reviewItem>
    <reviewItem>
      <errorID>925708d5-c8a6-41bd-a998-1323f2630208</errorID>
      <errorWord>，</errorWord>
      <group>L1_Format</group>
      <groupName>格式问题</groupName>
      <ability>L2_HalfPunc</ability>
      <abilityName>全半角检查</abilityName>
      <candidateList>
        <item>,</item>
      </candidateList>
      <explain>文本全半角错误。</explain>
      <paraID>1850A18D</paraID>
      <start>13</start>
      <end>14</end>
      <status>unmodified</status>
      <modifiedWord/>
      <trackRevisions>false</trackRevisions>
    </reviewItem>
    <reviewItem>
      <errorID>a0188f4f-97a7-4a2b-bfc9-c0a72c6f47b6</errorID>
      <errorWord>，</errorWord>
      <group>L1_Format</group>
      <groupName>格式问题</groupName>
      <ability>L2_HalfPunc</ability>
      <abilityName>全半角检查</abilityName>
      <candidateList>
        <item>,</item>
      </candidateList>
      <explain>文本全半角错误。</explain>
      <paraID>5D77A31A</paraID>
      <start>13</start>
      <end>14</end>
      <status>unmodified</status>
      <modifiedWord/>
      <trackRevisions>false</trackRevisions>
    </reviewItem>
    <reviewItem>
      <errorID>7dcc319c-b989-4f66-b0b0-e619896fa884</errorID>
      <errorWord>，</errorWord>
      <group>L1_Format</group>
      <groupName>格式问题</groupName>
      <ability>L2_HalfPunc</ability>
      <abilityName>全半角检查</abilityName>
      <candidateList>
        <item>,</item>
      </candidateList>
      <explain>文本全半角错误。</explain>
      <paraID>23019825</paraID>
      <start>13</start>
      <end>14</end>
      <status>unmodified</status>
      <modifiedWord/>
      <trackRevisions>false</trackRevisions>
    </reviewItem>
    <reviewItem>
      <errorID>1f120d55-a4f3-49cb-9413-4b4be0bd0e59</errorID>
      <errorWord>，</errorWord>
      <group>L1_Format</group>
      <groupName>格式问题</groupName>
      <ability>L2_HalfPunc</ability>
      <abilityName>全半角检查</abilityName>
      <candidateList>
        <item>,</item>
      </candidateList>
      <explain>文本全半角错误。</explain>
      <paraID>586E6E96</paraID>
      <start>13</start>
      <end>14</end>
      <status>unmodified</status>
      <modifiedWord/>
      <trackRevisions>false</trackRevisions>
    </reviewItem>
    <reviewItem>
      <errorID>1e51f0d7-3b29-4007-8d83-20ec2d1b7a8e</errorID>
      <errorWord>，</errorWord>
      <group>L1_Format</group>
      <groupName>格式问题</groupName>
      <ability>L2_HalfPunc</ability>
      <abilityName>全半角检查</abilityName>
      <candidateList>
        <item>,</item>
      </candidateList>
      <explain>文本全半角错误。</explain>
      <paraID>2393F401</paraID>
      <start>13</start>
      <end>14</end>
      <status>unmodified</status>
      <modifiedWord/>
      <trackRevisions>false</trackRevisions>
    </reviewItem>
    <reviewItem>
      <errorID>33b5bba1-1033-46f7-a8c8-e23fef3f5303</errorID>
      <errorWord>，</errorWord>
      <group>L1_Format</group>
      <groupName>格式问题</groupName>
      <ability>L2_HalfPunc</ability>
      <abilityName>全半角检查</abilityName>
      <candidateList>
        <item>,</item>
      </candidateList>
      <explain>文本全半角错误。</explain>
      <paraID>5B3D0747</paraID>
      <start>13</start>
      <end>14</end>
      <status>unmodified</status>
      <modifiedWord/>
      <trackRevisions>false</trackRevisions>
    </reviewItem>
    <reviewItem>
      <errorID>f51cdc4b-0ebf-4c5d-b091-ae55d9175974</errorID>
      <errorWord>，</errorWord>
      <group>L1_Format</group>
      <groupName>格式问题</groupName>
      <ability>L2_HalfPunc</ability>
      <abilityName>全半角检查</abilityName>
      <candidateList>
        <item>,</item>
      </candidateList>
      <explain>文本全半角错误。</explain>
      <paraID>22413B3C</paraID>
      <start>13</start>
      <end>14</end>
      <status>unmodified</status>
      <modifiedWord/>
      <trackRevisions>false</trackRevisions>
    </reviewItem>
    <reviewItem>
      <errorID>dda99baf-ed86-4c15-b878-ebcdf51275e3</errorID>
      <errorWord>，</errorWord>
      <group>L1_Format</group>
      <groupName>格式问题</groupName>
      <ability>L2_HalfPunc</ability>
      <abilityName>全半角检查</abilityName>
      <candidateList>
        <item>,</item>
      </candidateList>
      <explain>文本全半角错误。</explain>
      <paraID>776F2BE3</paraID>
      <start>13</start>
      <end>14</end>
      <status>unmodified</status>
      <modifiedWord/>
      <trackRevisions>false</trackRevisions>
    </reviewItem>
    <reviewItem>
      <errorID>68f77f5c-9fbf-490e-96e3-79dbbcb0fd89</errorID>
      <errorWord>，</errorWord>
      <group>L1_Format</group>
      <groupName>格式问题</groupName>
      <ability>L2_HalfPunc</ability>
      <abilityName>全半角检查</abilityName>
      <candidateList>
        <item>,</item>
      </candidateList>
      <explain>文本全半角错误。</explain>
      <paraID>200706AF</paraID>
      <start>13</start>
      <end>14</end>
      <status>unmodified</status>
      <modifiedWord/>
      <trackRevisions>false</trackRevisions>
    </reviewItem>
    <reviewItem>
      <errorID>d5b48f83-d716-4ed2-ac32-5fd2c81a3601</errorID>
      <errorWord>，</errorWord>
      <group>L1_Format</group>
      <groupName>格式问题</groupName>
      <ability>L2_HalfPunc</ability>
      <abilityName>全半角检查</abilityName>
      <candidateList>
        <item>,</item>
      </candidateList>
      <explain>文本全半角错误。</explain>
      <paraID>4A9ED988</paraID>
      <start>13</start>
      <end>14</end>
      <status>unmodified</status>
      <modifiedWord/>
      <trackRevisions>false</trackRevisions>
    </reviewItem>
    <reviewItem>
      <errorID>340afa2b-9a8e-4198-b423-b68e6e7d0b9e</errorID>
      <errorWord>，</errorWord>
      <group>L1_Format</group>
      <groupName>格式问题</groupName>
      <ability>L2_HalfPunc</ability>
      <abilityName>全半角检查</abilityName>
      <candidateList>
        <item>,</item>
      </candidateList>
      <explain>文本全半角错误。</explain>
      <paraID>783E4C93</paraID>
      <start>13</start>
      <end>14</end>
      <status>unmodified</status>
      <modifiedWord/>
      <trackRevisions>false</trackRevisions>
    </reviewItem>
    <reviewItem>
      <errorID>92aa52a8-c6f5-46ad-9cec-fb97758c2c19</errorID>
      <errorWord>，</errorWord>
      <group>L1_Format</group>
      <groupName>格式问题</groupName>
      <ability>L2_HalfPunc</ability>
      <abilityName>全半角检查</abilityName>
      <candidateList>
        <item>,</item>
      </candidateList>
      <explain>文本全半角错误。</explain>
      <paraID>58C8DF79</paraID>
      <start>13</start>
      <end>14</end>
      <status>unmodified</status>
      <modifiedWord/>
      <trackRevisions>false</trackRevisions>
    </reviewItem>
    <reviewItem>
      <errorID>117595be-8755-437c-9e1a-d0330edcec66</errorID>
      <errorWord>，</errorWord>
      <group>L1_Format</group>
      <groupName>格式问题</groupName>
      <ability>L2_HalfPunc</ability>
      <abilityName>全半角检查</abilityName>
      <candidateList>
        <item>,</item>
      </candidateList>
      <explain>文本全半角错误。</explain>
      <paraID>4A6A25D8</paraID>
      <start>13</start>
      <end>14</end>
      <status>unmodified</status>
      <modifiedWord/>
      <trackRevisions>false</trackRevisions>
    </reviewItem>
    <reviewItem>
      <errorID>b8a8d1c4-8222-4adc-9c7f-7075451ee8d6</errorID>
      <errorWord>，</errorWord>
      <group>L1_Format</group>
      <groupName>格式问题</groupName>
      <ability>L2_HalfPunc</ability>
      <abilityName>全半角检查</abilityName>
      <candidateList>
        <item>,</item>
      </candidateList>
      <explain>文本全半角错误。</explain>
      <paraID>1B7BF895</paraID>
      <start>13</start>
      <end>14</end>
      <status>unmodified</status>
      <modifiedWord/>
      <trackRevisions>false</trackRevisions>
    </reviewItem>
    <reviewItem>
      <errorID>d8db8027-cd7f-4721-bed5-be690cbb4d0f</errorID>
      <errorWord>，</errorWord>
      <group>L1_Format</group>
      <groupName>格式问题</groupName>
      <ability>L2_HalfPunc</ability>
      <abilityName>全半角检查</abilityName>
      <candidateList>
        <item>,</item>
      </candidateList>
      <explain>文本全半角错误。</explain>
      <paraID>38B8EE6E</paraID>
      <start>13</start>
      <end>14</end>
      <status>unmodified</status>
      <modifiedWord/>
      <trackRevisions>false</trackRevisions>
    </reviewItem>
    <reviewItem>
      <errorID>7a606cf9-2acb-4ff4-9294-54c2d829831b</errorID>
      <errorWord>，</errorWord>
      <group>L1_Format</group>
      <groupName>格式问题</groupName>
      <ability>L2_HalfPunc</ability>
      <abilityName>全半角检查</abilityName>
      <candidateList>
        <item>,</item>
      </candidateList>
      <explain>文本全半角错误。</explain>
      <paraID>6DB0DDB5</paraID>
      <start>13</start>
      <end>14</end>
      <status>unmodified</status>
      <modifiedWord/>
      <trackRevisions>false</trackRevisions>
    </reviewItem>
    <reviewItem>
      <errorID>7e03d338-2754-4439-8f94-430b29476d2d</errorID>
      <errorWord>，</errorWord>
      <group>L1_Format</group>
      <groupName>格式问题</groupName>
      <ability>L2_HalfPunc</ability>
      <abilityName>全半角检查</abilityName>
      <candidateList>
        <item>,</item>
      </candidateList>
      <explain>文本全半角错误。</explain>
      <paraID>7C38040A</paraID>
      <start>13</start>
      <end>14</end>
      <status>unmodified</status>
      <modifiedWord/>
      <trackRevisions>false</trackRevisions>
    </reviewItem>
    <reviewItem>
      <errorID>d1c97b38-817e-4e4c-b332-f3c7669c3c46</errorID>
      <errorWord>，</errorWord>
      <group>L1_Format</group>
      <groupName>格式问题</groupName>
      <ability>L2_HalfPunc</ability>
      <abilityName>全半角检查</abilityName>
      <candidateList>
        <item>,</item>
      </candidateList>
      <explain>文本全半角错误。</explain>
      <paraID>3E8F9F44</paraID>
      <start>13</start>
      <end>14</end>
      <status>unmodified</status>
      <modifiedWord/>
      <trackRevisions>false</trackRevisions>
    </reviewItem>
    <reviewItem>
      <errorID>ed5459d4-36db-4dba-ae2a-3679ead1ff37</errorID>
      <errorWord>，</errorWord>
      <group>L1_Format</group>
      <groupName>格式问题</groupName>
      <ability>L2_HalfPunc</ability>
      <abilityName>全半角检查</abilityName>
      <candidateList>
        <item>,</item>
      </candidateList>
      <explain>文本全半角错误。</explain>
      <paraID>3EE66453</paraID>
      <start>13</start>
      <end>14</end>
      <status>unmodified</status>
      <modifiedWord/>
      <trackRevisions>false</trackRevisions>
    </reviewItem>
    <reviewItem>
      <errorID>0cffafe3-bb9f-43e5-82ae-ab76954fec78</errorID>
      <errorWord>，</errorWord>
      <group>L1_Format</group>
      <groupName>格式问题</groupName>
      <ability>L2_HalfPunc</ability>
      <abilityName>全半角检查</abilityName>
      <candidateList>
        <item>,</item>
      </candidateList>
      <explain>文本全半角错误。</explain>
      <paraID>  56D7B4</paraID>
      <start>13</start>
      <end>14</end>
      <status>unmodified</status>
      <modifiedWord/>
      <trackRevisions>false</trackRevisions>
    </reviewItem>
    <reviewItem>
      <errorID>052ccf5c-c89c-42e6-ae4a-e83ba49b96d0</errorID>
      <errorWord>，</errorWord>
      <group>L1_Format</group>
      <groupName>格式问题</groupName>
      <ability>L2_HalfPunc</ability>
      <abilityName>全半角检查</abilityName>
      <candidateList>
        <item>,</item>
      </candidateList>
      <explain>文本全半角错误。</explain>
      <paraID>7957851B</paraID>
      <start>13</start>
      <end>14</end>
      <status>unmodified</status>
      <modifiedWord/>
      <trackRevisions>false</trackRevisions>
    </reviewItem>
    <reviewItem>
      <errorID>5c8981ea-12f8-40a4-af54-c0ec33256b46</errorID>
      <errorWord>，</errorWord>
      <group>L1_Format</group>
      <groupName>格式问题</groupName>
      <ability>L2_HalfPunc</ability>
      <abilityName>全半角检查</abilityName>
      <candidateList>
        <item>,</item>
      </candidateList>
      <explain>文本全半角错误。</explain>
      <paraID>155FDD65</paraID>
      <start>13</start>
      <end>14</end>
      <status>unmodified</status>
      <modifiedWord/>
      <trackRevisions>false</trackRevisions>
    </reviewItem>
    <reviewItem>
      <errorID>c09492c9-ff6b-4e68-9f11-3d953538bbce</errorID>
      <errorWord>，</errorWord>
      <group>L1_Format</group>
      <groupName>格式问题</groupName>
      <ability>L2_HalfPunc</ability>
      <abilityName>全半角检查</abilityName>
      <candidateList>
        <item>,</item>
      </candidateList>
      <explain>文本全半角错误。</explain>
      <paraID>3258B9AA</paraID>
      <start>13</start>
      <end>14</end>
      <status>unmodified</status>
      <modifiedWord/>
      <trackRevisions>false</trackRevisions>
    </reviewItem>
    <reviewItem>
      <errorID>4a83b820-2635-433a-9cad-804843128766</errorID>
      <errorWord>，</errorWord>
      <group>L1_Format</group>
      <groupName>格式问题</groupName>
      <ability>L2_HalfPunc</ability>
      <abilityName>全半角检查</abilityName>
      <candidateList>
        <item>,</item>
      </candidateList>
      <explain>文本全半角错误。</explain>
      <paraID>13416557</paraID>
      <start>13</start>
      <end>14</end>
      <status>unmodified</status>
      <modifiedWord/>
      <trackRevisions>false</trackRevisions>
    </reviewItem>
    <reviewItem>
      <errorID>253ed948-1c49-4313-8761-7759a0c4f50e</errorID>
      <errorWord>，</errorWord>
      <group>L1_Format</group>
      <groupName>格式问题</groupName>
      <ability>L2_HalfPunc</ability>
      <abilityName>全半角检查</abilityName>
      <candidateList>
        <item>,</item>
      </candidateList>
      <explain>文本全半角错误。</explain>
      <paraID>1F29F2DD</paraID>
      <start>13</start>
      <end>14</end>
      <status>unmodified</status>
      <modifiedWord/>
      <trackRevisions>false</trackRevisions>
    </reviewItem>
    <reviewItem>
      <errorID>c45e6cc3-74d7-4472-af6a-f4a351a3cf08</errorID>
      <errorWord>，</errorWord>
      <group>L1_Format</group>
      <groupName>格式问题</groupName>
      <ability>L2_HalfPunc</ability>
      <abilityName>全半角检查</abilityName>
      <candidateList>
        <item>,</item>
      </candidateList>
      <explain>文本全半角错误。</explain>
      <paraID> D645BA5</paraID>
      <start>13</start>
      <end>14</end>
      <status>unmodified</status>
      <modifiedWord/>
      <trackRevisions>false</trackRevisions>
    </reviewItem>
    <reviewItem>
      <errorID>da7fa8e6-c6b6-4299-b92e-ea503f70e4ff</errorID>
      <errorWord>，</errorWord>
      <group>L1_Format</group>
      <groupName>格式问题</groupName>
      <ability>L2_HalfPunc</ability>
      <abilityName>全半角检查</abilityName>
      <candidateList>
        <item>,</item>
      </candidateList>
      <explain>文本全半角错误。</explain>
      <paraID> 77F4E0D</paraID>
      <start>13</start>
      <end>14</end>
      <status>unmodified</status>
      <modifiedWord/>
      <trackRevisions>false</trackRevisions>
    </reviewItem>
    <reviewItem>
      <errorID>cd8f0214-a6ff-4070-9d58-73fba68e995f</errorID>
      <errorWord>，</errorWord>
      <group>L1_Format</group>
      <groupName>格式问题</groupName>
      <ability>L2_HalfPunc</ability>
      <abilityName>全半角检查</abilityName>
      <candidateList>
        <item>,</item>
      </candidateList>
      <explain>文本全半角错误。</explain>
      <paraID>2D45E1A2</paraID>
      <start>13</start>
      <end>14</end>
      <status>unmodified</status>
      <modifiedWord/>
      <trackRevisions>false</trackRevisions>
    </reviewItem>
    <reviewItem>
      <errorID>743a5cd4-9efc-41d2-86fb-442169400676</errorID>
      <errorWord>，</errorWord>
      <group>L1_Format</group>
      <groupName>格式问题</groupName>
      <ability>L2_HalfPunc</ability>
      <abilityName>全半角检查</abilityName>
      <candidateList>
        <item>,</item>
      </candidateList>
      <explain>文本全半角错误。</explain>
      <paraID>4AF73BF9</paraID>
      <start>13</start>
      <end>14</end>
      <status>unmodified</status>
      <modifiedWord/>
      <trackRevisions>false</trackRevisions>
    </reviewItem>
    <reviewItem>
      <errorID>ca3525b8-a0fa-4297-b7c5-0da31cf0ffdb</errorID>
      <errorWord>，</errorWord>
      <group>L1_Format</group>
      <groupName>格式问题</groupName>
      <ability>L2_HalfPunc</ability>
      <abilityName>全半角检查</abilityName>
      <candidateList>
        <item>,</item>
      </candidateList>
      <explain>文本全半角错误。</explain>
      <paraID>1E06E256</paraID>
      <start>13</start>
      <end>14</end>
      <status>unmodified</status>
      <modifiedWord/>
      <trackRevisions>false</trackRevisions>
    </reviewItem>
    <reviewItem>
      <errorID>b1300803-f14e-44ec-b7e1-771d00947aac</errorID>
      <errorWord>，</errorWord>
      <group>L1_Format</group>
      <groupName>格式问题</groupName>
      <ability>L2_HalfPunc</ability>
      <abilityName>全半角检查</abilityName>
      <candidateList>
        <item>,</item>
      </candidateList>
      <explain>文本全半角错误。</explain>
      <paraID>2B07A6EA</paraID>
      <start>13</start>
      <end>14</end>
      <status>unmodified</status>
      <modifiedWord/>
      <trackRevisions>false</trackRevisions>
    </reviewItem>
    <reviewItem>
      <errorID>bfe48220-aba3-45fa-b19c-dafbb09af34d</errorID>
      <errorWord>，</errorWord>
      <group>L1_Format</group>
      <groupName>格式问题</groupName>
      <ability>L2_HalfPunc</ability>
      <abilityName>全半角检查</abilityName>
      <candidateList>
        <item>,</item>
      </candidateList>
      <explain>文本全半角错误。</explain>
      <paraID>5453A301</paraID>
      <start>13</start>
      <end>14</end>
      <status>unmodified</status>
      <modifiedWord/>
      <trackRevisions>false</trackRevisions>
    </reviewItem>
    <reviewItem>
      <errorID>6725949c-e314-4d93-a7a9-23c5fe388eae</errorID>
      <errorWord>，</errorWord>
      <group>L1_Format</group>
      <groupName>格式问题</groupName>
      <ability>L2_HalfPunc</ability>
      <abilityName>全半角检查</abilityName>
      <candidateList>
        <item>,</item>
      </candidateList>
      <explain>文本全半角错误。</explain>
      <paraID>6819E4F9</paraID>
      <start>13</start>
      <end>14</end>
      <status>unmodified</status>
      <modifiedWord/>
      <trackRevisions>false</trackRevisions>
    </reviewItem>
    <reviewItem>
      <errorID>cf0c0901-6858-4e87-9535-eaddb0cc6fd9</errorID>
      <errorWord>，</errorWord>
      <group>L1_Format</group>
      <groupName>格式问题</groupName>
      <ability>L2_HalfPunc</ability>
      <abilityName>全半角检查</abilityName>
      <candidateList>
        <item>,</item>
      </candidateList>
      <explain>文本全半角错误。</explain>
      <paraID>1B0D8D58</paraID>
      <start>13</start>
      <end>14</end>
      <status>unmodified</status>
      <modifiedWord/>
      <trackRevisions>false</trackRevisions>
    </reviewItem>
    <reviewItem>
      <errorID>dcc96816-f17c-4639-a419-056177b9b394</errorID>
      <errorWord>，</errorWord>
      <group>L1_Format</group>
      <groupName>格式问题</groupName>
      <ability>L2_HalfPunc</ability>
      <abilityName>全半角检查</abilityName>
      <candidateList>
        <item>,</item>
      </candidateList>
      <explain>文本全半角错误。</explain>
      <paraID> B48EDBA</paraID>
      <start>13</start>
      <end>14</end>
      <status>unmodified</status>
      <modifiedWord/>
      <trackRevisions>false</trackRevisions>
    </reviewItem>
    <reviewItem>
      <errorID>8cc95177-e024-4f67-b147-d4b0470530ae</errorID>
      <errorWord>《内蒙古鄂尔多斯杭锦经济开发区总体规划》（2021—2035年）</errorWord>
      <group>L1_Knowledge</group>
      <groupName>知识性问题</groupName>
      <ability>L2_Knowledge</ability>
      <abilityName>其他知识</abilityName>
      <candidateList>
        <item>《内蒙古鄂尔多斯杭锦经济开发区总体规划（2021—2035年）》</item>
      </candidateList>
      <explain>疑似政策文件、法律法规名称等书写不规范，请注意检查。</explain>
      <paraID>74494834</paraID>
      <start>75</start>
      <end>107</end>
      <status>unmodified</status>
      <modifiedWord/>
      <trackRevisions>false</trackRevisions>
    </reviewItem>
    <reviewItem>
      <errorID>d9f624c8-a514-4c8a-b471-fc288db74f91</errorID>
      <errorWord>并要</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25743380</paraID>
      <start>64</start>
      <end>66</end>
      <status>unmodified</status>
      <modifiedWord/>
      <trackRevisions>false</trackRevisions>
    </reviewItem>
    <reviewItem>
      <errorID>fe01411e-c6d1-4814-8901-4d1b0eccb4f2</errorID>
      <errorWord>-</errorWord>
      <group>L1_Format</group>
      <groupName>格式问题</groupName>
      <ability>L2_HalfPunc</ability>
      <abilityName>全半角检查</abilityName>
      <candidateList>
        <item>－</item>
      </candidateList>
      <explain>文本全半角错误。</explain>
      <paraID>63389534</paraID>
      <start>11</start>
      <end>12</end>
      <status>unmodified</status>
      <modifiedWord/>
      <trackRevisions>false</trackRevisions>
    </reviewItem>
    <reviewItem>
      <errorID>18f57488-b407-47fd-9eab-d154004c20a2</errorID>
      <errorWord>-</errorWord>
      <group>L1_Format</group>
      <groupName>格式问题</groupName>
      <ability>L2_HalfPunc</ability>
      <abilityName>全半角检查</abilityName>
      <candidateList>
        <item>－</item>
      </candidateList>
      <explain>文本全半角错误。</explain>
      <paraID> 8958BC0</paraID>
      <start>24</start>
      <end>25</end>
      <status>unmodified</status>
      <modifiedWord/>
      <trackRevisions>false</trackRevisions>
    </reviewItem>
    <reviewItem>
      <errorID>7dc59c83-2ad2-4269-b90a-02bfe076a925</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 30F2F6B</paraID>
      <start>16</start>
      <end>18</end>
      <status>unmodified</status>
      <modifiedWord/>
      <trackRevisions>false</trackRevisions>
    </reviewItem>
    <reviewItem>
      <errorID>5db75e7e-66d7-459a-8a19-b51de5f200c3</errorID>
      <errorWord>，</errorWord>
      <group>L1_Format</group>
      <groupName>格式问题</groupName>
      <ability>L2_HalfPunc</ability>
      <abilityName>全半角检查</abilityName>
      <candidateList>
        <item>,</item>
      </candidateList>
      <explain>文本全半角错误。</explain>
      <paraID>5BC43FC1</paraID>
      <start>13</start>
      <end>14</end>
      <status>unmodified</status>
      <modifiedWord/>
      <trackRevisions>false</trackRevisions>
    </reviewItem>
    <reviewItem>
      <errorID>f5cddaba-5832-4040-a33d-fd020b346598</errorID>
      <errorWord>，</errorWord>
      <group>L1_Format</group>
      <groupName>格式问题</groupName>
      <ability>L2_HalfPunc</ability>
      <abilityName>全半角检查</abilityName>
      <candidateList>
        <item>,</item>
      </candidateList>
      <explain>文本全半角错误。</explain>
      <paraID>37C0AC45</paraID>
      <start>13</start>
      <end>14</end>
      <status>unmodified</status>
      <modifiedWord/>
      <trackRevisions>false</trackRevisions>
    </reviewItem>
    <reviewItem>
      <errorID>84bb6173-aae4-43ad-a59f-dac1f95c6561</errorID>
      <errorWord>变换</errorWord>
      <group>L1_Word</group>
      <groupName>字词问题</groupName>
      <ability>L2_Typo</ability>
      <abilityName>字词错误</abilityName>
      <candidateList>
        <item>更换</item>
      </candidateList>
      <explain>〈动〉变换；替换：～位置｜～衣裳｜～值班人员｜展览馆里的展品不断～。</explain>
      <paraID>3E206CB3</paraID>
      <start>1</start>
      <end>3</end>
      <status>unmodified</status>
      <modifiedWord/>
      <trackRevisions>false</trackRevisions>
    </reviewItem>
    <reviewItem>
      <errorID>4ff1ecb5-07f6-4b75-8614-c271d9edfb6f</errorID>
      <errorWord>，</errorWord>
      <group>L1_Format</group>
      <groupName>格式问题</groupName>
      <ability>L2_HalfPunc</ability>
      <abilityName>全半角检查</abilityName>
      <candidateList>
        <item>,</item>
      </candidateList>
      <explain>文本全半角错误。</explain>
      <paraID>31CB4E4A</paraID>
      <start>13</start>
      <end>14</end>
      <status>unmodified</status>
      <modifiedWord/>
      <trackRevisions>false</trackRevisions>
    </reviewItem>
    <reviewItem>
      <errorID>b644067b-786f-4598-b9b4-6dc2ebacaeb5</errorID>
      <errorWord>，</errorWord>
      <group>L1_Format</group>
      <groupName>格式问题</groupName>
      <ability>L2_HalfPunc</ability>
      <abilityName>全半角检查</abilityName>
      <candidateList>
        <item>,</item>
      </candidateList>
      <explain>文本全半角错误。</explain>
      <paraID>52A63299</paraID>
      <start>13</start>
      <end>14</end>
      <status>unmodified</status>
      <modifiedWord/>
      <trackRevisions>false</trackRevisions>
    </reviewItem>
    <reviewItem>
      <errorID>ffb8f3a7-11cd-4d27-b303-5cc082a94f66</errorID>
      <errorWord>，</errorWord>
      <group>L1_Format</group>
      <groupName>格式问题</groupName>
      <ability>L2_HalfPunc</ability>
      <abilityName>全半角检查</abilityName>
      <candidateList>
        <item>,</item>
      </candidateList>
      <explain>文本全半角错误。</explain>
      <paraID>553AD38B</paraID>
      <start>13</start>
      <end>14</end>
      <status>unmodified</status>
      <modifiedWord/>
      <trackRevisions>false</trackRevisions>
    </reviewItem>
    <reviewItem>
      <errorID>46933e1d-49a1-47a3-8651-7e44a0238207</errorID>
      <errorWord>，</errorWord>
      <group>L1_Format</group>
      <groupName>格式问题</groupName>
      <ability>L2_HalfPunc</ability>
      <abilityName>全半角检查</abilityName>
      <candidateList>
        <item>,</item>
      </candidateList>
      <explain>文本全半角错误。</explain>
      <paraID>284CBADA</paraID>
      <start>13</start>
      <end>14</end>
      <status>unmodified</status>
      <modifiedWord/>
      <trackRevisions>false</trackRevisions>
    </reviewItem>
    <reviewItem>
      <errorID>50e89aff-6b3f-4b8c-8bae-d9358cfb3ecb</errorID>
      <errorWord>，</errorWord>
      <group>L1_Format</group>
      <groupName>格式问题</groupName>
      <ability>L2_HalfPunc</ability>
      <abilityName>全半角检查</abilityName>
      <candidateList>
        <item>,</item>
      </candidateList>
      <explain>文本全半角错误。</explain>
      <paraID>3DE97447</paraID>
      <start>13</start>
      <end>14</end>
      <status>unmodified</status>
      <modifiedWord/>
      <trackRevisions>false</trackRevisions>
    </reviewItem>
    <reviewItem>
      <errorID>645b7318-283d-4e61-9fc2-f6050b23320e</errorID>
      <errorWord>，</errorWord>
      <group>L1_Format</group>
      <groupName>格式问题</groupName>
      <ability>L2_HalfPunc</ability>
      <abilityName>全半角检查</abilityName>
      <candidateList>
        <item>,</item>
      </candidateList>
      <explain>文本全半角错误。</explain>
      <paraID>783B6172</paraID>
      <start>13</start>
      <end>14</end>
      <status>unmodified</status>
      <modifiedWord/>
      <trackRevisions>false</trackRevisions>
    </reviewItem>
    <reviewItem>
      <errorID>baa466f7-f4ee-4c3b-b9f3-808b11496262</errorID>
      <errorWord>，</errorWord>
      <group>L1_Format</group>
      <groupName>格式问题</groupName>
      <ability>L2_HalfPunc</ability>
      <abilityName>全半角检查</abilityName>
      <candidateList>
        <item>,</item>
      </candidateList>
      <explain>文本全半角错误。</explain>
      <paraID>5DB54390</paraID>
      <start>13</start>
      <end>14</end>
      <status>unmodified</status>
      <modifiedWord/>
      <trackRevisions>false</trackRevisions>
    </reviewItem>
    <reviewItem>
      <errorID>e9d9eee1-5229-4cba-bfbe-39204277d4e6</errorID>
      <errorWord>，</errorWord>
      <group>L1_Format</group>
      <groupName>格式问题</groupName>
      <ability>L2_HalfPunc</ability>
      <abilityName>全半角检查</abilityName>
      <candidateList>
        <item>,</item>
      </candidateList>
      <explain>文本全半角错误。</explain>
      <paraID>7B259749</paraID>
      <start>13</start>
      <end>14</end>
      <status>unmodified</status>
      <modifiedWord/>
      <trackRevisions>false</trackRevisions>
    </reviewItem>
    <reviewItem>
      <errorID>ec4aeb1c-61e9-4fc8-b3c1-31f2a47e0491</errorID>
      <errorWord>，</errorWord>
      <group>L1_Format</group>
      <groupName>格式问题</groupName>
      <ability>L2_HalfPunc</ability>
      <abilityName>全半角检查</abilityName>
      <candidateList>
        <item>,</item>
      </candidateList>
      <explain>文本全半角错误。</explain>
      <paraID>50BFEEF7</paraID>
      <start>13</start>
      <end>14</end>
      <status>unmodified</status>
      <modifiedWord/>
      <trackRevisions>false</trackRevisions>
    </reviewItem>
    <reviewItem>
      <errorID>a6273cf8-9a46-48f3-927b-f214943605f6</errorID>
      <errorWord>，</errorWord>
      <group>L1_Format</group>
      <groupName>格式问题</groupName>
      <ability>L2_HalfPunc</ability>
      <abilityName>全半角检查</abilityName>
      <candidateList>
        <item>,</item>
      </candidateList>
      <explain>文本全半角错误。</explain>
      <paraID>510EA60B</paraID>
      <start>13</start>
      <end>14</end>
      <status>unmodified</status>
      <modifiedWord/>
      <trackRevisions>false</trackRevisions>
    </reviewItem>
    <reviewItem>
      <errorID>90aaf968-5cd6-418c-9fda-726eaa469435</errorID>
      <errorWord>，</errorWord>
      <group>L1_Format</group>
      <groupName>格式问题</groupName>
      <ability>L2_HalfPunc</ability>
      <abilityName>全半角检查</abilityName>
      <candidateList>
        <item>,</item>
      </candidateList>
      <explain>文本全半角错误。</explain>
      <paraID>3872CD2B</paraID>
      <start>13</start>
      <end>14</end>
      <status>unmodified</status>
      <modifiedWord/>
      <trackRevisions>false</trackRevisions>
    </reviewItem>
    <reviewItem>
      <errorID>9994473b-d114-435a-a911-b4aefeb0ee7c</errorID>
      <errorWord>，</errorWord>
      <group>L1_Format</group>
      <groupName>格式问题</groupName>
      <ability>L2_HalfPunc</ability>
      <abilityName>全半角检查</abilityName>
      <candidateList>
        <item>,</item>
      </candidateList>
      <explain>文本全半角错误。</explain>
      <paraID> 79DF788</paraID>
      <start>13</start>
      <end>14</end>
      <status>unmodified</status>
      <modifiedWord/>
      <trackRevisions>false</trackRevisions>
    </reviewItem>
    <reviewItem>
      <errorID>77598080-6178-4e3b-8a2d-b15da2fc44b3</errorID>
      <errorWord>，</errorWord>
      <group>L1_Format</group>
      <groupName>格式问题</groupName>
      <ability>L2_HalfPunc</ability>
      <abilityName>全半角检查</abilityName>
      <candidateList>
        <item>,</item>
      </candidateList>
      <explain>文本全半角错误。</explain>
      <paraID>3E01A333</paraID>
      <start>13</start>
      <end>14</end>
      <status>unmodified</status>
      <modifiedWord/>
      <trackRevisions>false</trackRevisions>
    </reviewItem>
    <reviewItem>
      <errorID>3746973d-e928-4cda-80a2-d77f0441239b</errorID>
      <errorWord>，</errorWord>
      <group>L1_Format</group>
      <groupName>格式问题</groupName>
      <ability>L2_HalfPunc</ability>
      <abilityName>全半角检查</abilityName>
      <candidateList>
        <item>,</item>
      </candidateList>
      <explain>文本全半角错误。</explain>
      <paraID> 30EE326</paraID>
      <start>13</start>
      <end>14</end>
      <status>unmodified</status>
      <modifiedWord/>
      <trackRevisions>false</trackRevisions>
    </reviewItem>
    <reviewItem>
      <errorID>c011f255-11e8-46e6-9f03-118dce391c3f</errorID>
      <errorWord>，</errorWord>
      <group>L1_Format</group>
      <groupName>格式问题</groupName>
      <ability>L2_HalfPunc</ability>
      <abilityName>全半角检查</abilityName>
      <candidateList>
        <item>,</item>
      </candidateList>
      <explain>文本全半角错误。</explain>
      <paraID>5F18F023</paraID>
      <start>13</start>
      <end>14</end>
      <status>unmodified</status>
      <modifiedWord/>
      <trackRevisions>false</trackRevisions>
    </reviewItem>
    <reviewItem>
      <errorID>4f9057ad-20b2-432b-9f59-1e66d634fae0</errorID>
      <errorWord>，</errorWord>
      <group>L1_Format</group>
      <groupName>格式问题</groupName>
      <ability>L2_HalfPunc</ability>
      <abilityName>全半角检查</abilityName>
      <candidateList>
        <item>,</item>
      </candidateList>
      <explain>文本全半角错误。</explain>
      <paraID> 3EB1DE3</paraID>
      <start>13</start>
      <end>14</end>
      <status>unmodified</status>
      <modifiedWord/>
      <trackRevisions>false</trackRevisions>
    </reviewItem>
    <reviewItem>
      <errorID>712774f2-41e7-4bbc-a166-e07194b20790</errorID>
      <errorWord>，</errorWord>
      <group>L1_Format</group>
      <groupName>格式问题</groupName>
      <ability>L2_HalfPunc</ability>
      <abilityName>全半角检查</abilityName>
      <candidateList>
        <item>,</item>
      </candidateList>
      <explain>文本全半角错误。</explain>
      <paraID>4EA43B44</paraID>
      <start>13</start>
      <end>14</end>
      <status>unmodified</status>
      <modifiedWord/>
      <trackRevisions>false</trackRevisions>
    </reviewItem>
    <reviewItem>
      <errorID>d8b601c3-e39d-4c4b-aa72-68301faaf218</errorID>
      <errorWord>，</errorWord>
      <group>L1_Format</group>
      <groupName>格式问题</groupName>
      <ability>L2_HalfPunc</ability>
      <abilityName>全半角检查</abilityName>
      <candidateList>
        <item>,</item>
      </candidateList>
      <explain>文本全半角错误。</explain>
      <paraID>24F42933</paraID>
      <start>13</start>
      <end>14</end>
      <status>unmodified</status>
      <modifiedWord/>
      <trackRevisions>false</trackRevisions>
    </reviewItem>
    <reviewItem>
      <errorID>b96d89b8-1b76-4997-93d4-3d313650c110</errorID>
      <errorWord>，</errorWord>
      <group>L1_Format</group>
      <groupName>格式问题</groupName>
      <ability>L2_HalfPunc</ability>
      <abilityName>全半角检查</abilityName>
      <candidateList>
        <item>,</item>
      </candidateList>
      <explain>文本全半角错误。</explain>
      <paraID>241FD151</paraID>
      <start>13</start>
      <end>14</end>
      <status>unmodified</status>
      <modifiedWord/>
      <trackRevisions>false</trackRevisions>
    </reviewItem>
    <reviewItem>
      <errorID>77f1027c-8abb-49ac-aeee-c5721307921c</errorID>
      <errorWord>，</errorWord>
      <group>L1_Format</group>
      <groupName>格式问题</groupName>
      <ability>L2_HalfPunc</ability>
      <abilityName>全半角检查</abilityName>
      <candidateList>
        <item>,</item>
      </candidateList>
      <explain>文本全半角错误。</explain>
      <paraID>769F0839</paraID>
      <start>13</start>
      <end>14</end>
      <status>unmodified</status>
      <modifiedWord/>
      <trackRevisions>false</trackRevisions>
    </reviewItem>
    <reviewItem>
      <errorID>f2ada72b-b49b-420d-bbf8-9f4a21c38c69</errorID>
      <errorWord>，</errorWord>
      <group>L1_Format</group>
      <groupName>格式问题</groupName>
      <ability>L2_HalfPunc</ability>
      <abilityName>全半角检查</abilityName>
      <candidateList>
        <item>,</item>
      </candidateList>
      <explain>文本全半角错误。</explain>
      <paraID>6ACDADD7</paraID>
      <start>13</start>
      <end>14</end>
      <status>unmodified</status>
      <modifiedWord/>
      <trackRevisions>false</trackRevisions>
    </reviewItem>
    <reviewItem>
      <errorID>f7f2a456-9d88-437b-962b-4e37e461ad1f</errorID>
      <errorWord>，</errorWord>
      <group>L1_Format</group>
      <groupName>格式问题</groupName>
      <ability>L2_HalfPunc</ability>
      <abilityName>全半角检查</abilityName>
      <candidateList>
        <item>,</item>
      </candidateList>
      <explain>文本全半角错误。</explain>
      <paraID>1E3CEA7C</paraID>
      <start>13</start>
      <end>14</end>
      <status>unmodified</status>
      <modifiedWord/>
      <trackRevisions>false</trackRevisions>
    </reviewItem>
    <reviewItem>
      <errorID>4979e410-1007-4ec7-abb5-5cbf0c9475d4</errorID>
      <errorWord>，</errorWord>
      <group>L1_Format</group>
      <groupName>格式问题</groupName>
      <ability>L2_HalfPunc</ability>
      <abilityName>全半角检查</abilityName>
      <candidateList>
        <item>,</item>
      </candidateList>
      <explain>文本全半角错误。</explain>
      <paraID>2026FF93</paraID>
      <start>13</start>
      <end>14</end>
      <status>unmodified</status>
      <modifiedWord/>
      <trackRevisions>false</trackRevisions>
    </reviewItem>
    <reviewItem>
      <errorID>8b42581b-2975-421d-80c6-0aa9739f0fee</errorID>
      <errorWord>，</errorWord>
      <group>L1_Format</group>
      <groupName>格式问题</groupName>
      <ability>L2_HalfPunc</ability>
      <abilityName>全半角检查</abilityName>
      <candidateList>
        <item>,</item>
      </candidateList>
      <explain>文本全半角错误。</explain>
      <paraID>3DE44CBD</paraID>
      <start>13</start>
      <end>14</end>
      <status>unmodified</status>
      <modifiedWord/>
      <trackRevisions>false</trackRevisions>
    </reviewItem>
    <reviewItem>
      <errorID>efb1e58b-19fe-46bf-9b31-8827bfbdaea5</errorID>
      <errorWord>，</errorWord>
      <group>L1_Format</group>
      <groupName>格式问题</groupName>
      <ability>L2_HalfPunc</ability>
      <abilityName>全半角检查</abilityName>
      <candidateList>
        <item>,</item>
      </candidateList>
      <explain>文本全半角错误。</explain>
      <paraID>43CA7BAC</paraID>
      <start>13</start>
      <end>14</end>
      <status>unmodified</status>
      <modifiedWord/>
      <trackRevisions>false</trackRevisions>
    </reviewItem>
    <reviewItem>
      <errorID>6a1a3b42-6f63-46ba-9386-21c2745650a6</errorID>
      <errorWord>，</errorWord>
      <group>L1_Format</group>
      <groupName>格式问题</groupName>
      <ability>L2_HalfPunc</ability>
      <abilityName>全半角检查</abilityName>
      <candidateList>
        <item>,</item>
      </candidateList>
      <explain>文本全半角错误。</explain>
      <paraID>43E8806A</paraID>
      <start>13</start>
      <end>14</end>
      <status>unmodified</status>
      <modifiedWord/>
      <trackRevisions>false</trackRevisions>
    </reviewItem>
    <reviewItem>
      <errorID>b6fcb2e8-e2c0-4edc-b651-6ea69b0261d2</errorID>
      <errorWord>，</errorWord>
      <group>L1_Format</group>
      <groupName>格式问题</groupName>
      <ability>L2_HalfPunc</ability>
      <abilityName>全半角检查</abilityName>
      <candidateList>
        <item>,</item>
      </candidateList>
      <explain>文本全半角错误。</explain>
      <paraID>41F46F64</paraID>
      <start>13</start>
      <end>14</end>
      <status>unmodified</status>
      <modifiedWord/>
      <trackRevisions>false</trackRevisions>
    </reviewItem>
    <reviewItem>
      <errorID>5423b050-6365-4931-a655-7e8a659733ee</errorID>
      <errorWord>，</errorWord>
      <group>L1_Format</group>
      <groupName>格式问题</groupName>
      <ability>L2_HalfPunc</ability>
      <abilityName>全半角检查</abilityName>
      <candidateList>
        <item>,</item>
      </candidateList>
      <explain>文本全半角错误。</explain>
      <paraID>6EF8E33D</paraID>
      <start>13</start>
      <end>14</end>
      <status>unmodified</status>
      <modifiedWord/>
      <trackRevisions>false</trackRevisions>
    </reviewItem>
    <reviewItem>
      <errorID>0b582585-0267-440b-b0f5-4ed8bcf65078</errorID>
      <errorWord>，</errorWord>
      <group>L1_Format</group>
      <groupName>格式问题</groupName>
      <ability>L2_HalfPunc</ability>
      <abilityName>全半角检查</abilityName>
      <candidateList>
        <item>,</item>
      </candidateList>
      <explain>文本全半角错误。</explain>
      <paraID> A17DFE8</paraID>
      <start>13</start>
      <end>14</end>
      <status>unmodified</status>
      <modifiedWord/>
      <trackRevisions>false</trackRevisions>
    </reviewItem>
    <reviewItem>
      <errorID>0af355d5-d780-4356-ab2d-19fdec42b625</errorID>
      <errorWord>，</errorWord>
      <group>L1_Format</group>
      <groupName>格式问题</groupName>
      <ability>L2_HalfPunc</ability>
      <abilityName>全半角检查</abilityName>
      <candidateList>
        <item>,</item>
      </candidateList>
      <explain>文本全半角错误。</explain>
      <paraID>2E109DC0</paraID>
      <start>13</start>
      <end>14</end>
      <status>unmodified</status>
      <modifiedWord/>
      <trackRevisions>false</trackRevisions>
    </reviewItem>
    <reviewItem>
      <errorID>d51dd549-50d5-4b56-a4dc-57b3aa0bcba1</errorID>
      <errorWord>，</errorWord>
      <group>L1_Format</group>
      <groupName>格式问题</groupName>
      <ability>L2_HalfPunc</ability>
      <abilityName>全半角检查</abilityName>
      <candidateList>
        <item>,</item>
      </candidateList>
      <explain>文本全半角错误。</explain>
      <paraID>7C53A72C</paraID>
      <start>13</start>
      <end>14</end>
      <status>unmodified</status>
      <modifiedWord/>
      <trackRevisions>false</trackRevisions>
    </reviewItem>
    <reviewItem>
      <errorID>83c74007-8fc9-48ca-8df0-301bfccaaa9e</errorID>
      <errorWord>，</errorWord>
      <group>L1_Format</group>
      <groupName>格式问题</groupName>
      <ability>L2_HalfPunc</ability>
      <abilityName>全半角检查</abilityName>
      <candidateList>
        <item>,</item>
      </candidateList>
      <explain>文本全半角错误。</explain>
      <paraID>4619AFAC</paraID>
      <start>13</start>
      <end>14</end>
      <status>unmodified</status>
      <modifiedWord/>
      <trackRevisions>false</trackRevisions>
    </reviewItem>
    <reviewItem>
      <errorID>5af2a220-8ad4-4f16-83c7-31cd8ccdcfc4</errorID>
      <errorWord>，</errorWord>
      <group>L1_Format</group>
      <groupName>格式问题</groupName>
      <ability>L2_HalfPunc</ability>
      <abilityName>全半角检查</abilityName>
      <candidateList>
        <item>,</item>
      </candidateList>
      <explain>文本全半角错误。</explain>
      <paraID>42853C3D</paraID>
      <start>13</start>
      <end>14</end>
      <status>unmodified</status>
      <modifiedWord/>
      <trackRevisions>false</trackRevisions>
    </reviewItem>
    <reviewItem>
      <errorID>5a94bbf4-3e64-4fc7-b67b-a87878a0b25b</errorID>
      <errorWord>，</errorWord>
      <group>L1_Format</group>
      <groupName>格式问题</groupName>
      <ability>L2_HalfPunc</ability>
      <abilityName>全半角检查</abilityName>
      <candidateList>
        <item>,</item>
      </candidateList>
      <explain>文本全半角错误。</explain>
      <paraID>4792DF40</paraID>
      <start>13</start>
      <end>14</end>
      <status>unmodified</status>
      <modifiedWord/>
      <trackRevisions>false</trackRevisions>
    </reviewItem>
    <reviewItem>
      <errorID>fad3a313-b381-45e5-b672-f2ead2ab941c</errorID>
      <errorWord>，</errorWord>
      <group>L1_Format</group>
      <groupName>格式问题</groupName>
      <ability>L2_HalfPunc</ability>
      <abilityName>全半角检查</abilityName>
      <candidateList>
        <item>,</item>
      </candidateList>
      <explain>文本全半角错误。</explain>
      <paraID>3D73C60D</paraID>
      <start>13</start>
      <end>14</end>
      <status>unmodified</status>
      <modifiedWord/>
      <trackRevisions>false</trackRevisions>
    </reviewItem>
    <reviewItem>
      <errorID>b28550aa-6cd3-4a2f-a088-564568e265e9</errorID>
      <errorWord>，</errorWord>
      <group>L1_Format</group>
      <groupName>格式问题</groupName>
      <ability>L2_HalfPunc</ability>
      <abilityName>全半角检查</abilityName>
      <candidateList>
        <item>,</item>
      </candidateList>
      <explain>文本全半角错误。</explain>
      <paraID>453F0500</paraID>
      <start>13</start>
      <end>14</end>
      <status>unmodified</status>
      <modifiedWord/>
      <trackRevisions>false</trackRevisions>
    </reviewItem>
    <reviewItem>
      <errorID>ad63e1d5-0f1a-418f-886c-3397a453d17e</errorID>
      <errorWord>，</errorWord>
      <group>L1_Format</group>
      <groupName>格式问题</groupName>
      <ability>L2_HalfPunc</ability>
      <abilityName>全半角检查</abilityName>
      <candidateList>
        <item>,</item>
      </candidateList>
      <explain>文本全半角错误。</explain>
      <paraID>440E97C9</paraID>
      <start>13</start>
      <end>14</end>
      <status>unmodified</status>
      <modifiedWord/>
      <trackRevisions>false</trackRevisions>
    </reviewItem>
    <reviewItem>
      <errorID>69c4400b-d5e3-4981-9fa5-ccaf0bfd24f4</errorID>
      <errorWord>，</errorWord>
      <group>L1_Format</group>
      <groupName>格式问题</groupName>
      <ability>L2_HalfPunc</ability>
      <abilityName>全半角检查</abilityName>
      <candidateList>
        <item>,</item>
      </candidateList>
      <explain>文本全半角错误。</explain>
      <paraID>78543E77</paraID>
      <start>13</start>
      <end>14</end>
      <status>unmodified</status>
      <modifiedWord/>
      <trackRevisions>false</trackRevisions>
    </reviewItem>
    <reviewItem>
      <errorID>a2133714-60e4-4b5a-bda9-cde3a45398e4</errorID>
      <errorWord>，</errorWord>
      <group>L1_Format</group>
      <groupName>格式问题</groupName>
      <ability>L2_HalfPunc</ability>
      <abilityName>全半角检查</abilityName>
      <candidateList>
        <item>,</item>
      </candidateList>
      <explain>文本全半角错误。</explain>
      <paraID>541D7D84</paraID>
      <start>13</start>
      <end>14</end>
      <status>unmodified</status>
      <modifiedWord/>
      <trackRevisions>false</trackRevisions>
    </reviewItem>
    <reviewItem>
      <errorID>4ecc44e1-96ea-45ee-bd8b-fc6247bf10b4</errorID>
      <errorWord>，</errorWord>
      <group>L1_Format</group>
      <groupName>格式问题</groupName>
      <ability>L2_HalfPunc</ability>
      <abilityName>全半角检查</abilityName>
      <candidateList>
        <item>,</item>
      </candidateList>
      <explain>文本全半角错误。</explain>
      <paraID>25CA5C94</paraID>
      <start>13</start>
      <end>14</end>
      <status>unmodified</status>
      <modifiedWord/>
      <trackRevisions>false</trackRevisions>
    </reviewItem>
    <reviewItem>
      <errorID>04d3ddeb-350e-46c4-a9df-b9a1068ec4d7</errorID>
      <errorWord>，</errorWord>
      <group>L1_Format</group>
      <groupName>格式问题</groupName>
      <ability>L2_HalfPunc</ability>
      <abilityName>全半角检查</abilityName>
      <candidateList>
        <item>,</item>
      </candidateList>
      <explain>文本全半角错误。</explain>
      <paraID>7F359343</paraID>
      <start>13</start>
      <end>14</end>
      <status>unmodified</status>
      <modifiedWord/>
      <trackRevisions>false</trackRevisions>
    </reviewItem>
    <reviewItem>
      <errorID>03d1d255-f392-466f-bef8-d08415dcecfa</errorID>
      <errorWord>，</errorWord>
      <group>L1_Format</group>
      <groupName>格式问题</groupName>
      <ability>L2_HalfPunc</ability>
      <abilityName>全半角检查</abilityName>
      <candidateList>
        <item>,</item>
      </candidateList>
      <explain>文本全半角错误。</explain>
      <paraID>2BBD64EE</paraID>
      <start>13</start>
      <end>14</end>
      <status>unmodified</status>
      <modifiedWord/>
      <trackRevisions>false</trackRevisions>
    </reviewItem>
    <reviewItem>
      <errorID>352baafb-0413-436b-a17b-45d834b703ec</errorID>
      <errorWord>，</errorWord>
      <group>L1_Format</group>
      <groupName>格式问题</groupName>
      <ability>L2_HalfPunc</ability>
      <abilityName>全半角检查</abilityName>
      <candidateList>
        <item>,</item>
      </candidateList>
      <explain>文本全半角错误。</explain>
      <paraID>66DDBBA5</paraID>
      <start>13</start>
      <end>14</end>
      <status>unmodified</status>
      <modifiedWord/>
      <trackRevisions>false</trackRevisions>
    </reviewItem>
    <reviewItem>
      <errorID>e0d945b4-3d20-4402-be3f-9695a87d3136</errorID>
      <errorWord>，</errorWord>
      <group>L1_Format</group>
      <groupName>格式问题</groupName>
      <ability>L2_HalfPunc</ability>
      <abilityName>全半角检查</abilityName>
      <candidateList>
        <item>,</item>
      </candidateList>
      <explain>文本全半角错误。</explain>
      <paraID>5136965F</paraID>
      <start>13</start>
      <end>14</end>
      <status>unmodified</status>
      <modifiedWord/>
      <trackRevisions>false</trackRevisions>
    </reviewItem>
    <reviewItem>
      <errorID>f31797fd-c6c7-472b-802a-81e0c02da686</errorID>
      <errorWord>-</errorWord>
      <group>L1_Format</group>
      <groupName>格式问题</groupName>
      <ability>L2_HalfPunc</ability>
      <abilityName>全半角检查</abilityName>
      <candidateList>
        <item>－</item>
      </candidateList>
      <explain>文本全半角错误。</explain>
      <paraID>7E5BAC07</paraID>
      <start>17</start>
      <end>18</end>
      <status>unmodified</status>
      <modifiedWord/>
      <trackRevisions>false</trackRevisions>
    </reviewItem>
    <reviewItem>
      <errorID>3f2a5386-197d-4c22-ae33-652247762feb</errorID>
      <errorWord>-</errorWord>
      <group>L1_Format</group>
      <groupName>格式问题</groupName>
      <ability>L2_HalfPunc</ability>
      <abilityName>全半角检查</abilityName>
      <candidateList>
        <item>－</item>
      </candidateList>
      <explain>文本全半角错误。</explain>
      <paraID>5427F9A9</paraID>
      <start>118</start>
      <end>119</end>
      <status>unmodified</status>
      <modifiedWord/>
      <trackRevisions>false</trackRevisions>
    </reviewItem>
    <reviewItem>
      <errorID>bc54fa7e-bfe5-4a95-add6-86053138b9ea</errorID>
      <errorWord>变换</errorWord>
      <group>L1_Word</group>
      <groupName>字词问题</groupName>
      <ability>L2_Typo</ability>
      <abilityName>字词错误</abilityName>
      <candidateList>
        <item>更换</item>
      </candidateList>
      <explain>〈动〉变换；替换：～位置｜～衣裳｜～值班人员｜展览馆里的展品不断～。</explain>
      <paraID> 99EF2D1</paraID>
      <start>1</start>
      <end>3</end>
      <status>unmodified</status>
      <modifiedWord/>
      <trackRevisions>false</trackRevisions>
    </reviewItem>
    <reviewItem>
      <errorID>c0f6eff6-aae2-41b8-9928-e41c5ae7e692</errorID>
      <errorWord>（</errorWord>
      <group>L1_Format</group>
      <groupName>格式问题</groupName>
      <ability>L2_HalfPunc</ability>
      <abilityName>全半角检查</abilityName>
      <candidateList>
        <item>(</item>
      </candidateList>
      <explain>文本全半角错误。</explain>
      <paraID>6F988F12</paraID>
      <start>1</start>
      <end>2</end>
      <status>unmodified</status>
      <modifiedWord/>
      <trackRevisions>false</trackRevisions>
    </reviewItem>
    <reviewItem>
      <errorID>23c8ac58-0fc2-40d2-bce1-9bb9a0870171</errorID>
      <errorWord>）</errorWord>
      <group>L1_Format</group>
      <groupName>格式问题</groupName>
      <ability>L2_HalfPunc</ability>
      <abilityName>全半角检查</abilityName>
      <candidateList>
        <item>)</item>
      </candidateList>
      <explain>文本全半角错误。</explain>
      <paraID>6F988F12</paraID>
      <start>5</start>
      <end>6</end>
      <status>unmodified</status>
      <modifiedWord/>
      <trackRevisions>false</trackRevisions>
    </reviewItem>
    <reviewItem>
      <errorID>229530f0-5a80-41c9-9638-bea89eee47db</errorID>
      <errorWord>水来</errorWord>
      <group>L1_Word</group>
      <groupName>字词问题</groupName>
      <ability>L2_Typo</ability>
      <abilityName>字词错误</abilityName>
      <candidateList>
        <item>水</item>
      </candidateList>
      <explain/>
      <paraID>567B46DB</paraID>
      <start>60</start>
      <end>62</end>
      <status>unmodified</status>
      <modifiedWord/>
      <trackRevisions>false</trackRevisions>
    </reviewItem>
    <reviewItem>
      <errorID>404e0de9-9018-4afc-82aa-7ce00b604571</errorID>
      <errorWord>水回</errorWord>
      <group>L1_Word</group>
      <groupName>字词问题</groupName>
      <ability>L2_Typo</ability>
      <abilityName>字词错误</abilityName>
      <candidateList>
        <item>水</item>
      </candidateList>
      <explain/>
      <paraID>567B46DB</paraID>
      <start>121</start>
      <end>123</end>
      <status>unmodified</status>
      <modifiedWord/>
      <trackRevisions>false</trackRevisions>
    </reviewItem>
    <reviewItem>
      <errorID>1c88b633-2519-400e-8a3f-bcf28da0c959</errorID>
      <errorWord>65%-75%</errorWord>
      <group>L1_Knowledge</group>
      <groupName>知识性问题</groupName>
      <ability>L2_Knowledge</ability>
      <abilityName>其他知识</abilityName>
      <candidateList>
        <item>65%—75%</item>
      </candidateList>
      <explain>1. “65%-75%”中的单位“%”仅出现在后一个数字上，容易引起歧义；根据《现代汉语标点符号数字用法规范手册》，数字表示范围两边需要使用统一的格式。2. 根据标点国标 4.13 中的规则，数字、时间或地域连接符应使用（视觉上更长的）“—”或“～”。</explain>
      <paraID>246512FD</paraID>
      <start>0</start>
      <end>7</end>
      <status>unmodified</status>
      <modifiedWord/>
      <trackRevisions>false</trackRevisions>
    </reviewItem>
    <reviewItem>
      <errorID>b9999b2d-973b-4657-a509-5dfc94d43138</errorID>
      <errorWord>24%-34%</errorWord>
      <group>L1_Knowledge</group>
      <groupName>知识性问题</groupName>
      <ability>L2_Knowledge</ability>
      <abilityName>其他知识</abilityName>
      <candidateList>
        <item>24%—34%</item>
      </candidateList>
      <explain>1. “24%-34%”中的单位“%”仅出现在后一个数字上，容易引起歧义；根据《现代汉语标点符号数字用法规范手册》，数字表示范围两边需要使用统一的格式。2. 根据标点国标 4.13 中的规则，数字、时间或地域连接符应使用（视觉上更长的）“—”或“～”。</explain>
      <paraID>38CD6E82</paraID>
      <start>0</start>
      <end>7</end>
      <status>unmodified</status>
      <modifiedWord/>
      <trackRevisions>false</trackRevisions>
    </reviewItem>
    <reviewItem>
      <errorID>75e4d115-b818-4d1d-b914-932ae8cb0883</errorID>
      <errorWord>（</errorWord>
      <group>L1_Format</group>
      <groupName>格式问题</groupName>
      <ability>L2_HalfPunc</ability>
      <abilityName>全半角检查</abilityName>
      <candidateList>
        <item>(</item>
      </candidateList>
      <explain>文本全半角错误。</explain>
      <paraID>2DF04CA2</paraID>
      <start>2</start>
      <end>3</end>
      <status>unmodified</status>
      <modifiedWord/>
      <trackRevisions>false</trackRevisions>
    </reviewItem>
    <reviewItem>
      <errorID>76051418-708e-496c-b321-fa3e13b8cfaf</errorID>
      <errorWord>）</errorWord>
      <group>L1_Format</group>
      <groupName>格式问题</groupName>
      <ability>L2_HalfPunc</ability>
      <abilityName>全半角检查</abilityName>
      <candidateList>
        <item>)</item>
      </candidateList>
      <explain>文本全半角错误。</explain>
      <paraID>2DF04CA2</paraID>
      <start>4</start>
      <end>5</end>
      <status>unmodified</status>
      <modifiedWord/>
      <trackRevisions>false</trackRevisions>
    </reviewItem>
    <reviewItem>
      <errorID>b22e5e1c-30e6-4113-8ec9-0229e36e5734</errorID>
      <errorWord>＜</errorWord>
      <group>L1_Format</group>
      <groupName>格式问题</groupName>
      <ability>L2_HalfPunc</ability>
      <abilityName>全半角检查</abilityName>
      <candidateList>
        <item>&lt;</item>
      </candidateList>
      <explain>文本全半角错误。</explain>
      <paraID>5CF08E76</paraID>
      <start>0</start>
      <end>1</end>
      <status>unmodified</status>
      <modifiedWord/>
      <trackRevisions>false</trackRevisions>
    </reviewItem>
    <reviewItem>
      <errorID>6bf3bb0b-9930-4e7f-8f42-e28005faeed9</errorID>
      <errorWord>（</errorWord>
      <group>L1_Format</group>
      <groupName>格式问题</groupName>
      <ability>L2_HalfPunc</ability>
      <abilityName>全半角检查</abilityName>
      <candidateList>
        <item>(</item>
      </candidateList>
      <explain>文本全半角错误。</explain>
      <paraID>38E91DD8</paraID>
      <start>2</start>
      <end>3</end>
      <status>unmodified</status>
      <modifiedWord/>
      <trackRevisions>false</trackRevisions>
    </reviewItem>
    <reviewItem>
      <errorID>479d7c68-7fa1-4d97-bf64-27b44766ec18</errorID>
      <errorWord>）</errorWord>
      <group>L1_Format</group>
      <groupName>格式问题</groupName>
      <ability>L2_HalfPunc</ability>
      <abilityName>全半角检查</abilityName>
      <candidateList>
        <item>)</item>
      </candidateList>
      <explain>文本全半角错误。</explain>
      <paraID>38E91DD8</paraID>
      <start>4</start>
      <end>5</end>
      <status>unmodified</status>
      <modifiedWord/>
      <trackRevisions>false</trackRevisions>
    </reviewItem>
    <reviewItem>
      <errorID>9ed5cf79-bf0b-4528-aa11-503091dae6ad</errorID>
      <errorWord>（</errorWord>
      <group>L1_Format</group>
      <groupName>格式问题</groupName>
      <ability>L2_HalfPunc</ability>
      <abilityName>全半角检查</abilityName>
      <candidateList>
        <item>(</item>
      </candidateList>
      <explain>文本全半角错误。</explain>
      <paraID>35D4CAAC</paraID>
      <start>2</start>
      <end>3</end>
      <status>unmodified</status>
      <modifiedWord/>
      <trackRevisions>false</trackRevisions>
    </reviewItem>
    <reviewItem>
      <errorID>4b4297af-a66c-4dd7-a924-1cac7e1d67c0</errorID>
      <errorWord>）</errorWord>
      <group>L1_Format</group>
      <groupName>格式问题</groupName>
      <ability>L2_HalfPunc</ability>
      <abilityName>全半角检查</abilityName>
      <candidateList>
        <item>)</item>
      </candidateList>
      <explain>文本全半角错误。</explain>
      <paraID>35D4CAAC</paraID>
      <start>4</start>
      <end>5</end>
      <status>unmodified</status>
      <modifiedWord/>
      <trackRevisions>false</trackRevisions>
    </reviewItem>
    <reviewItem>
      <errorID>c2367ec6-9f95-4580-bcf0-0c51e282949e</errorID>
      <errorWord>（</errorWord>
      <group>L1_Format</group>
      <groupName>格式问题</groupName>
      <ability>L2_HalfPunc</ability>
      <abilityName>全半角检查</abilityName>
      <candidateList>
        <item>(</item>
      </candidateList>
      <explain>文本全半角错误。</explain>
      <paraID>3176CE61</paraID>
      <start>3</start>
      <end>4</end>
      <status>unmodified</status>
      <modifiedWord/>
      <trackRevisions>false</trackRevisions>
    </reviewItem>
    <reviewItem>
      <errorID>c5e9b7e3-675c-4d3c-84da-040789bf84cb</errorID>
      <errorWord>）</errorWord>
      <group>L1_Format</group>
      <groupName>格式问题</groupName>
      <ability>L2_HalfPunc</ability>
      <abilityName>全半角检查</abilityName>
      <candidateList>
        <item>)</item>
      </candidateList>
      <explain>文本全半角错误。</explain>
      <paraID>3176CE61</paraID>
      <start>5</start>
      <end>6</end>
      <status>unmodified</status>
      <modifiedWord/>
      <trackRevisions>false</trackRevisions>
    </reviewItem>
    <reviewItem>
      <errorID>93486a50-7877-4352-8294-35af66c05693</errorID>
      <errorWord>（</errorWord>
      <group>L1_Format</group>
      <groupName>格式问题</groupName>
      <ability>L2_HalfPunc</ability>
      <abilityName>全半角检查</abilityName>
      <candidateList>
        <item>(</item>
      </candidateList>
      <explain>文本全半角错误。</explain>
      <paraID> A94F69C</paraID>
      <start>3</start>
      <end>4</end>
      <status>unmodified</status>
      <modifiedWord/>
      <trackRevisions>false</trackRevisions>
    </reviewItem>
    <reviewItem>
      <errorID>29296ab8-3a56-409d-8a14-862ea49f7285</errorID>
      <errorWord>）</errorWord>
      <group>L1_Format</group>
      <groupName>格式问题</groupName>
      <ability>L2_HalfPunc</ability>
      <abilityName>全半角检查</abilityName>
      <candidateList>
        <item>)</item>
      </candidateList>
      <explain>文本全半角错误。</explain>
      <paraID> A94F69C</paraID>
      <start>5</start>
      <end>6</end>
      <status>unmodified</status>
      <modifiedWord/>
      <trackRevisions>false</trackRevisions>
    </reviewItem>
    <reviewItem>
      <errorID>99e1700d-6b05-4dab-8052-ce083276cb12</errorID>
      <errorWord>（</errorWord>
      <group>L1_Format</group>
      <groupName>格式问题</groupName>
      <ability>L2_HalfPunc</ability>
      <abilityName>全半角检查</abilityName>
      <candidateList>
        <item>(</item>
      </candidateList>
      <explain>文本全半角错误。</explain>
      <paraID>25976023</paraID>
      <start>3</start>
      <end>4</end>
      <status>unmodified</status>
      <modifiedWord/>
      <trackRevisions>false</trackRevisions>
    </reviewItem>
    <reviewItem>
      <errorID>cbbdebc1-9d20-4190-8c9a-36e3cc5e7ad2</errorID>
      <errorWord>）</errorWord>
      <group>L1_Format</group>
      <groupName>格式问题</groupName>
      <ability>L2_HalfPunc</ability>
      <abilityName>全半角检查</abilityName>
      <candidateList>
        <item>)</item>
      </candidateList>
      <explain>文本全半角错误。</explain>
      <paraID>25976023</paraID>
      <start>5</start>
      <end>6</end>
      <status>unmodified</status>
      <modifiedWord/>
      <trackRevisions>false</trackRevisions>
    </reviewItem>
    <reviewItem>
      <errorID>a71bd118-f46c-4ec8-a14d-7eb2a1e8181c</errorID>
      <errorWord>真空尾气</errorWord>
      <group>L1_Knowledge</group>
      <groupName>知识性问题</groupName>
      <ability>L2_Term</ability>
      <abilityName>专业术语</abilityName>
      <candidateList>
        <item>真空除气</item>
      </candidateList>
      <explain/>
      <paraID>7682B949</paraID>
      <start>0</start>
      <end>4</end>
      <status>unmodified</status>
      <modifiedWord/>
      <trackRevisions>false</trackRevisions>
    </reviewItem>
    <reviewItem>
      <errorID>93a8de2b-42a0-47cf-945b-2f30d0179399</errorID>
      <errorWord>用水管网</errorWord>
      <group>L1_Knowledge</group>
      <groupName>知识性问题</groupName>
      <ability>L2_Term</ability>
      <abilityName>专业术语</abilityName>
      <candidateList>
        <item>污水管网</item>
      </candidateList>
      <explain/>
      <paraID>530003B3</paraID>
      <start>15</start>
      <end>19</end>
      <status>unmodified</status>
      <modifiedWord/>
      <trackRevisions>false</trackRevisions>
    </reviewItem>
    <reviewItem>
      <errorID>279ad513-b9a5-47e8-8eb0-2695e8c65e16</errorID>
      <errorWord>尾气管道</errorWord>
      <group>L1_Knowledge</group>
      <groupName>知识性问题</groupName>
      <ability>L2_Term</ability>
      <abilityName>专业术语</abilityName>
      <candidateList>
        <item>输气管道</item>
      </candidateList>
      <explain/>
      <paraID>2D838E39</paraID>
      <start>10</start>
      <end>14</end>
      <status>unmodified</status>
      <modifiedWord/>
      <trackRevisions>false</trackRevisions>
    </reviewItem>
    <reviewItem>
      <errorID>bfc57261-f1c2-43de-89bc-6d9a703a9fb2</errorID>
      <errorWord>无须</errorWord>
      <group>L1_Word</group>
      <groupName>字词问题</groupName>
      <ability>L2_Typo</ability>
      <abilityName>字词错误</abilityName>
      <candidateList>
        <item>无需</item>
      </candidateList>
      <explain>同“无须”。</explain>
      <paraID> A4AED34</paraID>
      <start>17</start>
      <end>19</end>
      <status>unmodified</status>
      <modifiedWord/>
      <trackRevisions>false</trackRevisions>
    </reviewItem>
    <reviewItem>
      <errorID>ff3e3991-6a01-488f-95e2-88f2562bfc27</errorID>
      <errorWord>运到</errorWord>
      <group>L1_Word</group>
      <groupName>字词问题</groupName>
      <ability>L2_Typo</ability>
      <abilityName>字词错误</abilityName>
      <candidateList>
        <item>运至</item>
      </candidateList>
      <explain/>
      <paraID>7AD8449B</paraID>
      <start>18</start>
      <end>20</end>
      <status>unmodified</status>
      <modifiedWord/>
      <trackRevisions>false</trackRevisions>
    </reviewItem>
    <reviewItem>
      <errorID>9f8b2697-1cc8-4148-82f3-1f92e754c4c1</errorID>
      <errorWord>系统中</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493598D9</paraID>
      <start>17</start>
      <end>20</end>
      <status>unmodified</status>
      <modifiedWord/>
      <trackRevisions>false</trackRevisions>
    </reviewItem>
    <reviewItem>
      <errorID>d471bd94-56a0-4416-a546-9c5bcadcd1ca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2795835</paraID>
      <start>17</start>
      <end>18</end>
      <status>unmodified</status>
      <modifiedWord/>
      <trackRevisions>false</trackRevisions>
    </reviewItem>
    <reviewItem>
      <errorID>88ecf5bd-462f-483c-a08b-d1dcf4486478</errorID>
      <errorWord>-</errorWord>
      <group>L1_Format</group>
      <groupName>格式问题</groupName>
      <ability>L2_HalfPunc</ability>
      <abilityName>全半角检查</abilityName>
      <candidateList>
        <item>－</item>
      </candidateList>
      <explain>文本全半角错误。</explain>
      <paraID>17DA3861</paraID>
      <start>49</start>
      <end>50</end>
      <status>unmodified</status>
      <modifiedWord/>
      <trackRevisions>false</trackRevisions>
    </reviewItem>
    <reviewItem>
      <errorID>183be067-d6c9-44f0-9af2-0a7be0f05847</errorID>
      <errorWord>告</errorWord>
      <group>L1_Word</group>
      <groupName>字词问题</groupName>
      <ability>L2_Typo</ability>
      <abilityName>字词错误</abilityName>
      <candidateList>
        <item>告和</item>
      </candidateList>
      <explain/>
      <paraID> CFEE712</paraID>
      <start>11</start>
      <end>12</end>
      <status>unmodified</status>
      <modifiedWord/>
      <trackRevisions>false</trackRevisions>
    </reviewItem>
    <reviewItem>
      <errorID>2d8d6ca9-b080-4cd9-b73b-fc8136867ef0</errorID>
      <errorWord>》（试行）</errorWord>
      <group>L1_Word</group>
      <groupName>字词问题</groupName>
      <ability>L2_Typo</ability>
      <abilityName>字词错误</abilityName>
      <candidateList>
        <item>（试行）》</item>
      </candidateList>
      <explain/>
      <paraID>43B990C4</paraID>
      <start>180</start>
      <end>185</end>
      <status>unmodified</status>
      <modifiedWord/>
      <trackRevisions>false</trackRevisions>
    </reviewItem>
    <reviewItem>
      <errorID>7229bfae-9397-438a-bb1a-84d80b8b2847</errorID>
      <errorWord>》（试行）</errorWord>
      <group>L1_Word</group>
      <groupName>字词问题</groupName>
      <ability>L2_Typo</ability>
      <abilityName>字词错误</abilityName>
      <candidateList>
        <item>（试行）》</item>
      </candidateList>
      <explain/>
      <paraID>2991BC36</paraID>
      <start>27</start>
      <end>32</end>
      <status>unmodified</status>
      <modifiedWord/>
      <trackRevisions>false</trackRevisions>
    </reviewItem>
    <reviewItem>
      <errorID>557313a3-662d-4204-8ed9-8184c26c12b1</errorID>
      <errorWord>》（试行）</errorWord>
      <group>L1_Word</group>
      <groupName>字词问题</groupName>
      <ability>L2_Typo</ability>
      <abilityName>字词错误</abilityName>
      <candidateList>
        <item>（试行）》</item>
      </candidateList>
      <explain/>
      <paraID>2991BC36</paraID>
      <start>115</start>
      <end>120</end>
      <status>unmodified</status>
      <modifiedWord/>
      <trackRevisions>false</trackRevisions>
    </reviewItem>
    <reviewItem>
      <errorID>17189bc7-a0bb-4693-9de0-0dcc0382692f</errorID>
      <errorWord>》</errorWord>
      <group>L1_Word</group>
      <groupName>字词问题</groupName>
      <ability>L2_Typo</ability>
      <abilityName>字词错误</abilityName>
      <candidateList>
        <item>》和</item>
      </candidateList>
      <explain/>
      <paraID>6C8C9E64</paraID>
      <start>53</start>
      <end>54</end>
      <status>unmodified</status>
      <modifiedWord/>
      <trackRevisions>false</trackRevisions>
    </reviewItem>
    <reviewItem>
      <errorID>8b8153ab-4d69-4bcd-a0fe-3f0fec4a4ff9</errorID>
      <errorWord>渣蜡</errorWord>
      <group>L1_Word</group>
      <groupName>字词问题</groupName>
      <ability>L2_Typo</ability>
      <abilityName>字词错误</abilityName>
      <candidateList>
        <item>蜡渣</item>
      </candidateList>
      <explain/>
      <paraID> 3999973</paraID>
      <start>161</start>
      <end>163</end>
      <status>unmodified</status>
      <modifiedWord/>
      <trackRevisions>false</trackRevisions>
    </reviewItem>
    <reviewItem>
      <errorID>04db245c-0646-45fe-bd2b-43aaa0e01571</errorID>
      <errorWord>-</errorWord>
      <group>L1_Format</group>
      <groupName>格式问题</groupName>
      <ability>L2_HalfPunc</ability>
      <abilityName>全半角检查</abilityName>
      <candidateList>
        <item>－</item>
      </candidateList>
      <explain>文本全半角错误。</explain>
      <paraID>3275D242</paraID>
      <start>4</start>
      <end>5</end>
      <status>unmodified</status>
      <modifiedWord/>
      <trackRevisions>false</trackRevisions>
    </reviewItem>
    <reviewItem>
      <errorID>58ca08c2-5893-42e4-8e9b-9d5ba8538936</errorID>
      <errorWord>-</errorWord>
      <group>L1_Format</group>
      <groupName>格式问题</groupName>
      <ability>L2_HalfPunc</ability>
      <abilityName>全半角检查</abilityName>
      <candidateList>
        <item>－</item>
      </candidateList>
      <explain>文本全半角错误。</explain>
      <paraID>11FEEC1B</paraID>
      <start>42</start>
      <end>43</end>
      <status>unmodified</status>
      <modifiedWord/>
      <trackRevisions>false</trackRevisions>
    </reviewItem>
    <reviewItem>
      <errorID>b34b1147-4595-4284-90e4-432bcbe7d2f9</errorID>
      <errorWord>＜</errorWord>
      <group>L1_Format</group>
      <groupName>格式问题</groupName>
      <ability>L2_HalfPunc</ability>
      <abilityName>全半角检查</abilityName>
      <candidateList>
        <item>&lt;</item>
      </candidateList>
      <explain>文本全半角错误。</explain>
      <paraID>6946F862</paraID>
      <start>0</start>
      <end>1</end>
      <status>unmodified</status>
      <modifiedWord/>
      <trackRevisions>false</trackRevisions>
    </reviewItem>
    <reviewItem>
      <errorID>9d61f970-06ff-4f0c-a294-83120c4f72e8</errorID>
      <errorWord>。</errorWord>
      <group>L1_Format</group>
      <groupName>格式问题</groupName>
      <ability>L2_HalfPunc</ability>
      <abilityName>全半角检查</abilityName>
      <candidateList>
        <item>.</item>
      </candidateList>
      <explain>文本全半角错误。</explain>
      <paraID>3660D605</paraID>
      <start>8</start>
      <end>9</end>
      <status>unmodified</status>
      <modifiedWord/>
      <trackRevisions>false</trackRevisions>
    </reviewItem>
    <reviewItem>
      <errorID>f6c696a4-5d19-4bdb-a1c7-3a332729355c</errorID>
      <errorWord>；</errorWord>
      <group>L1_Word</group>
      <groupName>字词问题</groupName>
      <ability>L2_Typo</ability>
      <abilityName>字词错误</abilityName>
      <candidateList>
        <item>；本</item>
      </candidateList>
      <explain/>
      <paraID>4CA42C68</paraID>
      <start>72</start>
      <end>73</end>
      <status>unmodified</status>
      <modifiedWord/>
      <trackRevisions>false</trackRevisions>
    </reviewItem>
    <reviewItem>
      <errorID>9e398fa4-c60e-4d2a-ab05-eebbc99c7754</errorID>
      <errorWord>职工</errorWord>
      <group>L1_Word</group>
      <groupName>字词问题</groupName>
      <ability>L2_Typo</ability>
      <abilityName>字词错误</abilityName>
      <candidateList>
        <item>施工</item>
      </candidateList>
      <explain>存在发音相近字词的误用。</explain>
      <paraID>4F685631</paraID>
      <start>19</start>
      <end>21</end>
      <status>unmodified</status>
      <modifiedWord/>
      <trackRevisions>false</trackRevisions>
    </reviewItem>
    <reviewItem>
      <errorID>1c18b7c4-d5fb-45a6-997b-9c7d51f0462c</errorID>
      <errorWord>撒水</errorWord>
      <group>L1_Word</group>
      <groupName>字词问题</groupName>
      <ability>L2_Typo</ability>
      <abilityName>字词错误</abilityName>
      <candidateList>
        <item>洒水</item>
      </candidateList>
      <explain/>
      <paraID>3C982DE9</paraID>
      <start>179</start>
      <end>181</end>
      <status>unmodified</status>
      <modifiedWord/>
      <trackRevisions>false</trackRevisions>
    </reviewItem>
    <reviewItem>
      <errorID>f037982d-0c2e-49fc-99ae-e47684b58532</errorID>
      <errorWord>现场只</errorWord>
      <group>L1_Word</group>
      <groupName>字词问题</groupName>
      <ability>L2_Typo</ability>
      <abilityName>字词错误</abilityName>
      <candidateList>
        <item>现场</item>
      </candidateList>
      <explain/>
      <paraID>546083FD</paraID>
      <start>16</start>
      <end>19</end>
      <status>unmodified</status>
      <modifiedWord/>
      <trackRevisions>false</trackRevisions>
    </reviewItem>
    <reviewItem>
      <errorID>5e137061-31ea-4615-beb6-9d4b841838b1</errorID>
      <errorWord>-</errorWord>
      <group>L1_Format</group>
      <groupName>格式问题</groupName>
      <ability>L2_HalfPunc</ability>
      <abilityName>全半角检查</abilityName>
      <candidateList>
        <item>－</item>
      </candidateList>
      <explain>文本全半角错误。</explain>
      <paraID>3B4FA0F4</paraID>
      <start>2</start>
      <end>3</end>
      <status>unmodified</status>
      <modifiedWord/>
      <trackRevisions>false</trackRevisions>
    </reviewItem>
    <reviewItem>
      <errorID>e9d33b4c-8017-44af-beaf-2317690e9008</errorID>
      <errorWord>-</errorWord>
      <group>L1_Format</group>
      <groupName>格式问题</groupName>
      <ability>L2_HalfPunc</ability>
      <abilityName>全半角检查</abilityName>
      <candidateList>
        <item>－</item>
      </candidateList>
      <explain>文本全半角错误。</explain>
      <paraID>31105EAB</paraID>
      <start>3</start>
      <end>4</end>
      <status>unmodified</status>
      <modifiedWord/>
      <trackRevisions>false</trackRevisions>
    </reviewItem>
    <reviewItem>
      <errorID>dfa088ff-1573-4552-bcaf-b01d7c8cffe0</errorID>
      <errorWord>：</errorWord>
      <group>L1_Format</group>
      <groupName>格式问题</groupName>
      <ability>L2_HalfPunc</ability>
      <abilityName>全半角检查</abilityName>
      <candidateList>
        <item>:</item>
      </candidateList>
      <explain>文本全半角错误。</explain>
      <paraID>3753C065</paraID>
      <start>68</start>
      <end>69</end>
      <status>unmodified</status>
      <modifiedWord/>
      <trackRevisions>false</trackRevisions>
    </reviewItem>
    <reviewItem>
      <errorID>3bc39c88-7531-4613-bded-5bca015f01b6</errorID>
      <errorWord>：</errorWord>
      <group>L1_Format</group>
      <groupName>格式问题</groupName>
      <ability>L2_HalfPunc</ability>
      <abilityName>全半角检查</abilityName>
      <candidateList>
        <item>:</item>
      </candidateList>
      <explain>文本全半角错误。</explain>
      <paraID>3753C065</paraID>
      <start>76</start>
      <end>77</end>
      <status>unmodified</status>
      <modifiedWord/>
      <trackRevisions>false</trackRevisions>
    </reviewItem>
    <reviewItem>
      <errorID>c4bcf061-2a80-42c0-acc1-6342a87a4495</errorID>
      <errorWord>良好地</errorWord>
      <group>L1_Word</group>
      <groupName>字词问题</groupName>
      <ability>L2_Typo</ability>
      <abilityName>字词错误</abilityName>
      <candidateList>
        <item>良好</item>
      </candidateList>
      <explain/>
      <paraID>225D9B16</paraID>
      <start>65</start>
      <end>68</end>
      <status>unmodified</status>
      <modifiedWord/>
      <trackRevisions>false</trackRevisions>
    </reviewItem>
    <reviewItem>
      <errorID>5bc98820-5cb3-494f-950a-6fe244ca180e</errorID>
      <errorWord>源源</errorWord>
      <group>L1_Word</group>
      <groupName>字词问题</groupName>
      <ability>L2_Typo</ability>
      <abilityName>字词错误</abilityName>
      <candidateList>
        <item>源</item>
      </candidateList>
      <explain/>
      <paraID>5DFA4BBD</paraID>
      <start>1</start>
      <end>3</end>
      <status>unmodified</status>
      <modifiedWord/>
      <trackRevisions>false</trackRevisions>
    </reviewItem>
    <reviewItem>
      <errorID>81276704-2884-45bc-bf91-c3e698d75745</errorID>
      <errorWord>(</errorWord>
      <group>L1_Format</group>
      <groupName>格式问题</groupName>
      <ability>L2_HalfPunc</ability>
      <abilityName>全半角检查</abilityName>
      <candidateList>
        <item>（</item>
      </candidateList>
      <explain>文本全半角错误。</explain>
      <paraID>5E9075A7</paraID>
      <start>5</start>
      <end>6</end>
      <status>unmodified</status>
      <modifiedWord/>
      <trackRevisions>false</trackRevisions>
    </reviewItem>
    <reviewItem>
      <errorID>b4ce6b21-1aff-483b-84b2-4e2a830c09aa</errorID>
      <errorWord>)</errorWord>
      <group>L1_Format</group>
      <groupName>格式问题</groupName>
      <ability>L2_HalfPunc</ability>
      <abilityName>全半角检查</abilityName>
      <candidateList>
        <item>）</item>
      </candidateList>
      <explain>文本全半角错误。</explain>
      <paraID>5E9075A7</paraID>
      <start>7</start>
      <end>8</end>
      <status>unmodified</status>
      <modifiedWord/>
      <trackRevisions>false</trackRevisions>
    </reviewItem>
    <reviewItem>
      <errorID>f53bddf1-8c40-4f41-88db-47ec1574928a</errorID>
      <errorWord>小</errorWord>
      <group>L1_Word</group>
      <groupName>字词问题</groupName>
      <ability>L2_Typo</ability>
      <abilityName>字词错误</abilityName>
      <candidateList>
        <item>少</item>
      </candidateList>
      <explain>存在字形相近字词的误用。</explain>
      <paraID>57E09A4D</paraID>
      <start>12</start>
      <end>13</end>
      <status>unmodified</status>
      <modifiedWord/>
      <trackRevisions>false</trackRevisions>
    </reviewItem>
    <reviewItem>
      <errorID>313a5196-f40b-4a6b-845d-b0511401ab77</errorID>
      <errorWord>：</errorWord>
      <group>L1_Format</group>
      <groupName>格式问题</groupName>
      <ability>L2_HalfPunc</ability>
      <abilityName>全半角检查</abilityName>
      <candidateList>
        <item>:</item>
      </candidateList>
      <explain>文本全半角错误。</explain>
      <paraID>2D12A7A0</paraID>
      <start>26</start>
      <end>27</end>
      <status>unmodified</status>
      <modifiedWord/>
      <trackRevisions>false</trackRevisions>
    </reviewItem>
    <reviewItem>
      <errorID>8ccbcb98-5e95-4475-b0d4-e2da57e22c4e</errorID>
      <errorWord>：</errorWord>
      <group>L1_Format</group>
      <groupName>格式问题</groupName>
      <ability>L2_HalfPunc</ability>
      <abilityName>全半角检查</abilityName>
      <candidateList>
        <item>:</item>
      </candidateList>
      <explain>文本全半角错误。</explain>
      <paraID>2D12A7A0</paraID>
      <start>32</start>
      <end>33</end>
      <status>unmodified</status>
      <modifiedWord/>
      <trackRevisions>false</trackRevisions>
    </reviewItem>
    <reviewItem>
      <errorID>027f60fe-3a6e-43a7-b1c9-081e33aa8cc7</errorID>
      <errorWord>-</errorWord>
      <group>L1_Format</group>
      <groupName>格式问题</groupName>
      <ability>L2_HalfPunc</ability>
      <abilityName>全半角检查</abilityName>
      <candidateList>
        <item>－</item>
      </candidateList>
      <explain>文本全半角错误。</explain>
      <paraID>2D12A7A0</paraID>
      <start>43</start>
      <end>44</end>
      <status>unmodified</status>
      <modifiedWord/>
      <trackRevisions>false</trackRevisions>
    </reviewItem>
    <reviewItem>
      <errorID>1fb643ba-cd3b-4de8-9ce9-4793aac9b25d</errorID>
      <errorWord>消音器</errorWord>
      <group>L1_Word</group>
      <groupName>字词问题</groupName>
      <ability>L2_Typo</ability>
      <abilityName>字词错误</abilityName>
      <candidateList>
        <item>消声器</item>
      </candidateList>
      <explain/>
      <paraID>3CBD9CF4</paraID>
      <start>57</start>
      <end>60</end>
      <status>unmodified</status>
      <modifiedWord/>
      <trackRevisions>false</trackRevisions>
    </reviewItem>
    <reviewItem>
      <errorID>94875c35-0b15-42e3-a892-4987eb4ef2f9</errorID>
      <errorWord>吸音</errorWord>
      <group>L1_Word</group>
      <groupName>字词问题</groupName>
      <ability>L2_Typo</ability>
      <abilityName>字词错误</abilityName>
      <candidateList>
        <item>吸声</item>
      </candidateList>
      <explain/>
      <paraID>11B96E7B</paraID>
      <start>78</start>
      <end>80</end>
      <status>unmodified</status>
      <modifiedWord/>
      <trackRevisions>false</trackRevisions>
    </reviewItem>
    <reviewItem>
      <errorID>129b79d3-0394-46fe-ab5b-25be7dbba3db</errorID>
      <errorWord>鸣哨</errorWord>
      <group>L1_Word</group>
      <groupName>字词问题</groupName>
      <ability>L2_Typo</ability>
      <abilityName>字词错误</abilityName>
      <candidateList>
        <item>鸣笛</item>
      </candidateList>
      <explain/>
      <paraID>145271A9</paraID>
      <start>12</start>
      <end>14</end>
      <status>unmodified</status>
      <modifiedWord/>
      <trackRevisions>false</trackRevisions>
    </reviewItem>
    <reviewItem>
      <errorID>bc2a8770-b8a6-4e6c-88de-000cf1580ac5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673E301</paraID>
      <start>108</start>
      <end>109</end>
      <status>unmodified</status>
      <modifiedWord/>
      <trackRevisions>false</trackRevisions>
    </reviewItem>
    <reviewItem>
      <errorID>99c36ac7-e2ff-499a-9c6a-8eb69220a293</errorID>
      <errorWord>（</errorWord>
      <group>L1_Format</group>
      <groupName>格式问题</groupName>
      <ability>L2_HalfPunc</ability>
      <abilityName>全半角检查</abilityName>
      <candidateList>
        <item>(</item>
      </candidateList>
      <explain>文本全半角错误。</explain>
      <paraID>7022FD55</paraID>
      <start>3</start>
      <end>4</end>
      <status>unmodified</status>
      <modifiedWord/>
      <trackRevisions>false</trackRevisions>
    </reviewItem>
    <reviewItem>
      <errorID>48f7563a-3ed2-4c0d-aff5-20d0f173169d</errorID>
      <errorWord>）</errorWord>
      <group>L1_Format</group>
      <groupName>格式问题</groupName>
      <ability>L2_HalfPunc</ability>
      <abilityName>全半角检查</abilityName>
      <candidateList>
        <item>)</item>
      </candidateList>
      <explain>文本全半角错误。</explain>
      <paraID>7022FD55</paraID>
      <start>5</start>
      <end>6</end>
      <status>unmodified</status>
      <modifiedWord/>
      <trackRevisions>false</trackRevisions>
    </reviewItem>
    <reviewItem>
      <errorID>c70b6e56-7f30-4129-8f4a-ba88206ff41f</errorID>
      <errorWord>，</errorWord>
      <group>L1_Word</group>
      <groupName>字词问题</groupName>
      <ability>L2_Typo</ability>
      <abilityName>字词错误</abilityName>
      <candidateList>
        <item>，对</item>
      </candidateList>
      <explain/>
      <paraID> C3F2B15</paraID>
      <start>80</start>
      <end>81</end>
      <status>unmodified</status>
      <modifiedWord/>
      <trackRevisions>false</trackRevisions>
    </reviewItem>
    <reviewItem>
      <errorID>57e548c7-8727-4f2a-a287-b30ece895356</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696948D5</paraID>
      <start>122</start>
      <end>124</end>
      <status>unmodified</status>
      <modifiedWord/>
      <trackRevisions>false</trackRevisions>
    </reviewItem>
    <reviewItem>
      <errorID>2a688be8-42f5-4ec0-a55e-493c47e97390</errorID>
      <errorWord>物质</errorWord>
      <group>L1_Word</group>
      <groupName>字词问题</groupName>
      <ability>L2_Typo</ability>
      <abilityName>字词错误</abilityName>
      <candidateList>
        <item>物资</item>
      </candidateList>
      <explain/>
      <paraID>328ADCC9</paraID>
      <start>45</start>
      <end>47</end>
      <status>unmodified</status>
      <modifiedWord/>
      <trackRevisions>false</trackRevisions>
    </reviewItem>
    <reviewItem>
      <errorID>b4674a88-1d31-4bbf-839a-4110ffe1ffa5</errorID>
      <errorWord>存在</errorWord>
      <group>L1_Word</group>
      <groupName>字词问题</groupName>
      <ability>L2_Typo</ability>
      <abilityName>字词错误</abilityName>
      <candidateList>
        <item>存放</item>
      </candidateList>
      <explain/>
      <paraID>2541DDCA</paraID>
      <start>123</start>
      <end>125</end>
      <status>unmodified</status>
      <modifiedWord/>
      <trackRevisions>false</trackRevisions>
    </reviewItem>
    <reviewItem>
      <errorID>3a8094fb-dd56-41a6-9817-a214cec8113b</errorID>
      <errorWord>:</errorWord>
      <group>L1_Format</group>
      <groupName>格式问题</groupName>
      <ability>L2_HalfPunc</ability>
      <abilityName>全半角检查</abilityName>
      <candidateList>
        <item>：</item>
      </candidateList>
      <explain>文本全半角错误。</explain>
      <paraID>24C69AE1</paraID>
      <start>65</start>
      <end>66</end>
      <status>unmodified</status>
      <modifiedWord/>
      <trackRevisions>false</trackRevisions>
    </reviewItem>
    <reviewItem>
      <errorID>bdb7869d-3584-4271-aaa6-a7c3e8211ccf</errorID>
      <errorWord>，...，</errorWord>
      <group>L1_Punc</group>
      <groupName>标点问题</groupName>
      <ability>L2_Punc</ability>
      <abilityName>标点符号检查</abilityName>
      <candidateList>
        <item>，</item>
      </candidateList>
      <explain/>
      <paraID> F496AB8</paraID>
      <start>8</start>
      <end>13</end>
      <status>unmodified</status>
      <modifiedWord/>
      <trackRevisions>false</trackRevisions>
    </reviewItem>
    <reviewItem>
      <errorID>1f598236-8a72-4a46-879f-da0fc1459630</errorID>
      <errorWord>，...，</errorWord>
      <group>L1_Punc</group>
      <groupName>标点问题</groupName>
      <ability>L2_Punc</ability>
      <abilityName>标点符号检查</abilityName>
      <candidateList>
        <item>，</item>
      </candidateList>
      <explain/>
      <paraID>541E417D</paraID>
      <start>5</start>
      <end>10</end>
      <status>unmodified</status>
      <modifiedWord/>
      <trackRevisions>false</trackRevisions>
    </reviewItem>
    <reviewItem>
      <errorID>4ac9faf8-d34b-4b0b-890d-6a685b76efbd</errorID>
      <errorWord>（</errorWord>
      <group>L1_Format</group>
      <groupName>格式问题</groupName>
      <ability>L2_HalfPunc</ability>
      <abilityName>全半角检查</abilityName>
      <candidateList>
        <item>(</item>
      </candidateList>
      <explain>文本全半角错误。</explain>
      <paraID>7B1C2325</paraID>
      <start>3</start>
      <end>4</end>
      <status>unmodified</status>
      <modifiedWord/>
      <trackRevisions>false</trackRevisions>
    </reviewItem>
    <reviewItem>
      <errorID>039c7198-3ca4-4c6f-9470-7a4da1ede1a6</errorID>
      <errorWord>）</errorWord>
      <group>L1_Format</group>
      <groupName>格式问题</groupName>
      <ability>L2_HalfPunc</ability>
      <abilityName>全半角检查</abilityName>
      <candidateList>
        <item>)</item>
      </candidateList>
      <explain>文本全半角错误。</explain>
      <paraID>7B1C2325</paraID>
      <start>5</start>
      <end>6</end>
      <status>unmodified</status>
      <modifiedWord/>
      <trackRevisions>false</trackRevisions>
    </reviewItem>
    <reviewItem>
      <errorID>7665e907-077d-45e9-93a2-2c62a9d2c81a</errorID>
      <errorWord>（</errorWord>
      <group>L1_Format</group>
      <groupName>格式问题</groupName>
      <ability>L2_HalfPunc</ability>
      <abilityName>全半角检查</abilityName>
      <candidateList>
        <item>(</item>
      </candidateList>
      <explain>文本全半角错误。</explain>
      <paraID>47DC24DE</paraID>
      <start>3</start>
      <end>4</end>
      <status>unmodified</status>
      <modifiedWord/>
      <trackRevisions>false</trackRevisions>
    </reviewItem>
    <reviewItem>
      <errorID>ddc9e61a-f364-405e-bdca-5f6d30665568</errorID>
      <errorWord>）</errorWord>
      <group>L1_Format</group>
      <groupName>格式问题</groupName>
      <ability>L2_HalfPunc</ability>
      <abilityName>全半角检查</abilityName>
      <candidateList>
        <item>)</item>
      </candidateList>
      <explain>文本全半角错误。</explain>
      <paraID>47DC24DE</paraID>
      <start>5</start>
      <end>6</end>
      <status>unmodified</status>
      <modifiedWord/>
      <trackRevisions>false</trackRevisions>
    </reviewItem>
    <reviewItem>
      <errorID>0dc0535f-b5ad-4537-8ab1-0c2c747a50dc</errorID>
      <errorWord>真空尾气</errorWord>
      <group>L1_Knowledge</group>
      <groupName>知识性问题</groupName>
      <ability>L2_Term</ability>
      <abilityName>专业术语</abilityName>
      <candidateList>
        <item>真空除气</item>
      </candidateList>
      <explain/>
      <paraID>752B8176</paraID>
      <start>0</start>
      <end>4</end>
      <status>unmodified</status>
      <modifiedWord/>
      <trackRevisions>false</trackRevisions>
    </reviewItem>
    <reviewItem>
      <errorID>329bfd39-f412-4817-93b5-b07b5ea50373</errorID>
      <errorWord>物质数量</errorWord>
      <group>L1_Knowledge</group>
      <groupName>知识性问题</groupName>
      <ability>L2_Term</ability>
      <abilityName>专业术语</abilityName>
      <candidateList>
        <item>物质的量</item>
      </candidateList>
      <explain/>
      <paraID>7EE72942</paraID>
      <start>14</start>
      <end>18</end>
      <status>unmodified</status>
      <modifiedWord/>
      <trackRevisions>false</trackRevisions>
    </reviewItem>
    <reviewItem>
      <errorID>cf3a2bd3-f1a1-4d8b-9072-06851c84b59b</errorID>
      <errorWord>变换</errorWord>
      <group>L1_Word</group>
      <groupName>字词问题</groupName>
      <ability>L2_Typo</ability>
      <abilityName>字词错误</abilityName>
      <candidateList>
        <item>更换</item>
      </candidateList>
      <explain>〈动〉变换；替换：～位置｜～衣裳｜～值班人员｜展览馆里的展品不断～。</explain>
      <paraID>135DCFB3</paraID>
      <start>1</start>
      <end>3</end>
      <status>unmodified</status>
      <modifiedWord/>
      <trackRevisions>false</trackRevisions>
    </reviewItem>
    <reviewItem>
      <errorID>12d42e7b-c582-4a3d-94d7-6617cffa98da</errorID>
      <errorWord>羞明</errorWord>
      <group>L1_Knowledge</group>
      <groupName>知识性问题</groupName>
      <ability>L2_Term</ability>
      <abilityName>专业术语</abilityName>
      <candidateList>
        <item>畏光</item>
      </candidateList>
      <explain>医学名词[羞明]为不规范表述或旧称，其规范书面表述为[畏光]。</explain>
      <paraID> F8A6F7E</paraID>
      <start>40</start>
      <end>42</end>
      <status>unmodified</status>
      <modifiedWord/>
      <trackRevisions>false</trackRevisions>
    </reviewItem>
    <reviewItem>
      <errorID>c27f2ed1-7661-4be6-a126-77cf8a770b26</errorID>
      <errorWord>等和</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 F8A6F7E</paraID>
      <start>59</start>
      <end>61</end>
      <status>unmodified</status>
      <modifiedWord/>
      <trackRevisions>false</trackRevisions>
    </reviewItem>
    <reviewItem>
      <errorID>d1b180c2-0fa4-4de6-9a07-7d1e727bd987</errorID>
      <errorWord>植物神经</errorWord>
      <group>L1_Knowledge</group>
      <groupName>知识性问题</groupName>
      <ability>L2_Term</ability>
      <abilityName>专业术语</abilityName>
      <candidateList>
        <item>自主神经</item>
      </candidateList>
      <explain>医学名词[植物神经]为不规范表述或旧称，其规范书面表述为[自主神经]。</explain>
      <paraID> F8A6F7E</paraID>
      <start>336</start>
      <end>340</end>
      <status>unmodified</status>
      <modifiedWord/>
      <trackRevisions>false</trackRevisions>
    </reviewItem>
    <reviewItem>
      <errorID>817657e6-ff8d-48e2-ae4e-a9c93ea9c6e1</errorID>
      <errorWord>~</errorWord>
      <group>L1_Format</group>
      <groupName>格式问题</groupName>
      <ability>L2_HalfPunc</ability>
      <abilityName>全半角检查</abilityName>
      <candidateList>
        <item>～</item>
      </candidateList>
      <explain>文本全半角错误。</explain>
      <paraID>2E16F4A2</paraID>
      <start>22</start>
      <end>23</end>
      <status>unmodified</status>
      <modifiedWord/>
      <trackRevisions>false</trackRevisions>
    </reviewItem>
    <reviewItem>
      <errorID>766a1445-12c4-41a7-bc89-3e1b0d104122</errorID>
      <errorWord>（</errorWord>
      <group>L1_Format</group>
      <groupName>格式问题</groupName>
      <ability>L2_HalfPunc</ability>
      <abilityName>全半角检查</abilityName>
      <candidateList>
        <item>(</item>
      </candidateList>
      <explain>文本全半角错误。</explain>
      <paraID>404F3B62</paraID>
      <start>6</start>
      <end>7</end>
      <status>unmodified</status>
      <modifiedWord/>
      <trackRevisions>false</trackRevisions>
    </reviewItem>
    <reviewItem>
      <errorID>22bd06b2-ef24-41e7-82a9-c810675fa097</errorID>
      <errorWord>）</errorWord>
      <group>L1_Format</group>
      <groupName>格式问题</groupName>
      <ability>L2_HalfPunc</ability>
      <abilityName>全半角检查</abilityName>
      <candidateList>
        <item>)</item>
      </candidateList>
      <explain>文本全半角错误。</explain>
      <paraID>404F3B62</paraID>
      <start>12</start>
      <end>13</end>
      <status>unmodified</status>
      <modifiedWord/>
      <trackRevisions>false</trackRevisions>
    </reviewItem>
    <reviewItem>
      <errorID>63ec0cc4-ab30-438e-b2a8-9e8f481585e3</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647EDF14</paraID>
      <start>44</start>
      <end>47</end>
      <status>unmodified</status>
      <modifiedWord/>
      <trackRevisions>false</trackRevisions>
    </reviewItem>
    <reviewItem>
      <errorID>5bbb200f-4e53-43ee-9c9a-47292aa19edf</errorID>
      <errorWord>大脑皮层</errorWord>
      <group>L1_Word</group>
      <groupName>字词问题</groupName>
      <ability>L2_Typo</ability>
      <abilityName>字词错误</abilityName>
      <candidateList>
        <item>大脑皮质</item>
      </candidateList>
      <explain/>
      <paraID>647EDF14</paraID>
      <start>49</start>
      <end>53</end>
      <status>unmodified</status>
      <modifiedWord/>
      <trackRevisions>false</trackRevisions>
    </reviewItem>
    <reviewItem>
      <errorID>9979378e-fee6-4d49-ab16-19886cf81aaf</errorID>
      <errorWord>~</errorWord>
      <group>L1_Format</group>
      <groupName>格式问题</groupName>
      <ability>L2_HalfPunc</ability>
      <abilityName>全半角检查</abilityName>
      <candidateList>
        <item>～</item>
      </candidateList>
      <explain>文本全半角错误。</explain>
      <paraID>699D3CB8</paraID>
      <start>10</start>
      <end>11</end>
      <status>unmodified</status>
      <modifiedWord/>
      <trackRevisions>false</trackRevisions>
    </reviewItem>
    <reviewItem>
      <errorID>0113aaf1-7a79-4a6f-94bc-41794f803e66</errorID>
      <errorWord>~</errorWord>
      <group>L1_Format</group>
      <groupName>格式问题</groupName>
      <ability>L2_HalfPunc</ability>
      <abilityName>全半角检查</abilityName>
      <candidateList>
        <item>～</item>
      </candidateList>
      <explain>文本全半角错误。</explain>
      <paraID>699D3CB8</paraID>
      <start>37</start>
      <end>38</end>
      <status>unmodified</status>
      <modifiedWord/>
      <trackRevisions>false</trackRevisions>
    </reviewItem>
    <reviewItem>
      <errorID>759f52b9-f2b0-410c-957d-15b52a046d12</errorID>
      <errorWord>~</errorWord>
      <group>L1_Format</group>
      <groupName>格式问题</groupName>
      <ability>L2_HalfPunc</ability>
      <abilityName>全半角检查</abilityName>
      <candidateList>
        <item>～</item>
      </candidateList>
      <explain>文本全半角错误。</explain>
      <paraID>657AE214</paraID>
      <start>212</start>
      <end>213</end>
      <status>unmodified</status>
      <modifiedWord/>
      <trackRevisions>false</trackRevisions>
    </reviewItem>
    <reviewItem>
      <errorID>a6421830-fcc9-4c6b-bc72-4edd734deba5</errorID>
      <errorWord>25%~30%</errorWord>
      <group>L1_Knowledge</group>
      <groupName>知识性问题</groupName>
      <ability>L2_Knowledge</ability>
      <abilityName>其他知识</abilityName>
      <candidateList>
        <item>25%～30%</item>
      </candidateList>
      <explain>1. “25%~30%”中的单位“%”仅出现在后一个数字上，容易引起歧义；根据《现代汉语标点符号数字用法规范手册》，数字表示范围两边需要使用统一的格式。2. 根据标点国标 4.13 中的规则，数字、时间或地域连接符应使用（视觉上更长的）“—”或“～”。</explain>
      <paraID>5131E7DC</paraID>
      <start>42</start>
      <end>49</end>
      <status>unmodified</status>
      <modifiedWord/>
      <trackRevisions>false</trackRevisions>
    </reviewItem>
    <reviewItem>
      <errorID>70fc4e9e-f844-49ec-a75e-17c260f59a94</errorID>
      <errorWord>或废物处理</errorWord>
      <group>L1_Knowledge</group>
      <groupName>知识性问题</groupName>
      <ability>L2_Term</ability>
      <abilityName>专业术语</abilityName>
      <candidateList>
        <item>核废物处理</item>
      </candidateList>
      <explain/>
      <paraID>3A185A2E</paraID>
      <start>163</start>
      <end>168</end>
      <status>unmodified</status>
      <modifiedWord/>
      <trackRevisions>false</trackRevisions>
    </reviewItem>
    <reviewItem>
      <errorID>168055bb-c4ec-490a-93bb-12f4fb61543d</errorID>
      <errorWord>（</errorWord>
      <group>L1_Format</group>
      <groupName>格式问题</groupName>
      <ability>L2_HalfPunc</ability>
      <abilityName>全半角检查</abilityName>
      <candidateList>
        <item>(</item>
      </candidateList>
      <explain>文本全半角错误。</explain>
      <paraID> BCD4CAD</paraID>
      <start>4</start>
      <end>5</end>
      <status>unmodified</status>
      <modifiedWord/>
      <trackRevisions>false</trackRevisions>
    </reviewItem>
    <reviewItem>
      <errorID>b0f35f81-8b60-4e39-b50f-11f3be28a27d</errorID>
      <errorWord>）</errorWord>
      <group>L1_Format</group>
      <groupName>格式问题</groupName>
      <ability>L2_HalfPunc</ability>
      <abilityName>全半角检查</abilityName>
      <candidateList>
        <item>)</item>
      </candidateList>
      <explain>文本全半角错误。</explain>
      <paraID> BCD4CAD</paraID>
      <start>8</start>
      <end>9</end>
      <status>unmodified</status>
      <modifiedWord/>
      <trackRevisions>false</trackRevisions>
    </reviewItem>
    <reviewItem>
      <errorID>76f6cd40-32ec-4cfa-8039-0a189e2926cc</errorID>
      <errorWord>：</errorWord>
      <group>L1_Format</group>
      <groupName>格式问题</groupName>
      <ability>L2_HalfPunc</ability>
      <abilityName>全半角检查</abilityName>
      <candidateList>
        <item>:</item>
      </candidateList>
      <explain>文本全半角错误。</explain>
      <paraID>234639AC</paraID>
      <start>4</start>
      <end>5</end>
      <status>unmodified</status>
      <modifiedWord/>
      <trackRevisions>false</trackRevisions>
    </reviewItem>
    <reviewItem>
      <errorID>4ab6c018-a8f1-4a4f-b8e2-a0009ac505d2</errorID>
      <errorWord>：</errorWord>
      <group>L1_Format</group>
      <groupName>格式问题</groupName>
      <ability>L2_HalfPunc</ability>
      <abilityName>全半角检查</abilityName>
      <candidateList>
        <item>:</item>
      </candidateList>
      <explain>文本全半角错误。</explain>
      <paraID>234639AC</paraID>
      <start>42</start>
      <end>43</end>
      <status>unmodified</status>
      <modifiedWord/>
      <trackRevisions>false</trackRevisions>
    </reviewItem>
    <reviewItem>
      <errorID>cbc0ecc8-9849-4b24-aff6-0fe1e9a6cc53</errorID>
      <errorWord>曝晒</errorWord>
      <group>L1_Word</group>
      <groupName>字词问题</groupName>
      <ability>L2_Typo</ability>
      <abilityName>字词错误</abilityName>
      <candidateList>
        <item>暴晒</item>
      </candidateList>
      <explain>〈动〉在强烈的阳光下久晒：烈日～｜洗好的丝绸衣服不宜～。</explain>
      <paraID>65E1EEB6</paraID>
      <start>114</start>
      <end>116</end>
      <status>unmodified</status>
      <modifiedWord/>
      <trackRevisions>false</trackRevisions>
    </reviewItem>
    <reviewItem>
      <errorID>79b8e4c8-c593-43e3-9b3b-eadeccaf07af</errorID>
      <errorWord>（</errorWord>
      <group>L1_Format</group>
      <groupName>格式问题</groupName>
      <ability>L2_HalfPunc</ability>
      <abilityName>全半角检查</abilityName>
      <candidateList>
        <item>(</item>
      </candidateList>
      <explain>文本全半角错误。</explain>
      <paraID>6794FE62</paraID>
      <start>15</start>
      <end>16</end>
      <status>unmodified</status>
      <modifiedWord/>
      <trackRevisions>false</trackRevisions>
    </reviewItem>
    <reviewItem>
      <errorID>582457f7-22da-4482-b3eb-f4ecc335380b</errorID>
      <errorWord>）</errorWord>
      <group>L1_Format</group>
      <groupName>格式问题</groupName>
      <ability>L2_HalfPunc</ability>
      <abilityName>全半角检查</abilityName>
      <candidateList>
        <item>)</item>
      </candidateList>
      <explain>文本全半角错误。</explain>
      <paraID>6794FE62</paraID>
      <start>22</start>
      <end>23</end>
      <status>unmodified</status>
      <modifiedWord/>
      <trackRevisions>false</trackRevisions>
    </reviewItem>
    <reviewItem>
      <errorID>a544a1f0-a523-49e2-82f1-3aa89d25ab9d</errorID>
      <errorWord>;</errorWord>
      <group>L1_Format</group>
      <groupName>格式问题</groupName>
      <ability>L2_HalfPunc</ability>
      <abilityName>全半角检查</abilityName>
      <candidateList>
        <item>；</item>
      </candidateList>
      <explain>文本全半角错误。</explain>
      <paraID>6794FE62</paraID>
      <start>23</start>
      <end>24</end>
      <status>unmodified</status>
      <modifiedWord/>
      <trackRevisions>false</trackRevisions>
    </reviewItem>
    <reviewItem>
      <errorID>b3ee4468-2cd3-4013-bdfc-2e5bf25ab16f</errorID>
      <errorWord>-</errorWord>
      <group>L1_Format</group>
      <groupName>格式问题</groupName>
      <ability>L2_HalfPunc</ability>
      <abilityName>全半角检查</abilityName>
      <candidateList>
        <item>－</item>
      </candidateList>
      <explain>文本全半角错误。</explain>
      <paraID>65FEA46F</paraID>
      <start>18</start>
      <end>19</end>
      <status>unmodified</status>
      <modifiedWord/>
      <trackRevisions>false</trackRevisions>
    </reviewItem>
    <reviewItem>
      <errorID>6c754dfe-ddf3-4393-bd07-bd67b5ca8567</errorID>
      <errorWord>-</errorWord>
      <group>L1_Format</group>
      <groupName>格式问题</groupName>
      <ability>L2_HalfPunc</ability>
      <abilityName>全半角检查</abilityName>
      <candidateList>
        <item>－</item>
      </candidateList>
      <explain>文本全半角错误。</explain>
      <paraID>65FEA46F</paraID>
      <start>59</start>
      <end>60</end>
      <status>unmodified</status>
      <modifiedWord/>
      <trackRevisions>false</trackRevisions>
    </reviewItem>
    <reviewItem>
      <errorID>68cfa0a9-0d1d-4643-9125-8464446674ab</errorID>
      <errorWord>紫绀</errorWord>
      <group>L1_Knowledge</group>
      <groupName>知识性问题</groupName>
      <ability>L2_Term</ability>
      <abilityName>专业术语</abilityName>
      <candidateList>
        <item>发绀</item>
      </candidateList>
      <explain>医学名词[紫绀]为不规范表述或旧称，其规范书面表述为[发绀]。</explain>
      <paraID>51849B9B</paraID>
      <start>104</start>
      <end>106</end>
      <status>unmodified</status>
      <modifiedWord/>
      <trackRevisions>false</trackRevisions>
    </reviewItem>
    <reviewItem>
      <errorID>e3645cfa-8670-4604-b405-ef4fea3a9280</errorID>
      <errorWord>粉红色泡沫痰</errorWord>
      <group>L1_Knowledge</group>
      <groupName>知识性问题</groupName>
      <ability>L2_Term</ability>
      <abilityName>专业术语</abilityName>
      <candidateList>
        <item>粉红色泡沫样痰</item>
      </candidateList>
      <explain>医学名词[粉红色泡沫痰]为不规范表述或旧称，其规范书面表述为[粉红色泡沫样痰]。</explain>
      <paraID>51849B9B</paraID>
      <start>158</start>
      <end>164</end>
      <status>unmodified</status>
      <modifiedWord/>
      <trackRevisions>false</trackRevisions>
    </reviewItem>
    <reviewItem>
      <errorID>c1b114d5-11d2-4b4c-9019-c25478e4a407</errorID>
      <errorWord>~</errorWord>
      <group>L1_Format</group>
      <groupName>格式问题</groupName>
      <ability>L2_HalfPunc</ability>
      <abilityName>全半角检查</abilityName>
      <candidateList>
        <item>～</item>
      </candidateList>
      <explain>文本全半角错误。</explain>
      <paraID>1EF22C93</paraID>
      <start>22</start>
      <end>23</end>
      <status>unmodified</status>
      <modifiedWord/>
      <trackRevisions>false</trackRevisions>
    </reviewItem>
    <reviewItem>
      <errorID>1f5919d5-300e-4824-a7f7-3e07490ccf79</errorID>
      <errorWord>逸出</errorWord>
      <group>L1_Word</group>
      <groupName>字词问题</groupName>
      <ability>L2_Typo</ability>
      <abilityName>字词错误</abilityName>
      <candidateList>
        <item>溢出</item>
      </candidateList>
      <explain>存在发音相同字词的误用。</explain>
      <paraID>252EEE53</paraID>
      <start>187</start>
      <end>189</end>
      <status>unmodified</status>
      <modifiedWord/>
      <trackRevisions>false</trackRevisions>
    </reviewItem>
    <reviewItem>
      <errorID>54f3b8cb-5e73-4e54-801f-8e2cdb9eb2f5</errorID>
      <errorWord>；</errorWord>
      <group>L1_Format</group>
      <groupName>格式问题</groupName>
      <ability>L2_HalfPunc</ability>
      <abilityName>全半角检查</abilityName>
      <candidateList>
        <item>;</item>
      </candidateList>
      <explain>文本全半角错误。</explain>
      <paraID>6816C66F</paraID>
      <start>14</start>
      <end>15</end>
      <status>unmodified</status>
      <modifiedWord/>
      <trackRevisions>false</trackRevisions>
    </reviewItem>
    <reviewItem>
      <errorID>c606e0d4-7979-4c6b-bb31-c8ff6722bb36</errorID>
      <errorWord>（</errorWord>
      <group>L1_Format</group>
      <groupName>格式问题</groupName>
      <ability>L2_HalfPunc</ability>
      <abilityName>全半角检查</abilityName>
      <candidateList>
        <item>(</item>
      </candidateList>
      <explain>文本全半角错误。</explain>
      <paraID>51D0F6E6</paraID>
      <start>3</start>
      <end>4</end>
      <status>unmodified</status>
      <modifiedWord/>
      <trackRevisions>false</trackRevisions>
    </reviewItem>
    <reviewItem>
      <errorID>7724867e-645b-4fb0-bca0-0e8d39fa7360</errorID>
      <errorWord>）</errorWord>
      <group>L1_Format</group>
      <groupName>格式问题</groupName>
      <ability>L2_HalfPunc</ability>
      <abilityName>全半角检查</abilityName>
      <candidateList>
        <item>)</item>
      </candidateList>
      <explain>文本全半角错误。</explain>
      <paraID>51D0F6E6</paraID>
      <start>8</start>
      <end>9</end>
      <status>unmodified</status>
      <modifiedWord/>
      <trackRevisions>false</trackRevisions>
    </reviewItem>
    <reviewItem>
      <errorID>ea1f12ea-580d-4a39-ab07-2ac8fb87d6b1</errorID>
      <errorWord>（</errorWord>
      <group>L1_Format</group>
      <groupName>格式问题</groupName>
      <ability>L2_HalfPunc</ability>
      <abilityName>全半角检查</abilityName>
      <candidateList>
        <item>(</item>
      </candidateList>
      <explain>文本全半角错误。</explain>
      <paraID>315239FB</paraID>
      <start>6</start>
      <end>7</end>
      <status>unmodified</status>
      <modifiedWord/>
      <trackRevisions>false</trackRevisions>
    </reviewItem>
    <reviewItem>
      <errorID>02c5d425-49de-4cae-b966-fcd1a7bab670</errorID>
      <errorWord>）</errorWord>
      <group>L1_Format</group>
      <groupName>格式问题</groupName>
      <ability>L2_HalfPunc</ability>
      <abilityName>全半角检查</abilityName>
      <candidateList>
        <item>)</item>
      </candidateList>
      <explain>文本全半角错误。</explain>
      <paraID>315239FB</paraID>
      <start>11</start>
      <end>12</end>
      <status>unmodified</status>
      <modifiedWord/>
      <trackRevisions>false</trackRevisions>
    </reviewItem>
    <reviewItem>
      <errorID>3dbbdb40-1003-4178-a53d-172f4b6189a2</errorID>
      <errorWord>（</errorWord>
      <group>L1_Format</group>
      <groupName>格式问题</groupName>
      <ability>L2_HalfPunc</ability>
      <abilityName>全半角检查</abilityName>
      <candidateList>
        <item>(</item>
      </candidateList>
      <explain>文本全半角错误。</explain>
      <paraID>5443301E</paraID>
      <start>3</start>
      <end>4</end>
      <status>unmodified</status>
      <modifiedWord/>
      <trackRevisions>false</trackRevisions>
    </reviewItem>
    <reviewItem>
      <errorID>41c75fdc-1732-475c-aa9d-caf60b9a7bdf</errorID>
      <errorWord>）</errorWord>
      <group>L1_Format</group>
      <groupName>格式问题</groupName>
      <ability>L2_HalfPunc</ability>
      <abilityName>全半角检查</abilityName>
      <candidateList>
        <item>)</item>
      </candidateList>
      <explain>文本全半角错误。</explain>
      <paraID>5443301E</paraID>
      <start>6</start>
      <end>7</end>
      <status>unmodified</status>
      <modifiedWord/>
      <trackRevisions>false</trackRevisions>
    </reviewItem>
    <reviewItem>
      <errorID>f31c4921-8f6e-43b2-b0ae-630cee6247e0</errorID>
      <errorWord>~</errorWord>
      <group>L1_Format</group>
      <groupName>格式问题</groupName>
      <ability>L2_HalfPunc</ability>
      <abilityName>全半角检查</abilityName>
      <candidateList>
        <item>～</item>
      </candidateList>
      <explain>文本全半角错误。</explain>
      <paraID>7A98DF46</paraID>
      <start>25</start>
      <end>26</end>
      <status>unmodified</status>
      <modifiedWord/>
      <trackRevisions>false</trackRevisions>
    </reviewItem>
    <reviewItem>
      <errorID>e8e9b906-8685-4f79-a441-4839f7b7385f</errorID>
      <errorWord>~</errorWord>
      <group>L1_Format</group>
      <groupName>格式问题</groupName>
      <ability>L2_HalfPunc</ability>
      <abilityName>全半角检查</abilityName>
      <candidateList>
        <item>～</item>
      </candidateList>
      <explain>文本全半角错误。</explain>
      <paraID>638C3D4C</paraID>
      <start>49</start>
      <end>50</end>
      <status>unmodified</status>
      <modifiedWord/>
      <trackRevisions>false</trackRevisions>
    </reviewItem>
    <reviewItem>
      <errorID>f695b536-239c-4eee-b0d1-e2a5690a9099</errorID>
      <errorWord>曝晒</errorWord>
      <group>L1_Word</group>
      <groupName>字词问题</groupName>
      <ability>L2_Typo</ability>
      <abilityName>字词错误</abilityName>
      <candidateList>
        <item>暴晒</item>
      </candidateList>
      <explain>〈动〉在强烈的阳光下久晒：烈日～｜洗好的丝绸衣服不宜～。</explain>
      <paraID>65F213CF</paraID>
      <start>213</start>
      <end>215</end>
      <status>unmodified</status>
      <modifiedWord/>
      <trackRevisions>false</trackRevisions>
    </reviewItem>
    <reviewItem>
      <errorID>c081412a-f3ae-4466-998a-631199d13738</errorID>
      <errorWord>（</errorWord>
      <group>L1_Format</group>
      <groupName>格式问题</groupName>
      <ability>L2_HalfPunc</ability>
      <abilityName>全半角检查</abilityName>
      <candidateList>
        <item>(</item>
      </candidateList>
      <explain>文本全半角错误。</explain>
      <paraID>549B84A6</paraID>
      <start>5</start>
      <end>6</end>
      <status>unmodified</status>
      <modifiedWord/>
      <trackRevisions>false</trackRevisions>
    </reviewItem>
    <reviewItem>
      <errorID>a8ec70bf-ce58-40b4-ba01-b29f81b44d79</errorID>
      <errorWord>）</errorWord>
      <group>L1_Format</group>
      <groupName>格式问题</groupName>
      <ability>L2_HalfPunc</ability>
      <abilityName>全半角检查</abilityName>
      <candidateList>
        <item>)</item>
      </candidateList>
      <explain>文本全半角错误。</explain>
      <paraID>549B84A6</paraID>
      <start>9</start>
      <end>10</end>
      <status>unmodified</status>
      <modifiedWord/>
      <trackRevisions>false</trackRevisions>
    </reviewItem>
    <reviewItem>
      <errorID>69de43e6-e6af-48d6-8ec4-70d0932f4f78</errorID>
      <errorWord>：</errorWord>
      <group>L1_Format</group>
      <groupName>格式问题</groupName>
      <ability>L2_HalfPunc</ability>
      <abilityName>全半角检查</abilityName>
      <candidateList>
        <item>:</item>
      </candidateList>
      <explain>文本全半角错误。</explain>
      <paraID>1ECF7F89</paraID>
      <start>4</start>
      <end>5</end>
      <status>unmodified</status>
      <modifiedWord/>
      <trackRevisions>false</trackRevisions>
    </reviewItem>
    <reviewItem>
      <errorID>c2f2f852-1d9c-4bee-b7fc-29348d7cb7c0</errorID>
      <errorWord>：</errorWord>
      <group>L1_Format</group>
      <groupName>格式问题</groupName>
      <ability>L2_HalfPunc</ability>
      <abilityName>全半角检查</abilityName>
      <candidateList>
        <item>:</item>
      </candidateList>
      <explain>文本全半角错误。</explain>
      <paraID>1ECF7F89</paraID>
      <start>42</start>
      <end>43</end>
      <status>unmodified</status>
      <modifiedWord/>
      <trackRevisions>false</trackRevisions>
    </reviewItem>
    <reviewItem>
      <errorID>42059898-8575-4bba-bb89-64e6ee8d28ca</errorID>
      <errorWord>混浊</errorWord>
      <group>L1_Word</group>
      <groupName>字词问题</groupName>
      <ability>L2_Typo</ability>
      <abilityName>字词错误</abilityName>
      <candidateList>
        <item>浑浊</item>
      </candidateList>
      <explain/>
      <paraID>43938DF2</paraID>
      <start>123</start>
      <end>125</end>
      <status>unmodified</status>
      <modifiedWord/>
      <trackRevisions>false</trackRevisions>
    </reviewItem>
    <reviewItem>
      <errorID>a646203c-dd7f-4d91-b987-8e9b37811d47</errorID>
      <errorWord>排气管等</errorWord>
      <group>L1_Knowledge</group>
      <groupName>知识性问题</groupName>
      <ability>L2_Term</ability>
      <abilityName>专业术语</abilityName>
      <candidateList>
        <item>排气管线</item>
      </candidateList>
      <explain/>
      <paraID>66680B24</paraID>
      <start>494</start>
      <end>498</end>
      <status>unmodified</status>
      <modifiedWord/>
      <trackRevisions>false</trackRevisions>
    </reviewItem>
    <reviewItem>
      <errorID>c90b95a2-173c-4687-8adf-7f024cf04ba0</errorID>
      <errorWord>.：</errorWord>
      <group>L1_Punc</group>
      <groupName>标点问题</groupName>
      <ability>L2_Punc</ability>
      <abilityName>标点符号检查</abilityName>
      <candidateList>
        <item>.</item>
      </candidateList>
      <explain/>
      <paraID>4EC3BEF7</paraID>
      <start>6</start>
      <end>8</end>
      <status>unmodified</status>
      <modifiedWord/>
      <trackRevisions>false</trackRevisions>
    </reviewItem>
    <reviewItem>
      <errorID>c3b97179-9275-48a5-9220-4ac4ea795fce</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6D6B78B2</paraID>
      <start>64</start>
      <end>67</end>
      <status>unmodified</status>
      <modifiedWord/>
      <trackRevisions>false</trackRevisions>
    </reviewItem>
    <reviewItem>
      <errorID>edb9fbb3-183a-45f2-a5ce-b87d071d9f96</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6D6B78B2</paraID>
      <start>75</start>
      <end>78</end>
      <status>unmodified</status>
      <modifiedWord/>
      <trackRevisions>false</trackRevisions>
    </reviewItem>
    <reviewItem>
      <errorID>f4c9e4c7-fdfe-4ae3-880d-83c223f30a1c</errorID>
      <errorWord>植物神经</errorWord>
      <group>L1_Knowledge</group>
      <groupName>知识性问题</groupName>
      <ability>L2_Term</ability>
      <abilityName>专业术语</abilityName>
      <candidateList>
        <item>自主神经</item>
      </candidateList>
      <explain>医学名词[植物神经]为不规范表述或旧称，其规范书面表述为[自主神经]。</explain>
      <paraID>6D6B78B2</paraID>
      <start>189</start>
      <end>193</end>
      <status>unmodified</status>
      <modifiedWord/>
      <trackRevisions>false</trackRevisions>
    </reviewItem>
    <reviewItem>
      <errorID>0a4bb3d5-e286-4f91-b2dd-2de015ecce0c</errorID>
      <errorWord>（</errorWord>
      <group>L1_Format</group>
      <groupName>格式问题</groupName>
      <ability>L2_HalfPunc</ability>
      <abilityName>全半角检查</abilityName>
      <candidateList>
        <item>(</item>
      </candidateList>
      <explain>文本全半角错误。</explain>
      <paraID>5E48D4AB</paraID>
      <start>4</start>
      <end>5</end>
      <status>unmodified</status>
      <modifiedWord/>
      <trackRevisions>false</trackRevisions>
    </reviewItem>
    <reviewItem>
      <errorID>c0e207c3-f5fe-4238-ab7d-03035f8fe667</errorID>
      <errorWord>）</errorWord>
      <group>L1_Format</group>
      <groupName>格式问题</groupName>
      <ability>L2_HalfPunc</ability>
      <abilityName>全半角检查</abilityName>
      <candidateList>
        <item>)</item>
      </candidateList>
      <explain>文本全半角错误。</explain>
      <paraID>5E48D4AB</paraID>
      <start>8</start>
      <end>9</end>
      <status>unmodified</status>
      <modifiedWord/>
      <trackRevisions>false</trackRevisions>
    </reviewItem>
    <reviewItem>
      <errorID>aadcb334-c032-4321-92a4-aefc5a3bab19</errorID>
      <errorWord>：</errorWord>
      <group>L1_Format</group>
      <groupName>格式问题</groupName>
      <ability>L2_HalfPunc</ability>
      <abilityName>全半角检查</abilityName>
      <candidateList>
        <item>:</item>
      </candidateList>
      <explain>文本全半角错误。</explain>
      <paraID>212DE6B5</paraID>
      <start>14</start>
      <end>15</end>
      <status>unmodified</status>
      <modifiedWord/>
      <trackRevisions>false</trackRevisions>
    </reviewItem>
    <reviewItem>
      <errorID>eda3261c-e48e-468a-9beb-267e89f0562f</errorID>
      <errorWord>：</errorWord>
      <group>L1_Format</group>
      <groupName>格式问题</groupName>
      <ability>L2_HalfPunc</ability>
      <abilityName>全半角检查</abilityName>
      <candidateList>
        <item>:</item>
      </candidateList>
      <explain>文本全半角错误。</explain>
      <paraID>212DE6B5</paraID>
      <start>43</start>
      <end>44</end>
      <status>unmodified</status>
      <modifiedWord/>
      <trackRevisions>false</trackRevisions>
    </reviewItem>
    <reviewItem>
      <errorID>619615e5-f64f-42f3-8d08-35dc775c3309</errorID>
      <errorWord>水泡</errorWord>
      <group>L1_Word</group>
      <groupName>字词问题</groupName>
      <ability>L2_Typo</ability>
      <abilityName>字词错误</abilityName>
      <candidateList>
        <item>水疱</item>
      </candidateList>
      <explain>存在发音相同字词的误用。</explain>
      <paraID>633AF935</paraID>
      <start>50</start>
      <end>52</end>
      <status>unmodified</status>
      <modifiedWord/>
      <trackRevisions>false</trackRevisions>
    </reviewItem>
    <reviewItem>
      <errorID>b3c663b1-a561-40b8-b37e-816e1b5e075f</errorID>
      <errorWord>：）</errorWord>
      <group>L1_Punc</group>
      <groupName>标点问题</groupName>
      <ability>L2_Punc</ability>
      <abilityName>标点符号检查</abilityName>
      <candidateList>
        <item>）</item>
      </candidateList>
      <explain/>
      <paraID>3C68CD7D</paraID>
      <start>6</start>
      <end>8</end>
      <status>unmodified</status>
      <modifiedWord/>
      <trackRevisions>false</trackRevisions>
    </reviewItem>
    <reviewItem>
      <errorID>d1b197f7-3e8e-4dfd-ad1d-d2cf4ef3faa4</errorID>
      <errorWord>：）</errorWord>
      <group>L1_Punc</group>
      <groupName>标点问题</groupName>
      <ability>L2_Punc</ability>
      <abilityName>标点符号检查</abilityName>
      <candidateList>
        <item>）</item>
      </candidateList>
      <explain/>
      <paraID> 24AD2BB</paraID>
      <start>6</start>
      <end>8</end>
      <status>unmodified</status>
      <modifiedWord/>
      <trackRevisions>false</trackRevisions>
    </reviewItem>
    <reviewItem>
      <errorID>d607b0eb-c7fb-4a48-abe2-aee404ac38eb</errorID>
      <errorWord>-</errorWord>
      <group>L1_Format</group>
      <groupName>格式问题</groupName>
      <ability>L2_HalfPunc</ability>
      <abilityName>全半角检查</abilityName>
      <candidateList>
        <item>－</item>
      </candidateList>
      <explain>文本全半角错误。</explain>
      <paraID>1E15B346</paraID>
      <start>14</start>
      <end>15</end>
      <status>unmodified</status>
      <modifiedWord/>
      <trackRevisions>false</trackRevisions>
    </reviewItem>
    <reviewItem>
      <errorID>7adfafc9-4177-4959-982d-32c4317e3eda</errorID>
      <errorWord>-</errorWord>
      <group>L1_Format</group>
      <groupName>格式问题</groupName>
      <ability>L2_HalfPunc</ability>
      <abilityName>全半角检查</abilityName>
      <candidateList>
        <item>－</item>
      </candidateList>
      <explain>文本全半角错误。</explain>
      <paraID>561F3B1B</paraID>
      <start>4</start>
      <end>5</end>
      <status>unmodified</status>
      <modifiedWord/>
      <trackRevisions>false</trackRevisions>
    </reviewItem>
    <reviewItem>
      <errorID>53d9eb6e-38c2-4b8c-a669-4e69550a42a6</errorID>
      <errorWord>（</errorWord>
      <group>L1_Format</group>
      <groupName>格式问题</groupName>
      <ability>L2_HalfPunc</ability>
      <abilityName>全半角检查</abilityName>
      <candidateList>
        <item>(</item>
      </candidateList>
      <explain>文本全半角错误。</explain>
      <paraID>65B2BA9E</paraID>
      <start>4</start>
      <end>5</end>
      <status>unmodified</status>
      <modifiedWord/>
      <trackRevisions>false</trackRevisions>
    </reviewItem>
    <reviewItem>
      <errorID>e8be542d-5302-4a66-89bd-1ba2ae27b3af</errorID>
      <errorWord>）</errorWord>
      <group>L1_Format</group>
      <groupName>格式问题</groupName>
      <ability>L2_HalfPunc</ability>
      <abilityName>全半角检查</abilityName>
      <candidateList>
        <item>)</item>
      </candidateList>
      <explain>文本全半角错误。</explain>
      <paraID>65B2BA9E</paraID>
      <start>10</start>
      <end>11</end>
      <status>unmodified</status>
      <modifiedWord/>
      <trackRevisions>false</trackRevisions>
    </reviewItem>
    <reviewItem>
      <errorID>1ba93f7c-0718-4145-a697-a9dc2d2b6415</errorID>
      <errorWord>：</errorWord>
      <group>L1_Format</group>
      <groupName>格式问题</groupName>
      <ability>L2_HalfPunc</ability>
      <abilityName>全半角检查</abilityName>
      <candidateList>
        <item>:</item>
      </candidateList>
      <explain>文本全半角错误。</explain>
      <paraID>1CEAFC7B</paraID>
      <start>4</start>
      <end>5</end>
      <status>unmodified</status>
      <modifiedWord/>
      <trackRevisions>false</trackRevisions>
    </reviewItem>
    <reviewItem>
      <errorID>72e0eb86-eb7b-442d-a963-67f589884588</errorID>
      <errorWord>：</errorWord>
      <group>L1_Format</group>
      <groupName>格式问题</groupName>
      <ability>L2_HalfPunc</ability>
      <abilityName>全半角检查</abilityName>
      <candidateList>
        <item>:</item>
      </candidateList>
      <explain>文本全半角错误。</explain>
      <paraID>1CEAFC7B</paraID>
      <start>42</start>
      <end>43</end>
      <status>unmodified</status>
      <modifiedWord/>
      <trackRevisions>false</trackRevisions>
    </reviewItem>
    <reviewItem>
      <errorID>24a5c349-555c-4c2c-9aca-f11ee5264c55</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61C4A4D5</paraID>
      <start>27</start>
      <end>30</end>
      <status>unmodified</status>
      <modifiedWord/>
      <trackRevisions>false</trackRevisions>
    </reviewItem>
    <reviewItem>
      <errorID>37bb3c66-4e11-4459-b2a2-d59873c8a4cf</errorID>
      <errorWord>（</errorWord>
      <group>L1_Format</group>
      <groupName>格式问题</groupName>
      <ability>L2_HalfPunc</ability>
      <abilityName>全半角检查</abilityName>
      <candidateList>
        <item>(</item>
      </candidateList>
      <explain>文本全半角错误。</explain>
      <paraID>286C9241</paraID>
      <start>5</start>
      <end>6</end>
      <status>unmodified</status>
      <modifiedWord/>
      <trackRevisions>false</trackRevisions>
    </reviewItem>
    <reviewItem>
      <errorID>045bdf2f-cd83-4861-91ad-12e02d66ed1f</errorID>
      <errorWord>）</errorWord>
      <group>L1_Format</group>
      <groupName>格式问题</groupName>
      <ability>L2_HalfPunc</ability>
      <abilityName>全半角检查</abilityName>
      <candidateList>
        <item>)</item>
      </candidateList>
      <explain>文本全半角错误。</explain>
      <paraID>286C9241</paraID>
      <start>9</start>
      <end>10</end>
      <status>unmodified</status>
      <modifiedWord/>
      <trackRevisions>false</trackRevisions>
    </reviewItem>
    <reviewItem>
      <errorID>a14e6e43-4b44-4438-9067-1c7d9b91e4dc</errorID>
      <errorWord>：</errorWord>
      <group>L1_Format</group>
      <groupName>格式问题</groupName>
      <ability>L2_HalfPunc</ability>
      <abilityName>全半角检查</abilityName>
      <candidateList>
        <item>:</item>
      </candidateList>
      <explain>文本全半角错误。</explain>
      <paraID> E374039</paraID>
      <start>4</start>
      <end>5</end>
      <status>unmodified</status>
      <modifiedWord/>
      <trackRevisions>false</trackRevisions>
    </reviewItem>
    <reviewItem>
      <errorID>efbe8fc5-ee26-440b-8771-c9da11920623</errorID>
      <errorWord>：</errorWord>
      <group>L1_Format</group>
      <groupName>格式问题</groupName>
      <ability>L2_HalfPunc</ability>
      <abilityName>全半角检查</abilityName>
      <candidateList>
        <item>:</item>
      </candidateList>
      <explain>文本全半角错误。</explain>
      <paraID> E374039</paraID>
      <start>26</start>
      <end>27</end>
      <status>unmodified</status>
      <modifiedWord/>
      <trackRevisions>false</trackRevisions>
    </reviewItem>
    <reviewItem>
      <errorID>fe906585-5bde-4121-963f-6895186c5138</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508FFED9</paraID>
      <start>14</start>
      <end>17</end>
      <status>unmodified</status>
      <modifiedWord/>
      <trackRevisions>false</trackRevisions>
    </reviewItem>
    <reviewItem>
      <errorID>5d38de7e-dfb9-4eb7-8119-9b33895a6d10</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508FFED9</paraID>
      <start>88</start>
      <end>91</end>
      <status>unmodified</status>
      <modifiedWord/>
      <trackRevisions>false</trackRevisions>
    </reviewItem>
    <reviewItem>
      <errorID>3db6e631-01ac-487b-8aa2-24f0edfed0e4</errorID>
      <errorWord>微量</errorWord>
      <group>L1_Word</group>
      <groupName>字词问题</groupName>
      <ability>L2_Typo</ability>
      <abilityName>字词错误</abilityName>
      <candidateList>
        <item>微粒</item>
      </candidateList>
      <explain/>
      <paraID>3523650A</paraID>
      <start>11</start>
      <end>13</end>
      <status>unmodified</status>
      <modifiedWord/>
      <trackRevisions>false</trackRevisions>
    </reviewItem>
    <reviewItem>
      <errorID>f1f9408c-3b31-49da-87cd-25a7338dc219</errorID>
      <errorWord>（</errorWord>
      <group>L1_Format</group>
      <groupName>格式问题</groupName>
      <ability>L2_HalfPunc</ability>
      <abilityName>全半角检查</abilityName>
      <candidateList>
        <item>(</item>
      </candidateList>
      <explain>文本全半角错误。</explain>
      <paraID>3F2BF0F2</paraID>
      <start>4</start>
      <end>5</end>
      <status>unmodified</status>
      <modifiedWord/>
      <trackRevisions>false</trackRevisions>
    </reviewItem>
    <reviewItem>
      <errorID>47db70b9-b8cc-4af4-bb87-c0802081ba44</errorID>
      <errorWord>）</errorWord>
      <group>L1_Format</group>
      <groupName>格式问题</groupName>
      <ability>L2_HalfPunc</ability>
      <abilityName>全半角检查</abilityName>
      <candidateList>
        <item>)</item>
      </candidateList>
      <explain>文本全半角错误。</explain>
      <paraID>3F2BF0F2</paraID>
      <start>7</start>
      <end>8</end>
      <status>unmodified</status>
      <modifiedWord/>
      <trackRevisions>false</trackRevisions>
    </reviewItem>
    <reviewItem>
      <errorID>bc9f6305-18aa-49fd-a22a-071109fc3ae0</errorID>
      <errorWord>（</errorWord>
      <group>L1_Format</group>
      <groupName>格式问题</groupName>
      <ability>L2_HalfPunc</ability>
      <abilityName>全半角检查</abilityName>
      <candidateList>
        <item>(</item>
      </candidateList>
      <explain>文本全半角错误。</explain>
      <paraID>693F4EED</paraID>
      <start>4</start>
      <end>5</end>
      <status>unmodified</status>
      <modifiedWord/>
      <trackRevisions>false</trackRevisions>
    </reviewItem>
    <reviewItem>
      <errorID>735135c2-bc19-4d98-a25b-f493a1430953</errorID>
      <errorWord>）</errorWord>
      <group>L1_Format</group>
      <groupName>格式问题</groupName>
      <ability>L2_HalfPunc</ability>
      <abilityName>全半角检查</abilityName>
      <candidateList>
        <item>)</item>
      </candidateList>
      <explain>文本全半角错误。</explain>
      <paraID>693F4EED</paraID>
      <start>8</start>
      <end>9</end>
      <status>unmodified</status>
      <modifiedWord/>
      <trackRevisions>false</trackRevisions>
    </reviewItem>
    <reviewItem>
      <errorID>7ba1f7f2-7cd7-463b-a2e6-ae336143574a</errorID>
      <errorWord>（</errorWord>
      <group>L1_Format</group>
      <groupName>格式问题</groupName>
      <ability>L2_HalfPunc</ability>
      <abilityName>全半角检查</abilityName>
      <candidateList>
        <item>(</item>
      </candidateList>
      <explain>文本全半角错误。</explain>
      <paraID>10A4CF56</paraID>
      <start>5</start>
      <end>6</end>
      <status>unmodified</status>
      <modifiedWord/>
      <trackRevisions>false</trackRevisions>
    </reviewItem>
    <reviewItem>
      <errorID>f2a8c80a-9ccd-43b2-b836-1c4e65ab5b66</errorID>
      <errorWord>）</errorWord>
      <group>L1_Format</group>
      <groupName>格式问题</groupName>
      <ability>L2_HalfPunc</ability>
      <abilityName>全半角检查</abilityName>
      <candidateList>
        <item>)</item>
      </candidateList>
      <explain>文本全半角错误。</explain>
      <paraID>10A4CF56</paraID>
      <start>9</start>
      <end>10</end>
      <status>unmodified</status>
      <modifiedWord/>
      <trackRevisions>false</trackRevisions>
    </reviewItem>
    <reviewItem>
      <errorID>2f8e1634-d39b-42b6-add8-14a83936aacb</errorID>
      <errorWord>可能易</errorWord>
      <group>L1_Word</group>
      <groupName>字词问题</groupName>
      <ability>L2_Typo</ability>
      <abilityName>字词错误</abilityName>
      <candidateList>
        <item>可能</item>
      </candidateList>
      <explain/>
      <paraID>77C38E52</paraID>
      <start>3</start>
      <end>6</end>
      <status>unmodified</status>
      <modifiedWord/>
      <trackRevisions>false</trackRevisions>
    </reviewItem>
    <reviewItem>
      <errorID>cc982f22-b965-411b-b216-9e11feb74115</errorID>
      <errorWord>（</errorWord>
      <group>L1_Format</group>
      <groupName>格式问题</groupName>
      <ability>L2_HalfPunc</ability>
      <abilityName>全半角检查</abilityName>
      <candidateList>
        <item>(</item>
      </candidateList>
      <explain>文本全半角错误。</explain>
      <paraID>2C988CDF</paraID>
      <start>1</start>
      <end>2</end>
      <status>unmodified</status>
      <modifiedWord/>
      <trackRevisions>false</trackRevisions>
    </reviewItem>
    <reviewItem>
      <errorID>5734c54a-8112-47fc-9609-df4ebb83b470</errorID>
      <errorWord>）</errorWord>
      <group>L1_Format</group>
      <groupName>格式问题</groupName>
      <ability>L2_HalfPunc</ability>
      <abilityName>全半角检查</abilityName>
      <candidateList>
        <item>)</item>
      </candidateList>
      <explain>文本全半角错误。</explain>
      <paraID>2C988CDF</paraID>
      <start>5</start>
      <end>6</end>
      <status>unmodified</status>
      <modifiedWord/>
      <trackRevisions>false</trackRevisions>
    </reviewItem>
    <reviewItem>
      <errorID>ad302da0-e9b3-4de7-9599-48b8576d4810</errorID>
      <errorWord>（</errorWord>
      <group>L1_Format</group>
      <groupName>格式问题</groupName>
      <ability>L2_HalfPunc</ability>
      <abilityName>全半角检查</abilityName>
      <candidateList>
        <item>(</item>
      </candidateList>
      <explain>文本全半角错误。</explain>
      <paraID>50233BDA</paraID>
      <start>3</start>
      <end>4</end>
      <status>unmodified</status>
      <modifiedWord/>
      <trackRevisions>false</trackRevisions>
    </reviewItem>
    <reviewItem>
      <errorID>4743dd8c-a7c8-4a6c-be62-c132139072dd</errorID>
      <errorWord>）</errorWord>
      <group>L1_Format</group>
      <groupName>格式问题</groupName>
      <ability>L2_HalfPunc</ability>
      <abilityName>全半角检查</abilityName>
      <candidateList>
        <item>)</item>
      </candidateList>
      <explain>文本全半角错误。</explain>
      <paraID>50233BDA</paraID>
      <start>5</start>
      <end>6</end>
      <status>unmodified</status>
      <modifiedWord/>
      <trackRevisions>false</trackRevisions>
    </reviewItem>
    <reviewItem>
      <errorID>c9ae5a88-9217-4356-9f93-0017f7069595</errorID>
      <errorWord>（</errorWord>
      <group>L1_Format</group>
      <groupName>格式问题</groupName>
      <ability>L2_HalfPunc</ability>
      <abilityName>全半角检查</abilityName>
      <candidateList>
        <item>(</item>
      </candidateList>
      <explain>文本全半角错误。</explain>
      <paraID>1622F213</paraID>
      <start>3</start>
      <end>4</end>
      <status>unmodified</status>
      <modifiedWord/>
      <trackRevisions>false</trackRevisions>
    </reviewItem>
    <reviewItem>
      <errorID>e9ebb4b7-b8b8-4379-ac30-20ea756cd69f</errorID>
      <errorWord>）</errorWord>
      <group>L1_Format</group>
      <groupName>格式问题</groupName>
      <ability>L2_HalfPunc</ability>
      <abilityName>全半角检查</abilityName>
      <candidateList>
        <item>)</item>
      </candidateList>
      <explain>文本全半角错误。</explain>
      <paraID>1622F213</paraID>
      <start>5</start>
      <end>6</end>
      <status>unmodified</status>
      <modifiedWord/>
      <trackRevisions>false</trackRevisions>
    </reviewItem>
    <reviewItem>
      <errorID>e178edfc-ec6b-4624-9eed-425cf198ac57</errorID>
      <errorWord>真空尾气</errorWord>
      <group>L1_Knowledge</group>
      <groupName>知识性问题</groupName>
      <ability>L2_Term</ability>
      <abilityName>专业术语</abilityName>
      <candidateList>
        <item>真空除气</item>
      </candidateList>
      <explain/>
      <paraID>1058832B</paraID>
      <start>0</start>
      <end>4</end>
      <status>unmodified</status>
      <modifiedWord/>
      <trackRevisions>false</trackRevisions>
    </reviewItem>
    <reviewItem>
      <errorID>731d5758-6d84-494a-9a2b-258f73cb666b</errorID>
      <errorWord>~</errorWord>
      <group>L1_Format</group>
      <groupName>格式问题</groupName>
      <ability>L2_HalfPunc</ability>
      <abilityName>全半角检查</abilityName>
      <candidateList>
        <item>～</item>
      </candidateList>
      <explain>文本全半角错误。</explain>
      <paraID>518C1459</paraID>
      <start>125</start>
      <end>126</end>
      <status>unmodified</status>
      <modifiedWord/>
      <trackRevisions>false</trackRevisions>
    </reviewItem>
    <reviewItem>
      <errorID>00ebadc2-6065-4403-9471-86f3188d840a</errorID>
      <errorWord>/，</errorWord>
      <group>L1_Punc</group>
      <groupName>标点问题</groupName>
      <ability>L2_Punc</ability>
      <abilityName>标点符号检查</abilityName>
      <candidateList>
        <item>/</item>
      </candidateList>
      <explain/>
      <paraID>139CCDB1</paraID>
      <start>8</start>
      <end>10</end>
      <status>unmodified</status>
      <modifiedWord/>
      <trackRevisions>false</trackRevisions>
    </reviewItem>
    <reviewItem>
      <errorID>f2293e0d-02c3-47a7-be13-58cf347322f6</errorID>
      <errorWord>/，</errorWord>
      <group>L1_Punc</group>
      <groupName>标点问题</groupName>
      <ability>L2_Punc</ability>
      <abilityName>标点符号检查</abilityName>
      <candidateList>
        <item>/</item>
      </candidateList>
      <explain/>
      <paraID>64679226</paraID>
      <start>8</start>
      <end>10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6adb56-942b-49f9-b2b0-e6c2f0ed8179}">
  <ds:schemaRefs/>
</ds:datastoreItem>
</file>

<file path=docProps/app.xml><?xml version="1.0" encoding="utf-8"?>
<Properties xmlns="http://schemas.openxmlformats.org/officeDocument/2006/extended-properties" xmlns:vt="http://schemas.openxmlformats.org/officeDocument/2006/docPropsVTypes">
  <Template>Normal.dotm</Template>
  <Pages>131</Pages>
  <Words>137</Words>
  <Characters>164</Characters>
  <Lines>0</Lines>
  <Paragraphs>0</Paragraphs>
  <TotalTime>131</TotalTime>
  <ScaleCrop>false</ScaleCrop>
  <LinksUpToDate>false</LinksUpToDate>
  <CharactersWithSpaces>164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2025-10-28T02:02:00Z</dcterms:created>
  <dc:creator>马马虎虎</dc:creator>
  <cp:lastModifiedBy>唯有你</cp:lastModifiedBy>
  <cp:lastPrinted>2025-12-02T01:22:00Z</cp:lastPrinted>
  <dcterms:modified xsi:type="dcterms:W3CDTF">2025-12-24T08:21:33Z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B178E464FE874ED8899D23D05A3A1064_13</vt:lpwstr>
  </property>
  <property fmtid="{D5CDD505-2E9C-101B-9397-08002B2CF9AE}" pid="4" name="KSOTemplateDocerSaveRecord">
    <vt:lpwstr>eyJoZGlkIjoiM2M1MzQ5YjJjYTY4ZmZjN2I1YmFhNzM4MjFjYTdlY2IiLCJ1c2VySWQiOiI2MDEyMTE3NDEifQ==</vt:lpwstr>
  </property>
</Properties>
</file>